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highlight w:val="white"/>
          <w:rtl w:val="0"/>
        </w:rPr>
        <w:t xml:space="preserve">Internet of Things</w:t>
      </w: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 - Course Outline for ARM mbed IoT Module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highlight w:val="white"/>
          <w:rtl w:val="0"/>
        </w:rPr>
        <w:t xml:space="preserve">From Edge to Cloud using IoT Standards and ARM mbed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11 October - Introduction and Demonstration: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Introduction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Reference Architecture - device to cloud, gateway to cloud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Layers and Protocols - Standards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Arm mbed mapping onto architecture and Standards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Project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Project Challenge - Assisted Living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Project technology framework - mbed IDE, mbed Device Server, dev boards, ethernet + WiFI, BLE using Android device, grove system sensors and how they work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Demonstration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Demonstration and walk-through step by step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Calibri" w:hAnsi="Calibri" w:eastAsia="Calibri" w:ascii="Calibri"/>
          <w:highlight w:val="white"/>
          <w:u w:val="none"/>
        </w:rPr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Lab unit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Programming an mbed device and connecting to the cloud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Lab notes - step by step: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mbed account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import project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compile and download to platform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verify registration with mbed Device Server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serial debug messages indicating success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check with mDS admin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highlight w:val="white"/>
          <w:rtl w:val="0"/>
        </w:rPr>
        <w:t xml:space="preserve">using a REST client to read value from mDS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Outline.docx</dc:title>
</cp:coreProperties>
</file>