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the</w:t>
      </w:r>
      <w:r>
        <w:t xml:space="preserve"> </w:t>
      </w:r>
      <w:r>
        <w:t xml:space="preserve">Effect</w:t>
      </w:r>
      <w:r>
        <w:t xml:space="preserve"> </w:t>
      </w:r>
      <w:r>
        <w:t xml:space="preserve">of</w:t>
      </w:r>
      <w:r>
        <w:t xml:space="preserve"> </w:t>
      </w:r>
      <w:r>
        <w:t xml:space="preserve">Vitamin</w:t>
      </w:r>
      <w:r>
        <w:t xml:space="preserve"> </w:t>
      </w:r>
      <w:r>
        <w:t xml:space="preserve">C</w:t>
      </w:r>
      <w:r>
        <w:t xml:space="preserve"> </w:t>
      </w:r>
      <w:r>
        <w:t xml:space="preserve">on</w:t>
      </w:r>
      <w:r>
        <w:t xml:space="preserve"> </w:t>
      </w:r>
      <w:r>
        <w:t xml:space="preserve">Tooth</w:t>
      </w:r>
      <w:r>
        <w:t xml:space="preserve"> </w:t>
      </w:r>
      <w:r>
        <w:t xml:space="preserve">Growth</w:t>
      </w:r>
      <w:r>
        <w:t xml:space="preserve"> </w:t>
      </w:r>
      <w:r>
        <w:t xml:space="preserve">in</w:t>
      </w:r>
      <w:r>
        <w:t xml:space="preserve"> </w:t>
      </w:r>
      <w:r>
        <w:t xml:space="preserve">Guinea</w:t>
      </w:r>
      <w:r>
        <w:t xml:space="preserve"> </w:t>
      </w:r>
      <w:r>
        <w:t xml:space="preserve">Pigs</w:t>
      </w:r>
    </w:p>
    <w:p>
      <w:pPr>
        <w:pStyle w:val="Author"/>
      </w:pPr>
      <w:r>
        <w:t xml:space="preserve">Chris</w:t>
      </w:r>
      <w:r>
        <w:t xml:space="preserve"> </w:t>
      </w:r>
      <w:r>
        <w:t xml:space="preserve">Shaw</w:t>
      </w:r>
    </w:p>
    <w:p>
      <w:pPr>
        <w:pStyle w:val="Date"/>
      </w:pPr>
      <w:r>
        <w:t xml:space="preserve">23</w:t>
      </w:r>
      <w:r>
        <w:t xml:space="preserve"> </w:t>
      </w:r>
      <w:r>
        <w:t xml:space="preserve">April</w:t>
      </w:r>
      <w:r>
        <w:t xml:space="preserve"> </w:t>
      </w:r>
      <w:r>
        <w:t xml:space="preserve">2016</w:t>
      </w:r>
    </w:p>
    <w:p>
      <w:pPr>
        <w:pStyle w:val="Heading1"/>
      </w:pPr>
      <w:bookmarkStart w:id="21" w:name="synopsis"/>
      <w:bookmarkEnd w:id="21"/>
      <w:r>
        <w:t xml:space="preserve">Synopsis</w:t>
      </w:r>
    </w:p>
    <w:p>
      <w:pPr>
        <w:pStyle w:val="FirstParagraph"/>
      </w:pPr>
      <w:r>
        <w:t xml:space="preserve">This paper analyses how dosage levels and delivery method of vitmain C effect the length of odontoblasts (cells responsible for tooth growth) in 60 guinea pigs. Each animal received one of three dose levels of vitamin C (0.5, 1, and 2 mg/day) by one of two delivery methods, (orange juice or ascorbic acid (a form of vitamin C and coded as VC).</w:t>
      </w:r>
    </w:p>
    <w:p>
      <w:pPr>
        <w:pStyle w:val="BodyText"/>
      </w:pPr>
      <w:r>
        <w:t xml:space="preserve">We conclude that dose levels make a significant impact to the mean odontoblasts cell length, whereas the delivery methods do not.</w:t>
      </w:r>
    </w:p>
    <w:p>
      <w:pPr>
        <w:pStyle w:val="Heading1"/>
      </w:pPr>
      <w:bookmarkStart w:id="22" w:name="exploratory-analysis"/>
      <w:bookmarkEnd w:id="22"/>
      <w:r>
        <w:t xml:space="preserve">Exploratory Analysis</w:t>
      </w:r>
    </w:p>
    <w:p>
      <w:pPr>
        <w:pStyle w:val="FirstParagraph"/>
      </w:pPr>
      <w:r>
        <w:t xml:space="preserve">The following table summarises the dataset. The mean and standard deviation of cell length is shown for each dosage level and each delivery method. The number of observations in each grouping is also shown.</w:t>
      </w:r>
    </w:p>
    <w:p>
      <w:pPr>
        <w:pStyle w:val="TableCaption"/>
      </w:pPr>
      <w:r>
        <w:t xml:space="preserve">Summary of cell length by supplement and dosage</w:t>
      </w:r>
    </w:p>
    <w:tbl>
      <w:tblPr>
        <w:tblStyle w:val="TableNormal"/>
        <w:tblW w:type="pct" w:w="0.0"/>
        <w:tblLook w:firstRow="1"/>
        <w:tblCaption w:val="Summary of cell length by supplement and dosage"/>
      </w:tblPr>
      <w:tblGrid/>
      <w:tr>
        <w:trPr>
          <w:cnfStyle w:firstRow="1"/>
        </w:trPr>
        <w:tc>
          <w:tcPr>
            <w:tcBorders>
              <w:bottom w:val="single"/>
            </w:tcBorders>
            <w:vAlign w:val="bottom"/>
          </w:tcPr>
          <w:p>
            <w:pPr>
              <w:pStyle w:val="Compact"/>
              <w:jc w:val="center"/>
            </w:pPr>
            <w:r>
              <w:t xml:space="preserve">Supplement</w:t>
            </w:r>
          </w:p>
        </w:tc>
        <w:tc>
          <w:tcPr>
            <w:tcBorders>
              <w:bottom w:val="single"/>
            </w:tcBorders>
            <w:vAlign w:val="bottom"/>
          </w:tcPr>
          <w:p>
            <w:pPr>
              <w:pStyle w:val="Compact"/>
              <w:jc w:val="center"/>
            </w:pPr>
            <w:r>
              <w:t xml:space="preserve">Dose</w:t>
            </w:r>
          </w:p>
        </w:tc>
        <w:tc>
          <w:tcPr>
            <w:tcBorders>
              <w:bottom w:val="single"/>
            </w:tcBorders>
            <w:vAlign w:val="bottom"/>
          </w:tcPr>
          <w:p>
            <w:pPr>
              <w:pStyle w:val="Compact"/>
              <w:jc w:val="center"/>
            </w:pPr>
            <w:r>
              <w:t xml:space="preserve">Num obs</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Std dev</w:t>
            </w:r>
          </w:p>
        </w:tc>
      </w:tr>
      <w:tr>
        <w:tc>
          <w:p>
            <w:pPr>
              <w:pStyle w:val="Compact"/>
              <w:jc w:val="center"/>
            </w:pPr>
            <w:r>
              <w:t xml:space="preserve">OJ</w:t>
            </w:r>
          </w:p>
        </w:tc>
        <w:tc>
          <w:p>
            <w:pPr>
              <w:pStyle w:val="Compact"/>
              <w:jc w:val="center"/>
            </w:pPr>
            <w:r>
              <w:t xml:space="preserve">0.5</w:t>
            </w:r>
          </w:p>
        </w:tc>
        <w:tc>
          <w:p>
            <w:pPr>
              <w:pStyle w:val="Compact"/>
              <w:jc w:val="center"/>
            </w:pPr>
            <w:r>
              <w:t xml:space="preserve">10</w:t>
            </w:r>
          </w:p>
        </w:tc>
        <w:tc>
          <w:p>
            <w:pPr>
              <w:pStyle w:val="Compact"/>
              <w:jc w:val="center"/>
            </w:pPr>
            <w:r>
              <w:t xml:space="preserve">13.23</w:t>
            </w:r>
          </w:p>
        </w:tc>
        <w:tc>
          <w:p>
            <w:pPr>
              <w:pStyle w:val="Compact"/>
              <w:jc w:val="center"/>
            </w:pPr>
            <w:r>
              <w:t xml:space="preserve">4.46</w:t>
            </w:r>
          </w:p>
        </w:tc>
      </w:tr>
      <w:tr>
        <w:tc>
          <w:p>
            <w:pPr>
              <w:pStyle w:val="Compact"/>
              <w:jc w:val="center"/>
            </w:pPr>
            <w:r>
              <w:t xml:space="preserve">OJ</w:t>
            </w:r>
          </w:p>
        </w:tc>
        <w:tc>
          <w:p>
            <w:pPr>
              <w:pStyle w:val="Compact"/>
              <w:jc w:val="center"/>
            </w:pPr>
            <w:r>
              <w:t xml:space="preserve">1.0</w:t>
            </w:r>
          </w:p>
        </w:tc>
        <w:tc>
          <w:p>
            <w:pPr>
              <w:pStyle w:val="Compact"/>
              <w:jc w:val="center"/>
            </w:pPr>
            <w:r>
              <w:t xml:space="preserve">10</w:t>
            </w:r>
          </w:p>
        </w:tc>
        <w:tc>
          <w:p>
            <w:pPr>
              <w:pStyle w:val="Compact"/>
              <w:jc w:val="center"/>
            </w:pPr>
            <w:r>
              <w:t xml:space="preserve">22.70</w:t>
            </w:r>
          </w:p>
        </w:tc>
        <w:tc>
          <w:p>
            <w:pPr>
              <w:pStyle w:val="Compact"/>
              <w:jc w:val="center"/>
            </w:pPr>
            <w:r>
              <w:t xml:space="preserve">3.91</w:t>
            </w:r>
          </w:p>
        </w:tc>
      </w:tr>
      <w:tr>
        <w:tc>
          <w:p>
            <w:pPr>
              <w:pStyle w:val="Compact"/>
              <w:jc w:val="center"/>
            </w:pPr>
            <w:r>
              <w:t xml:space="preserve">OJ</w:t>
            </w:r>
          </w:p>
        </w:tc>
        <w:tc>
          <w:p>
            <w:pPr>
              <w:pStyle w:val="Compact"/>
              <w:jc w:val="center"/>
            </w:pPr>
            <w:r>
              <w:t xml:space="preserve">2.0</w:t>
            </w:r>
          </w:p>
        </w:tc>
        <w:tc>
          <w:p>
            <w:pPr>
              <w:pStyle w:val="Compact"/>
              <w:jc w:val="center"/>
            </w:pPr>
            <w:r>
              <w:t xml:space="preserve">10</w:t>
            </w:r>
          </w:p>
        </w:tc>
        <w:tc>
          <w:p>
            <w:pPr>
              <w:pStyle w:val="Compact"/>
              <w:jc w:val="center"/>
            </w:pPr>
            <w:r>
              <w:t xml:space="preserve">26.06</w:t>
            </w:r>
          </w:p>
        </w:tc>
        <w:tc>
          <w:p>
            <w:pPr>
              <w:pStyle w:val="Compact"/>
              <w:jc w:val="center"/>
            </w:pPr>
            <w:r>
              <w:t xml:space="preserve">2.66</w:t>
            </w:r>
          </w:p>
        </w:tc>
      </w:tr>
      <w:tr>
        <w:tc>
          <w:p>
            <w:pPr>
              <w:pStyle w:val="Compact"/>
              <w:jc w:val="center"/>
            </w:pPr>
            <w:r>
              <w:t xml:space="preserve">VC</w:t>
            </w:r>
          </w:p>
        </w:tc>
        <w:tc>
          <w:p>
            <w:pPr>
              <w:pStyle w:val="Compact"/>
              <w:jc w:val="center"/>
            </w:pPr>
            <w:r>
              <w:t xml:space="preserve">0.5</w:t>
            </w:r>
          </w:p>
        </w:tc>
        <w:tc>
          <w:p>
            <w:pPr>
              <w:pStyle w:val="Compact"/>
              <w:jc w:val="center"/>
            </w:pPr>
            <w:r>
              <w:t xml:space="preserve">10</w:t>
            </w:r>
          </w:p>
        </w:tc>
        <w:tc>
          <w:p>
            <w:pPr>
              <w:pStyle w:val="Compact"/>
              <w:jc w:val="center"/>
            </w:pPr>
            <w:r>
              <w:t xml:space="preserve">7.98</w:t>
            </w:r>
          </w:p>
        </w:tc>
        <w:tc>
          <w:p>
            <w:pPr>
              <w:pStyle w:val="Compact"/>
              <w:jc w:val="center"/>
            </w:pPr>
            <w:r>
              <w:t xml:space="preserve">2.75</w:t>
            </w:r>
          </w:p>
        </w:tc>
      </w:tr>
      <w:tr>
        <w:tc>
          <w:p>
            <w:pPr>
              <w:pStyle w:val="Compact"/>
              <w:jc w:val="center"/>
            </w:pPr>
            <w:r>
              <w:t xml:space="preserve">VC</w:t>
            </w:r>
          </w:p>
        </w:tc>
        <w:tc>
          <w:p>
            <w:pPr>
              <w:pStyle w:val="Compact"/>
              <w:jc w:val="center"/>
            </w:pPr>
            <w:r>
              <w:t xml:space="preserve">1.0</w:t>
            </w:r>
          </w:p>
        </w:tc>
        <w:tc>
          <w:p>
            <w:pPr>
              <w:pStyle w:val="Compact"/>
              <w:jc w:val="center"/>
            </w:pPr>
            <w:r>
              <w:t xml:space="preserve">10</w:t>
            </w:r>
          </w:p>
        </w:tc>
        <w:tc>
          <w:p>
            <w:pPr>
              <w:pStyle w:val="Compact"/>
              <w:jc w:val="center"/>
            </w:pPr>
            <w:r>
              <w:t xml:space="preserve">16.77</w:t>
            </w:r>
          </w:p>
        </w:tc>
        <w:tc>
          <w:p>
            <w:pPr>
              <w:pStyle w:val="Compact"/>
              <w:jc w:val="center"/>
            </w:pPr>
            <w:r>
              <w:t xml:space="preserve">2.52</w:t>
            </w:r>
          </w:p>
        </w:tc>
      </w:tr>
      <w:tr>
        <w:tc>
          <w:p>
            <w:pPr>
              <w:pStyle w:val="Compact"/>
              <w:jc w:val="center"/>
            </w:pPr>
            <w:r>
              <w:t xml:space="preserve">VC</w:t>
            </w:r>
          </w:p>
        </w:tc>
        <w:tc>
          <w:p>
            <w:pPr>
              <w:pStyle w:val="Compact"/>
              <w:jc w:val="center"/>
            </w:pPr>
            <w:r>
              <w:t xml:space="preserve">2.0</w:t>
            </w:r>
          </w:p>
        </w:tc>
        <w:tc>
          <w:p>
            <w:pPr>
              <w:pStyle w:val="Compact"/>
              <w:jc w:val="center"/>
            </w:pPr>
            <w:r>
              <w:t xml:space="preserve">10</w:t>
            </w:r>
          </w:p>
        </w:tc>
        <w:tc>
          <w:p>
            <w:pPr>
              <w:pStyle w:val="Compact"/>
              <w:jc w:val="center"/>
            </w:pPr>
            <w:r>
              <w:t xml:space="preserve">26.14</w:t>
            </w:r>
          </w:p>
        </w:tc>
        <w:tc>
          <w:p>
            <w:pPr>
              <w:pStyle w:val="Compact"/>
              <w:jc w:val="center"/>
            </w:pPr>
            <w:r>
              <w:t xml:space="preserve">4.80</w:t>
            </w:r>
          </w:p>
        </w:tc>
      </w:tr>
    </w:tbl>
    <w:p>
      <w:pPr>
        <w:pStyle w:val="Heading1"/>
      </w:pPr>
      <w:bookmarkStart w:id="23" w:name="assumptions"/>
      <w:bookmarkEnd w:id="23"/>
      <w:r>
        <w:t xml:space="preserve">Assumptions</w:t>
      </w:r>
    </w:p>
    <w:p>
      <w:pPr>
        <w:pStyle w:val="FirstParagraph"/>
      </w:pPr>
      <w:r>
        <w:t xml:space="preserve">The population of odontoblast cell lengths is assumed to be normally distributed with mean</w:t>
      </w:r>
      <w:r>
        <w:t xml:space="preserve"> </w:t>
      </w:r>
      <m:oMath>
        <m:r>
          <m:rPr/>
          <m:t>μ</m:t>
        </m:r>
      </m:oMath>
      <w:r>
        <w:t xml:space="preserve"> </w:t>
      </w:r>
      <w:r>
        <w:t xml:space="preserve">and variance</w:t>
      </w:r>
      <w:r>
        <w:t xml:space="preserve"> </w:t>
      </w:r>
      <m:oMath>
        <m:sSup>
          <m:e>
            <m:r>
              <m:rPr/>
              <m:t>σ</m:t>
            </m:r>
          </m:e>
          <m:sup>
            <m:r>
              <m:rPr/>
              <m:t>2</m:t>
            </m:r>
          </m:sup>
        </m:sSup>
      </m:oMath>
      <w:r>
        <w:t xml:space="preserve">. The table above shows that the mean is very different depending on the dose and delivery method of vitmain C.</w:t>
      </w:r>
    </w:p>
    <w:p>
      <w:pPr>
        <w:pStyle w:val="BodyText"/>
      </w:pPr>
      <w:r>
        <w:t xml:space="preserve">The plots overleaf show how the length varies depending on these variables.</w:t>
      </w:r>
    </w:p>
    <w:p>
      <w:pPr>
        <w:pStyle w:val="BodyText"/>
      </w:pPr>
      <w:r>
        <w:drawing>
          <wp:inline>
            <wp:extent cx="4610100" cy="3695700"/>
            <wp:effectExtent b="0" l="0" r="0" t="0"/>
            <wp:docPr descr="" id="1" name="Picture"/>
            <a:graphic>
              <a:graphicData uri="http://schemas.openxmlformats.org/drawingml/2006/picture">
                <pic:pic>
                  <pic:nvPicPr>
                    <pic:cNvPr descr="wk4project-inference_files/figure-docx/boxplots-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Although the OJ delivery method seems to have a larger mean, the variance of the VC method is much wider. However, when it comes to dose levels, the mean seems to clearly increase as doseage increases.</w:t>
      </w:r>
    </w:p>
    <w:p>
      <w:pPr>
        <w:pStyle w:val="BodyText"/>
      </w:pPr>
      <w:r>
        <w:t xml:space="preserve">Both of these will be examined more rigorously by hypothesis testing. Because the population is assumed to be normally distributed, we will use the Student T test as the statistical method to analyse the data.</w:t>
      </w:r>
    </w:p>
    <w:p>
      <w:pPr>
        <w:pStyle w:val="Heading1"/>
      </w:pPr>
      <w:bookmarkStart w:id="25" w:name="hypothesis-testing"/>
      <w:bookmarkEnd w:id="25"/>
      <w:r>
        <w:t xml:space="preserve">Hypothesis testing</w:t>
      </w:r>
    </w:p>
    <w:p>
      <w:pPr>
        <w:pStyle w:val="FirstParagraph"/>
      </w:pPr>
      <w:r>
        <w:t xml:space="preserve">First we compare the different supplements, OJ and VC. The mean cell length from the population using each of these is</w:t>
      </w:r>
      <w:r>
        <w:t xml:space="preserve"> </w:t>
      </w:r>
      <m:oMath>
        <m:sSub>
          <m:e>
            <m:r>
              <m:rPr/>
              <m:t>μ</m:t>
            </m:r>
          </m:e>
          <m:sub>
            <m:r>
              <m:rPr/>
              <m:t>o</m:t>
            </m:r>
            <m:r>
              <m:rPr/>
              <m:t>j</m:t>
            </m:r>
          </m:sub>
        </m:sSub>
      </m:oMath>
      <w:r>
        <w:t xml:space="preserve"> </w:t>
      </w:r>
      <w:r>
        <w:t xml:space="preserve">and</w:t>
      </w:r>
      <w:r>
        <w:t xml:space="preserve"> </w:t>
      </w:r>
      <m:oMath>
        <m:sSub>
          <m:e>
            <m:r>
              <m:rPr/>
              <m:t>μ</m:t>
            </m:r>
          </m:e>
          <m:sub>
            <m:r>
              <m:rPr/>
              <m:t>v</m:t>
            </m:r>
            <m:r>
              <m:rPr/>
              <m:t>c</m:t>
            </m:r>
          </m:sub>
        </m:sSub>
      </m:oMath>
      <w:r>
        <w:t xml:space="preserve"> </w:t>
      </w:r>
      <w:r>
        <w:t xml:space="preserve">respectively. The null hypothesis,</w:t>
      </w:r>
      <w:r>
        <w:t xml:space="preserve"> </w:t>
      </w:r>
      <m:oMath>
        <m:sSub>
          <m:e>
            <m:r>
              <m:rPr/>
              <m:t>H</m:t>
            </m:r>
          </m:e>
          <m:sub>
            <m:r>
              <m:rPr/>
              <m:t>0</m:t>
            </m:r>
          </m:sub>
        </m:sSub>
      </m:oMath>
      <w:r>
        <w:t xml:space="preserve"> </w:t>
      </w:r>
      <w:r>
        <w:t xml:space="preserve">is that these means are equal, i.e:</w:t>
      </w:r>
    </w:p>
    <w:p>
      <w:pPr>
        <w:pStyle w:val="BodyText"/>
      </w:pPr>
      <m:oMathPara>
        <m:oMathParaPr>
          <m:jc m:val="center"/>
        </m:oMathParaPr>
        <m:oMath>
          <m:sSub>
            <m:e>
              <m:r>
                <m:rPr/>
                <m:t>H</m:t>
              </m:r>
            </m:e>
            <m:sub>
              <m:r>
                <m:rPr/>
                <m:t>0</m:t>
              </m:r>
            </m:sub>
          </m:sSub>
          <m:r>
            <m:rPr/>
            <m:t>:</m:t>
          </m:r>
          <m:sSub>
            <m:e>
              <m:r>
                <m:rPr/>
                <m:t>μ</m:t>
              </m:r>
            </m:e>
            <m:sub>
              <m:r>
                <m:rPr/>
                <m:t>o</m:t>
              </m:r>
              <m:r>
                <m:rPr/>
                <m:t>j</m:t>
              </m:r>
            </m:sub>
          </m:sSub>
          <m:r>
            <m:rPr/>
            <m:t>=</m:t>
          </m:r>
          <m:sSub>
            <m:e>
              <m:r>
                <m:rPr/>
                <m:t>μ</m:t>
              </m:r>
            </m:e>
            <m:sub>
              <m:r>
                <m:rPr/>
                <m:t>v</m:t>
              </m:r>
              <m:r>
                <m:rPr/>
                <m:t>c</m:t>
              </m:r>
            </m:sub>
          </m:sSub>
        </m:oMath>
      </m:oMathPara>
    </w:p>
    <w:p>
      <w:pPr>
        <w:pStyle w:val="BodyText"/>
      </w:pPr>
      <m:oMathPara>
        <m:oMathParaPr>
          <m:jc m:val="center"/>
        </m:oMathParaPr>
        <m:oMath>
          <m:sSub>
            <m:e>
              <m:r>
                <m:rPr/>
                <m:t>H</m:t>
              </m:r>
            </m:e>
            <m:sub>
              <m:r>
                <m:rPr/>
                <m:t>a</m:t>
              </m:r>
            </m:sub>
          </m:sSub>
          <m:r>
            <m:rPr/>
            <m:t>:</m:t>
          </m:r>
          <m:sSub>
            <m:e>
              <m:r>
                <m:rPr/>
                <m:t>μ</m:t>
              </m:r>
            </m:e>
            <m:sub>
              <m:r>
                <m:rPr/>
                <m:t>o</m:t>
              </m:r>
              <m:r>
                <m:rPr/>
                <m:t>j</m:t>
              </m:r>
            </m:sub>
          </m:sSub>
          <m:r>
            <m:rPr/>
            <m:t>≠</m:t>
          </m:r>
          <m:sSub>
            <m:e>
              <m:r>
                <m:rPr/>
                <m:t>μ</m:t>
              </m:r>
            </m:e>
            <m:sub>
              <m:r>
                <m:rPr/>
                <m:t>v</m:t>
              </m:r>
              <m:r>
                <m:rPr/>
                <m:t>c</m:t>
              </m:r>
            </m:sub>
          </m:sSub>
        </m:oMath>
      </m:oMathPara>
    </w:p>
    <w:p>
      <w:pPr>
        <w:pStyle w:val="BodyText"/>
      </w:pPr>
      <w:r>
        <w:t xml:space="preserve">We want to find evidence of whether the alternative hypothesis</w:t>
      </w:r>
      <w:r>
        <w:t xml:space="preserve"> </w:t>
      </w:r>
      <m:oMath>
        <m:sSub>
          <m:e>
            <m:r>
              <m:rPr/>
              <m:t>H</m:t>
            </m:r>
          </m:e>
          <m:sub>
            <m:r>
              <m:rPr/>
              <m:t>a</m:t>
            </m:r>
          </m:sub>
        </m:sSub>
      </m:oMath>
      <w:r>
        <w:t xml:space="preserve"> </w:t>
      </w:r>
      <w:r>
        <w:t xml:space="preserve">may be true, that the means are not equal.</w:t>
      </w:r>
    </w:p>
    <w:p>
      <w:pPr>
        <w:pStyle w:val="BodyText"/>
      </w:pPr>
      <w:r>
        <w:t xml:space="preserve">A two sided t-test was performed to test this (see appendix for details). The 30 measurements for the OJ delivery method were tested against the 30 measurements for the VC method. The confidence level was 95% and the variance assumed to be the same across both populations.</w:t>
      </w:r>
    </w:p>
    <w:p>
      <w:pPr>
        <w:pStyle w:val="BodyText"/>
      </w:pPr>
      <w:r>
        <w:t xml:space="preserve">The p-value is calculated at 0.0604. This is quite high, so we fail to reject the null hypthosis and conclude there is no evidence that the means are different.</w:t>
      </w:r>
    </w:p>
    <w:p>
      <w:pPr>
        <w:pStyle w:val="BodyText"/>
      </w:pPr>
      <w:r>
        <w:t xml:space="preserve">Next we compare the differences in cell length depending on dosage level. The mean cell length from the population for each is</w:t>
      </w:r>
      <w:r>
        <w:t xml:space="preserve"> </w:t>
      </w:r>
      <m:oMath>
        <m:sSub>
          <m:e>
            <m:r>
              <m:rPr/>
              <m:t>μ</m:t>
            </m:r>
          </m:e>
          <m:sub>
            <m:r>
              <m:rPr/>
              <m:t>2</m:t>
            </m:r>
          </m:sub>
        </m:sSub>
      </m:oMath>
      <w:r>
        <w:t xml:space="preserve">,</w:t>
      </w:r>
      <w:r>
        <w:t xml:space="preserve"> </w:t>
      </w:r>
      <m:oMath>
        <m:sSub>
          <m:e>
            <m:r>
              <m:rPr/>
              <m:t>μ</m:t>
            </m:r>
          </m:e>
          <m:sub>
            <m:r>
              <m:rPr/>
              <m:t>1</m:t>
            </m:r>
          </m:sub>
        </m:sSub>
      </m:oMath>
      <w:r>
        <w:t xml:space="preserve"> </w:t>
      </w:r>
      <w:r>
        <w:t xml:space="preserve">and</w:t>
      </w:r>
      <w:r>
        <w:t xml:space="preserve"> </w:t>
      </w:r>
      <m:oMath>
        <m:sSub>
          <m:e>
            <m:r>
              <m:rPr/>
              <m:t>μ</m:t>
            </m:r>
          </m:e>
          <m:sub>
            <m:r>
              <m:rPr/>
              <m:t>0.5</m:t>
            </m:r>
          </m:sub>
        </m:sSub>
      </m:oMath>
      <w:r>
        <w:t xml:space="preserve"> </w:t>
      </w:r>
      <w:r>
        <w:t xml:space="preserve">respectively. The null hypothesis,</w:t>
      </w:r>
      <w:r>
        <w:t xml:space="preserve"> </w:t>
      </w:r>
      <m:oMath>
        <m:sSub>
          <m:e>
            <m:r>
              <m:rPr/>
              <m:t>H</m:t>
            </m:r>
          </m:e>
          <m:sub>
            <m:r>
              <m:rPr/>
              <m:t>0</m:t>
            </m:r>
          </m:sub>
        </m:sSub>
      </m:oMath>
      <w:r>
        <w:t xml:space="preserve"> </w:t>
      </w:r>
      <w:r>
        <w:t xml:space="preserve">is that these means are equal, i.e:</w:t>
      </w:r>
    </w:p>
    <w:p>
      <w:pPr>
        <w:pStyle w:val="BodyText"/>
      </w:pPr>
      <m:oMathPara>
        <m:oMathParaPr>
          <m:jc m:val="center"/>
        </m:oMathParaPr>
        <m:oMath>
          <m:sSub>
            <m:e>
              <m:r>
                <m:rPr/>
                <m:t>H</m:t>
              </m:r>
            </m:e>
            <m:sub>
              <m:r>
                <m:rPr/>
                <m:t>0</m:t>
              </m:r>
            </m:sub>
          </m:sSub>
          <m:r>
            <m:rPr/>
            <m:t>:</m:t>
          </m:r>
          <m:sSub>
            <m:e>
              <m:r>
                <m:rPr/>
                <m:t>μ</m:t>
              </m:r>
            </m:e>
            <m:sub>
              <m:r>
                <m:rPr/>
                <m:t>2</m:t>
              </m:r>
            </m:sub>
          </m:sSub>
          <m:r>
            <m:rPr/>
            <m:t>=</m:t>
          </m:r>
          <m:sSub>
            <m:e>
              <m:r>
                <m:rPr/>
                <m:t>μ</m:t>
              </m:r>
            </m:e>
            <m:sub>
              <m:r>
                <m:rPr/>
                <m:t>1</m:t>
              </m:r>
            </m:sub>
          </m:sSub>
        </m:oMath>
      </m:oMathPara>
    </w:p>
    <w:p>
      <w:pPr>
        <w:pStyle w:val="BodyText"/>
      </w:pPr>
      <m:oMathPara>
        <m:oMathParaPr>
          <m:jc m:val="center"/>
        </m:oMathParaPr>
        <m:oMath>
          <m:sSub>
            <m:e>
              <m:r>
                <m:rPr/>
                <m:t>H</m:t>
              </m:r>
            </m:e>
            <m:sub>
              <m:r>
                <m:rPr/>
                <m:t>a</m:t>
              </m:r>
            </m:sub>
          </m:sSub>
          <m:r>
            <m:rPr/>
            <m:t>:</m:t>
          </m:r>
          <m:sSub>
            <m:e>
              <m:r>
                <m:rPr/>
                <m:t>μ</m:t>
              </m:r>
            </m:e>
            <m:sub>
              <m:r>
                <m:rPr/>
                <m:t>2</m:t>
              </m:r>
            </m:sub>
          </m:sSub>
          <m:r>
            <m:rPr/>
            <m:t>&gt;</m:t>
          </m:r>
          <m:sSub>
            <m:e>
              <m:r>
                <m:rPr/>
                <m:t>μ</m:t>
              </m:r>
            </m:e>
            <m:sub>
              <m:r>
                <m:rPr/>
                <m:t>1</m:t>
              </m:r>
            </m:sub>
          </m:sSub>
        </m:oMath>
      </m:oMathPara>
    </w:p>
    <w:p>
      <w:pPr>
        <w:pStyle w:val="BodyText"/>
      </w:pPr>
      <w:r>
        <w:t xml:space="preserve">We want to find evidence of whether the alternative hypothesis</w:t>
      </w:r>
      <w:r>
        <w:t xml:space="preserve"> </w:t>
      </w:r>
      <m:oMath>
        <m:sSub>
          <m:e>
            <m:r>
              <m:rPr/>
              <m:t>H</m:t>
            </m:r>
          </m:e>
          <m:sub>
            <m:r>
              <m:rPr/>
              <m:t>a</m:t>
            </m:r>
          </m:sub>
        </m:sSub>
      </m:oMath>
      <w:r>
        <w:t xml:space="preserve"> </w:t>
      </w:r>
      <w:r>
        <w:t xml:space="preserve">may be true, that</w:t>
      </w:r>
      <w:r>
        <w:t xml:space="preserve"> </w:t>
      </w:r>
      <m:oMath>
        <m:sSub>
          <m:e>
            <m:r>
              <m:rPr/>
              <m:t>μ</m:t>
            </m:r>
          </m:e>
          <m:sub>
            <m:r>
              <m:rPr/>
              <m:t>2</m:t>
            </m:r>
          </m:sub>
        </m:sSub>
      </m:oMath>
      <w:r>
        <w:t xml:space="preserve"> </w:t>
      </w:r>
      <w:r>
        <w:t xml:space="preserve">is greater than</w:t>
      </w:r>
      <w:r>
        <w:t xml:space="preserve"> </w:t>
      </w:r>
      <m:oMath>
        <m:sSub>
          <m:e>
            <m:r>
              <m:rPr/>
              <m:t>μ</m:t>
            </m:r>
          </m:e>
          <m:sub>
            <m:r>
              <m:rPr/>
              <m:t>1</m:t>
            </m:r>
          </m:sub>
        </m:sSub>
      </m:oMath>
      <w:r>
        <w:t xml:space="preserve">.</w:t>
      </w:r>
    </w:p>
    <w:p>
      <w:pPr>
        <w:pStyle w:val="BodyText"/>
      </w:pPr>
      <w:r>
        <w:t xml:space="preserve">A one sided t-test was performed to test this (see appendix for details). The 20 measurements for the dose level 2 were tested against the 20 measurements for dose level one. The confidence level was 95% and the variance assumed to be the same across both populations.</w:t>
      </w:r>
    </w:p>
    <w:p>
      <w:pPr>
        <w:pStyle w:val="BodyText"/>
      </w:pPr>
      <w:r>
        <w:t xml:space="preserve">The p-value is calculated at 9.0541427× 10</w:t>
      </w:r>
      <w:r>
        <w:rPr>
          <w:vertAlign w:val="superscript"/>
        </w:rPr>
        <w:t xml:space="preserve">-6</w:t>
      </w:r>
      <w:r>
        <w:t xml:space="preserve">. This is very low, so we reject the null hypthosis and conclude the alternate hypothesis</w:t>
      </w:r>
      <w:r>
        <w:t xml:space="preserve"> </w:t>
      </w:r>
      <m:oMath>
        <m:sSub>
          <m:e>
            <m:r>
              <m:rPr/>
              <m:t>H</m:t>
            </m:r>
          </m:e>
          <m:sub>
            <m:r>
              <m:rPr/>
              <m:t>a</m:t>
            </m:r>
          </m:sub>
        </m:sSub>
      </m:oMath>
      <w:r>
        <w:t xml:space="preserve"> </w:t>
      </w:r>
      <w:r>
        <w:t xml:space="preserve">is true.</w:t>
      </w:r>
    </w:p>
    <w:p>
      <w:pPr>
        <w:pStyle w:val="Heading1"/>
      </w:pPr>
      <w:bookmarkStart w:id="26" w:name="conclusion"/>
      <w:bookmarkEnd w:id="26"/>
      <w:r>
        <w:t xml:space="preserve">Conclusion</w:t>
      </w:r>
    </w:p>
    <w:p>
      <w:pPr>
        <w:pStyle w:val="FirstParagraph"/>
      </w:pPr>
      <w:r>
        <w:t xml:space="preserve">The analysis of the data and the hypothesis testing leads us to the following conclusions:</w:t>
      </w:r>
    </w:p>
    <w:p>
      <w:pPr>
        <w:pStyle w:val="Compact"/>
        <w:numPr>
          <w:numId w:val="1001"/>
          <w:ilvl w:val="0"/>
        </w:numPr>
      </w:pPr>
      <w:r>
        <w:t xml:space="preserve">It is not possible to determine whether the delivery method of orange juice or ascorbic acid produces a higher mean cell length.</w:t>
      </w:r>
    </w:p>
    <w:p>
      <w:pPr>
        <w:pStyle w:val="Compact"/>
        <w:numPr>
          <w:numId w:val="1001"/>
          <w:ilvl w:val="0"/>
        </w:numPr>
      </w:pPr>
      <w:r>
        <w:t xml:space="preserve">The doseage levels however do produce a significant difference and enables us to say that higher doses will lead to a higher mean cell length.</w:t>
      </w:r>
    </w:p>
    <w:p>
      <w:pPr>
        <w:pStyle w:val="FirstParagraph"/>
      </w:pPr>
    </w:p>
    <w:p>
      <w:pPr>
        <w:pStyle w:val="Heading1"/>
      </w:pPr>
      <w:bookmarkStart w:id="27" w:name="appendix"/>
      <w:bookmarkEnd w:id="27"/>
      <w:r>
        <w:t xml:space="preserve">Appendix</w:t>
      </w:r>
    </w:p>
    <w:p>
      <w:pPr>
        <w:pStyle w:val="FirstParagraph"/>
      </w:pPr>
      <w:r>
        <w:t xml:space="preserve">This is the code used to generate the summary table:</w:t>
      </w:r>
    </w:p>
    <w:p>
      <w:pPr>
        <w:pStyle w:val="SourceCode"/>
      </w:pPr>
      <w:r>
        <w:rPr>
          <w:rStyle w:val="KeywordTok"/>
        </w:rPr>
        <w:t xml:space="preserve">data</w:t>
      </w:r>
      <w:r>
        <w:rPr>
          <w:rStyle w:val="NormalTok"/>
        </w:rPr>
        <w:t xml:space="preserve">(ToothGrowth)</w:t>
      </w:r>
      <w:r>
        <w:br w:type="textWrapping"/>
      </w:r>
      <w:r>
        <w:rPr>
          <w:rStyle w:val="CommentTok"/>
        </w:rPr>
        <w:t xml:space="preserve">#extract measurements for each of the supplement types and dosage levels</w:t>
      </w:r>
      <w:r>
        <w:br w:type="textWrapping"/>
      </w:r>
      <w:r>
        <w:rPr>
          <w:rStyle w:val="NormalTok"/>
        </w:rPr>
        <w:t xml:space="preserve">vc&lt;-ToothGrowth[ToothGrowth$supp==</w:t>
      </w:r>
      <w:r>
        <w:rPr>
          <w:rStyle w:val="StringTok"/>
        </w:rPr>
        <w:t xml:space="preserve">"VC"</w:t>
      </w:r>
      <w:r>
        <w:rPr>
          <w:rStyle w:val="NormalTok"/>
        </w:rPr>
        <w:t xml:space="preserve">,]$len</w:t>
      </w:r>
      <w:r>
        <w:br w:type="textWrapping"/>
      </w:r>
      <w:r>
        <w:rPr>
          <w:rStyle w:val="NormalTok"/>
        </w:rPr>
        <w:t xml:space="preserve">oj&lt;-ToothGrowth[ToothGrowth$supp==</w:t>
      </w:r>
      <w:r>
        <w:rPr>
          <w:rStyle w:val="StringTok"/>
        </w:rPr>
        <w:t xml:space="preserve">"OJ"</w:t>
      </w:r>
      <w:r>
        <w:rPr>
          <w:rStyle w:val="NormalTok"/>
        </w:rPr>
        <w:t xml:space="preserve">,]$len</w:t>
      </w:r>
      <w:r>
        <w:br w:type="textWrapping"/>
      </w:r>
      <w:r>
        <w:rPr>
          <w:rStyle w:val="NormalTok"/>
        </w:rPr>
        <w:t xml:space="preserve">d_05&lt;-ToothGrowth[ToothGrowth$dose==</w:t>
      </w:r>
      <w:r>
        <w:rPr>
          <w:rStyle w:val="FloatTok"/>
        </w:rPr>
        <w:t xml:space="preserve">0.5</w:t>
      </w:r>
      <w:r>
        <w:rPr>
          <w:rStyle w:val="NormalTok"/>
        </w:rPr>
        <w:t xml:space="preserve">,]$len</w:t>
      </w:r>
      <w:r>
        <w:br w:type="textWrapping"/>
      </w:r>
      <w:r>
        <w:rPr>
          <w:rStyle w:val="NormalTok"/>
        </w:rPr>
        <w:t xml:space="preserve">d_1&lt;-ToothGrowth[ToothGrowth$dose==</w:t>
      </w:r>
      <w:r>
        <w:rPr>
          <w:rStyle w:val="DecValTok"/>
        </w:rPr>
        <w:t xml:space="preserve">1</w:t>
      </w:r>
      <w:r>
        <w:rPr>
          <w:rStyle w:val="NormalTok"/>
        </w:rPr>
        <w:t xml:space="preserve">,]$len</w:t>
      </w:r>
      <w:r>
        <w:br w:type="textWrapping"/>
      </w:r>
      <w:r>
        <w:rPr>
          <w:rStyle w:val="NormalTok"/>
        </w:rPr>
        <w:t xml:space="preserve">d_2&lt;-ToothGrowth[ToothGrowth$dose==</w:t>
      </w:r>
      <w:r>
        <w:rPr>
          <w:rStyle w:val="DecValTok"/>
        </w:rPr>
        <w:t xml:space="preserve">2</w:t>
      </w:r>
      <w:r>
        <w:rPr>
          <w:rStyle w:val="NormalTok"/>
        </w:rPr>
        <w:t xml:space="preserve">,]$len</w:t>
      </w:r>
      <w:r>
        <w:br w:type="textWrapping"/>
      </w:r>
      <w:r>
        <w:br w:type="textWrapping"/>
      </w:r>
      <w:r>
        <w:rPr>
          <w:rStyle w:val="CommentTok"/>
        </w:rPr>
        <w:t xml:space="preserve"># Calculate aggregrated statistics on supp and dose (number of obs, mean and sd)</w:t>
      </w:r>
      <w:r>
        <w:br w:type="textWrapping"/>
      </w:r>
      <w:r>
        <w:rPr>
          <w:rStyle w:val="NormalTok"/>
        </w:rPr>
        <w:t xml:space="preserve">ag&lt;-</w:t>
      </w:r>
      <w:r>
        <w:rPr>
          <w:rStyle w:val="KeywordTok"/>
        </w:rPr>
        <w:t xml:space="preserve">aggregate</w:t>
      </w:r>
      <w:r>
        <w:rPr>
          <w:rStyle w:val="NormalTok"/>
        </w:rPr>
        <w:t xml:space="preserve">(len~supp+dose, ToothGrowth,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function(x) </w:t>
      </w:r>
      <w:r>
        <w:rPr>
          <w:rStyle w:val="KeywordTok"/>
        </w:rPr>
        <w:t xml:space="preserve">c</w:t>
      </w:r>
      <w:r>
        <w:rPr>
          <w:rStyle w:val="NormalTok"/>
        </w:rPr>
        <w:t xml:space="preserve">(</w:t>
      </w:r>
      <w:r>
        <w:rPr>
          <w:rStyle w:val="DataTypeTok"/>
        </w:rPr>
        <w:t xml:space="preserve">n=</w:t>
      </w:r>
      <w:r>
        <w:rPr>
          <w:rStyle w:val="KeywordTok"/>
        </w:rPr>
        <w:t xml:space="preserve">as.integer</w:t>
      </w:r>
      <w:r>
        <w:rPr>
          <w:rStyle w:val="NormalTok"/>
        </w:rPr>
        <w:t xml:space="preserve">(</w:t>
      </w:r>
      <w:r>
        <w:rPr>
          <w:rStyle w:val="KeywordTok"/>
        </w:rPr>
        <w:t xml:space="preserve">length</w:t>
      </w:r>
      <w:r>
        <w:rPr>
          <w:rStyle w:val="NormalTok"/>
        </w:rPr>
        <w:t xml:space="preserv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mn=</w:t>
      </w:r>
      <w:r>
        <w:rPr>
          <w:rStyle w:val="KeywordTok"/>
        </w:rPr>
        <w:t xml:space="preserve">round</w:t>
      </w:r>
      <w:r>
        <w:rPr>
          <w:rStyle w:val="NormalTok"/>
        </w:rPr>
        <w:t xml:space="preserve">(</w:t>
      </w:r>
      <w:r>
        <w:rPr>
          <w:rStyle w:val="KeywordTok"/>
        </w:rPr>
        <w:t xml:space="preserve">mean</w:t>
      </w:r>
      <w:r>
        <w:rPr>
          <w:rStyle w:val="NormalTok"/>
        </w:rPr>
        <w:t xml:space="preserve">(x),</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w:t>
      </w:r>
      <w:r>
        <w:rPr>
          <w:rStyle w:val="KeywordTok"/>
        </w:rPr>
        <w:t xml:space="preserve">round</w:t>
      </w:r>
      <w:r>
        <w:rPr>
          <w:rStyle w:val="NormalTok"/>
        </w:rPr>
        <w:t xml:space="preserve">(</w:t>
      </w:r>
      <w:r>
        <w:rPr>
          <w:rStyle w:val="KeywordTok"/>
        </w:rPr>
        <w:t xml:space="preserve">sd</w:t>
      </w:r>
      <w:r>
        <w:rPr>
          <w:rStyle w:val="NormalTok"/>
        </w:rPr>
        <w:t xml:space="preserve">(x),</w:t>
      </w:r>
      <w:r>
        <w:rPr>
          <w:rStyle w:val="DecValTok"/>
        </w:rPr>
        <w:t xml:space="preserve">2</w:t>
      </w:r>
      <w:r>
        <w:rPr>
          <w:rStyle w:val="NormalTok"/>
        </w:rPr>
        <w:t xml:space="preserve">)))</w:t>
      </w:r>
      <w:r>
        <w:br w:type="textWrapping"/>
      </w:r>
      <w:r>
        <w:br w:type="textWrapping"/>
      </w:r>
      <w:r>
        <w:rPr>
          <w:rStyle w:val="CommentTok"/>
        </w:rPr>
        <w:t xml:space="preserve"># force the aggregrated output into a printable dataframe and re-order</w:t>
      </w:r>
      <w:r>
        <w:br w:type="textWrapping"/>
      </w:r>
      <w:r>
        <w:rPr>
          <w:rStyle w:val="NormalTok"/>
        </w:rPr>
        <w:t xml:space="preserve">ag &lt;-</w:t>
      </w:r>
      <w:r>
        <w:rPr>
          <w:rStyle w:val="StringTok"/>
        </w:rPr>
        <w:t xml:space="preserve"> </w:t>
      </w:r>
      <w:r>
        <w:rPr>
          <w:rStyle w:val="KeywordTok"/>
        </w:rPr>
        <w:t xml:space="preserve">cbind</w:t>
      </w:r>
      <w:r>
        <w:rPr>
          <w:rStyle w:val="NormalTok"/>
        </w:rPr>
        <w:t xml:space="preserve">(ag[,</w:t>
      </w:r>
      <w:r>
        <w:rPr>
          <w:rStyle w:val="DecValTok"/>
        </w:rPr>
        <w:t xml:space="preserve">1</w:t>
      </w:r>
      <w:r>
        <w:rPr>
          <w:rStyle w:val="NormalTok"/>
        </w:rPr>
        <w:t xml:space="preserve">:</w:t>
      </w:r>
      <w:r>
        <w:rPr>
          <w:rStyle w:val="DecValTok"/>
        </w:rPr>
        <w:t xml:space="preserve">2</w:t>
      </w:r>
      <w:r>
        <w:rPr>
          <w:rStyle w:val="NormalTok"/>
        </w:rPr>
        <w:t xml:space="preserve">], </w:t>
      </w:r>
      <w:r>
        <w:rPr>
          <w:rStyle w:val="KeywordTok"/>
        </w:rPr>
        <w:t xml:space="preserve">as.data.frame</w:t>
      </w:r>
      <w:r>
        <w:rPr>
          <w:rStyle w:val="NormalTok"/>
        </w:rPr>
        <w:t xml:space="preserve">(</w:t>
      </w:r>
      <w:r>
        <w:rPr>
          <w:rStyle w:val="KeywordTok"/>
        </w:rPr>
        <w:t xml:space="preserve">unlist</w:t>
      </w:r>
      <w:r>
        <w:rPr>
          <w:rStyle w:val="NormalTok"/>
        </w:rPr>
        <w:t xml:space="preserve">(ag$len)))</w:t>
      </w:r>
      <w:r>
        <w:br w:type="textWrapping"/>
      </w:r>
      <w:r>
        <w:rPr>
          <w:rStyle w:val="NormalTok"/>
        </w:rPr>
        <w:t xml:space="preserve">ag &lt;-</w:t>
      </w:r>
      <w:r>
        <w:rPr>
          <w:rStyle w:val="StringTok"/>
        </w:rPr>
        <w:t xml:space="preserve"> </w:t>
      </w:r>
      <w:r>
        <w:rPr>
          <w:rStyle w:val="NormalTok"/>
        </w:rPr>
        <w:t xml:space="preserve">ag[</w:t>
      </w:r>
      <w:r>
        <w:rPr>
          <w:rStyle w:val="KeywordTok"/>
        </w:rPr>
        <w:t xml:space="preserve">with</w:t>
      </w:r>
      <w:r>
        <w:rPr>
          <w:rStyle w:val="NormalTok"/>
        </w:rPr>
        <w:t xml:space="preserve">(ag, </w:t>
      </w:r>
      <w:r>
        <w:rPr>
          <w:rStyle w:val="KeywordTok"/>
        </w:rPr>
        <w:t xml:space="preserve">order</w:t>
      </w:r>
      <w:r>
        <w:rPr>
          <w:rStyle w:val="NormalTok"/>
        </w:rPr>
        <w:t xml:space="preserve">(supp, dose)),]</w:t>
      </w:r>
      <w:r>
        <w:br w:type="textWrapping"/>
      </w:r>
      <w:r>
        <w:br w:type="textWrapping"/>
      </w:r>
      <w:r>
        <w:rPr>
          <w:rStyle w:val="KeywordTok"/>
        </w:rPr>
        <w:t xml:space="preserve">kable</w:t>
      </w:r>
      <w:r>
        <w:rPr>
          <w:rStyle w:val="NormalTok"/>
        </w:rPr>
        <w:t xml:space="preserve">(ag,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"Supplement"</w:t>
      </w:r>
      <w:r>
        <w:rPr>
          <w:rStyle w:val="NormalTok"/>
        </w:rPr>
        <w:t xml:space="preserve">, </w:t>
      </w:r>
      <w:r>
        <w:rPr>
          <w:rStyle w:val="StringTok"/>
        </w:rPr>
        <w:t xml:space="preserve">"Dose"</w:t>
      </w:r>
      <w:r>
        <w:rPr>
          <w:rStyle w:val="NormalTok"/>
        </w:rPr>
        <w:t xml:space="preserve">, </w:t>
      </w:r>
      <w:r>
        <w:rPr>
          <w:rStyle w:val="StringTok"/>
        </w:rPr>
        <w:t xml:space="preserve">"Num obs"</w:t>
      </w:r>
      <w:r>
        <w:rPr>
          <w:rStyle w:val="NormalTok"/>
        </w:rPr>
        <w:t xml:space="preserve">, </w:t>
      </w:r>
      <w:r>
        <w:rPr>
          <w:rStyle w:val="StringTok"/>
        </w:rPr>
        <w:t xml:space="preserve">"Mean"</w:t>
      </w:r>
      <w:r>
        <w:rPr>
          <w:rStyle w:val="NormalTok"/>
        </w:rPr>
        <w:t xml:space="preserve">, </w:t>
      </w:r>
      <w:r>
        <w:rPr>
          <w:rStyle w:val="StringTok"/>
        </w:rPr>
        <w:t xml:space="preserve">"Std dev"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align=</w:t>
      </w:r>
      <w:r>
        <w:rPr>
          <w:rStyle w:val="KeywordTok"/>
        </w:rPr>
        <w:t xml:space="preserve">c</w:t>
      </w:r>
      <w:r>
        <w:rPr>
          <w:rStyle w:val="NormalTok"/>
        </w:rPr>
        <w:t xml:space="preserve">(</w:t>
      </w:r>
      <w:r>
        <w:rPr>
          <w:rStyle w:val="StringTok"/>
        </w:rPr>
        <w:t xml:space="preserve">"c"</w:t>
      </w:r>
      <w:r>
        <w:rPr>
          <w:rStyle w:val="NormalTok"/>
        </w:rPr>
        <w:t xml:space="preserve">, </w:t>
      </w:r>
      <w:r>
        <w:rPr>
          <w:rStyle w:val="StringTok"/>
        </w:rPr>
        <w:t xml:space="preserve">"c"</w:t>
      </w:r>
      <w:r>
        <w:rPr>
          <w:rStyle w:val="NormalTok"/>
        </w:rPr>
        <w:t xml:space="preserve">, </w:t>
      </w:r>
      <w:r>
        <w:rPr>
          <w:rStyle w:val="StringTok"/>
        </w:rPr>
        <w:t xml:space="preserve">"c"</w:t>
      </w:r>
      <w:r>
        <w:rPr>
          <w:rStyle w:val="NormalTok"/>
        </w:rPr>
        <w:t xml:space="preserve">, </w:t>
      </w:r>
      <w:r>
        <w:rPr>
          <w:rStyle w:val="StringTok"/>
        </w:rPr>
        <w:t xml:space="preserve">"c"</w:t>
      </w:r>
      <w:r>
        <w:rPr>
          <w:rStyle w:val="NormalTok"/>
        </w:rPr>
        <w:t xml:space="preserve">, </w:t>
      </w:r>
      <w:r>
        <w:rPr>
          <w:rStyle w:val="String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 =</w:t>
      </w:r>
      <w:r>
        <w:rPr>
          <w:rStyle w:val="NormalTok"/>
        </w:rPr>
        <w:t xml:space="preserve"> </w:t>
      </w:r>
      <w:r>
        <w:rPr>
          <w:rStyle w:val="StringTok"/>
        </w:rPr>
        <w:t xml:space="preserve">"Summary of cell length by supplement and dosage"</w:t>
      </w:r>
      <w:r>
        <w:rPr>
          <w:rStyle w:val="NormalTok"/>
        </w:rPr>
        <w:t xml:space="preserve">)</w:t>
      </w:r>
    </w:p>
    <w:p>
      <w:pPr>
        <w:pStyle w:val="FirstParagraph"/>
      </w:pPr>
      <w:r>
        <w:t xml:space="preserve">The T test ran to compare the hypothesis for whether the delivery method influences the mean:</w:t>
      </w:r>
    </w:p>
    <w:p>
      <w:pPr>
        <w:pStyle w:val="SourceCode"/>
      </w:pPr>
      <w:r>
        <w:rPr>
          <w:rStyle w:val="NormalTok"/>
        </w:rPr>
        <w:t xml:space="preserve">pv &lt;-</w:t>
      </w:r>
      <w:r>
        <w:rPr>
          <w:rStyle w:val="StringTok"/>
        </w:rPr>
        <w:t xml:space="preserve"> </w:t>
      </w:r>
      <w:r>
        <w:rPr>
          <w:rStyle w:val="KeywordTok"/>
        </w:rPr>
        <w:t xml:space="preserve">t.test</w:t>
      </w:r>
      <w:r>
        <w:rPr>
          <w:rStyle w:val="NormalTok"/>
        </w:rPr>
        <w:t xml:space="preserve">(oj, vc, </w:t>
      </w:r>
      <w:r>
        <w:rPr>
          <w:rStyle w:val="DataTypeTok"/>
        </w:rPr>
        <w:t xml:space="preserve">paired=</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FirstParagraph"/>
      </w:pPr>
      <w:r>
        <w:t xml:space="preserve">The T test ran to compare dose of 1.0 to 2.0:</w:t>
      </w:r>
    </w:p>
    <w:p>
      <w:pPr>
        <w:pStyle w:val="SourceCode"/>
      </w:pPr>
      <w:r>
        <w:rPr>
          <w:rStyle w:val="NormalTok"/>
        </w:rPr>
        <w:t xml:space="preserve">pv &lt;-</w:t>
      </w:r>
      <w:r>
        <w:rPr>
          <w:rStyle w:val="StringTok"/>
        </w:rPr>
        <w:t xml:space="preserve"> </w:t>
      </w:r>
      <w:r>
        <w:rPr>
          <w:rStyle w:val="KeywordTok"/>
        </w:rPr>
        <w:t xml:space="preserve">t.test</w:t>
      </w:r>
      <w:r>
        <w:rPr>
          <w:rStyle w:val="NormalTok"/>
        </w:rPr>
        <w:t xml:space="preserve">(d_2, d_1, </w:t>
      </w:r>
      <w:r>
        <w:rPr>
          <w:rStyle w:val="DataTypeTok"/>
        </w:rPr>
        <w:t xml:space="preserve">paired=</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d3ac6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20ec48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Effect of Vitamin C on Tooth Growth in Guinea Pigs</dc:title>
  <dc:creator>Chris Shaw</dc:creator>
  <dcterms:created xsi:type="dcterms:W3CDTF">2016-04-23</dcterms:created>
  <dcterms:modified xsi:type="dcterms:W3CDTF">2016-04-23</dcterms:modified>
</cp:coreProperties>
</file>