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7052A" w14:textId="2B99BB14" w:rsidR="00B6799F" w:rsidRDefault="00B6799F" w:rsidP="003B4818">
      <w:pPr>
        <w:numPr>
          <w:ilvl w:val="0"/>
          <w:numId w:val="0"/>
        </w:numPr>
        <w:ind w:left="720"/>
        <w:rPr>
          <w:lang w:eastAsia="en-GB"/>
        </w:rPr>
      </w:pPr>
    </w:p>
    <w:p w14:paraId="618DF199" w14:textId="38C4A314" w:rsidR="00F4091C" w:rsidRDefault="00E71C26" w:rsidP="003B4818">
      <w:pPr>
        <w:numPr>
          <w:ilvl w:val="0"/>
          <w:numId w:val="0"/>
        </w:numPr>
        <w:ind w:left="720"/>
        <w:rPr>
          <w:lang w:eastAsia="en-GB"/>
        </w:rPr>
      </w:pPr>
      <w:bookmarkStart w:id="0" w:name="_GoBack"/>
      <w:bookmarkEnd w:id="0"/>
      <w:r w:rsidRPr="00E71C26">
        <w:rPr>
          <w:noProof/>
          <w:lang w:eastAsia="en-GB"/>
        </w:rPr>
        <w:drawing>
          <wp:anchor distT="0" distB="0" distL="114300" distR="114300" simplePos="0" relativeHeight="251659264" behindDoc="0" locked="0" layoutInCell="1" allowOverlap="1" wp14:anchorId="51AA34C9" wp14:editId="57EB791C">
            <wp:simplePos x="0" y="0"/>
            <wp:positionH relativeFrom="column">
              <wp:posOffset>2509520</wp:posOffset>
            </wp:positionH>
            <wp:positionV relativeFrom="paragraph">
              <wp:posOffset>154940</wp:posOffset>
            </wp:positionV>
            <wp:extent cx="1381125" cy="2102485"/>
            <wp:effectExtent l="0" t="0" r="9525" b="0"/>
            <wp:wrapSquare wrapText="bothSides"/>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81125" cy="2102485"/>
                    </a:xfrm>
                    <a:prstGeom prst="rect">
                      <a:avLst/>
                    </a:prstGeom>
                    <a:ln w="12700">
                      <a:miter lim="400000"/>
                    </a:ln>
                  </pic:spPr>
                </pic:pic>
              </a:graphicData>
            </a:graphic>
            <wp14:sizeRelH relativeFrom="margin">
              <wp14:pctWidth>0</wp14:pctWidth>
            </wp14:sizeRelH>
            <wp14:sizeRelV relativeFrom="margin">
              <wp14:pctHeight>0</wp14:pctHeight>
            </wp14:sizeRelV>
          </wp:anchor>
        </w:drawing>
      </w:r>
    </w:p>
    <w:p w14:paraId="1D7A7684" w14:textId="6ACC401E" w:rsidR="00F4091C" w:rsidRDefault="00F4091C" w:rsidP="003B4818">
      <w:pPr>
        <w:numPr>
          <w:ilvl w:val="0"/>
          <w:numId w:val="0"/>
        </w:numPr>
        <w:ind w:left="720"/>
        <w:rPr>
          <w:lang w:eastAsia="en-GB"/>
        </w:rPr>
      </w:pPr>
    </w:p>
    <w:p w14:paraId="7E216A0F" w14:textId="44140CEA" w:rsidR="00F4091C" w:rsidRDefault="00F4091C" w:rsidP="003B4818">
      <w:pPr>
        <w:numPr>
          <w:ilvl w:val="0"/>
          <w:numId w:val="0"/>
        </w:numPr>
        <w:ind w:left="720"/>
        <w:rPr>
          <w:lang w:eastAsia="en-GB"/>
        </w:rPr>
      </w:pPr>
    </w:p>
    <w:p w14:paraId="62EEC5EC" w14:textId="77777777" w:rsidR="00F4091C" w:rsidRDefault="00F4091C" w:rsidP="003B4818">
      <w:pPr>
        <w:numPr>
          <w:ilvl w:val="0"/>
          <w:numId w:val="0"/>
        </w:numPr>
        <w:ind w:left="720"/>
        <w:rPr>
          <w:lang w:eastAsia="en-GB"/>
        </w:rPr>
      </w:pPr>
    </w:p>
    <w:p w14:paraId="7D2BCDF7" w14:textId="77777777" w:rsidR="00F4091C" w:rsidRDefault="00F4091C" w:rsidP="003B4818">
      <w:pPr>
        <w:numPr>
          <w:ilvl w:val="0"/>
          <w:numId w:val="0"/>
        </w:numPr>
        <w:ind w:left="720"/>
        <w:rPr>
          <w:lang w:eastAsia="en-GB"/>
        </w:rPr>
      </w:pPr>
    </w:p>
    <w:p w14:paraId="148977C4" w14:textId="77777777" w:rsidR="00F4091C" w:rsidRDefault="00F4091C" w:rsidP="003B4818">
      <w:pPr>
        <w:numPr>
          <w:ilvl w:val="0"/>
          <w:numId w:val="0"/>
        </w:numPr>
        <w:ind w:left="720"/>
        <w:rPr>
          <w:lang w:eastAsia="en-GB"/>
        </w:rPr>
      </w:pPr>
    </w:p>
    <w:p w14:paraId="78C45791" w14:textId="77777777" w:rsidR="00F4091C" w:rsidRDefault="00F4091C" w:rsidP="003B4818">
      <w:pPr>
        <w:numPr>
          <w:ilvl w:val="0"/>
          <w:numId w:val="0"/>
        </w:numPr>
        <w:ind w:left="720"/>
        <w:rPr>
          <w:lang w:eastAsia="en-GB"/>
        </w:rPr>
      </w:pPr>
    </w:p>
    <w:p w14:paraId="1F604CD0" w14:textId="77777777" w:rsidR="00F4091C" w:rsidRDefault="00F4091C" w:rsidP="003B4818">
      <w:pPr>
        <w:numPr>
          <w:ilvl w:val="0"/>
          <w:numId w:val="0"/>
        </w:numPr>
        <w:ind w:left="720"/>
        <w:rPr>
          <w:lang w:eastAsia="en-GB"/>
        </w:rPr>
      </w:pPr>
    </w:p>
    <w:p w14:paraId="4C6F9A35" w14:textId="77777777" w:rsidR="00F4091C" w:rsidRDefault="00F4091C" w:rsidP="003B4818">
      <w:pPr>
        <w:numPr>
          <w:ilvl w:val="0"/>
          <w:numId w:val="0"/>
        </w:numPr>
        <w:ind w:left="720"/>
        <w:rPr>
          <w:lang w:eastAsia="en-GB"/>
        </w:rPr>
      </w:pPr>
    </w:p>
    <w:p w14:paraId="707BCA81" w14:textId="77777777" w:rsidR="00F4091C" w:rsidRDefault="00F4091C" w:rsidP="003B4818">
      <w:pPr>
        <w:numPr>
          <w:ilvl w:val="0"/>
          <w:numId w:val="0"/>
        </w:numPr>
        <w:ind w:left="720"/>
        <w:rPr>
          <w:lang w:eastAsia="en-GB"/>
        </w:rPr>
      </w:pPr>
    </w:p>
    <w:p w14:paraId="58149C3D" w14:textId="77777777" w:rsidR="00F4091C" w:rsidRDefault="00F4091C" w:rsidP="003B4818">
      <w:pPr>
        <w:numPr>
          <w:ilvl w:val="0"/>
          <w:numId w:val="0"/>
        </w:numPr>
        <w:ind w:left="720"/>
        <w:rPr>
          <w:lang w:eastAsia="en-GB"/>
        </w:rPr>
      </w:pPr>
    </w:p>
    <w:p w14:paraId="29BAC739" w14:textId="4573D150" w:rsidR="00F4091C" w:rsidRDefault="00E71C26" w:rsidP="00F4091C">
      <w:pPr>
        <w:pStyle w:val="Title"/>
        <w:numPr>
          <w:ilvl w:val="0"/>
          <w:numId w:val="0"/>
        </w:numPr>
        <w:rPr>
          <w:lang w:eastAsia="en-GB"/>
        </w:rPr>
      </w:pPr>
      <w:r>
        <w:rPr>
          <w:lang w:eastAsia="en-GB"/>
        </w:rPr>
        <w:t>C</w:t>
      </w:r>
      <w:r w:rsidR="00F4091C">
        <w:rPr>
          <w:lang w:eastAsia="en-GB"/>
        </w:rPr>
        <w:t>O</w:t>
      </w:r>
      <w:r>
        <w:rPr>
          <w:lang w:eastAsia="en-GB"/>
        </w:rPr>
        <w:t xml:space="preserve">NNECTED </w:t>
      </w:r>
      <w:r w:rsidR="00F4091C">
        <w:rPr>
          <w:lang w:eastAsia="en-GB"/>
        </w:rPr>
        <w:t xml:space="preserve">HEALTH </w:t>
      </w:r>
      <w:r>
        <w:rPr>
          <w:lang w:eastAsia="en-GB"/>
        </w:rPr>
        <w:t>CITIES</w:t>
      </w:r>
      <w:r w:rsidR="00F4091C">
        <w:rPr>
          <w:lang w:eastAsia="en-GB"/>
        </w:rPr>
        <w:t>:</w:t>
      </w:r>
    </w:p>
    <w:p w14:paraId="7D79A13B" w14:textId="77777777" w:rsidR="00F4091C" w:rsidRDefault="00F4091C" w:rsidP="00F4091C">
      <w:pPr>
        <w:pStyle w:val="Title"/>
        <w:numPr>
          <w:ilvl w:val="0"/>
          <w:numId w:val="0"/>
        </w:numPr>
        <w:rPr>
          <w:lang w:eastAsia="en-GB"/>
        </w:rPr>
      </w:pPr>
    </w:p>
    <w:p w14:paraId="3E2B583C" w14:textId="7397EAD5" w:rsidR="00F4091C" w:rsidRPr="00B6799F" w:rsidRDefault="00F4091C" w:rsidP="00F4091C">
      <w:pPr>
        <w:pStyle w:val="Title"/>
        <w:numPr>
          <w:ilvl w:val="0"/>
          <w:numId w:val="0"/>
        </w:numPr>
        <w:rPr>
          <w:lang w:eastAsia="en-GB"/>
        </w:rPr>
      </w:pPr>
      <w:r>
        <w:rPr>
          <w:lang w:eastAsia="en-GB"/>
        </w:rPr>
        <w:t>DATA SHARING</w:t>
      </w:r>
      <w:r w:rsidR="005461A0">
        <w:rPr>
          <w:lang w:eastAsia="en-GB"/>
        </w:rPr>
        <w:t xml:space="preserve"> </w:t>
      </w:r>
      <w:r w:rsidR="005F79B4">
        <w:rPr>
          <w:lang w:eastAsia="en-GB"/>
        </w:rPr>
        <w:t>CONTRACT</w:t>
      </w:r>
    </w:p>
    <w:p w14:paraId="1FE4BCC2" w14:textId="77777777" w:rsidR="00F4091C" w:rsidRDefault="00F4091C">
      <w:pPr>
        <w:numPr>
          <w:ilvl w:val="0"/>
          <w:numId w:val="0"/>
        </w:numPr>
        <w:rPr>
          <w:rFonts w:asciiTheme="majorHAnsi" w:eastAsiaTheme="majorEastAsia" w:hAnsiTheme="majorHAnsi" w:cstheme="majorBidi"/>
          <w:b/>
          <w:bCs/>
          <w:color w:val="2E74B5" w:themeColor="accent1" w:themeShade="BF"/>
          <w:sz w:val="28"/>
          <w:szCs w:val="28"/>
          <w:lang w:eastAsia="en-GB"/>
        </w:rPr>
      </w:pPr>
      <w:r>
        <w:br w:type="page"/>
      </w:r>
    </w:p>
    <w:p w14:paraId="647ECF9D" w14:textId="77777777" w:rsidR="00E1070F" w:rsidRPr="00792C12" w:rsidRDefault="00E1070F" w:rsidP="00E1070F">
      <w:pPr>
        <w:pStyle w:val="unnumberedheadings"/>
      </w:pPr>
      <w:r w:rsidRPr="00792C12">
        <w:lastRenderedPageBreak/>
        <w:t>Document Management</w:t>
      </w:r>
    </w:p>
    <w:p w14:paraId="6FEFB73D" w14:textId="77777777" w:rsidR="00E1070F" w:rsidRPr="0032477B" w:rsidRDefault="00E1070F" w:rsidP="00E1070F">
      <w:pPr>
        <w:pStyle w:val="unnumberedheadings"/>
      </w:pPr>
      <w:bookmarkStart w:id="1" w:name="_Toc350847280"/>
      <w:bookmarkStart w:id="2" w:name="_Toc350847324"/>
      <w:r w:rsidRPr="0032477B">
        <w:t>Revision History</w:t>
      </w:r>
      <w:bookmarkEnd w:id="1"/>
      <w:bookmarkEnd w:id="2"/>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112"/>
        <w:gridCol w:w="1348"/>
        <w:gridCol w:w="6566"/>
      </w:tblGrid>
      <w:tr w:rsidR="00E1070F" w:rsidRPr="00B476EC" w14:paraId="68851285" w14:textId="77777777" w:rsidTr="00772DD0">
        <w:trPr>
          <w:trHeight w:val="397"/>
        </w:trPr>
        <w:tc>
          <w:tcPr>
            <w:tcW w:w="616" w:type="pct"/>
            <w:tcBorders>
              <w:top w:val="single" w:sz="2" w:space="0" w:color="000000"/>
              <w:bottom w:val="single" w:sz="2" w:space="0" w:color="000000"/>
              <w:right w:val="nil"/>
            </w:tcBorders>
          </w:tcPr>
          <w:p w14:paraId="5A558D01" w14:textId="77777777" w:rsidR="00E1070F" w:rsidRPr="00B476EC" w:rsidRDefault="00E1070F" w:rsidP="00772DD0">
            <w:pPr>
              <w:pStyle w:val="TableHeader"/>
              <w:rPr>
                <w:lang w:val="en-GB"/>
              </w:rPr>
            </w:pPr>
            <w:r w:rsidRPr="00B476EC">
              <w:rPr>
                <w:lang w:val="en-GB"/>
              </w:rPr>
              <w:t>Version</w:t>
            </w:r>
          </w:p>
        </w:tc>
        <w:tc>
          <w:tcPr>
            <w:tcW w:w="747" w:type="pct"/>
            <w:tcBorders>
              <w:top w:val="single" w:sz="2" w:space="0" w:color="000000"/>
              <w:left w:val="nil"/>
              <w:bottom w:val="single" w:sz="2" w:space="0" w:color="000000"/>
              <w:right w:val="nil"/>
            </w:tcBorders>
            <w:shd w:val="clear" w:color="auto" w:fill="auto"/>
          </w:tcPr>
          <w:p w14:paraId="1F0F444B" w14:textId="77777777" w:rsidR="00E1070F" w:rsidRPr="00B476EC" w:rsidRDefault="00E1070F" w:rsidP="00772DD0">
            <w:pPr>
              <w:pStyle w:val="TableHeader"/>
              <w:rPr>
                <w:lang w:val="en-GB"/>
              </w:rPr>
            </w:pPr>
            <w:r w:rsidRPr="00B476EC">
              <w:rPr>
                <w:lang w:val="en-GB"/>
              </w:rPr>
              <w:t>Date</w:t>
            </w:r>
          </w:p>
        </w:tc>
        <w:tc>
          <w:tcPr>
            <w:tcW w:w="3637" w:type="pct"/>
            <w:tcBorders>
              <w:top w:val="single" w:sz="2" w:space="0" w:color="000000"/>
              <w:left w:val="nil"/>
              <w:bottom w:val="single" w:sz="2" w:space="0" w:color="000000"/>
            </w:tcBorders>
          </w:tcPr>
          <w:p w14:paraId="27BBBE6D" w14:textId="77777777" w:rsidR="00E1070F" w:rsidRPr="00B476EC" w:rsidRDefault="00E1070F" w:rsidP="00772DD0">
            <w:pPr>
              <w:pStyle w:val="TableHeader"/>
              <w:rPr>
                <w:lang w:val="en-GB"/>
              </w:rPr>
            </w:pPr>
            <w:r w:rsidRPr="00B476EC">
              <w:rPr>
                <w:lang w:val="en-GB"/>
              </w:rPr>
              <w:t>Summary of Changes</w:t>
            </w:r>
          </w:p>
        </w:tc>
      </w:tr>
      <w:tr w:rsidR="00E1070F" w:rsidRPr="00B476EC" w14:paraId="62CCF52E" w14:textId="77777777" w:rsidTr="00772DD0">
        <w:trPr>
          <w:trHeight w:val="290"/>
        </w:trPr>
        <w:tc>
          <w:tcPr>
            <w:tcW w:w="616" w:type="pct"/>
            <w:tcBorders>
              <w:top w:val="single" w:sz="2" w:space="0" w:color="000000"/>
              <w:right w:val="single" w:sz="2" w:space="0" w:color="B9B9B9"/>
            </w:tcBorders>
            <w:vAlign w:val="center"/>
          </w:tcPr>
          <w:p w14:paraId="542457A0" w14:textId="77777777" w:rsidR="00E1070F" w:rsidRPr="00B476EC" w:rsidRDefault="00E1070F" w:rsidP="00772DD0">
            <w:pPr>
              <w:pStyle w:val="TableText"/>
            </w:pPr>
            <w:r>
              <w:t>0.1</w:t>
            </w:r>
          </w:p>
        </w:tc>
        <w:tc>
          <w:tcPr>
            <w:tcW w:w="747" w:type="pct"/>
            <w:tcBorders>
              <w:top w:val="single" w:sz="2" w:space="0" w:color="000000"/>
              <w:left w:val="single" w:sz="2" w:space="0" w:color="B9B9B9"/>
              <w:right w:val="single" w:sz="2" w:space="0" w:color="B9B9B9"/>
            </w:tcBorders>
            <w:shd w:val="clear" w:color="auto" w:fill="auto"/>
            <w:vAlign w:val="center"/>
          </w:tcPr>
          <w:p w14:paraId="114270C4" w14:textId="77777777" w:rsidR="00E1070F" w:rsidRPr="00B476EC" w:rsidRDefault="00E1070F" w:rsidP="00772DD0">
            <w:pPr>
              <w:pStyle w:val="TableText"/>
            </w:pPr>
            <w:r>
              <w:t>01/08/2016</w:t>
            </w:r>
          </w:p>
        </w:tc>
        <w:tc>
          <w:tcPr>
            <w:tcW w:w="3637" w:type="pct"/>
            <w:tcBorders>
              <w:top w:val="single" w:sz="2" w:space="0" w:color="000000"/>
              <w:left w:val="single" w:sz="2" w:space="0" w:color="B9B9B9"/>
            </w:tcBorders>
            <w:vAlign w:val="center"/>
          </w:tcPr>
          <w:p w14:paraId="3CECC84D" w14:textId="77777777" w:rsidR="00E1070F" w:rsidRPr="00B476EC" w:rsidRDefault="00E1070F" w:rsidP="00772DD0">
            <w:pPr>
              <w:pStyle w:val="TableText"/>
            </w:pPr>
            <w:r>
              <w:rPr>
                <w:rFonts w:cs="Arial"/>
              </w:rPr>
              <w:t>First draft for internal review</w:t>
            </w:r>
          </w:p>
        </w:tc>
      </w:tr>
      <w:tr w:rsidR="00E1070F" w:rsidRPr="00B476EC" w14:paraId="59C071F1" w14:textId="77777777" w:rsidTr="00772DD0">
        <w:trPr>
          <w:trHeight w:val="290"/>
        </w:trPr>
        <w:tc>
          <w:tcPr>
            <w:tcW w:w="616" w:type="pct"/>
            <w:tcBorders>
              <w:right w:val="single" w:sz="2" w:space="0" w:color="B9B9B9"/>
            </w:tcBorders>
            <w:vAlign w:val="center"/>
          </w:tcPr>
          <w:p w14:paraId="6BE6E34A" w14:textId="2CEA43B8" w:rsidR="00E1070F" w:rsidRPr="00B476EC" w:rsidRDefault="005B0144" w:rsidP="00772DD0">
            <w:pPr>
              <w:pStyle w:val="TableText"/>
            </w:pPr>
            <w:r>
              <w:t>V1.0</w:t>
            </w:r>
          </w:p>
        </w:tc>
        <w:tc>
          <w:tcPr>
            <w:tcW w:w="747" w:type="pct"/>
            <w:tcBorders>
              <w:left w:val="single" w:sz="2" w:space="0" w:color="B9B9B9"/>
              <w:right w:val="single" w:sz="2" w:space="0" w:color="B9B9B9"/>
            </w:tcBorders>
            <w:shd w:val="clear" w:color="auto" w:fill="auto"/>
            <w:vAlign w:val="center"/>
          </w:tcPr>
          <w:p w14:paraId="13AA7836" w14:textId="504DADAC" w:rsidR="00E1070F" w:rsidRPr="00B476EC" w:rsidRDefault="005B0144" w:rsidP="00772DD0">
            <w:pPr>
              <w:pStyle w:val="TableText"/>
            </w:pPr>
            <w:r>
              <w:t>20/03/2017</w:t>
            </w:r>
          </w:p>
        </w:tc>
        <w:tc>
          <w:tcPr>
            <w:tcW w:w="3637" w:type="pct"/>
            <w:tcBorders>
              <w:left w:val="single" w:sz="2" w:space="0" w:color="B9B9B9"/>
            </w:tcBorders>
            <w:vAlign w:val="center"/>
          </w:tcPr>
          <w:p w14:paraId="0DD25981" w14:textId="08D4044B" w:rsidR="00E1070F" w:rsidRPr="00B476EC" w:rsidRDefault="0080408B" w:rsidP="00772DD0">
            <w:pPr>
              <w:pStyle w:val="TableText"/>
            </w:pPr>
            <w:r>
              <w:t>Incorporating minor changes following stakeholder review</w:t>
            </w:r>
          </w:p>
        </w:tc>
      </w:tr>
      <w:tr w:rsidR="00E1070F" w:rsidRPr="00B476EC" w14:paraId="6915DE32" w14:textId="77777777" w:rsidTr="00772DD0">
        <w:trPr>
          <w:trHeight w:val="290"/>
        </w:trPr>
        <w:tc>
          <w:tcPr>
            <w:tcW w:w="616" w:type="pct"/>
            <w:tcBorders>
              <w:right w:val="single" w:sz="2" w:space="0" w:color="B9B9B9"/>
            </w:tcBorders>
            <w:vAlign w:val="center"/>
          </w:tcPr>
          <w:p w14:paraId="46E020B6" w14:textId="2CE23DEE" w:rsidR="00E1070F" w:rsidRPr="00B476EC" w:rsidRDefault="00D0728A" w:rsidP="00772DD0">
            <w:pPr>
              <w:pStyle w:val="TableText"/>
            </w:pPr>
            <w:r>
              <w:t>V1.1</w:t>
            </w:r>
          </w:p>
        </w:tc>
        <w:tc>
          <w:tcPr>
            <w:tcW w:w="747" w:type="pct"/>
            <w:tcBorders>
              <w:left w:val="single" w:sz="2" w:space="0" w:color="B9B9B9"/>
              <w:right w:val="single" w:sz="2" w:space="0" w:color="B9B9B9"/>
            </w:tcBorders>
            <w:shd w:val="clear" w:color="auto" w:fill="auto"/>
            <w:vAlign w:val="center"/>
          </w:tcPr>
          <w:p w14:paraId="1F53D11E" w14:textId="5DE94F17" w:rsidR="00E1070F" w:rsidRPr="00B476EC" w:rsidRDefault="00D0728A" w:rsidP="00772DD0">
            <w:pPr>
              <w:pStyle w:val="TableText"/>
            </w:pPr>
            <w:r>
              <w:t>03/05/2017</w:t>
            </w:r>
          </w:p>
        </w:tc>
        <w:tc>
          <w:tcPr>
            <w:tcW w:w="3637" w:type="pct"/>
            <w:tcBorders>
              <w:left w:val="single" w:sz="2" w:space="0" w:color="B9B9B9"/>
            </w:tcBorders>
            <w:vAlign w:val="center"/>
          </w:tcPr>
          <w:p w14:paraId="6D8A2E0F" w14:textId="58BD8022" w:rsidR="00E1070F" w:rsidRPr="00B476EC" w:rsidRDefault="00D0728A" w:rsidP="00772DD0">
            <w:pPr>
              <w:pStyle w:val="TableText"/>
            </w:pPr>
            <w:r>
              <w:t>Incorporating changes for sign off</w:t>
            </w:r>
          </w:p>
        </w:tc>
      </w:tr>
      <w:tr w:rsidR="00E1070F" w:rsidRPr="00B476EC" w14:paraId="5D695AF2" w14:textId="77777777" w:rsidTr="00772DD0">
        <w:trPr>
          <w:trHeight w:val="290"/>
        </w:trPr>
        <w:tc>
          <w:tcPr>
            <w:tcW w:w="616" w:type="pct"/>
            <w:tcBorders>
              <w:right w:val="single" w:sz="2" w:space="0" w:color="B9B9B9"/>
            </w:tcBorders>
            <w:vAlign w:val="center"/>
          </w:tcPr>
          <w:p w14:paraId="06FA21F9" w14:textId="77777777" w:rsidR="00E1070F" w:rsidRDefault="00E1070F" w:rsidP="00772DD0">
            <w:pPr>
              <w:pStyle w:val="TableText"/>
            </w:pPr>
          </w:p>
        </w:tc>
        <w:tc>
          <w:tcPr>
            <w:tcW w:w="747" w:type="pct"/>
            <w:tcBorders>
              <w:left w:val="single" w:sz="2" w:space="0" w:color="B9B9B9"/>
              <w:right w:val="single" w:sz="2" w:space="0" w:color="B9B9B9"/>
            </w:tcBorders>
            <w:shd w:val="clear" w:color="auto" w:fill="auto"/>
            <w:vAlign w:val="center"/>
          </w:tcPr>
          <w:p w14:paraId="44F5FFF5" w14:textId="77777777" w:rsidR="00E1070F" w:rsidRDefault="00E1070F" w:rsidP="00772DD0">
            <w:pPr>
              <w:pStyle w:val="TableText"/>
            </w:pPr>
          </w:p>
        </w:tc>
        <w:tc>
          <w:tcPr>
            <w:tcW w:w="3637" w:type="pct"/>
            <w:tcBorders>
              <w:left w:val="single" w:sz="2" w:space="0" w:color="B9B9B9"/>
            </w:tcBorders>
            <w:vAlign w:val="center"/>
          </w:tcPr>
          <w:p w14:paraId="2C69442E" w14:textId="77777777" w:rsidR="00E1070F" w:rsidRDefault="00E1070F" w:rsidP="00772DD0">
            <w:pPr>
              <w:pStyle w:val="TableText"/>
            </w:pPr>
          </w:p>
        </w:tc>
      </w:tr>
      <w:tr w:rsidR="00E1070F" w:rsidRPr="00B476EC" w14:paraId="78B88D93" w14:textId="77777777" w:rsidTr="00772DD0">
        <w:trPr>
          <w:trHeight w:val="290"/>
        </w:trPr>
        <w:tc>
          <w:tcPr>
            <w:tcW w:w="616" w:type="pct"/>
            <w:tcBorders>
              <w:right w:val="single" w:sz="2" w:space="0" w:color="B9B9B9"/>
            </w:tcBorders>
            <w:vAlign w:val="center"/>
          </w:tcPr>
          <w:p w14:paraId="2DD2E5A2" w14:textId="77777777" w:rsidR="00E1070F" w:rsidRDefault="00E1070F" w:rsidP="00772DD0">
            <w:pPr>
              <w:pStyle w:val="TableText"/>
            </w:pPr>
          </w:p>
        </w:tc>
        <w:tc>
          <w:tcPr>
            <w:tcW w:w="747" w:type="pct"/>
            <w:tcBorders>
              <w:left w:val="single" w:sz="2" w:space="0" w:color="B9B9B9"/>
              <w:right w:val="single" w:sz="2" w:space="0" w:color="B9B9B9"/>
            </w:tcBorders>
            <w:shd w:val="clear" w:color="auto" w:fill="auto"/>
            <w:vAlign w:val="center"/>
          </w:tcPr>
          <w:p w14:paraId="0EC04B06" w14:textId="77777777" w:rsidR="00E1070F" w:rsidRDefault="00E1070F" w:rsidP="00772DD0">
            <w:pPr>
              <w:pStyle w:val="TableText"/>
            </w:pPr>
          </w:p>
        </w:tc>
        <w:tc>
          <w:tcPr>
            <w:tcW w:w="3637" w:type="pct"/>
            <w:tcBorders>
              <w:left w:val="single" w:sz="2" w:space="0" w:color="B9B9B9"/>
            </w:tcBorders>
            <w:vAlign w:val="center"/>
          </w:tcPr>
          <w:p w14:paraId="020AF07D" w14:textId="77777777" w:rsidR="00E1070F" w:rsidRDefault="00E1070F" w:rsidP="00772DD0">
            <w:pPr>
              <w:pStyle w:val="TableText"/>
            </w:pPr>
          </w:p>
        </w:tc>
      </w:tr>
    </w:tbl>
    <w:p w14:paraId="5B1C3A03" w14:textId="77777777" w:rsidR="00E1070F" w:rsidRDefault="00E1070F" w:rsidP="00E1070F">
      <w:pPr>
        <w:numPr>
          <w:ilvl w:val="0"/>
          <w:numId w:val="0"/>
        </w:numPr>
        <w:ind w:left="794"/>
      </w:pPr>
      <w:bookmarkStart w:id="3" w:name="_Toc350847281"/>
      <w:bookmarkStart w:id="4" w:name="_Toc350847325"/>
    </w:p>
    <w:p w14:paraId="64EA6E5D" w14:textId="77777777" w:rsidR="00E1070F" w:rsidRPr="0032477B" w:rsidRDefault="00E1070F" w:rsidP="00E1070F">
      <w:pPr>
        <w:pStyle w:val="unnumberedheadings"/>
      </w:pPr>
      <w:r w:rsidRPr="0032477B">
        <w:t>Reviewers</w:t>
      </w:r>
      <w:bookmarkEnd w:id="3"/>
      <w:bookmarkEnd w:id="4"/>
    </w:p>
    <w:p w14:paraId="1098C77F" w14:textId="77777777" w:rsidR="00E1070F" w:rsidRPr="00B476EC" w:rsidRDefault="00E1070F" w:rsidP="00E1070F">
      <w:pPr>
        <w:numPr>
          <w:ilvl w:val="0"/>
          <w:numId w:val="0"/>
        </w:numPr>
      </w:pPr>
      <w:r w:rsidRPr="00B476EC">
        <w:t xml:space="preserve">This document must be reviewed by the following people: </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2510"/>
        <w:gridCol w:w="3085"/>
        <w:gridCol w:w="1691"/>
        <w:gridCol w:w="1740"/>
      </w:tblGrid>
      <w:tr w:rsidR="00E1070F" w:rsidRPr="00B476EC" w14:paraId="78332D2C" w14:textId="77777777" w:rsidTr="00772DD0">
        <w:tc>
          <w:tcPr>
            <w:tcW w:w="1390" w:type="pct"/>
            <w:tcBorders>
              <w:top w:val="single" w:sz="2" w:space="0" w:color="000000"/>
              <w:bottom w:val="single" w:sz="2" w:space="0" w:color="000000"/>
              <w:right w:val="nil"/>
            </w:tcBorders>
          </w:tcPr>
          <w:p w14:paraId="502A0138" w14:textId="77777777" w:rsidR="00E1070F" w:rsidRPr="00B476EC" w:rsidRDefault="00E1070F" w:rsidP="00772DD0">
            <w:pPr>
              <w:pStyle w:val="TableHeader"/>
              <w:rPr>
                <w:lang w:val="en-GB"/>
              </w:rPr>
            </w:pPr>
            <w:r w:rsidRPr="00B476EC">
              <w:rPr>
                <w:lang w:val="en-GB"/>
              </w:rPr>
              <w:t>Reviewer name</w:t>
            </w:r>
          </w:p>
        </w:tc>
        <w:tc>
          <w:tcPr>
            <w:tcW w:w="1709" w:type="pct"/>
            <w:tcBorders>
              <w:top w:val="single" w:sz="2" w:space="0" w:color="000000"/>
              <w:left w:val="nil"/>
              <w:bottom w:val="single" w:sz="2" w:space="0" w:color="000000"/>
              <w:right w:val="nil"/>
            </w:tcBorders>
            <w:shd w:val="clear" w:color="auto" w:fill="auto"/>
          </w:tcPr>
          <w:p w14:paraId="767D9004" w14:textId="77777777" w:rsidR="00E1070F" w:rsidRPr="00B476EC" w:rsidRDefault="00E1070F" w:rsidP="00772DD0">
            <w:pPr>
              <w:pStyle w:val="TableHeader"/>
              <w:rPr>
                <w:lang w:val="en-GB"/>
              </w:rPr>
            </w:pPr>
            <w:r w:rsidRPr="00B476EC">
              <w:rPr>
                <w:lang w:val="en-GB"/>
              </w:rPr>
              <w:t>Title / Responsibility</w:t>
            </w:r>
          </w:p>
        </w:tc>
        <w:tc>
          <w:tcPr>
            <w:tcW w:w="937" w:type="pct"/>
            <w:tcBorders>
              <w:top w:val="single" w:sz="2" w:space="0" w:color="000000"/>
              <w:left w:val="nil"/>
              <w:bottom w:val="single" w:sz="2" w:space="0" w:color="000000"/>
              <w:right w:val="nil"/>
            </w:tcBorders>
          </w:tcPr>
          <w:p w14:paraId="4A0ADF04" w14:textId="77777777" w:rsidR="00E1070F" w:rsidRPr="00B476EC" w:rsidRDefault="00E1070F" w:rsidP="00772DD0">
            <w:pPr>
              <w:pStyle w:val="TableHeader"/>
              <w:rPr>
                <w:lang w:val="en-GB"/>
              </w:rPr>
            </w:pPr>
            <w:r w:rsidRPr="00B476EC">
              <w:rPr>
                <w:lang w:val="en-GB"/>
              </w:rPr>
              <w:t>Date</w:t>
            </w:r>
          </w:p>
        </w:tc>
        <w:tc>
          <w:tcPr>
            <w:tcW w:w="964" w:type="pct"/>
            <w:tcBorders>
              <w:top w:val="single" w:sz="2" w:space="0" w:color="000000"/>
              <w:left w:val="nil"/>
              <w:bottom w:val="single" w:sz="2" w:space="0" w:color="000000"/>
            </w:tcBorders>
            <w:shd w:val="clear" w:color="auto" w:fill="auto"/>
          </w:tcPr>
          <w:p w14:paraId="1E1A7625" w14:textId="77777777" w:rsidR="00E1070F" w:rsidRPr="00B476EC" w:rsidRDefault="00E1070F" w:rsidP="00772DD0">
            <w:pPr>
              <w:pStyle w:val="TableHeader"/>
              <w:rPr>
                <w:lang w:val="en-GB"/>
              </w:rPr>
            </w:pPr>
            <w:r w:rsidRPr="00B476EC">
              <w:rPr>
                <w:lang w:val="en-GB"/>
              </w:rPr>
              <w:t>Version</w:t>
            </w:r>
          </w:p>
        </w:tc>
      </w:tr>
      <w:tr w:rsidR="00E1070F" w:rsidRPr="00B476EC" w14:paraId="629F5576" w14:textId="77777777" w:rsidTr="00772DD0">
        <w:tc>
          <w:tcPr>
            <w:tcW w:w="1390" w:type="pct"/>
            <w:tcBorders>
              <w:top w:val="single" w:sz="2" w:space="0" w:color="000000"/>
              <w:bottom w:val="single" w:sz="2" w:space="0" w:color="000000"/>
              <w:right w:val="single" w:sz="2" w:space="0" w:color="B9B9B9"/>
            </w:tcBorders>
            <w:vAlign w:val="center"/>
          </w:tcPr>
          <w:p w14:paraId="5E58F8FA" w14:textId="1961F54F" w:rsidR="00E1070F" w:rsidRPr="00B476EC" w:rsidRDefault="005B0144" w:rsidP="00772DD0">
            <w:pPr>
              <w:pStyle w:val="TableText"/>
            </w:pPr>
            <w:r>
              <w:t>IG working Group</w:t>
            </w:r>
          </w:p>
        </w:tc>
        <w:tc>
          <w:tcPr>
            <w:tcW w:w="1709" w:type="pct"/>
            <w:tcBorders>
              <w:top w:val="single" w:sz="2" w:space="0" w:color="000000"/>
              <w:left w:val="single" w:sz="2" w:space="0" w:color="B9B9B9"/>
              <w:bottom w:val="single" w:sz="2" w:space="0" w:color="000000"/>
              <w:right w:val="single" w:sz="2" w:space="0" w:color="B9B9B9"/>
            </w:tcBorders>
            <w:shd w:val="clear" w:color="auto" w:fill="auto"/>
            <w:vAlign w:val="center"/>
          </w:tcPr>
          <w:p w14:paraId="165482BD" w14:textId="77777777" w:rsidR="00E1070F" w:rsidRPr="00B476EC" w:rsidRDefault="00E1070F" w:rsidP="00772DD0">
            <w:pPr>
              <w:pStyle w:val="TableText"/>
            </w:pPr>
          </w:p>
        </w:tc>
        <w:tc>
          <w:tcPr>
            <w:tcW w:w="937" w:type="pct"/>
            <w:tcBorders>
              <w:top w:val="single" w:sz="2" w:space="0" w:color="000000"/>
              <w:left w:val="single" w:sz="2" w:space="0" w:color="B9B9B9"/>
              <w:bottom w:val="single" w:sz="2" w:space="0" w:color="000000"/>
              <w:right w:val="single" w:sz="2" w:space="0" w:color="B9B9B9"/>
            </w:tcBorders>
            <w:vAlign w:val="center"/>
          </w:tcPr>
          <w:p w14:paraId="43284010" w14:textId="77777777" w:rsidR="00E1070F" w:rsidRPr="00B476EC" w:rsidRDefault="00E1070F" w:rsidP="00772DD0">
            <w:pPr>
              <w:pStyle w:val="TableText"/>
            </w:pPr>
          </w:p>
        </w:tc>
        <w:tc>
          <w:tcPr>
            <w:tcW w:w="964" w:type="pct"/>
            <w:tcBorders>
              <w:top w:val="single" w:sz="2" w:space="0" w:color="000000"/>
              <w:left w:val="single" w:sz="2" w:space="0" w:color="B9B9B9"/>
              <w:bottom w:val="single" w:sz="2" w:space="0" w:color="000000"/>
            </w:tcBorders>
            <w:shd w:val="clear" w:color="auto" w:fill="auto"/>
            <w:vAlign w:val="center"/>
          </w:tcPr>
          <w:p w14:paraId="7A2E7083" w14:textId="74D36A3D" w:rsidR="00E1070F" w:rsidRPr="00B476EC" w:rsidRDefault="00D0728A" w:rsidP="00772DD0">
            <w:pPr>
              <w:pStyle w:val="TableText"/>
            </w:pPr>
            <w:r>
              <w:t>Draft v0.1</w:t>
            </w:r>
          </w:p>
        </w:tc>
      </w:tr>
      <w:tr w:rsidR="00E1070F" w:rsidRPr="00B476EC" w14:paraId="297B703A" w14:textId="77777777" w:rsidTr="00772DD0">
        <w:tc>
          <w:tcPr>
            <w:tcW w:w="1390" w:type="pct"/>
            <w:tcBorders>
              <w:top w:val="single" w:sz="2" w:space="0" w:color="000000"/>
              <w:right w:val="single" w:sz="2" w:space="0" w:color="B9B9B9"/>
            </w:tcBorders>
            <w:vAlign w:val="center"/>
          </w:tcPr>
          <w:p w14:paraId="159E8415" w14:textId="7637BC36" w:rsidR="00E1070F" w:rsidRDefault="00D0728A" w:rsidP="00772DD0">
            <w:pPr>
              <w:pStyle w:val="TableText"/>
            </w:pPr>
            <w:r>
              <w:t>John Ainsworth (for sign off)</w:t>
            </w:r>
          </w:p>
        </w:tc>
        <w:tc>
          <w:tcPr>
            <w:tcW w:w="1709" w:type="pct"/>
            <w:tcBorders>
              <w:top w:val="single" w:sz="2" w:space="0" w:color="000000"/>
              <w:left w:val="single" w:sz="2" w:space="0" w:color="B9B9B9"/>
              <w:right w:val="single" w:sz="2" w:space="0" w:color="B9B9B9"/>
            </w:tcBorders>
            <w:shd w:val="clear" w:color="auto" w:fill="auto"/>
            <w:vAlign w:val="center"/>
          </w:tcPr>
          <w:p w14:paraId="7D3DE8E6" w14:textId="77777777" w:rsidR="00E1070F" w:rsidRPr="00B476EC" w:rsidRDefault="00E1070F" w:rsidP="00772DD0">
            <w:pPr>
              <w:pStyle w:val="TableText"/>
            </w:pPr>
          </w:p>
        </w:tc>
        <w:tc>
          <w:tcPr>
            <w:tcW w:w="937" w:type="pct"/>
            <w:tcBorders>
              <w:top w:val="single" w:sz="2" w:space="0" w:color="000000"/>
              <w:left w:val="single" w:sz="2" w:space="0" w:color="B9B9B9"/>
              <w:right w:val="single" w:sz="2" w:space="0" w:color="B9B9B9"/>
            </w:tcBorders>
            <w:vAlign w:val="center"/>
          </w:tcPr>
          <w:p w14:paraId="4B1CC680" w14:textId="77777777" w:rsidR="00E1070F" w:rsidRDefault="00E1070F" w:rsidP="00772DD0">
            <w:pPr>
              <w:pStyle w:val="TableText"/>
            </w:pPr>
          </w:p>
        </w:tc>
        <w:tc>
          <w:tcPr>
            <w:tcW w:w="964" w:type="pct"/>
            <w:tcBorders>
              <w:top w:val="single" w:sz="2" w:space="0" w:color="000000"/>
              <w:left w:val="single" w:sz="2" w:space="0" w:color="B9B9B9"/>
            </w:tcBorders>
            <w:shd w:val="clear" w:color="auto" w:fill="auto"/>
            <w:vAlign w:val="center"/>
          </w:tcPr>
          <w:p w14:paraId="29F7FB96" w14:textId="3AF5464A" w:rsidR="00E1070F" w:rsidRDefault="00D0728A" w:rsidP="00772DD0">
            <w:pPr>
              <w:pStyle w:val="TableText"/>
            </w:pPr>
            <w:r>
              <w:t>V1.0</w:t>
            </w:r>
          </w:p>
        </w:tc>
      </w:tr>
      <w:tr w:rsidR="00E1070F" w:rsidRPr="00B476EC" w14:paraId="109D2557" w14:textId="77777777" w:rsidTr="00772DD0">
        <w:tc>
          <w:tcPr>
            <w:tcW w:w="1390" w:type="pct"/>
            <w:tcBorders>
              <w:top w:val="single" w:sz="2" w:space="0" w:color="000000"/>
              <w:right w:val="single" w:sz="2" w:space="0" w:color="B9B9B9"/>
            </w:tcBorders>
            <w:vAlign w:val="center"/>
          </w:tcPr>
          <w:p w14:paraId="7F8D2686" w14:textId="77777777" w:rsidR="00E1070F" w:rsidRDefault="00E1070F" w:rsidP="00772DD0">
            <w:pPr>
              <w:pStyle w:val="TableText"/>
            </w:pPr>
          </w:p>
        </w:tc>
        <w:tc>
          <w:tcPr>
            <w:tcW w:w="1709" w:type="pct"/>
            <w:tcBorders>
              <w:top w:val="single" w:sz="2" w:space="0" w:color="000000"/>
              <w:left w:val="single" w:sz="2" w:space="0" w:color="B9B9B9"/>
              <w:right w:val="single" w:sz="2" w:space="0" w:color="B9B9B9"/>
            </w:tcBorders>
            <w:shd w:val="clear" w:color="auto" w:fill="auto"/>
            <w:vAlign w:val="center"/>
          </w:tcPr>
          <w:p w14:paraId="650BF17E" w14:textId="77777777" w:rsidR="00E1070F" w:rsidRPr="00B476EC" w:rsidRDefault="00E1070F" w:rsidP="00772DD0">
            <w:pPr>
              <w:pStyle w:val="TableText"/>
            </w:pPr>
          </w:p>
        </w:tc>
        <w:tc>
          <w:tcPr>
            <w:tcW w:w="937" w:type="pct"/>
            <w:tcBorders>
              <w:top w:val="single" w:sz="2" w:space="0" w:color="000000"/>
              <w:left w:val="single" w:sz="2" w:space="0" w:color="B9B9B9"/>
              <w:right w:val="single" w:sz="2" w:space="0" w:color="B9B9B9"/>
            </w:tcBorders>
            <w:vAlign w:val="center"/>
          </w:tcPr>
          <w:p w14:paraId="163C50B5" w14:textId="77777777" w:rsidR="00E1070F" w:rsidRDefault="00E1070F" w:rsidP="00772DD0">
            <w:pPr>
              <w:pStyle w:val="TableText"/>
            </w:pPr>
          </w:p>
        </w:tc>
        <w:tc>
          <w:tcPr>
            <w:tcW w:w="964" w:type="pct"/>
            <w:tcBorders>
              <w:top w:val="single" w:sz="2" w:space="0" w:color="000000"/>
              <w:left w:val="single" w:sz="2" w:space="0" w:color="B9B9B9"/>
            </w:tcBorders>
            <w:shd w:val="clear" w:color="auto" w:fill="auto"/>
            <w:vAlign w:val="center"/>
          </w:tcPr>
          <w:p w14:paraId="22F0F2BE" w14:textId="77777777" w:rsidR="00E1070F" w:rsidRDefault="00E1070F" w:rsidP="00772DD0">
            <w:pPr>
              <w:pStyle w:val="TableText"/>
            </w:pPr>
          </w:p>
        </w:tc>
      </w:tr>
    </w:tbl>
    <w:p w14:paraId="77AE2490" w14:textId="77777777" w:rsidR="00E1070F" w:rsidRPr="0032477B" w:rsidRDefault="00E1070F" w:rsidP="00E1070F">
      <w:pPr>
        <w:pStyle w:val="unnumberedheadings"/>
      </w:pPr>
      <w:bookmarkStart w:id="5" w:name="_Toc350847282"/>
      <w:bookmarkStart w:id="6" w:name="_Toc350847326"/>
      <w:r w:rsidRPr="0032477B">
        <w:t>Approved by</w:t>
      </w:r>
      <w:bookmarkEnd w:id="5"/>
      <w:bookmarkEnd w:id="6"/>
    </w:p>
    <w:p w14:paraId="6EBD9DB9" w14:textId="77777777" w:rsidR="00E1070F" w:rsidRPr="00B476EC" w:rsidRDefault="00E1070F" w:rsidP="00E1070F">
      <w:pPr>
        <w:numPr>
          <w:ilvl w:val="0"/>
          <w:numId w:val="0"/>
        </w:numPr>
      </w:pPr>
      <w:r w:rsidRPr="00B476EC">
        <w:t xml:space="preserve">This document must be approved by the following people: </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449"/>
        <w:gridCol w:w="2045"/>
        <w:gridCol w:w="2155"/>
        <w:gridCol w:w="1321"/>
        <w:gridCol w:w="1056"/>
      </w:tblGrid>
      <w:tr w:rsidR="00E1070F" w:rsidRPr="00B476EC" w14:paraId="687F115F" w14:textId="77777777" w:rsidTr="00772DD0">
        <w:trPr>
          <w:trHeight w:val="290"/>
        </w:trPr>
        <w:tc>
          <w:tcPr>
            <w:tcW w:w="1356" w:type="pct"/>
            <w:tcBorders>
              <w:top w:val="single" w:sz="2" w:space="0" w:color="000000"/>
              <w:bottom w:val="single" w:sz="2" w:space="0" w:color="000000"/>
            </w:tcBorders>
          </w:tcPr>
          <w:p w14:paraId="7B58B452" w14:textId="77777777" w:rsidR="00E1070F" w:rsidRPr="00B476EC" w:rsidRDefault="00E1070F" w:rsidP="00772DD0">
            <w:pPr>
              <w:pStyle w:val="TableHeader"/>
              <w:rPr>
                <w:lang w:val="en-GB"/>
              </w:rPr>
            </w:pPr>
            <w:r w:rsidRPr="00B476EC">
              <w:rPr>
                <w:lang w:val="en-GB"/>
              </w:rPr>
              <w:t>Name</w:t>
            </w:r>
          </w:p>
        </w:tc>
        <w:tc>
          <w:tcPr>
            <w:tcW w:w="1133" w:type="pct"/>
            <w:tcBorders>
              <w:top w:val="single" w:sz="2" w:space="0" w:color="000000"/>
              <w:bottom w:val="single" w:sz="2" w:space="0" w:color="000000"/>
            </w:tcBorders>
          </w:tcPr>
          <w:p w14:paraId="150AA035" w14:textId="77777777" w:rsidR="00E1070F" w:rsidRPr="00B476EC" w:rsidRDefault="00E1070F" w:rsidP="00772DD0">
            <w:pPr>
              <w:pStyle w:val="TableHeader"/>
              <w:rPr>
                <w:lang w:val="en-GB"/>
              </w:rPr>
            </w:pPr>
            <w:r w:rsidRPr="00B476EC">
              <w:rPr>
                <w:lang w:val="en-GB"/>
              </w:rPr>
              <w:t>Signature</w:t>
            </w:r>
          </w:p>
        </w:tc>
        <w:tc>
          <w:tcPr>
            <w:tcW w:w="1194" w:type="pct"/>
            <w:tcBorders>
              <w:top w:val="single" w:sz="2" w:space="0" w:color="000000"/>
              <w:bottom w:val="single" w:sz="2" w:space="0" w:color="000000"/>
            </w:tcBorders>
          </w:tcPr>
          <w:p w14:paraId="53B0D2D1" w14:textId="77777777" w:rsidR="00E1070F" w:rsidRPr="00B476EC" w:rsidRDefault="00E1070F" w:rsidP="00772DD0">
            <w:pPr>
              <w:pStyle w:val="TableHeader"/>
              <w:rPr>
                <w:lang w:val="en-GB"/>
              </w:rPr>
            </w:pPr>
            <w:r w:rsidRPr="00B476EC">
              <w:rPr>
                <w:lang w:val="en-GB"/>
              </w:rPr>
              <w:t>Title</w:t>
            </w:r>
          </w:p>
        </w:tc>
        <w:tc>
          <w:tcPr>
            <w:tcW w:w="732" w:type="pct"/>
            <w:tcBorders>
              <w:top w:val="single" w:sz="2" w:space="0" w:color="000000"/>
              <w:bottom w:val="single" w:sz="2" w:space="0" w:color="000000"/>
            </w:tcBorders>
          </w:tcPr>
          <w:p w14:paraId="4194734B" w14:textId="77777777" w:rsidR="00E1070F" w:rsidRPr="00B476EC" w:rsidRDefault="00E1070F" w:rsidP="00772DD0">
            <w:pPr>
              <w:pStyle w:val="TableHeader"/>
              <w:rPr>
                <w:lang w:val="en-GB"/>
              </w:rPr>
            </w:pPr>
            <w:r w:rsidRPr="00B476EC">
              <w:rPr>
                <w:lang w:val="en-GB"/>
              </w:rPr>
              <w:t xml:space="preserve">Date </w:t>
            </w:r>
          </w:p>
        </w:tc>
        <w:tc>
          <w:tcPr>
            <w:tcW w:w="585" w:type="pct"/>
            <w:tcBorders>
              <w:top w:val="single" w:sz="2" w:space="0" w:color="000000"/>
              <w:bottom w:val="single" w:sz="2" w:space="0" w:color="000000"/>
            </w:tcBorders>
          </w:tcPr>
          <w:p w14:paraId="7717D624" w14:textId="77777777" w:rsidR="00E1070F" w:rsidRPr="00B476EC" w:rsidRDefault="00E1070F" w:rsidP="00772DD0">
            <w:pPr>
              <w:pStyle w:val="TableHeader"/>
              <w:rPr>
                <w:lang w:val="en-GB"/>
              </w:rPr>
            </w:pPr>
            <w:r w:rsidRPr="00B476EC">
              <w:rPr>
                <w:lang w:val="en-GB"/>
              </w:rPr>
              <w:t>Version</w:t>
            </w:r>
          </w:p>
        </w:tc>
      </w:tr>
      <w:tr w:rsidR="00E1070F" w:rsidRPr="00B476EC" w14:paraId="7F8935C3" w14:textId="77777777" w:rsidTr="00772DD0">
        <w:trPr>
          <w:trHeight w:val="290"/>
        </w:trPr>
        <w:tc>
          <w:tcPr>
            <w:tcW w:w="1356" w:type="pct"/>
            <w:tcBorders>
              <w:top w:val="single" w:sz="2" w:space="0" w:color="000000"/>
              <w:bottom w:val="single" w:sz="2" w:space="0" w:color="000000"/>
              <w:right w:val="single" w:sz="2" w:space="0" w:color="B9B9B9"/>
            </w:tcBorders>
            <w:vAlign w:val="center"/>
          </w:tcPr>
          <w:p w14:paraId="6DCA51BC" w14:textId="7C423A7C" w:rsidR="00E1070F" w:rsidRPr="00B476EC" w:rsidRDefault="0080408B" w:rsidP="00772DD0">
            <w:pPr>
              <w:pStyle w:val="TableText"/>
            </w:pPr>
            <w:r>
              <w:t>John Ainsworth</w:t>
            </w:r>
          </w:p>
        </w:tc>
        <w:tc>
          <w:tcPr>
            <w:tcW w:w="1133" w:type="pct"/>
            <w:tcBorders>
              <w:top w:val="single" w:sz="2" w:space="0" w:color="000000"/>
              <w:left w:val="single" w:sz="2" w:space="0" w:color="B9B9B9"/>
              <w:bottom w:val="single" w:sz="2" w:space="0" w:color="000000"/>
              <w:right w:val="single" w:sz="2" w:space="0" w:color="B9B9B9"/>
            </w:tcBorders>
            <w:vAlign w:val="center"/>
          </w:tcPr>
          <w:p w14:paraId="05AE8C8A" w14:textId="77777777" w:rsidR="00E1070F" w:rsidRPr="00B476EC" w:rsidRDefault="00E1070F" w:rsidP="00772DD0">
            <w:pPr>
              <w:pStyle w:val="TableText"/>
            </w:pPr>
          </w:p>
        </w:tc>
        <w:tc>
          <w:tcPr>
            <w:tcW w:w="1194" w:type="pct"/>
            <w:tcBorders>
              <w:top w:val="single" w:sz="2" w:space="0" w:color="000000"/>
              <w:left w:val="single" w:sz="2" w:space="0" w:color="B9B9B9"/>
              <w:bottom w:val="single" w:sz="2" w:space="0" w:color="000000"/>
              <w:right w:val="single" w:sz="2" w:space="0" w:color="B9B9B9"/>
            </w:tcBorders>
            <w:vAlign w:val="center"/>
          </w:tcPr>
          <w:p w14:paraId="14524BB3" w14:textId="77777777" w:rsidR="00E1070F" w:rsidRPr="00B476EC" w:rsidRDefault="00E1070F" w:rsidP="00772DD0">
            <w:pPr>
              <w:pStyle w:val="TableText"/>
            </w:pPr>
          </w:p>
        </w:tc>
        <w:tc>
          <w:tcPr>
            <w:tcW w:w="732" w:type="pct"/>
            <w:tcBorders>
              <w:top w:val="single" w:sz="2" w:space="0" w:color="000000"/>
              <w:left w:val="single" w:sz="2" w:space="0" w:color="B9B9B9"/>
              <w:bottom w:val="single" w:sz="2" w:space="0" w:color="000000"/>
              <w:right w:val="single" w:sz="2" w:space="0" w:color="B9B9B9"/>
            </w:tcBorders>
            <w:vAlign w:val="center"/>
          </w:tcPr>
          <w:p w14:paraId="342EC308" w14:textId="1E1B0CF0" w:rsidR="00E1070F" w:rsidRPr="00B476EC" w:rsidRDefault="00D0728A" w:rsidP="00772DD0">
            <w:pPr>
              <w:pStyle w:val="TableText"/>
            </w:pPr>
            <w:r>
              <w:t>03/05/2017</w:t>
            </w:r>
          </w:p>
        </w:tc>
        <w:tc>
          <w:tcPr>
            <w:tcW w:w="585" w:type="pct"/>
            <w:tcBorders>
              <w:top w:val="single" w:sz="2" w:space="0" w:color="000000"/>
              <w:left w:val="single" w:sz="2" w:space="0" w:color="B9B9B9"/>
              <w:bottom w:val="single" w:sz="2" w:space="0" w:color="000000"/>
            </w:tcBorders>
            <w:vAlign w:val="center"/>
          </w:tcPr>
          <w:p w14:paraId="00FCDBCF" w14:textId="3E05B179" w:rsidR="00E1070F" w:rsidRPr="00B476EC" w:rsidRDefault="00D0728A" w:rsidP="00772DD0">
            <w:pPr>
              <w:pStyle w:val="TableText"/>
            </w:pPr>
            <w:r>
              <w:t>1.1</w:t>
            </w:r>
          </w:p>
        </w:tc>
      </w:tr>
      <w:tr w:rsidR="00E1070F" w:rsidRPr="00B476EC" w14:paraId="5E5B996B" w14:textId="77777777" w:rsidTr="00772DD0">
        <w:trPr>
          <w:trHeight w:val="290"/>
        </w:trPr>
        <w:tc>
          <w:tcPr>
            <w:tcW w:w="1356" w:type="pct"/>
            <w:tcBorders>
              <w:top w:val="single" w:sz="2" w:space="0" w:color="000000"/>
              <w:right w:val="single" w:sz="2" w:space="0" w:color="B9B9B9"/>
            </w:tcBorders>
            <w:vAlign w:val="center"/>
          </w:tcPr>
          <w:p w14:paraId="4DE0886E" w14:textId="77777777" w:rsidR="00E1070F" w:rsidRDefault="00E1070F" w:rsidP="00772DD0">
            <w:pPr>
              <w:pStyle w:val="TableText"/>
            </w:pPr>
          </w:p>
        </w:tc>
        <w:tc>
          <w:tcPr>
            <w:tcW w:w="1133" w:type="pct"/>
            <w:tcBorders>
              <w:top w:val="single" w:sz="2" w:space="0" w:color="000000"/>
              <w:left w:val="single" w:sz="2" w:space="0" w:color="B9B9B9"/>
              <w:right w:val="single" w:sz="2" w:space="0" w:color="B9B9B9"/>
            </w:tcBorders>
            <w:vAlign w:val="center"/>
          </w:tcPr>
          <w:p w14:paraId="39DEBC74" w14:textId="77777777" w:rsidR="00E1070F" w:rsidRDefault="00E1070F" w:rsidP="00772DD0">
            <w:pPr>
              <w:pStyle w:val="TableText"/>
            </w:pPr>
          </w:p>
        </w:tc>
        <w:tc>
          <w:tcPr>
            <w:tcW w:w="1194" w:type="pct"/>
            <w:tcBorders>
              <w:top w:val="single" w:sz="2" w:space="0" w:color="000000"/>
              <w:left w:val="single" w:sz="2" w:space="0" w:color="B9B9B9"/>
              <w:right w:val="single" w:sz="2" w:space="0" w:color="B9B9B9"/>
            </w:tcBorders>
            <w:vAlign w:val="center"/>
          </w:tcPr>
          <w:p w14:paraId="30F07579" w14:textId="77777777" w:rsidR="00E1070F" w:rsidRDefault="00E1070F" w:rsidP="00772DD0">
            <w:pPr>
              <w:pStyle w:val="TableText"/>
            </w:pPr>
          </w:p>
        </w:tc>
        <w:tc>
          <w:tcPr>
            <w:tcW w:w="732" w:type="pct"/>
            <w:tcBorders>
              <w:top w:val="single" w:sz="2" w:space="0" w:color="000000"/>
              <w:left w:val="single" w:sz="2" w:space="0" w:color="B9B9B9"/>
              <w:right w:val="single" w:sz="2" w:space="0" w:color="B9B9B9"/>
            </w:tcBorders>
            <w:vAlign w:val="center"/>
          </w:tcPr>
          <w:p w14:paraId="13D779CD" w14:textId="77777777" w:rsidR="00E1070F" w:rsidRDefault="00E1070F" w:rsidP="00772DD0">
            <w:pPr>
              <w:pStyle w:val="TableText"/>
            </w:pPr>
          </w:p>
        </w:tc>
        <w:tc>
          <w:tcPr>
            <w:tcW w:w="585" w:type="pct"/>
            <w:tcBorders>
              <w:top w:val="single" w:sz="2" w:space="0" w:color="000000"/>
              <w:left w:val="single" w:sz="2" w:space="0" w:color="B9B9B9"/>
            </w:tcBorders>
            <w:vAlign w:val="center"/>
          </w:tcPr>
          <w:p w14:paraId="4C6874F4" w14:textId="77777777" w:rsidR="00E1070F" w:rsidRDefault="00E1070F" w:rsidP="00772DD0">
            <w:pPr>
              <w:pStyle w:val="TableText"/>
            </w:pPr>
          </w:p>
        </w:tc>
      </w:tr>
    </w:tbl>
    <w:p w14:paraId="7B198378" w14:textId="77777777" w:rsidR="00E1070F" w:rsidRPr="00B476EC" w:rsidRDefault="00E1070F" w:rsidP="00E1070F">
      <w:pPr>
        <w:numPr>
          <w:ilvl w:val="0"/>
          <w:numId w:val="0"/>
        </w:numPr>
      </w:pPr>
    </w:p>
    <w:p w14:paraId="08DF8CFA" w14:textId="77777777" w:rsidR="00E1070F" w:rsidRDefault="00E1070F">
      <w:pPr>
        <w:numPr>
          <w:ilvl w:val="0"/>
          <w:numId w:val="0"/>
        </w:numPr>
        <w:rPr>
          <w:rFonts w:asciiTheme="majorHAnsi" w:eastAsiaTheme="majorEastAsia" w:hAnsiTheme="majorHAnsi" w:cstheme="majorBidi"/>
          <w:b/>
          <w:bCs/>
          <w:color w:val="2E74B5" w:themeColor="accent1" w:themeShade="BF"/>
          <w:sz w:val="28"/>
          <w:szCs w:val="28"/>
          <w:lang w:eastAsia="en-GB"/>
        </w:rPr>
      </w:pPr>
      <w:r>
        <w:br w:type="page"/>
      </w:r>
    </w:p>
    <w:p w14:paraId="6CA02D67" w14:textId="2F7A7B79" w:rsidR="005A4883" w:rsidRDefault="005F79B4" w:rsidP="005A4883">
      <w:pPr>
        <w:pStyle w:val="Heading1"/>
      </w:pPr>
      <w:r>
        <w:lastRenderedPageBreak/>
        <w:t>Contract</w:t>
      </w:r>
      <w:r w:rsidR="005A4883">
        <w:t xml:space="preserve"> for </w:t>
      </w:r>
      <w:r w:rsidR="005A4883" w:rsidRPr="00CE6FD8">
        <w:rPr>
          <w:color w:val="2E74B5"/>
        </w:rPr>
        <w:t>Sharing D</w:t>
      </w:r>
      <w:r w:rsidR="00AF01F5">
        <w:t>ata within Connected Health Cities</w:t>
      </w:r>
      <w:r w:rsidR="005A4883">
        <w:t xml:space="preserve"> </w:t>
      </w:r>
    </w:p>
    <w:tbl>
      <w:tblPr>
        <w:tblStyle w:val="TableGrid"/>
        <w:tblW w:w="0" w:type="auto"/>
        <w:tblLook w:val="04A0" w:firstRow="1" w:lastRow="0" w:firstColumn="1" w:lastColumn="0" w:noHBand="0" w:noVBand="1"/>
      </w:tblPr>
      <w:tblGrid>
        <w:gridCol w:w="4508"/>
        <w:gridCol w:w="4508"/>
      </w:tblGrid>
      <w:tr w:rsidR="005A4883" w14:paraId="25086107" w14:textId="77777777" w:rsidTr="00AF1F2C">
        <w:tc>
          <w:tcPr>
            <w:tcW w:w="4508" w:type="dxa"/>
            <w:vAlign w:val="bottom"/>
          </w:tcPr>
          <w:p w14:paraId="57FAAB9F" w14:textId="77777777" w:rsidR="005A4883" w:rsidRPr="00CE6FD8" w:rsidRDefault="005A4883" w:rsidP="00AF1F2C">
            <w:pPr>
              <w:numPr>
                <w:ilvl w:val="0"/>
                <w:numId w:val="0"/>
              </w:numPr>
              <w:rPr>
                <w:b/>
                <w:sz w:val="24"/>
                <w:szCs w:val="24"/>
              </w:rPr>
            </w:pPr>
            <w:r w:rsidRPr="00CE6FD8">
              <w:rPr>
                <w:b/>
                <w:color w:val="2E74B5"/>
                <w:sz w:val="24"/>
                <w:szCs w:val="24"/>
              </w:rPr>
              <w:t>Organisation</w:t>
            </w:r>
          </w:p>
        </w:tc>
        <w:tc>
          <w:tcPr>
            <w:tcW w:w="4508" w:type="dxa"/>
            <w:vAlign w:val="center"/>
          </w:tcPr>
          <w:p w14:paraId="4696DF7C" w14:textId="77777777" w:rsidR="005A4883" w:rsidRDefault="005A4883" w:rsidP="00AF1F2C">
            <w:pPr>
              <w:numPr>
                <w:ilvl w:val="0"/>
                <w:numId w:val="0"/>
              </w:numPr>
              <w:spacing w:before="240"/>
              <w:ind w:left="720"/>
            </w:pPr>
            <w:r w:rsidRPr="00B6799F">
              <w:rPr>
                <w:color w:val="BFBFBF" w:themeColor="background1" w:themeShade="BF"/>
              </w:rPr>
              <w:t>To be completed by</w:t>
            </w:r>
            <w:r>
              <w:rPr>
                <w:color w:val="BFBFBF" w:themeColor="background1" w:themeShade="BF"/>
              </w:rPr>
              <w:t xml:space="preserve"> the</w:t>
            </w:r>
            <w:r w:rsidRPr="00B6799F">
              <w:rPr>
                <w:color w:val="BFBFBF" w:themeColor="background1" w:themeShade="BF"/>
              </w:rPr>
              <w:t xml:space="preserve"> organisation</w:t>
            </w:r>
          </w:p>
        </w:tc>
      </w:tr>
    </w:tbl>
    <w:p w14:paraId="4D7F203C" w14:textId="161C3DA3" w:rsidR="005A4883" w:rsidRDefault="005A4883" w:rsidP="002421AE">
      <w:pPr>
        <w:pStyle w:val="Heading2"/>
        <w:numPr>
          <w:ilvl w:val="0"/>
          <w:numId w:val="0"/>
        </w:numPr>
        <w:ind w:left="283"/>
      </w:pPr>
      <w:r>
        <w:t xml:space="preserve">Purpose of </w:t>
      </w:r>
      <w:r w:rsidR="005F79B4">
        <w:t>Contract</w:t>
      </w:r>
    </w:p>
    <w:p w14:paraId="21047DB5" w14:textId="145D77A1" w:rsidR="005A4883" w:rsidRDefault="005A4883" w:rsidP="005A4883">
      <w:pPr>
        <w:rPr>
          <w:lang w:eastAsia="en-GB"/>
        </w:rPr>
      </w:pPr>
      <w:r>
        <w:rPr>
          <w:lang w:eastAsia="en-GB"/>
        </w:rPr>
        <w:t xml:space="preserve">This Data Sharing </w:t>
      </w:r>
      <w:r w:rsidR="005F79B4">
        <w:rPr>
          <w:lang w:eastAsia="en-GB"/>
        </w:rPr>
        <w:t>Contract</w:t>
      </w:r>
      <w:r>
        <w:rPr>
          <w:lang w:eastAsia="en-GB"/>
        </w:rPr>
        <w:t xml:space="preserve"> establishes an undertaking by the </w:t>
      </w:r>
      <w:r w:rsidR="00AF01F5">
        <w:rPr>
          <w:lang w:eastAsia="en-GB"/>
        </w:rPr>
        <w:t>above-named</w:t>
      </w:r>
      <w:r>
        <w:rPr>
          <w:lang w:eastAsia="en-GB"/>
        </w:rPr>
        <w:t xml:space="preserve"> organisation to abide by a code of conduct </w:t>
      </w:r>
      <w:r w:rsidR="00AF01F5">
        <w:rPr>
          <w:lang w:eastAsia="en-GB"/>
        </w:rPr>
        <w:t>regarding</w:t>
      </w:r>
      <w:r>
        <w:rPr>
          <w:lang w:eastAsia="en-GB"/>
        </w:rPr>
        <w:t xml:space="preserve"> the management of any patient or service user Data shared or received by the organisation in pursuance of </w:t>
      </w:r>
      <w:r w:rsidR="00AF01F5">
        <w:rPr>
          <w:lang w:eastAsia="en-GB"/>
        </w:rPr>
        <w:t xml:space="preserve">care pathways, </w:t>
      </w:r>
      <w:r>
        <w:rPr>
          <w:lang w:eastAsia="en-GB"/>
        </w:rPr>
        <w:t xml:space="preserve">research projects, or other approved programmes that are supported by the </w:t>
      </w:r>
      <w:r w:rsidR="00AF01F5">
        <w:rPr>
          <w:lang w:eastAsia="en-GB"/>
        </w:rPr>
        <w:t>Connected Health Cities</w:t>
      </w:r>
      <w:r>
        <w:rPr>
          <w:lang w:eastAsia="en-GB"/>
        </w:rPr>
        <w:t xml:space="preserve">. </w:t>
      </w:r>
    </w:p>
    <w:p w14:paraId="7204DB7A" w14:textId="6C474B93" w:rsidR="00CD381D" w:rsidRDefault="00CD381D" w:rsidP="005A4883">
      <w:pPr>
        <w:rPr>
          <w:lang w:eastAsia="en-GB"/>
        </w:rPr>
      </w:pPr>
      <w:r>
        <w:rPr>
          <w:lang w:eastAsia="en-GB"/>
        </w:rPr>
        <w:t xml:space="preserve">Each data sharing arrangement will require a Data Sharing </w:t>
      </w:r>
      <w:r w:rsidR="005F79B4">
        <w:rPr>
          <w:lang w:eastAsia="en-GB"/>
        </w:rPr>
        <w:t>Agreement</w:t>
      </w:r>
      <w:r>
        <w:rPr>
          <w:lang w:eastAsia="en-GB"/>
        </w:rPr>
        <w:t xml:space="preserve"> which describes the data to be shared under the terms and conditions of this Data Sharing </w:t>
      </w:r>
      <w:r w:rsidR="005F79B4">
        <w:rPr>
          <w:lang w:eastAsia="en-GB"/>
        </w:rPr>
        <w:t>Contract</w:t>
      </w:r>
      <w:r>
        <w:rPr>
          <w:lang w:eastAsia="en-GB"/>
        </w:rPr>
        <w:t>.</w:t>
      </w:r>
    </w:p>
    <w:p w14:paraId="44574F69" w14:textId="223ACA01" w:rsidR="005A4883" w:rsidRDefault="005A4883" w:rsidP="005A4883">
      <w:pPr>
        <w:rPr>
          <w:lang w:eastAsia="en-GB"/>
        </w:rPr>
      </w:pPr>
      <w:r>
        <w:rPr>
          <w:lang w:eastAsia="en-GB"/>
        </w:rPr>
        <w:t xml:space="preserve">Organisations that participate in Data Sharing under this Data Sharing </w:t>
      </w:r>
      <w:r w:rsidR="005F79B4">
        <w:rPr>
          <w:lang w:eastAsia="en-GB"/>
        </w:rPr>
        <w:t>Contract</w:t>
      </w:r>
      <w:r>
        <w:rPr>
          <w:lang w:eastAsia="en-GB"/>
        </w:rPr>
        <w:t xml:space="preserve"> are the following:</w:t>
      </w:r>
    </w:p>
    <w:p w14:paraId="4E94F2F0" w14:textId="12A9F046" w:rsidR="0044408A" w:rsidRPr="0080408B" w:rsidRDefault="00AF01F5" w:rsidP="0044408A">
      <w:pPr>
        <w:pStyle w:val="ListParagraph"/>
        <w:numPr>
          <w:ilvl w:val="1"/>
          <w:numId w:val="2"/>
        </w:numPr>
        <w:overflowPunct w:val="0"/>
        <w:autoSpaceDE w:val="0"/>
        <w:autoSpaceDN w:val="0"/>
        <w:spacing w:before="182" w:after="0" w:line="240" w:lineRule="auto"/>
        <w:ind w:right="75"/>
        <w:contextualSpacing w:val="0"/>
        <w:rPr>
          <w:rFonts w:ascii="Calibri" w:hAnsi="Calibri"/>
          <w:highlight w:val="yellow"/>
        </w:rPr>
      </w:pPr>
      <w:proofErr w:type="spellStart"/>
      <w:r w:rsidRPr="0080408B">
        <w:rPr>
          <w:rFonts w:ascii="Calibri" w:hAnsi="Calibri"/>
          <w:highlight w:val="yellow"/>
        </w:rPr>
        <w:t>Xxxxx</w:t>
      </w:r>
      <w:proofErr w:type="spellEnd"/>
      <w:r w:rsidRPr="0080408B">
        <w:rPr>
          <w:rFonts w:ascii="Calibri" w:hAnsi="Calibri"/>
          <w:highlight w:val="yellow"/>
        </w:rPr>
        <w:t xml:space="preserve"> Trust</w:t>
      </w:r>
    </w:p>
    <w:p w14:paraId="1C735A8A" w14:textId="2C55CFD8" w:rsidR="00AF01F5" w:rsidRPr="0080408B" w:rsidRDefault="00AF01F5" w:rsidP="0044408A">
      <w:pPr>
        <w:pStyle w:val="ListParagraph"/>
        <w:numPr>
          <w:ilvl w:val="1"/>
          <w:numId w:val="2"/>
        </w:numPr>
        <w:overflowPunct w:val="0"/>
        <w:autoSpaceDE w:val="0"/>
        <w:autoSpaceDN w:val="0"/>
        <w:spacing w:before="182" w:after="0" w:line="240" w:lineRule="auto"/>
        <w:ind w:right="75"/>
        <w:contextualSpacing w:val="0"/>
        <w:rPr>
          <w:rFonts w:ascii="Calibri" w:hAnsi="Calibri"/>
          <w:highlight w:val="yellow"/>
        </w:rPr>
      </w:pPr>
      <w:r w:rsidRPr="0080408B">
        <w:rPr>
          <w:rFonts w:ascii="Calibri" w:hAnsi="Calibri"/>
          <w:highlight w:val="yellow"/>
        </w:rPr>
        <w:t xml:space="preserve">University of </w:t>
      </w:r>
      <w:proofErr w:type="spellStart"/>
      <w:r w:rsidRPr="0080408B">
        <w:rPr>
          <w:rFonts w:ascii="Calibri" w:hAnsi="Calibri"/>
          <w:highlight w:val="yellow"/>
        </w:rPr>
        <w:t>xxxxx</w:t>
      </w:r>
      <w:proofErr w:type="spellEnd"/>
    </w:p>
    <w:p w14:paraId="17292768" w14:textId="77777777" w:rsidR="00D0728A" w:rsidRDefault="00D0728A" w:rsidP="007E6AB9">
      <w:pPr>
        <w:numPr>
          <w:ilvl w:val="0"/>
          <w:numId w:val="0"/>
        </w:numPr>
        <w:ind w:left="643" w:hanging="360"/>
      </w:pPr>
    </w:p>
    <w:p w14:paraId="569449F7" w14:textId="68621E16" w:rsidR="005A4883" w:rsidRDefault="0080408B" w:rsidP="007E6AB9">
      <w:pPr>
        <w:numPr>
          <w:ilvl w:val="0"/>
          <w:numId w:val="0"/>
        </w:numPr>
        <w:ind w:left="643" w:hanging="360"/>
      </w:pPr>
      <w:r>
        <w:t xml:space="preserve">DRAFT NOTE: LIST TO BE COMPLETED BY EACH CHC / </w:t>
      </w:r>
      <w:r w:rsidR="003779A9">
        <w:t xml:space="preserve">DISTINCT </w:t>
      </w:r>
      <w:r>
        <w:t>CARE PATHWAY</w:t>
      </w:r>
      <w:r w:rsidR="003779A9">
        <w:t xml:space="preserve"> AS REQUIRED</w:t>
      </w:r>
      <w:r w:rsidR="0044408A">
        <w:br w:type="page"/>
      </w:r>
    </w:p>
    <w:p w14:paraId="11E66618" w14:textId="21819BB3" w:rsidR="005A4883" w:rsidRDefault="005A4883" w:rsidP="00CC0E9E">
      <w:pPr>
        <w:keepNext/>
        <w:keepLines/>
        <w:ind w:left="360" w:hanging="357"/>
        <w:rPr>
          <w:lang w:eastAsia="en-GB"/>
        </w:rPr>
      </w:pPr>
      <w:r>
        <w:rPr>
          <w:lang w:eastAsia="en-GB"/>
        </w:rPr>
        <w:lastRenderedPageBreak/>
        <w:t xml:space="preserve">The purpose of the </w:t>
      </w:r>
      <w:r w:rsidR="005F79B4">
        <w:rPr>
          <w:lang w:eastAsia="en-GB"/>
        </w:rPr>
        <w:t>Contract</w:t>
      </w:r>
      <w:r>
        <w:rPr>
          <w:lang w:eastAsia="en-GB"/>
        </w:rPr>
        <w:t xml:space="preserve"> is to:</w:t>
      </w:r>
    </w:p>
    <w:p w14:paraId="4EE766A2" w14:textId="77777777" w:rsidR="005A4883" w:rsidRDefault="005A4883" w:rsidP="00CC0E9E">
      <w:pPr>
        <w:keepNext/>
        <w:keepLines/>
        <w:numPr>
          <w:ilvl w:val="1"/>
          <w:numId w:val="2"/>
        </w:numPr>
        <w:ind w:hanging="357"/>
        <w:rPr>
          <w:lang w:eastAsia="en-GB"/>
        </w:rPr>
      </w:pPr>
      <w:r>
        <w:rPr>
          <w:lang w:eastAsia="en-GB"/>
        </w:rPr>
        <w:t>Clarify the responsibilities of the organisation in relation to the Data</w:t>
      </w:r>
    </w:p>
    <w:p w14:paraId="1E592C5F" w14:textId="77777777" w:rsidR="005A4883" w:rsidRDefault="005A4883" w:rsidP="005A4883">
      <w:pPr>
        <w:numPr>
          <w:ilvl w:val="1"/>
          <w:numId w:val="2"/>
        </w:numPr>
        <w:rPr>
          <w:lang w:eastAsia="en-GB"/>
        </w:rPr>
      </w:pPr>
      <w:r>
        <w:rPr>
          <w:lang w:eastAsia="en-GB"/>
        </w:rPr>
        <w:t>Ensure that confidentiality and privacy of the Data are respected appropriately</w:t>
      </w:r>
    </w:p>
    <w:p w14:paraId="5E07F1FB" w14:textId="77777777" w:rsidR="005A4883" w:rsidRDefault="005A4883" w:rsidP="005A4883">
      <w:pPr>
        <w:numPr>
          <w:ilvl w:val="1"/>
          <w:numId w:val="2"/>
        </w:numPr>
        <w:rPr>
          <w:lang w:eastAsia="en-GB"/>
        </w:rPr>
      </w:pPr>
      <w:r>
        <w:rPr>
          <w:lang w:eastAsia="en-GB"/>
        </w:rPr>
        <w:t>Ensure that the organisation follows legislation and good practice in relation to data protection</w:t>
      </w:r>
    </w:p>
    <w:p w14:paraId="71DB103C" w14:textId="7B110334" w:rsidR="005A4883" w:rsidRDefault="005A4883" w:rsidP="005A4883">
      <w:pPr>
        <w:numPr>
          <w:ilvl w:val="1"/>
          <w:numId w:val="2"/>
        </w:numPr>
        <w:rPr>
          <w:lang w:eastAsia="en-GB"/>
        </w:rPr>
      </w:pPr>
      <w:r>
        <w:rPr>
          <w:lang w:eastAsia="en-GB"/>
        </w:rPr>
        <w:t xml:space="preserve">Set out arrangements for termination of the </w:t>
      </w:r>
      <w:r w:rsidR="005F79B4">
        <w:rPr>
          <w:lang w:eastAsia="en-GB"/>
        </w:rPr>
        <w:t>Contract</w:t>
      </w:r>
      <w:r>
        <w:rPr>
          <w:lang w:eastAsia="en-GB"/>
        </w:rPr>
        <w:t xml:space="preserve"> </w:t>
      </w:r>
    </w:p>
    <w:p w14:paraId="7C0AB6C5" w14:textId="77777777" w:rsidR="005A4883" w:rsidRDefault="005A4883" w:rsidP="002421AE">
      <w:pPr>
        <w:pStyle w:val="Heading2"/>
        <w:numPr>
          <w:ilvl w:val="0"/>
          <w:numId w:val="0"/>
        </w:numPr>
      </w:pPr>
      <w:r>
        <w:t>General Terms</w:t>
      </w:r>
    </w:p>
    <w:p w14:paraId="42128FD7" w14:textId="0FF8D5AE" w:rsidR="005A4883" w:rsidRDefault="005A4883" w:rsidP="005A4883">
      <w:pPr>
        <w:ind w:left="360"/>
        <w:rPr>
          <w:lang w:eastAsia="en-GB"/>
        </w:rPr>
      </w:pPr>
      <w:r>
        <w:rPr>
          <w:lang w:eastAsia="en-GB"/>
        </w:rPr>
        <w:t xml:space="preserve">This </w:t>
      </w:r>
      <w:r w:rsidR="005F79B4">
        <w:rPr>
          <w:lang w:eastAsia="en-GB"/>
        </w:rPr>
        <w:t>Contract</w:t>
      </w:r>
      <w:r>
        <w:rPr>
          <w:lang w:eastAsia="en-GB"/>
        </w:rPr>
        <w:t xml:space="preserve"> does not supersede any other data sharing arrangements operating between any of the signatory organisations of the </w:t>
      </w:r>
      <w:r w:rsidR="005F79B4">
        <w:rPr>
          <w:lang w:eastAsia="en-GB"/>
        </w:rPr>
        <w:t>Contract</w:t>
      </w:r>
      <w:r w:rsidR="001B3799">
        <w:rPr>
          <w:lang w:eastAsia="en-GB"/>
        </w:rPr>
        <w:t>,</w:t>
      </w:r>
      <w:r>
        <w:rPr>
          <w:lang w:eastAsia="en-GB"/>
        </w:rPr>
        <w:t xml:space="preserve"> it is relevant only to data sharing for the purposes of </w:t>
      </w:r>
      <w:r w:rsidR="00AF01F5">
        <w:rPr>
          <w:lang w:eastAsia="en-GB"/>
        </w:rPr>
        <w:t>the care pathways, research projects, or other approved programmes that are supported by the Connected Health Cities</w:t>
      </w:r>
      <w:r>
        <w:rPr>
          <w:lang w:eastAsia="en-GB"/>
        </w:rPr>
        <w:t xml:space="preserve">. </w:t>
      </w:r>
    </w:p>
    <w:p w14:paraId="5D24F0B6" w14:textId="2A35369D" w:rsidR="005A4883" w:rsidRDefault="005A4883" w:rsidP="005A4883">
      <w:pPr>
        <w:ind w:left="360"/>
        <w:rPr>
          <w:lang w:eastAsia="en-GB"/>
        </w:rPr>
      </w:pPr>
      <w:r>
        <w:rPr>
          <w:lang w:eastAsia="en-GB"/>
        </w:rPr>
        <w:t xml:space="preserve">It is intended that this </w:t>
      </w:r>
      <w:r w:rsidR="005F79B4">
        <w:rPr>
          <w:lang w:eastAsia="en-GB"/>
        </w:rPr>
        <w:t>Contract</w:t>
      </w:r>
      <w:r>
        <w:rPr>
          <w:lang w:eastAsia="en-GB"/>
        </w:rPr>
        <w:t xml:space="preserve"> is valid for a </w:t>
      </w:r>
      <w:proofErr w:type="gramStart"/>
      <w:r>
        <w:rPr>
          <w:lang w:eastAsia="en-GB"/>
        </w:rPr>
        <w:t>thre</w:t>
      </w:r>
      <w:r w:rsidR="00977A18">
        <w:rPr>
          <w:lang w:eastAsia="en-GB"/>
        </w:rPr>
        <w:t>e year</w:t>
      </w:r>
      <w:proofErr w:type="gramEnd"/>
      <w:r w:rsidR="00977A18">
        <w:rPr>
          <w:lang w:eastAsia="en-GB"/>
        </w:rPr>
        <w:t xml:space="preserve"> period from January 201</w:t>
      </w:r>
      <w:r w:rsidR="00AF01F5">
        <w:rPr>
          <w:lang w:eastAsia="en-GB"/>
        </w:rPr>
        <w:t>7</w:t>
      </w:r>
      <w:r>
        <w:rPr>
          <w:lang w:eastAsia="en-GB"/>
        </w:rPr>
        <w:t xml:space="preserve"> at which point it may be renewed or terminated</w:t>
      </w:r>
      <w:r w:rsidR="005461A0">
        <w:rPr>
          <w:lang w:eastAsia="en-GB"/>
        </w:rPr>
        <w:t xml:space="preserve"> by </w:t>
      </w:r>
      <w:r w:rsidR="00AF01F5">
        <w:rPr>
          <w:lang w:eastAsia="en-GB"/>
        </w:rPr>
        <w:t>Connected Health Cities</w:t>
      </w:r>
      <w:r w:rsidR="005461A0">
        <w:rPr>
          <w:lang w:eastAsia="en-GB"/>
        </w:rPr>
        <w:t xml:space="preserve"> in consultation with the named partners</w:t>
      </w:r>
      <w:r>
        <w:rPr>
          <w:lang w:eastAsia="en-GB"/>
        </w:rPr>
        <w:t xml:space="preserve">.  </w:t>
      </w:r>
    </w:p>
    <w:p w14:paraId="652EFD31" w14:textId="27B68B18" w:rsidR="0044408A" w:rsidRDefault="0044408A" w:rsidP="0044408A">
      <w:pPr>
        <w:ind w:left="360"/>
        <w:rPr>
          <w:lang w:eastAsia="en-GB"/>
        </w:rPr>
      </w:pPr>
      <w:r>
        <w:rPr>
          <w:lang w:eastAsia="en-GB"/>
        </w:rPr>
        <w:t xml:space="preserve">The </w:t>
      </w:r>
      <w:r w:rsidR="005F79B4">
        <w:rPr>
          <w:lang w:eastAsia="en-GB"/>
        </w:rPr>
        <w:t>Contract</w:t>
      </w:r>
      <w:r>
        <w:rPr>
          <w:lang w:eastAsia="en-GB"/>
        </w:rPr>
        <w:t xml:space="preserve"> shall be reviewed on an annual basis or as a result of </w:t>
      </w:r>
      <w:r w:rsidR="00AF01F5">
        <w:rPr>
          <w:lang w:eastAsia="en-GB"/>
        </w:rPr>
        <w:t>changes to relevant legislation or national policy. An</w:t>
      </w:r>
      <w:r>
        <w:rPr>
          <w:lang w:eastAsia="en-GB"/>
        </w:rPr>
        <w:t xml:space="preserve">y changes to the terms of the </w:t>
      </w:r>
      <w:r w:rsidR="005F79B4">
        <w:rPr>
          <w:lang w:eastAsia="en-GB"/>
        </w:rPr>
        <w:t>Contract</w:t>
      </w:r>
      <w:r>
        <w:rPr>
          <w:lang w:eastAsia="en-GB"/>
        </w:rPr>
        <w:t xml:space="preserve"> during the </w:t>
      </w:r>
      <w:proofErr w:type="gramStart"/>
      <w:r>
        <w:rPr>
          <w:lang w:eastAsia="en-GB"/>
        </w:rPr>
        <w:t>three year</w:t>
      </w:r>
      <w:proofErr w:type="gramEnd"/>
      <w:r>
        <w:rPr>
          <w:lang w:eastAsia="en-GB"/>
        </w:rPr>
        <w:t xml:space="preserve"> period shall be provided in writing and signed as an amendment to the Data Sharing </w:t>
      </w:r>
      <w:r w:rsidR="005F79B4">
        <w:rPr>
          <w:lang w:eastAsia="en-GB"/>
        </w:rPr>
        <w:t>Contract</w:t>
      </w:r>
      <w:r>
        <w:rPr>
          <w:lang w:eastAsia="en-GB"/>
        </w:rPr>
        <w:t xml:space="preserve"> by each partner organisation.</w:t>
      </w:r>
    </w:p>
    <w:p w14:paraId="68D66A67" w14:textId="0529C215" w:rsidR="005A4883" w:rsidRDefault="005A4883" w:rsidP="005A4883">
      <w:pPr>
        <w:ind w:left="360"/>
        <w:rPr>
          <w:lang w:eastAsia="en-GB"/>
        </w:rPr>
      </w:pPr>
      <w:r>
        <w:rPr>
          <w:lang w:eastAsia="en-GB"/>
        </w:rPr>
        <w:t>Signatories to th</w:t>
      </w:r>
      <w:r w:rsidR="00977A18">
        <w:rPr>
          <w:lang w:eastAsia="en-GB"/>
        </w:rPr>
        <w:t>is</w:t>
      </w:r>
      <w:r>
        <w:rPr>
          <w:lang w:eastAsia="en-GB"/>
        </w:rPr>
        <w:t xml:space="preserve"> </w:t>
      </w:r>
      <w:r w:rsidR="005F79B4">
        <w:rPr>
          <w:lang w:eastAsia="en-GB"/>
        </w:rPr>
        <w:t>Contract</w:t>
      </w:r>
      <w:r w:rsidR="00977A18">
        <w:rPr>
          <w:lang w:eastAsia="en-GB"/>
        </w:rPr>
        <w:t xml:space="preserve"> </w:t>
      </w:r>
      <w:r>
        <w:rPr>
          <w:lang w:eastAsia="en-GB"/>
        </w:rPr>
        <w:t>are responsible for ensuring that the</w:t>
      </w:r>
      <w:r w:rsidR="00AF01F5">
        <w:rPr>
          <w:lang w:eastAsia="en-GB"/>
        </w:rPr>
        <w:t>ir</w:t>
      </w:r>
      <w:r>
        <w:rPr>
          <w:lang w:eastAsia="en-GB"/>
        </w:rPr>
        <w:t xml:space="preserve"> organisation has implemented appropriate policies, procedures and processes to safeguard the Data which continue to achieve a satisfactory IG Toolkit Score </w:t>
      </w:r>
      <w:r w:rsidR="00D5609F">
        <w:rPr>
          <w:lang w:eastAsia="en-GB"/>
        </w:rPr>
        <w:t>(at least Level 2)</w:t>
      </w:r>
      <w:r w:rsidR="005461A0">
        <w:rPr>
          <w:lang w:eastAsia="en-GB"/>
        </w:rPr>
        <w:t xml:space="preserve"> </w:t>
      </w:r>
      <w:r>
        <w:rPr>
          <w:lang w:eastAsia="en-GB"/>
        </w:rPr>
        <w:t>for the requirements required of its organisation type.</w:t>
      </w:r>
    </w:p>
    <w:p w14:paraId="234E60F1" w14:textId="73C206A0" w:rsidR="00E76BBB" w:rsidRDefault="00E76BBB" w:rsidP="00BA58B4">
      <w:pPr>
        <w:ind w:left="360"/>
      </w:pPr>
      <w:r>
        <w:rPr>
          <w:lang w:eastAsia="en-GB"/>
        </w:rPr>
        <w:t xml:space="preserve">Nothing in this </w:t>
      </w:r>
      <w:r w:rsidR="005F79B4">
        <w:rPr>
          <w:lang w:eastAsia="en-GB"/>
        </w:rPr>
        <w:t>Contract</w:t>
      </w:r>
      <w:r>
        <w:rPr>
          <w:lang w:eastAsia="en-GB"/>
        </w:rPr>
        <w:t xml:space="preserve"> shall:</w:t>
      </w:r>
    </w:p>
    <w:p w14:paraId="10E9BA05" w14:textId="28EFCC33" w:rsidR="00E76BBB" w:rsidRDefault="00E76BBB" w:rsidP="00BA58B4">
      <w:pPr>
        <w:numPr>
          <w:ilvl w:val="1"/>
          <w:numId w:val="2"/>
        </w:numPr>
      </w:pPr>
      <w:r>
        <w:t>impose an obligation on any partner organisation to disclose any Health Data to the other; or</w:t>
      </w:r>
    </w:p>
    <w:p w14:paraId="71921BB1" w14:textId="5CC249BA" w:rsidR="00E76BBB" w:rsidRDefault="00E76BBB" w:rsidP="00BA58B4">
      <w:pPr>
        <w:numPr>
          <w:ilvl w:val="1"/>
          <w:numId w:val="2"/>
        </w:numPr>
      </w:pPr>
      <w:r>
        <w:t>require any partner organisation to act in a manner which conflicts with its legal obligations, legal functions or duties, or internal governance arrangements.</w:t>
      </w:r>
    </w:p>
    <w:p w14:paraId="04BCCDA9" w14:textId="0A15078D" w:rsidR="005A4883" w:rsidRDefault="005A4883" w:rsidP="005A4883">
      <w:pPr>
        <w:ind w:left="360"/>
        <w:rPr>
          <w:lang w:eastAsia="en-GB"/>
        </w:rPr>
      </w:pPr>
      <w:r>
        <w:rPr>
          <w:lang w:eastAsia="en-GB"/>
        </w:rPr>
        <w:t xml:space="preserve">Signatories to the </w:t>
      </w:r>
      <w:r w:rsidR="005F79B4">
        <w:rPr>
          <w:lang w:eastAsia="en-GB"/>
        </w:rPr>
        <w:t>Contract</w:t>
      </w:r>
      <w:r>
        <w:rPr>
          <w:lang w:eastAsia="en-GB"/>
        </w:rPr>
        <w:t xml:space="preserve"> undertake to ensure that each of its employees, including students, contractors, and locums, </w:t>
      </w:r>
      <w:r w:rsidR="00977A18">
        <w:rPr>
          <w:lang w:eastAsia="en-GB"/>
        </w:rPr>
        <w:t xml:space="preserve">have undertaken appropriate Information Governance training and </w:t>
      </w:r>
      <w:r>
        <w:rPr>
          <w:lang w:eastAsia="en-GB"/>
        </w:rPr>
        <w:t xml:space="preserve">recognises and understands their responsibilities when sharing or receiving patient or service user Data under this Data Sharing </w:t>
      </w:r>
      <w:r w:rsidR="005F79B4">
        <w:rPr>
          <w:lang w:eastAsia="en-GB"/>
        </w:rPr>
        <w:t>Contract</w:t>
      </w:r>
      <w:r>
        <w:rPr>
          <w:lang w:eastAsia="en-GB"/>
        </w:rPr>
        <w:t xml:space="preserve"> and the relevant Data Sharing </w:t>
      </w:r>
      <w:r w:rsidR="005F79B4">
        <w:rPr>
          <w:lang w:eastAsia="en-GB"/>
        </w:rPr>
        <w:t>Agreement</w:t>
      </w:r>
      <w:r>
        <w:rPr>
          <w:lang w:eastAsia="en-GB"/>
        </w:rPr>
        <w:t>.</w:t>
      </w:r>
    </w:p>
    <w:p w14:paraId="5A2A7082" w14:textId="57C7E7A0" w:rsidR="005A4883" w:rsidRDefault="005A4883" w:rsidP="005A4883">
      <w:pPr>
        <w:ind w:left="360"/>
        <w:rPr>
          <w:lang w:eastAsia="en-GB"/>
        </w:rPr>
      </w:pPr>
      <w:r>
        <w:rPr>
          <w:lang w:eastAsia="en-GB"/>
        </w:rPr>
        <w:t xml:space="preserve">Failure to comply with the terms of this Data Sharing </w:t>
      </w:r>
      <w:r w:rsidR="005F79B4">
        <w:rPr>
          <w:lang w:eastAsia="en-GB"/>
        </w:rPr>
        <w:t>Contract</w:t>
      </w:r>
      <w:r>
        <w:rPr>
          <w:lang w:eastAsia="en-GB"/>
        </w:rPr>
        <w:t xml:space="preserve"> may lead to the withdrawal of the organisation’s right to participate in the </w:t>
      </w:r>
      <w:r w:rsidR="005F79B4">
        <w:rPr>
          <w:lang w:eastAsia="en-GB"/>
        </w:rPr>
        <w:t>Contract</w:t>
      </w:r>
      <w:r>
        <w:rPr>
          <w:lang w:eastAsia="en-GB"/>
        </w:rPr>
        <w:t xml:space="preserve"> and access to any Data supplied under the Data Sharing </w:t>
      </w:r>
      <w:r w:rsidR="005F79B4">
        <w:rPr>
          <w:lang w:eastAsia="en-GB"/>
        </w:rPr>
        <w:t>Contract</w:t>
      </w:r>
      <w:r>
        <w:rPr>
          <w:lang w:eastAsia="en-GB"/>
        </w:rPr>
        <w:t xml:space="preserve"> being withdrawn.</w:t>
      </w:r>
    </w:p>
    <w:p w14:paraId="292B1A32" w14:textId="42BA35AD" w:rsidR="005A4883" w:rsidRDefault="005A4883" w:rsidP="005A4883">
      <w:pPr>
        <w:ind w:left="360"/>
        <w:rPr>
          <w:lang w:eastAsia="en-GB"/>
        </w:rPr>
      </w:pPr>
      <w:r>
        <w:rPr>
          <w:lang w:eastAsia="en-GB"/>
        </w:rPr>
        <w:lastRenderedPageBreak/>
        <w:t xml:space="preserve">This Data Sharing </w:t>
      </w:r>
      <w:r w:rsidR="005F79B4">
        <w:rPr>
          <w:lang w:eastAsia="en-GB"/>
        </w:rPr>
        <w:t>Contract</w:t>
      </w:r>
      <w:r>
        <w:rPr>
          <w:lang w:eastAsia="en-GB"/>
        </w:rPr>
        <w:t xml:space="preserve"> alone does not facilitate </w:t>
      </w:r>
      <w:r w:rsidR="00AB4E9E">
        <w:rPr>
          <w:lang w:eastAsia="en-GB"/>
        </w:rPr>
        <w:t>d</w:t>
      </w:r>
      <w:r>
        <w:rPr>
          <w:lang w:eastAsia="en-GB"/>
        </w:rPr>
        <w:t xml:space="preserve">ata sharing.  No Data shall be transferred or shared until a separate Data Sharing </w:t>
      </w:r>
      <w:r w:rsidR="005F79B4">
        <w:rPr>
          <w:lang w:eastAsia="en-GB"/>
        </w:rPr>
        <w:t>Agreement</w:t>
      </w:r>
      <w:r>
        <w:rPr>
          <w:lang w:eastAsia="en-GB"/>
        </w:rPr>
        <w:t xml:space="preserve"> has been completed and signed by each participating organisation in respect of the proposed </w:t>
      </w:r>
      <w:r w:rsidR="00AB4E9E">
        <w:rPr>
          <w:lang w:eastAsia="en-GB"/>
        </w:rPr>
        <w:t>d</w:t>
      </w:r>
      <w:r>
        <w:rPr>
          <w:lang w:eastAsia="en-GB"/>
        </w:rPr>
        <w:t xml:space="preserve">ata flow or </w:t>
      </w:r>
      <w:r w:rsidR="00AB4E9E">
        <w:rPr>
          <w:lang w:eastAsia="en-GB"/>
        </w:rPr>
        <w:t>d</w:t>
      </w:r>
      <w:r>
        <w:rPr>
          <w:lang w:eastAsia="en-GB"/>
        </w:rPr>
        <w:t xml:space="preserve">ata sharing arrangement.  </w:t>
      </w:r>
    </w:p>
    <w:p w14:paraId="7598CA60" w14:textId="022F394D" w:rsidR="005A4883" w:rsidRDefault="005A4883" w:rsidP="005A4883">
      <w:pPr>
        <w:ind w:left="360"/>
        <w:rPr>
          <w:lang w:eastAsia="en-GB"/>
        </w:rPr>
      </w:pPr>
      <w:r>
        <w:rPr>
          <w:lang w:eastAsia="en-GB"/>
        </w:rPr>
        <w:t xml:space="preserve">Any organisation requesting Data under the terms of this </w:t>
      </w:r>
      <w:r w:rsidR="005F79B4">
        <w:rPr>
          <w:lang w:eastAsia="en-GB"/>
        </w:rPr>
        <w:t>Contract</w:t>
      </w:r>
      <w:r>
        <w:rPr>
          <w:lang w:eastAsia="en-GB"/>
        </w:rPr>
        <w:t xml:space="preserve"> shall adhere</w:t>
      </w:r>
      <w:r w:rsidR="00977A18">
        <w:rPr>
          <w:lang w:eastAsia="en-GB"/>
        </w:rPr>
        <w:t xml:space="preserve"> to the guidance set out in the Guidance on Data Use and Data Sharing </w:t>
      </w:r>
      <w:r>
        <w:rPr>
          <w:lang w:eastAsia="en-GB"/>
        </w:rPr>
        <w:t xml:space="preserve">prior to making such a request. </w:t>
      </w:r>
    </w:p>
    <w:p w14:paraId="5B0CF630" w14:textId="7514E7C4" w:rsidR="005A4883" w:rsidRDefault="005A4883" w:rsidP="005A4883">
      <w:pPr>
        <w:ind w:left="360"/>
        <w:rPr>
          <w:lang w:eastAsia="en-GB"/>
        </w:rPr>
      </w:pPr>
      <w:r>
        <w:rPr>
          <w:lang w:eastAsia="en-GB"/>
        </w:rPr>
        <w:t xml:space="preserve">A specific Data Sharing </w:t>
      </w:r>
      <w:r w:rsidR="005F79B4">
        <w:rPr>
          <w:lang w:eastAsia="en-GB"/>
        </w:rPr>
        <w:t>Agreement</w:t>
      </w:r>
      <w:r>
        <w:rPr>
          <w:lang w:eastAsia="en-GB"/>
        </w:rPr>
        <w:t xml:space="preserve"> between the Receiving </w:t>
      </w:r>
      <w:r w:rsidR="005C642D">
        <w:rPr>
          <w:lang w:eastAsia="en-GB"/>
        </w:rPr>
        <w:t>O</w:t>
      </w:r>
      <w:r>
        <w:rPr>
          <w:lang w:eastAsia="en-GB"/>
        </w:rPr>
        <w:t xml:space="preserve">rganisation and each Providing </w:t>
      </w:r>
      <w:r w:rsidR="007E6AB9">
        <w:rPr>
          <w:lang w:eastAsia="en-GB"/>
        </w:rPr>
        <w:t>O</w:t>
      </w:r>
      <w:r>
        <w:rPr>
          <w:lang w:eastAsia="en-GB"/>
        </w:rPr>
        <w:t xml:space="preserve">rganisation shall provide details for each individual </w:t>
      </w:r>
      <w:r w:rsidR="00AB4E9E">
        <w:rPr>
          <w:lang w:eastAsia="en-GB"/>
        </w:rPr>
        <w:t>d</w:t>
      </w:r>
      <w:r>
        <w:rPr>
          <w:lang w:eastAsia="en-GB"/>
        </w:rPr>
        <w:t>ata sharing arrangement including:</w:t>
      </w:r>
    </w:p>
    <w:p w14:paraId="1B4D6682" w14:textId="5F9D0B86" w:rsidR="005A4883" w:rsidRDefault="005A4883" w:rsidP="005A4883">
      <w:pPr>
        <w:numPr>
          <w:ilvl w:val="1"/>
          <w:numId w:val="2"/>
        </w:numPr>
        <w:rPr>
          <w:lang w:eastAsia="en-GB"/>
        </w:rPr>
      </w:pPr>
      <w:r>
        <w:rPr>
          <w:lang w:eastAsia="en-GB"/>
        </w:rPr>
        <w:t xml:space="preserve">The Data to be shared including frequency: See section 5 of the Data Sharing </w:t>
      </w:r>
      <w:r w:rsidR="005F79B4">
        <w:rPr>
          <w:lang w:eastAsia="en-GB"/>
        </w:rPr>
        <w:t>Agreement</w:t>
      </w:r>
    </w:p>
    <w:p w14:paraId="03624AB8" w14:textId="28AB641D" w:rsidR="005A4883" w:rsidRDefault="005A4883" w:rsidP="005A4883">
      <w:pPr>
        <w:numPr>
          <w:ilvl w:val="1"/>
          <w:numId w:val="2"/>
        </w:numPr>
        <w:rPr>
          <w:lang w:eastAsia="en-GB"/>
        </w:rPr>
      </w:pPr>
      <w:r>
        <w:rPr>
          <w:lang w:eastAsia="en-GB"/>
        </w:rPr>
        <w:t>The purpose the Data is to be used for (which must be a ‘medical’</w:t>
      </w:r>
      <w:r>
        <w:rPr>
          <w:rStyle w:val="FootnoteReference"/>
          <w:lang w:eastAsia="en-GB"/>
        </w:rPr>
        <w:footnoteReference w:id="1"/>
      </w:r>
      <w:r>
        <w:rPr>
          <w:lang w:eastAsia="en-GB"/>
        </w:rPr>
        <w:t xml:space="preserve"> purpose) See section 5 of the Data Sharing </w:t>
      </w:r>
      <w:r w:rsidR="005F79B4">
        <w:rPr>
          <w:lang w:eastAsia="en-GB"/>
        </w:rPr>
        <w:t>Agreement</w:t>
      </w:r>
    </w:p>
    <w:p w14:paraId="6CD91EE0" w14:textId="415621E5" w:rsidR="005A4883" w:rsidRDefault="005A4883" w:rsidP="005A4883">
      <w:pPr>
        <w:numPr>
          <w:ilvl w:val="1"/>
          <w:numId w:val="2"/>
        </w:numPr>
        <w:rPr>
          <w:lang w:eastAsia="en-GB"/>
        </w:rPr>
      </w:pPr>
      <w:r>
        <w:rPr>
          <w:lang w:eastAsia="en-GB"/>
        </w:rPr>
        <w:t xml:space="preserve">The method of transfer / details of how the </w:t>
      </w:r>
      <w:r w:rsidR="00AB4E9E">
        <w:rPr>
          <w:lang w:eastAsia="en-GB"/>
        </w:rPr>
        <w:t>D</w:t>
      </w:r>
      <w:r>
        <w:rPr>
          <w:lang w:eastAsia="en-GB"/>
        </w:rPr>
        <w:t xml:space="preserve">ata will be shared: See section 5 of the Data Sharing </w:t>
      </w:r>
      <w:r w:rsidR="005F79B4">
        <w:rPr>
          <w:lang w:eastAsia="en-GB"/>
        </w:rPr>
        <w:t>Agreement</w:t>
      </w:r>
    </w:p>
    <w:p w14:paraId="608273C1" w14:textId="10656EED" w:rsidR="005A4883" w:rsidRDefault="005A4883" w:rsidP="005A4883">
      <w:pPr>
        <w:numPr>
          <w:ilvl w:val="1"/>
          <w:numId w:val="2"/>
        </w:numPr>
        <w:rPr>
          <w:lang w:eastAsia="en-GB"/>
        </w:rPr>
      </w:pPr>
      <w:r>
        <w:rPr>
          <w:lang w:eastAsia="en-GB"/>
        </w:rPr>
        <w:t xml:space="preserve">For </w:t>
      </w:r>
      <w:r w:rsidR="00AB4E9E">
        <w:rPr>
          <w:lang w:eastAsia="en-GB"/>
        </w:rPr>
        <w:t>P</w:t>
      </w:r>
      <w:r>
        <w:rPr>
          <w:lang w:eastAsia="en-GB"/>
        </w:rPr>
        <w:t xml:space="preserve">ersonal Data, the Data Controller arrangements: See section 6 of the Data Sharing </w:t>
      </w:r>
      <w:r w:rsidR="005F79B4">
        <w:rPr>
          <w:lang w:eastAsia="en-GB"/>
        </w:rPr>
        <w:t>Agreement</w:t>
      </w:r>
    </w:p>
    <w:p w14:paraId="079FA109" w14:textId="7950DD3A" w:rsidR="005A4883" w:rsidRDefault="005A4883" w:rsidP="005A4883">
      <w:pPr>
        <w:numPr>
          <w:ilvl w:val="1"/>
          <w:numId w:val="2"/>
        </w:numPr>
        <w:rPr>
          <w:lang w:eastAsia="en-GB"/>
        </w:rPr>
      </w:pPr>
      <w:r>
        <w:rPr>
          <w:lang w:eastAsia="en-GB"/>
        </w:rPr>
        <w:t xml:space="preserve">The legal basis for sharing: See section 6 of the Data Sharing </w:t>
      </w:r>
      <w:r w:rsidR="005F79B4">
        <w:rPr>
          <w:lang w:eastAsia="en-GB"/>
        </w:rPr>
        <w:t>Agreement</w:t>
      </w:r>
    </w:p>
    <w:p w14:paraId="4454B69F" w14:textId="47FA0369" w:rsidR="00AF1F2C" w:rsidRDefault="005A4883" w:rsidP="005A4883">
      <w:pPr>
        <w:ind w:left="360"/>
        <w:rPr>
          <w:lang w:eastAsia="en-GB"/>
        </w:rPr>
      </w:pPr>
      <w:r>
        <w:rPr>
          <w:lang w:eastAsia="en-GB"/>
        </w:rPr>
        <w:t xml:space="preserve">A copy of the Data Sharing </w:t>
      </w:r>
      <w:r w:rsidR="005F79B4">
        <w:rPr>
          <w:lang w:eastAsia="en-GB"/>
        </w:rPr>
        <w:t>Agreement</w:t>
      </w:r>
      <w:r w:rsidR="00AF1F2C">
        <w:rPr>
          <w:lang w:eastAsia="en-GB"/>
        </w:rPr>
        <w:t xml:space="preserve"> </w:t>
      </w:r>
      <w:r w:rsidR="0080408B">
        <w:rPr>
          <w:lang w:eastAsia="en-GB"/>
        </w:rPr>
        <w:t xml:space="preserve">template </w:t>
      </w:r>
      <w:r w:rsidR="00AF1F2C">
        <w:rPr>
          <w:lang w:eastAsia="en-GB"/>
        </w:rPr>
        <w:t xml:space="preserve">can be found </w:t>
      </w:r>
      <w:r w:rsidR="00D5609F">
        <w:rPr>
          <w:lang w:eastAsia="en-GB"/>
        </w:rPr>
        <w:t xml:space="preserve">at </w:t>
      </w:r>
      <w:r w:rsidR="00D5609F" w:rsidRPr="00AF01F5">
        <w:rPr>
          <w:highlight w:val="yellow"/>
          <w:lang w:eastAsia="en-GB"/>
        </w:rPr>
        <w:t xml:space="preserve">[Insert URL for </w:t>
      </w:r>
      <w:r w:rsidR="005F79B4">
        <w:rPr>
          <w:highlight w:val="yellow"/>
          <w:lang w:eastAsia="en-GB"/>
        </w:rPr>
        <w:t>Agreement</w:t>
      </w:r>
      <w:r w:rsidR="00D5609F" w:rsidRPr="00AF01F5">
        <w:rPr>
          <w:highlight w:val="yellow"/>
          <w:lang w:eastAsia="en-GB"/>
        </w:rPr>
        <w:t xml:space="preserve"> Here]</w:t>
      </w:r>
      <w:r w:rsidR="00D5609F">
        <w:rPr>
          <w:lang w:eastAsia="en-GB"/>
        </w:rPr>
        <w:t xml:space="preserve"> </w:t>
      </w:r>
      <w:r>
        <w:rPr>
          <w:lang w:eastAsia="en-GB"/>
        </w:rPr>
        <w:t xml:space="preserve">  </w:t>
      </w:r>
    </w:p>
    <w:p w14:paraId="336992B5" w14:textId="3BF94E16" w:rsidR="005A4883" w:rsidRDefault="005A4883" w:rsidP="005A4883">
      <w:pPr>
        <w:ind w:left="360"/>
        <w:rPr>
          <w:lang w:eastAsia="en-GB"/>
        </w:rPr>
      </w:pPr>
      <w:r>
        <w:rPr>
          <w:lang w:eastAsia="en-GB"/>
        </w:rPr>
        <w:t xml:space="preserve">Each Data Sharing </w:t>
      </w:r>
      <w:r w:rsidR="005F79B4">
        <w:rPr>
          <w:lang w:eastAsia="en-GB"/>
        </w:rPr>
        <w:t>Agreement</w:t>
      </w:r>
      <w:r>
        <w:rPr>
          <w:lang w:eastAsia="en-GB"/>
        </w:rPr>
        <w:t xml:space="preserve"> shall be governed by the terms and conditions of this Data Sharing </w:t>
      </w:r>
      <w:r w:rsidR="005F79B4">
        <w:rPr>
          <w:lang w:eastAsia="en-GB"/>
        </w:rPr>
        <w:t>Contract</w:t>
      </w:r>
      <w:r>
        <w:rPr>
          <w:lang w:eastAsia="en-GB"/>
        </w:rPr>
        <w:t xml:space="preserve">. Data to be shared under this </w:t>
      </w:r>
      <w:r w:rsidR="005F79B4">
        <w:rPr>
          <w:lang w:eastAsia="en-GB"/>
        </w:rPr>
        <w:t>Contract</w:t>
      </w:r>
      <w:r>
        <w:rPr>
          <w:lang w:eastAsia="en-GB"/>
        </w:rPr>
        <w:t xml:space="preserve"> may be Anonymised</w:t>
      </w:r>
      <w:r w:rsidR="00AF01F5">
        <w:rPr>
          <w:lang w:eastAsia="en-GB"/>
        </w:rPr>
        <w:t xml:space="preserve"> (</w:t>
      </w:r>
      <w:r w:rsidR="00444D60">
        <w:rPr>
          <w:lang w:eastAsia="en-GB"/>
        </w:rPr>
        <w:t xml:space="preserve">including </w:t>
      </w:r>
      <w:r w:rsidR="00AF01F5">
        <w:rPr>
          <w:lang w:eastAsia="en-GB"/>
        </w:rPr>
        <w:t>through d</w:t>
      </w:r>
      <w:r>
        <w:rPr>
          <w:lang w:eastAsia="en-GB"/>
        </w:rPr>
        <w:t>e-identifi</w:t>
      </w:r>
      <w:r w:rsidR="00AF01F5">
        <w:rPr>
          <w:lang w:eastAsia="en-GB"/>
        </w:rPr>
        <w:t>cation or p</w:t>
      </w:r>
      <w:r>
        <w:rPr>
          <w:lang w:eastAsia="en-GB"/>
        </w:rPr>
        <w:t>seudonymis</w:t>
      </w:r>
      <w:r w:rsidR="00AF01F5">
        <w:rPr>
          <w:lang w:eastAsia="en-GB"/>
        </w:rPr>
        <w:t>ation</w:t>
      </w:r>
      <w:r w:rsidR="00D0728A">
        <w:rPr>
          <w:lang w:eastAsia="en-GB"/>
        </w:rPr>
        <w:t xml:space="preserve"> with appropriate controls in place</w:t>
      </w:r>
      <w:r w:rsidR="00444D60">
        <w:rPr>
          <w:lang w:eastAsia="en-GB"/>
        </w:rPr>
        <w:t>)</w:t>
      </w:r>
      <w:r w:rsidR="008261DC">
        <w:rPr>
          <w:lang w:eastAsia="en-GB"/>
        </w:rPr>
        <w:t xml:space="preserve"> or Personal Data.</w:t>
      </w:r>
    </w:p>
    <w:p w14:paraId="742E04CA" w14:textId="77777777" w:rsidR="005A4883" w:rsidRDefault="005A4883" w:rsidP="005A4883">
      <w:pPr>
        <w:pStyle w:val="Heading2"/>
        <w:numPr>
          <w:ilvl w:val="0"/>
          <w:numId w:val="0"/>
        </w:numPr>
        <w:rPr>
          <w:lang w:eastAsia="en-GB"/>
        </w:rPr>
      </w:pPr>
      <w:r>
        <w:rPr>
          <w:lang w:eastAsia="en-GB"/>
        </w:rPr>
        <w:t>Termination</w:t>
      </w:r>
    </w:p>
    <w:p w14:paraId="247AADD3" w14:textId="2E2E249C" w:rsidR="005A4883" w:rsidRDefault="005A4883" w:rsidP="005A4883">
      <w:pPr>
        <w:ind w:left="360"/>
        <w:rPr>
          <w:lang w:eastAsia="en-GB"/>
        </w:rPr>
      </w:pPr>
      <w:r>
        <w:rPr>
          <w:lang w:eastAsia="en-GB"/>
        </w:rPr>
        <w:t>Any signatory organisation may te</w:t>
      </w:r>
      <w:r w:rsidR="00444D60">
        <w:rPr>
          <w:lang w:eastAsia="en-GB"/>
        </w:rPr>
        <w:t xml:space="preserve">rminate this </w:t>
      </w:r>
      <w:r w:rsidR="005F79B4">
        <w:rPr>
          <w:lang w:eastAsia="en-GB"/>
        </w:rPr>
        <w:t>Contract</w:t>
      </w:r>
      <w:r w:rsidR="00444D60">
        <w:rPr>
          <w:lang w:eastAsia="en-GB"/>
        </w:rPr>
        <w:t xml:space="preserve"> and the d</w:t>
      </w:r>
      <w:r>
        <w:rPr>
          <w:lang w:eastAsia="en-GB"/>
        </w:rPr>
        <w:t>ata sharing arrangements governed by it before it is due to expire by giving written notice of their intention to terminate not less than one month before the intended termination date if the departing signatory organisation has taken all reasonable steps to ensure that withdrawal does not place any other signatory organisation in breach of their contractual agreement to perform a research project or clinical network.</w:t>
      </w:r>
    </w:p>
    <w:p w14:paraId="116B359F" w14:textId="2D411E87" w:rsidR="005A4883" w:rsidRDefault="005A4883" w:rsidP="005A4883">
      <w:pPr>
        <w:ind w:left="360"/>
        <w:rPr>
          <w:lang w:eastAsia="en-GB"/>
        </w:rPr>
      </w:pPr>
      <w:r>
        <w:rPr>
          <w:lang w:eastAsia="en-GB"/>
        </w:rPr>
        <w:t xml:space="preserve">Any signatory organisation that has reason to believe that another organisation is in breach of the terms of this </w:t>
      </w:r>
      <w:r w:rsidR="005F79B4">
        <w:rPr>
          <w:lang w:eastAsia="en-GB"/>
        </w:rPr>
        <w:t>Contract</w:t>
      </w:r>
      <w:r>
        <w:rPr>
          <w:lang w:eastAsia="en-GB"/>
        </w:rPr>
        <w:t xml:space="preserve"> or of a Data Sharing </w:t>
      </w:r>
      <w:r w:rsidR="005F79B4">
        <w:rPr>
          <w:lang w:eastAsia="en-GB"/>
        </w:rPr>
        <w:t>Agreement</w:t>
      </w:r>
      <w:r>
        <w:rPr>
          <w:lang w:eastAsia="en-GB"/>
        </w:rPr>
        <w:t xml:space="preserve"> governed by this </w:t>
      </w:r>
      <w:r w:rsidR="005F79B4">
        <w:rPr>
          <w:lang w:eastAsia="en-GB"/>
        </w:rPr>
        <w:t>Contract</w:t>
      </w:r>
      <w:r>
        <w:rPr>
          <w:lang w:eastAsia="en-GB"/>
        </w:rPr>
        <w:t xml:space="preserve"> sh</w:t>
      </w:r>
      <w:r w:rsidR="00977A18">
        <w:rPr>
          <w:lang w:eastAsia="en-GB"/>
        </w:rPr>
        <w:t xml:space="preserve">ould </w:t>
      </w:r>
      <w:r w:rsidR="00977A18" w:rsidRPr="003779A9">
        <w:rPr>
          <w:lang w:eastAsia="en-GB"/>
        </w:rPr>
        <w:lastRenderedPageBreak/>
        <w:t xml:space="preserve">report this to </w:t>
      </w:r>
      <w:r w:rsidR="00D0728A">
        <w:rPr>
          <w:lang w:eastAsia="en-GB"/>
        </w:rPr>
        <w:t>all affected partner organisations</w:t>
      </w:r>
      <w:r w:rsidRPr="003779A9">
        <w:rPr>
          <w:lang w:eastAsia="en-GB"/>
        </w:rPr>
        <w:t>.  The organisations may suspend data sharing</w:t>
      </w:r>
      <w:r>
        <w:rPr>
          <w:lang w:eastAsia="en-GB"/>
        </w:rPr>
        <w:t xml:space="preserve"> arrangements </w:t>
      </w:r>
      <w:r w:rsidR="00444D60">
        <w:rPr>
          <w:lang w:eastAsia="en-GB"/>
        </w:rPr>
        <w:t>until</w:t>
      </w:r>
      <w:r>
        <w:rPr>
          <w:lang w:eastAsia="en-GB"/>
        </w:rPr>
        <w:t xml:space="preserve"> the potential breach has been investigated and it has been confirmed that there was no breach or that the breach has been remedied.</w:t>
      </w:r>
    </w:p>
    <w:p w14:paraId="58F4D08E" w14:textId="54685B5E" w:rsidR="005A4883" w:rsidRDefault="00D0728A" w:rsidP="005A4883">
      <w:pPr>
        <w:ind w:left="360"/>
        <w:rPr>
          <w:lang w:eastAsia="en-GB"/>
        </w:rPr>
      </w:pPr>
      <w:r>
        <w:rPr>
          <w:lang w:eastAsia="en-GB"/>
        </w:rPr>
        <w:t>A partner organisation</w:t>
      </w:r>
      <w:r w:rsidR="00977A18" w:rsidRPr="003779A9">
        <w:rPr>
          <w:lang w:eastAsia="en-GB"/>
        </w:rPr>
        <w:t xml:space="preserve"> </w:t>
      </w:r>
      <w:r w:rsidR="005A4883" w:rsidRPr="003779A9">
        <w:rPr>
          <w:lang w:eastAsia="en-GB"/>
        </w:rPr>
        <w:t>may terminate</w:t>
      </w:r>
      <w:r w:rsidR="005A4883">
        <w:rPr>
          <w:lang w:eastAsia="en-GB"/>
        </w:rPr>
        <w:t xml:space="preserve"> the</w:t>
      </w:r>
      <w:r>
        <w:rPr>
          <w:lang w:eastAsia="en-GB"/>
        </w:rPr>
        <w:t>ir</w:t>
      </w:r>
      <w:r w:rsidR="005A4883">
        <w:rPr>
          <w:lang w:eastAsia="en-GB"/>
        </w:rPr>
        <w:t xml:space="preserve"> </w:t>
      </w:r>
      <w:r w:rsidR="005F79B4">
        <w:rPr>
          <w:lang w:eastAsia="en-GB"/>
        </w:rPr>
        <w:t>Contract</w:t>
      </w:r>
      <w:r w:rsidR="005A4883">
        <w:rPr>
          <w:lang w:eastAsia="en-GB"/>
        </w:rPr>
        <w:t xml:space="preserve"> </w:t>
      </w:r>
      <w:r>
        <w:rPr>
          <w:lang w:eastAsia="en-GB"/>
        </w:rPr>
        <w:t>with</w:t>
      </w:r>
      <w:r w:rsidR="005A4883">
        <w:rPr>
          <w:lang w:eastAsia="en-GB"/>
        </w:rPr>
        <w:t xml:space="preserve"> an</w:t>
      </w:r>
      <w:r>
        <w:rPr>
          <w:lang w:eastAsia="en-GB"/>
        </w:rPr>
        <w:t xml:space="preserve">other </w:t>
      </w:r>
      <w:r w:rsidR="005A4883">
        <w:rPr>
          <w:lang w:eastAsia="en-GB"/>
        </w:rPr>
        <w:t>organisation with immediate effect in writing if:</w:t>
      </w:r>
    </w:p>
    <w:p w14:paraId="42F1AF7A" w14:textId="00479436" w:rsidR="005A4883" w:rsidRDefault="005A4883" w:rsidP="005A4883">
      <w:pPr>
        <w:numPr>
          <w:ilvl w:val="1"/>
          <w:numId w:val="2"/>
        </w:numPr>
        <w:rPr>
          <w:lang w:eastAsia="en-GB"/>
        </w:rPr>
      </w:pPr>
      <w:r>
        <w:rPr>
          <w:lang w:eastAsia="en-GB"/>
        </w:rPr>
        <w:t xml:space="preserve">The </w:t>
      </w:r>
      <w:r w:rsidR="00D0728A">
        <w:rPr>
          <w:lang w:eastAsia="en-GB"/>
        </w:rPr>
        <w:t xml:space="preserve">other </w:t>
      </w:r>
      <w:r>
        <w:rPr>
          <w:lang w:eastAsia="en-GB"/>
        </w:rPr>
        <w:t xml:space="preserve">organisation is in material breach of the terms of the </w:t>
      </w:r>
      <w:r w:rsidR="005F79B4">
        <w:rPr>
          <w:lang w:eastAsia="en-GB"/>
        </w:rPr>
        <w:t>Contract</w:t>
      </w:r>
      <w:r>
        <w:rPr>
          <w:lang w:eastAsia="en-GB"/>
        </w:rPr>
        <w:t xml:space="preserve"> and or a specific Data Sharing </w:t>
      </w:r>
      <w:r w:rsidR="005F79B4">
        <w:rPr>
          <w:lang w:eastAsia="en-GB"/>
        </w:rPr>
        <w:t>Agreement</w:t>
      </w:r>
      <w:r>
        <w:rPr>
          <w:lang w:eastAsia="en-GB"/>
        </w:rPr>
        <w:t xml:space="preserve"> governed by the </w:t>
      </w:r>
      <w:r w:rsidR="005F79B4">
        <w:rPr>
          <w:lang w:eastAsia="en-GB"/>
        </w:rPr>
        <w:t>Contract</w:t>
      </w:r>
      <w:r>
        <w:rPr>
          <w:lang w:eastAsia="en-GB"/>
        </w:rPr>
        <w:t xml:space="preserve"> and the organisation fails to or cannot remedy the breach within 30 days of notice of the breach</w:t>
      </w:r>
    </w:p>
    <w:p w14:paraId="4CE5B7A2" w14:textId="18DD6474" w:rsidR="005A4883" w:rsidRDefault="005A4883" w:rsidP="005A4883">
      <w:pPr>
        <w:numPr>
          <w:ilvl w:val="1"/>
          <w:numId w:val="2"/>
        </w:numPr>
        <w:rPr>
          <w:lang w:eastAsia="en-GB"/>
        </w:rPr>
      </w:pPr>
      <w:r>
        <w:rPr>
          <w:lang w:eastAsia="en-GB"/>
        </w:rPr>
        <w:t xml:space="preserve">The </w:t>
      </w:r>
      <w:r w:rsidR="00D0728A">
        <w:rPr>
          <w:lang w:eastAsia="en-GB"/>
        </w:rPr>
        <w:t xml:space="preserve">other </w:t>
      </w:r>
      <w:r>
        <w:rPr>
          <w:lang w:eastAsia="en-GB"/>
        </w:rPr>
        <w:t>organisation ceases to operate as a legal entity for example through closure or merger with another organisation.</w:t>
      </w:r>
    </w:p>
    <w:p w14:paraId="23C2934D" w14:textId="2AE476B8" w:rsidR="005A4883" w:rsidRDefault="005A4883" w:rsidP="005A4883">
      <w:pPr>
        <w:numPr>
          <w:ilvl w:val="1"/>
          <w:numId w:val="2"/>
        </w:numPr>
        <w:rPr>
          <w:lang w:eastAsia="en-GB"/>
        </w:rPr>
      </w:pPr>
      <w:r>
        <w:rPr>
          <w:lang w:eastAsia="en-GB"/>
        </w:rPr>
        <w:t xml:space="preserve">The </w:t>
      </w:r>
      <w:r w:rsidR="00D0728A">
        <w:rPr>
          <w:lang w:eastAsia="en-GB"/>
        </w:rPr>
        <w:t xml:space="preserve">other </w:t>
      </w:r>
      <w:r>
        <w:rPr>
          <w:lang w:eastAsia="en-GB"/>
        </w:rPr>
        <w:t xml:space="preserve">organisation no longer has the lawful power to perform any of the obligations contained within this </w:t>
      </w:r>
      <w:r w:rsidR="005F79B4">
        <w:rPr>
          <w:lang w:eastAsia="en-GB"/>
        </w:rPr>
        <w:t>Contract</w:t>
      </w:r>
      <w:r>
        <w:rPr>
          <w:lang w:eastAsia="en-GB"/>
        </w:rPr>
        <w:t xml:space="preserve">. </w:t>
      </w:r>
    </w:p>
    <w:p w14:paraId="7A99B574" w14:textId="56756C11" w:rsidR="005A4883" w:rsidRDefault="005A4883" w:rsidP="005A4883">
      <w:pPr>
        <w:ind w:left="360"/>
        <w:rPr>
          <w:lang w:eastAsia="en-GB"/>
        </w:rPr>
      </w:pPr>
      <w:r>
        <w:rPr>
          <w:lang w:eastAsia="en-GB"/>
        </w:rPr>
        <w:t xml:space="preserve">Termination of the Data Sharing </w:t>
      </w:r>
      <w:r w:rsidR="005F79B4">
        <w:rPr>
          <w:lang w:eastAsia="en-GB"/>
        </w:rPr>
        <w:t>Contract</w:t>
      </w:r>
      <w:r>
        <w:rPr>
          <w:lang w:eastAsia="en-GB"/>
        </w:rPr>
        <w:t xml:space="preserve"> </w:t>
      </w:r>
      <w:r w:rsidR="00024729">
        <w:rPr>
          <w:lang w:eastAsia="en-GB"/>
        </w:rPr>
        <w:t xml:space="preserve">for a partner organisation </w:t>
      </w:r>
      <w:r>
        <w:rPr>
          <w:lang w:eastAsia="en-GB"/>
        </w:rPr>
        <w:t xml:space="preserve">automatically terminates any Data Sharing </w:t>
      </w:r>
      <w:r w:rsidR="005F79B4">
        <w:rPr>
          <w:lang w:eastAsia="en-GB"/>
        </w:rPr>
        <w:t>Agreement</w:t>
      </w:r>
      <w:r>
        <w:rPr>
          <w:lang w:eastAsia="en-GB"/>
        </w:rPr>
        <w:t xml:space="preserve">s governed by the </w:t>
      </w:r>
      <w:r w:rsidR="005F79B4">
        <w:rPr>
          <w:lang w:eastAsia="en-GB"/>
        </w:rPr>
        <w:t>Contract</w:t>
      </w:r>
      <w:r w:rsidR="00024729">
        <w:rPr>
          <w:lang w:eastAsia="en-GB"/>
        </w:rPr>
        <w:t xml:space="preserve"> that have resulted in </w:t>
      </w:r>
      <w:r w:rsidR="00AB4E9E">
        <w:rPr>
          <w:lang w:eastAsia="en-GB"/>
        </w:rPr>
        <w:t>D</w:t>
      </w:r>
      <w:r w:rsidR="00024729">
        <w:rPr>
          <w:lang w:eastAsia="en-GB"/>
        </w:rPr>
        <w:t>ata being shared with the partner organisation</w:t>
      </w:r>
      <w:r>
        <w:rPr>
          <w:lang w:eastAsia="en-GB"/>
        </w:rPr>
        <w:t>.</w:t>
      </w:r>
    </w:p>
    <w:p w14:paraId="75D32417" w14:textId="2AECF211" w:rsidR="005A4883" w:rsidRDefault="00024729" w:rsidP="005A4883">
      <w:pPr>
        <w:ind w:left="360"/>
        <w:rPr>
          <w:lang w:eastAsia="en-GB"/>
        </w:rPr>
      </w:pPr>
      <w:r>
        <w:rPr>
          <w:lang w:eastAsia="en-GB"/>
        </w:rPr>
        <w:t>Generally, o</w:t>
      </w:r>
      <w:r w:rsidR="005A4883">
        <w:rPr>
          <w:lang w:eastAsia="en-GB"/>
        </w:rPr>
        <w:t xml:space="preserve">n termination of the </w:t>
      </w:r>
      <w:r w:rsidR="005F79B4">
        <w:rPr>
          <w:lang w:eastAsia="en-GB"/>
        </w:rPr>
        <w:t>Contract</w:t>
      </w:r>
      <w:r w:rsidR="005A4883">
        <w:rPr>
          <w:lang w:eastAsia="en-GB"/>
        </w:rPr>
        <w:t xml:space="preserve">, or sooner at a date agreed within a specific Data Sharing </w:t>
      </w:r>
      <w:r w:rsidR="005F79B4">
        <w:rPr>
          <w:lang w:eastAsia="en-GB"/>
        </w:rPr>
        <w:t>Agreement</w:t>
      </w:r>
      <w:r w:rsidR="005A4883">
        <w:rPr>
          <w:lang w:eastAsia="en-GB"/>
        </w:rPr>
        <w:t xml:space="preserve">, the </w:t>
      </w:r>
      <w:r w:rsidR="00AB4E9E">
        <w:rPr>
          <w:lang w:eastAsia="en-GB"/>
        </w:rPr>
        <w:t>D</w:t>
      </w:r>
      <w:r w:rsidR="005A4883">
        <w:rPr>
          <w:lang w:eastAsia="en-GB"/>
        </w:rPr>
        <w:t xml:space="preserve">ata held under the governance of the </w:t>
      </w:r>
      <w:r w:rsidR="005F79B4">
        <w:rPr>
          <w:lang w:eastAsia="en-GB"/>
        </w:rPr>
        <w:t>Contract</w:t>
      </w:r>
      <w:r w:rsidR="005A4883">
        <w:rPr>
          <w:lang w:eastAsia="en-GB"/>
        </w:rPr>
        <w:t xml:space="preserve"> shall</w:t>
      </w:r>
      <w:r w:rsidR="00D0728A">
        <w:rPr>
          <w:lang w:eastAsia="en-GB"/>
        </w:rPr>
        <w:t xml:space="preserve"> either</w:t>
      </w:r>
      <w:r w:rsidR="005A4883">
        <w:rPr>
          <w:lang w:eastAsia="en-GB"/>
        </w:rPr>
        <w:t xml:space="preserve"> be securely </w:t>
      </w:r>
      <w:r w:rsidR="00D0728A">
        <w:rPr>
          <w:lang w:eastAsia="en-GB"/>
        </w:rPr>
        <w:t xml:space="preserve">returned to the providing organisation or shall be securely </w:t>
      </w:r>
      <w:r w:rsidR="005A4883">
        <w:rPr>
          <w:lang w:eastAsia="en-GB"/>
        </w:rPr>
        <w:t xml:space="preserve">and permanently destroyed and confirmation in the form of a destruction certificate shall be </w:t>
      </w:r>
      <w:r w:rsidR="005A4883" w:rsidRPr="003779A9">
        <w:rPr>
          <w:lang w:eastAsia="en-GB"/>
        </w:rPr>
        <w:t>provided to the</w:t>
      </w:r>
      <w:r w:rsidR="00D0728A">
        <w:rPr>
          <w:lang w:eastAsia="en-GB"/>
        </w:rPr>
        <w:t xml:space="preserve"> Providing Organisation</w:t>
      </w:r>
      <w:r w:rsidRPr="003779A9">
        <w:rPr>
          <w:lang w:eastAsia="en-GB"/>
        </w:rPr>
        <w:t xml:space="preserve">.  Separate arrangements will be made for </w:t>
      </w:r>
      <w:r w:rsidR="00AB4E9E">
        <w:rPr>
          <w:lang w:eastAsia="en-GB"/>
        </w:rPr>
        <w:t>D</w:t>
      </w:r>
      <w:r w:rsidRPr="003779A9">
        <w:rPr>
          <w:lang w:eastAsia="en-GB"/>
        </w:rPr>
        <w:t>ata that is required to be retained for a longer period (for example for</w:t>
      </w:r>
      <w:r>
        <w:rPr>
          <w:lang w:eastAsia="en-GB"/>
        </w:rPr>
        <w:t xml:space="preserve"> research projects or where it had formed part of the patient’s clinical record).</w:t>
      </w:r>
    </w:p>
    <w:p w14:paraId="401C776C" w14:textId="77777777" w:rsidR="005A4883" w:rsidRDefault="005A4883" w:rsidP="002421AE">
      <w:pPr>
        <w:pStyle w:val="Heading2"/>
        <w:numPr>
          <w:ilvl w:val="0"/>
          <w:numId w:val="0"/>
        </w:numPr>
        <w:rPr>
          <w:lang w:eastAsia="en-GB"/>
        </w:rPr>
      </w:pPr>
      <w:r>
        <w:rPr>
          <w:lang w:eastAsia="en-GB"/>
        </w:rPr>
        <w:t>Intellectual Property Rights</w:t>
      </w:r>
    </w:p>
    <w:p w14:paraId="1F1E47D2" w14:textId="6714A504" w:rsidR="005A4883" w:rsidRPr="00384F8D" w:rsidRDefault="005A4883" w:rsidP="005A4883">
      <w:pPr>
        <w:ind w:left="360"/>
      </w:pPr>
      <w:r w:rsidRPr="00384F8D">
        <w:t>Unless agreed otherwise in writing</w:t>
      </w:r>
      <w:r>
        <w:t xml:space="preserve"> between the signatory organisations</w:t>
      </w:r>
      <w:r w:rsidRPr="00384F8D">
        <w:t>, n</w:t>
      </w:r>
      <w:r>
        <w:t xml:space="preserve">othing in this </w:t>
      </w:r>
      <w:r w:rsidR="005F79B4">
        <w:t>Contract</w:t>
      </w:r>
      <w:r>
        <w:t xml:space="preserve"> is intended </w:t>
      </w:r>
      <w:r w:rsidRPr="00384F8D">
        <w:t>to transfer or grant any right, title or interest in, or any right to use, any Intellectual Property</w:t>
      </w:r>
      <w:r>
        <w:t xml:space="preserve"> Rights except to the extent necessary to make use of any Data that is provided.</w:t>
      </w:r>
    </w:p>
    <w:p w14:paraId="2241FFEB" w14:textId="77777777" w:rsidR="005A4883" w:rsidRDefault="005A4883" w:rsidP="002421AE">
      <w:pPr>
        <w:pStyle w:val="Heading2"/>
        <w:numPr>
          <w:ilvl w:val="0"/>
          <w:numId w:val="0"/>
        </w:numPr>
      </w:pPr>
      <w:r>
        <w:t>Terms and Conditions for the Organisation when Providing Data</w:t>
      </w:r>
    </w:p>
    <w:p w14:paraId="5903A5D3" w14:textId="5E1A8B93" w:rsidR="005A4883" w:rsidRDefault="005A4883" w:rsidP="005A4883">
      <w:pPr>
        <w:ind w:left="360"/>
        <w:rPr>
          <w:lang w:eastAsia="en-GB"/>
        </w:rPr>
      </w:pPr>
      <w:r>
        <w:rPr>
          <w:lang w:eastAsia="en-GB"/>
        </w:rPr>
        <w:t xml:space="preserve">As a Data Controller, the </w:t>
      </w:r>
      <w:r w:rsidR="00565A38">
        <w:rPr>
          <w:lang w:eastAsia="en-GB"/>
        </w:rPr>
        <w:t>P</w:t>
      </w:r>
      <w:r>
        <w:rPr>
          <w:lang w:eastAsia="en-GB"/>
        </w:rPr>
        <w:t xml:space="preserve">roviding </w:t>
      </w:r>
      <w:r w:rsidR="007E6AB9">
        <w:rPr>
          <w:lang w:eastAsia="en-GB"/>
        </w:rPr>
        <w:t>O</w:t>
      </w:r>
      <w:r>
        <w:rPr>
          <w:lang w:eastAsia="en-GB"/>
        </w:rPr>
        <w:t xml:space="preserve">rganisation is not under any obligation to transfer or share access to their Data under this </w:t>
      </w:r>
      <w:r w:rsidR="005F79B4">
        <w:rPr>
          <w:lang w:eastAsia="en-GB"/>
        </w:rPr>
        <w:t>Contract</w:t>
      </w:r>
      <w:r>
        <w:rPr>
          <w:lang w:eastAsia="en-GB"/>
        </w:rPr>
        <w:t xml:space="preserve"> unless they are satisfied that it is appropriate to do so.</w:t>
      </w:r>
    </w:p>
    <w:p w14:paraId="7BFD661E" w14:textId="3B697705" w:rsidR="005A4883" w:rsidRDefault="005A4883" w:rsidP="005A4883">
      <w:pPr>
        <w:ind w:left="360"/>
        <w:rPr>
          <w:lang w:eastAsia="en-GB"/>
        </w:rPr>
      </w:pPr>
      <w:r>
        <w:rPr>
          <w:lang w:eastAsia="en-GB"/>
        </w:rPr>
        <w:t xml:space="preserve">As the Data Controller for the Data to be shared or accessed it is the </w:t>
      </w:r>
      <w:r w:rsidR="00565A38">
        <w:rPr>
          <w:lang w:eastAsia="en-GB"/>
        </w:rPr>
        <w:t>P</w:t>
      </w:r>
      <w:r>
        <w:rPr>
          <w:lang w:eastAsia="en-GB"/>
        </w:rPr>
        <w:t xml:space="preserve">roviding </w:t>
      </w:r>
      <w:r w:rsidR="007E6AB9">
        <w:rPr>
          <w:lang w:eastAsia="en-GB"/>
        </w:rPr>
        <w:t>O</w:t>
      </w:r>
      <w:r>
        <w:rPr>
          <w:lang w:eastAsia="en-GB"/>
        </w:rPr>
        <w:t>rganisation’s responsibility to ensure that:</w:t>
      </w:r>
    </w:p>
    <w:p w14:paraId="43437E44" w14:textId="35DCFC45" w:rsidR="005A4883" w:rsidRDefault="005A4883" w:rsidP="005A4883">
      <w:pPr>
        <w:numPr>
          <w:ilvl w:val="1"/>
          <w:numId w:val="2"/>
        </w:numPr>
        <w:rPr>
          <w:lang w:eastAsia="en-GB"/>
        </w:rPr>
      </w:pPr>
      <w:r>
        <w:rPr>
          <w:lang w:eastAsia="en-GB"/>
        </w:rPr>
        <w:t xml:space="preserve">There is an appropriate lawful basis for providing the Data and that this is set out in the specific Data Sharing </w:t>
      </w:r>
      <w:r w:rsidR="005F79B4">
        <w:rPr>
          <w:lang w:eastAsia="en-GB"/>
        </w:rPr>
        <w:t>Agreement</w:t>
      </w:r>
      <w:r>
        <w:rPr>
          <w:lang w:eastAsia="en-GB"/>
        </w:rPr>
        <w:t>.</w:t>
      </w:r>
    </w:p>
    <w:p w14:paraId="0F4FC9CD" w14:textId="4168E2F2" w:rsidR="005A4883" w:rsidRDefault="005A4883" w:rsidP="005A4883">
      <w:pPr>
        <w:numPr>
          <w:ilvl w:val="1"/>
          <w:numId w:val="2"/>
        </w:numPr>
        <w:rPr>
          <w:lang w:eastAsia="en-GB"/>
        </w:rPr>
      </w:pPr>
      <w:r>
        <w:rPr>
          <w:lang w:eastAsia="en-GB"/>
        </w:rPr>
        <w:t xml:space="preserve">Appropriate information has been provided to all affected patients.  [Each </w:t>
      </w:r>
      <w:r w:rsidR="00A160F4">
        <w:rPr>
          <w:lang w:eastAsia="en-GB"/>
        </w:rPr>
        <w:t xml:space="preserve">Care Pathway and </w:t>
      </w:r>
      <w:r>
        <w:rPr>
          <w:lang w:eastAsia="en-GB"/>
        </w:rPr>
        <w:t xml:space="preserve">research project shall provide material to assist the Providing </w:t>
      </w:r>
      <w:r w:rsidR="007E6AB9">
        <w:rPr>
          <w:lang w:eastAsia="en-GB"/>
        </w:rPr>
        <w:t>O</w:t>
      </w:r>
      <w:r>
        <w:rPr>
          <w:lang w:eastAsia="en-GB"/>
        </w:rPr>
        <w:t xml:space="preserve">rganisation with </w:t>
      </w:r>
      <w:r w:rsidR="00A160F4">
        <w:rPr>
          <w:lang w:eastAsia="en-GB"/>
        </w:rPr>
        <w:t xml:space="preserve">patient information, </w:t>
      </w:r>
      <w:r>
        <w:rPr>
          <w:lang w:eastAsia="en-GB"/>
        </w:rPr>
        <w:t>fair processing and informed consent where appropriate.]</w:t>
      </w:r>
    </w:p>
    <w:p w14:paraId="02FD81D0" w14:textId="1DB8F38C" w:rsidR="005A4883" w:rsidRPr="003779A9" w:rsidRDefault="005A4883" w:rsidP="005A4883">
      <w:pPr>
        <w:numPr>
          <w:ilvl w:val="1"/>
          <w:numId w:val="2"/>
        </w:numPr>
        <w:rPr>
          <w:lang w:eastAsia="en-GB"/>
        </w:rPr>
      </w:pPr>
      <w:r w:rsidRPr="003779A9">
        <w:rPr>
          <w:lang w:eastAsia="en-GB"/>
        </w:rPr>
        <w:lastRenderedPageBreak/>
        <w:t xml:space="preserve">There is an appropriate process for recording a patient’s objection to data sharing for a specific </w:t>
      </w:r>
      <w:r w:rsidR="00444D60" w:rsidRPr="003779A9">
        <w:rPr>
          <w:lang w:eastAsia="en-GB"/>
        </w:rPr>
        <w:t xml:space="preserve">care pathway </w:t>
      </w:r>
      <w:r w:rsidRPr="003779A9">
        <w:rPr>
          <w:lang w:eastAsia="en-GB"/>
        </w:rPr>
        <w:t>or research project.</w:t>
      </w:r>
    </w:p>
    <w:p w14:paraId="5269AEDA" w14:textId="208CB21D" w:rsidR="005A4883" w:rsidRPr="003779A9" w:rsidRDefault="005A4883" w:rsidP="005A4883">
      <w:pPr>
        <w:numPr>
          <w:ilvl w:val="1"/>
          <w:numId w:val="2"/>
        </w:numPr>
        <w:rPr>
          <w:lang w:eastAsia="en-GB"/>
        </w:rPr>
      </w:pPr>
      <w:r w:rsidRPr="003779A9">
        <w:rPr>
          <w:lang w:eastAsia="en-GB"/>
        </w:rPr>
        <w:t>All patient objections to data sharing (or where applicable withdrawal of consent) are honoured and</w:t>
      </w:r>
      <w:r w:rsidR="00AB4E9E">
        <w:rPr>
          <w:lang w:eastAsia="en-GB"/>
        </w:rPr>
        <w:t xml:space="preserve"> P</w:t>
      </w:r>
      <w:r w:rsidR="003779A9" w:rsidRPr="003779A9">
        <w:rPr>
          <w:lang w:eastAsia="en-GB"/>
        </w:rPr>
        <w:t>ersonal</w:t>
      </w:r>
      <w:r w:rsidRPr="003779A9">
        <w:rPr>
          <w:lang w:eastAsia="en-GB"/>
        </w:rPr>
        <w:t xml:space="preserve"> </w:t>
      </w:r>
      <w:r w:rsidR="00AB4E9E">
        <w:rPr>
          <w:lang w:eastAsia="en-GB"/>
        </w:rPr>
        <w:t>D</w:t>
      </w:r>
      <w:r w:rsidRPr="003779A9">
        <w:rPr>
          <w:lang w:eastAsia="en-GB"/>
        </w:rPr>
        <w:t>ata for these patients is not shared.</w:t>
      </w:r>
    </w:p>
    <w:p w14:paraId="4AAD5C86" w14:textId="2F46EA62" w:rsidR="00BA58B4" w:rsidRDefault="00BA58B4" w:rsidP="005A4883">
      <w:pPr>
        <w:ind w:left="360"/>
        <w:rPr>
          <w:lang w:eastAsia="en-GB"/>
        </w:rPr>
      </w:pPr>
      <w:r>
        <w:t xml:space="preserve">If the Providing Organisation receives a request to disclose health </w:t>
      </w:r>
      <w:r w:rsidR="00AB4E9E">
        <w:t>D</w:t>
      </w:r>
      <w:r>
        <w:t xml:space="preserve">ata under this </w:t>
      </w:r>
      <w:r w:rsidR="005F79B4">
        <w:t>Contract</w:t>
      </w:r>
      <w:r>
        <w:t xml:space="preserve"> which they do not intend to comply with they must inform the applicant of its decision in writing and provide reasons for the rejection of the request.</w:t>
      </w:r>
    </w:p>
    <w:p w14:paraId="405F0C68" w14:textId="7EC07BE2" w:rsidR="005A4883" w:rsidRDefault="005A4883" w:rsidP="005A4883">
      <w:pPr>
        <w:ind w:left="360"/>
        <w:rPr>
          <w:lang w:eastAsia="en-GB"/>
        </w:rPr>
      </w:pPr>
      <w:r>
        <w:rPr>
          <w:lang w:eastAsia="en-GB"/>
        </w:rPr>
        <w:t xml:space="preserve">The </w:t>
      </w:r>
      <w:r w:rsidR="00565A38">
        <w:rPr>
          <w:lang w:eastAsia="en-GB"/>
        </w:rPr>
        <w:t>P</w:t>
      </w:r>
      <w:r>
        <w:rPr>
          <w:lang w:eastAsia="en-GB"/>
        </w:rPr>
        <w:t xml:space="preserve">roviding </w:t>
      </w:r>
      <w:r w:rsidR="007E6AB9">
        <w:rPr>
          <w:lang w:eastAsia="en-GB"/>
        </w:rPr>
        <w:t>O</w:t>
      </w:r>
      <w:r>
        <w:rPr>
          <w:lang w:eastAsia="en-GB"/>
        </w:rPr>
        <w:t xml:space="preserve">rganisation shall supply </w:t>
      </w:r>
      <w:r w:rsidR="00AB4E9E">
        <w:rPr>
          <w:lang w:eastAsia="en-GB"/>
        </w:rPr>
        <w:t>D</w:t>
      </w:r>
      <w:r>
        <w:rPr>
          <w:lang w:eastAsia="en-GB"/>
        </w:rPr>
        <w:t xml:space="preserve">ata in the form and format agreed within the specific Data Sharing </w:t>
      </w:r>
      <w:r w:rsidR="005F79B4">
        <w:rPr>
          <w:lang w:eastAsia="en-GB"/>
        </w:rPr>
        <w:t>Agreement</w:t>
      </w:r>
      <w:r>
        <w:rPr>
          <w:lang w:eastAsia="en-GB"/>
        </w:rPr>
        <w:t>.</w:t>
      </w:r>
    </w:p>
    <w:p w14:paraId="196BC45B" w14:textId="446E9B04" w:rsidR="005A4883" w:rsidRPr="00A10270" w:rsidRDefault="005A4883" w:rsidP="005A4883">
      <w:pPr>
        <w:ind w:left="360"/>
      </w:pPr>
      <w:bookmarkStart w:id="7" w:name="_Ref390511390"/>
      <w:bookmarkStart w:id="8" w:name="_Ref392106328"/>
      <w:r>
        <w:t xml:space="preserve">Before making </w:t>
      </w:r>
      <w:r w:rsidR="00AB4E9E">
        <w:t>A</w:t>
      </w:r>
      <w:r>
        <w:t xml:space="preserve">nonymised </w:t>
      </w:r>
      <w:r w:rsidR="00AB4E9E">
        <w:t>G</w:t>
      </w:r>
      <w:r w:rsidR="00F03320">
        <w:t>rouped</w:t>
      </w:r>
      <w:r>
        <w:t xml:space="preserve"> Data available, the </w:t>
      </w:r>
      <w:r w:rsidR="00565A38">
        <w:t>P</w:t>
      </w:r>
      <w:r>
        <w:t xml:space="preserve">roviding </w:t>
      </w:r>
      <w:r w:rsidR="007E6AB9">
        <w:t>O</w:t>
      </w:r>
      <w:r>
        <w:t>rganisation</w:t>
      </w:r>
      <w:r w:rsidRPr="00A10270">
        <w:t xml:space="preserve"> </w:t>
      </w:r>
      <w:r>
        <w:t>shall ensure that</w:t>
      </w:r>
      <w:bookmarkEnd w:id="7"/>
      <w:r w:rsidRPr="00A10270">
        <w:t>:</w:t>
      </w:r>
      <w:bookmarkEnd w:id="8"/>
    </w:p>
    <w:p w14:paraId="565890FA" w14:textId="341A440D" w:rsidR="005A4883" w:rsidRDefault="005A4883" w:rsidP="005A4883">
      <w:pPr>
        <w:numPr>
          <w:ilvl w:val="1"/>
          <w:numId w:val="2"/>
        </w:numPr>
      </w:pPr>
      <w:r w:rsidRPr="00A10270">
        <w:t xml:space="preserve">All steps necessary have been taken to render the </w:t>
      </w:r>
      <w:r w:rsidR="00AB4E9E">
        <w:t>D</w:t>
      </w:r>
      <w:r w:rsidR="00307AB5">
        <w:t>ata</w:t>
      </w:r>
      <w:r w:rsidR="00F03320">
        <w:t xml:space="preserve"> </w:t>
      </w:r>
      <w:r w:rsidRPr="00A10270">
        <w:t xml:space="preserve">anonymous to a level sufficient to </w:t>
      </w:r>
      <w:r>
        <w:t xml:space="preserve">be compliant with the Information Commissioner’s Office code of practice: </w:t>
      </w:r>
      <w:hyperlink r:id="rId9" w:history="1">
        <w:r w:rsidRPr="00B41F4C">
          <w:rPr>
            <w:rStyle w:val="Hyperlink"/>
          </w:rPr>
          <w:t>https://ico.org.uk/media/1061/anonymisation-code.pdf</w:t>
        </w:r>
      </w:hyperlink>
    </w:p>
    <w:p w14:paraId="1EBEB052" w14:textId="77777777" w:rsidR="005A4883" w:rsidRPr="00A816FD" w:rsidRDefault="005A4883" w:rsidP="005A4883">
      <w:pPr>
        <w:numPr>
          <w:ilvl w:val="1"/>
          <w:numId w:val="2"/>
        </w:numPr>
      </w:pPr>
      <w:bookmarkStart w:id="9" w:name="_Ref390513366"/>
      <w:r>
        <w:t>T</w:t>
      </w:r>
      <w:r w:rsidRPr="00A10270">
        <w:t>he effectiveness of the anonymisation process used has been tested and the results documented</w:t>
      </w:r>
      <w:bookmarkEnd w:id="9"/>
      <w:r>
        <w:t>.</w:t>
      </w:r>
    </w:p>
    <w:p w14:paraId="147F0A0A" w14:textId="5FE58ADE" w:rsidR="005A4883" w:rsidRDefault="005A4883" w:rsidP="005A4883">
      <w:pPr>
        <w:numPr>
          <w:ilvl w:val="1"/>
          <w:numId w:val="2"/>
        </w:numPr>
        <w:rPr>
          <w:lang w:eastAsia="en-GB"/>
        </w:rPr>
      </w:pPr>
      <w:r>
        <w:t xml:space="preserve">If requested, the </w:t>
      </w:r>
      <w:r w:rsidR="00565A38">
        <w:t>P</w:t>
      </w:r>
      <w:r>
        <w:t xml:space="preserve">roviding </w:t>
      </w:r>
      <w:r w:rsidR="007E6AB9">
        <w:t>O</w:t>
      </w:r>
      <w:r>
        <w:t xml:space="preserve">rganisation shall provide details to the </w:t>
      </w:r>
      <w:r w:rsidR="00565A38">
        <w:t>R</w:t>
      </w:r>
      <w:r>
        <w:t xml:space="preserve">eceiving </w:t>
      </w:r>
      <w:r w:rsidR="005C642D">
        <w:t>O</w:t>
      </w:r>
      <w:r>
        <w:t xml:space="preserve">rganisation of the tests performed to confirm that the </w:t>
      </w:r>
      <w:r w:rsidR="00AB4E9E">
        <w:t>D</w:t>
      </w:r>
      <w:r>
        <w:t>ata has been anonymised to the required standard.</w:t>
      </w:r>
    </w:p>
    <w:p w14:paraId="6602E147" w14:textId="030AFBF4" w:rsidR="005A4883" w:rsidRPr="000D57EA" w:rsidRDefault="005A4883" w:rsidP="005A4883">
      <w:pPr>
        <w:ind w:left="360"/>
        <w:rPr>
          <w:lang w:eastAsia="en-GB"/>
        </w:rPr>
      </w:pPr>
      <w:r w:rsidRPr="000D57EA">
        <w:rPr>
          <w:lang w:eastAsia="en-GB"/>
        </w:rPr>
        <w:t xml:space="preserve">The </w:t>
      </w:r>
      <w:r w:rsidR="00565A38">
        <w:rPr>
          <w:lang w:eastAsia="en-GB"/>
        </w:rPr>
        <w:t>P</w:t>
      </w:r>
      <w:r w:rsidRPr="000D57EA">
        <w:rPr>
          <w:lang w:eastAsia="en-GB"/>
        </w:rPr>
        <w:t xml:space="preserve">roviding </w:t>
      </w:r>
      <w:r w:rsidR="007E6AB9">
        <w:rPr>
          <w:lang w:eastAsia="en-GB"/>
        </w:rPr>
        <w:t>O</w:t>
      </w:r>
      <w:r w:rsidRPr="000D57EA">
        <w:rPr>
          <w:lang w:eastAsia="en-GB"/>
        </w:rPr>
        <w:t xml:space="preserve">rganisation </w:t>
      </w:r>
      <w:r>
        <w:rPr>
          <w:lang w:eastAsia="en-GB"/>
        </w:rPr>
        <w:t>shall</w:t>
      </w:r>
      <w:r w:rsidRPr="000D57EA">
        <w:rPr>
          <w:lang w:eastAsia="en-GB"/>
        </w:rPr>
        <w:t xml:space="preserve"> transfer the </w:t>
      </w:r>
      <w:r w:rsidR="00AB4E9E">
        <w:rPr>
          <w:lang w:eastAsia="en-GB"/>
        </w:rPr>
        <w:t>D</w:t>
      </w:r>
      <w:r w:rsidRPr="000D57EA">
        <w:rPr>
          <w:lang w:eastAsia="en-GB"/>
        </w:rPr>
        <w:t xml:space="preserve">ata to the recipient using an appropriately secure method as </w:t>
      </w:r>
      <w:r>
        <w:rPr>
          <w:lang w:eastAsia="en-GB"/>
        </w:rPr>
        <w:t xml:space="preserve">agreed and </w:t>
      </w:r>
      <w:r w:rsidRPr="000D57EA">
        <w:rPr>
          <w:lang w:eastAsia="en-GB"/>
        </w:rPr>
        <w:t xml:space="preserve">specified in the Data Sharing </w:t>
      </w:r>
      <w:r w:rsidR="005F79B4">
        <w:rPr>
          <w:lang w:eastAsia="en-GB"/>
        </w:rPr>
        <w:t>Agreement</w:t>
      </w:r>
      <w:r>
        <w:rPr>
          <w:lang w:eastAsia="en-GB"/>
        </w:rPr>
        <w:t>.</w:t>
      </w:r>
    </w:p>
    <w:p w14:paraId="17894BCB" w14:textId="77777777" w:rsidR="005A4883" w:rsidRDefault="005A4883" w:rsidP="002421AE">
      <w:pPr>
        <w:pStyle w:val="Heading2"/>
        <w:numPr>
          <w:ilvl w:val="0"/>
          <w:numId w:val="0"/>
        </w:numPr>
      </w:pPr>
      <w:r>
        <w:t>Terms and Conditions for the Organisation when Receiving Data</w:t>
      </w:r>
    </w:p>
    <w:p w14:paraId="092D6CE9" w14:textId="040D55EC" w:rsidR="005A4883" w:rsidRDefault="005A4883" w:rsidP="005A4883">
      <w:pPr>
        <w:ind w:left="360"/>
        <w:rPr>
          <w:lang w:eastAsia="en-GB"/>
        </w:rPr>
      </w:pPr>
      <w:r>
        <w:t xml:space="preserve">The Receiving </w:t>
      </w:r>
      <w:r w:rsidR="005C642D">
        <w:t>O</w:t>
      </w:r>
      <w:r>
        <w:t xml:space="preserve">rganisation </w:t>
      </w:r>
      <w:r w:rsidRPr="00A10270">
        <w:t xml:space="preserve">shall ensure that </w:t>
      </w:r>
      <w:r w:rsidR="00444D60" w:rsidRPr="00A10270">
        <w:t>all</w:t>
      </w:r>
      <w:r w:rsidRPr="00A10270">
        <w:t xml:space="preserve"> its employees, agents, </w:t>
      </w:r>
      <w:r>
        <w:t xml:space="preserve">students and contractors shall only use any Data received under the terms of this </w:t>
      </w:r>
      <w:r w:rsidR="005F79B4">
        <w:t>Contract</w:t>
      </w:r>
      <w:r>
        <w:t xml:space="preserve"> for the purpose detailed in the specific Data Sharing </w:t>
      </w:r>
      <w:r w:rsidR="005F79B4">
        <w:t>Agreement</w:t>
      </w:r>
      <w:r>
        <w:t>.</w:t>
      </w:r>
    </w:p>
    <w:p w14:paraId="2EB7E908" w14:textId="0EA5E819" w:rsidR="005A4883" w:rsidRDefault="005A4883" w:rsidP="005A4883">
      <w:pPr>
        <w:ind w:left="360"/>
        <w:rPr>
          <w:lang w:eastAsia="en-GB"/>
        </w:rPr>
      </w:pPr>
      <w:r>
        <w:t xml:space="preserve">The </w:t>
      </w:r>
      <w:r w:rsidR="00565A38">
        <w:t>R</w:t>
      </w:r>
      <w:r>
        <w:t xml:space="preserve">eceiving </w:t>
      </w:r>
      <w:r w:rsidR="005C642D">
        <w:t>O</w:t>
      </w:r>
      <w:r>
        <w:t xml:space="preserve">rganisation shall not pass any Data received under this </w:t>
      </w:r>
      <w:r w:rsidR="005F79B4">
        <w:t>Contract</w:t>
      </w:r>
      <w:r>
        <w:t xml:space="preserve"> to any third party unless otherwise set out within the specific Data Sharing </w:t>
      </w:r>
      <w:r w:rsidR="005F79B4">
        <w:t>Agreement</w:t>
      </w:r>
      <w:r>
        <w:t xml:space="preserve"> or with prior written consent of the </w:t>
      </w:r>
      <w:r w:rsidR="00565A38">
        <w:t>Providing</w:t>
      </w:r>
      <w:r>
        <w:t xml:space="preserve"> </w:t>
      </w:r>
      <w:r w:rsidR="007E6AB9">
        <w:t>O</w:t>
      </w:r>
      <w:r>
        <w:t>rganisations.</w:t>
      </w:r>
    </w:p>
    <w:p w14:paraId="2A8E971F" w14:textId="0DC5C4C0" w:rsidR="001B3799" w:rsidRDefault="001B3799" w:rsidP="005A4883">
      <w:pPr>
        <w:ind w:left="360"/>
        <w:rPr>
          <w:lang w:eastAsia="en-GB"/>
        </w:rPr>
      </w:pPr>
      <w:r>
        <w:t xml:space="preserve">The Receiving </w:t>
      </w:r>
      <w:r w:rsidR="005C642D">
        <w:t>O</w:t>
      </w:r>
      <w:r>
        <w:t xml:space="preserve">rganisation shall ensure that the </w:t>
      </w:r>
      <w:r w:rsidR="00AB4E9E">
        <w:t>D</w:t>
      </w:r>
      <w:r>
        <w:t xml:space="preserve">ata is only accessed by those </w:t>
      </w:r>
      <w:r w:rsidRPr="00A10270">
        <w:t xml:space="preserve">employees, agents, </w:t>
      </w:r>
      <w:r>
        <w:t xml:space="preserve">students and contractors that are entitled to do so and where appropriate shall use </w:t>
      </w:r>
      <w:proofErr w:type="gramStart"/>
      <w:r>
        <w:t>role based</w:t>
      </w:r>
      <w:proofErr w:type="gramEnd"/>
      <w:r>
        <w:t xml:space="preserve"> access controls to limit that access.</w:t>
      </w:r>
    </w:p>
    <w:p w14:paraId="6073AF32" w14:textId="2FE91A2E" w:rsidR="005A4883" w:rsidRDefault="005A4883" w:rsidP="005A4883">
      <w:pPr>
        <w:ind w:left="360"/>
        <w:rPr>
          <w:lang w:eastAsia="en-GB"/>
        </w:rPr>
      </w:pPr>
      <w:r>
        <w:t xml:space="preserve">The Receiving </w:t>
      </w:r>
      <w:r w:rsidR="005C642D">
        <w:t>O</w:t>
      </w:r>
      <w:r>
        <w:t xml:space="preserve">rganisation shall not combine </w:t>
      </w:r>
      <w:r w:rsidR="00565A38">
        <w:t xml:space="preserve">or link </w:t>
      </w:r>
      <w:r>
        <w:t xml:space="preserve">the </w:t>
      </w:r>
      <w:r w:rsidR="00AB4E9E">
        <w:t>D</w:t>
      </w:r>
      <w:r>
        <w:t xml:space="preserve">ata received under the terms of this </w:t>
      </w:r>
      <w:r w:rsidR="005F79B4">
        <w:t>Contract</w:t>
      </w:r>
      <w:r>
        <w:t xml:space="preserve"> with any other </w:t>
      </w:r>
      <w:r w:rsidR="00AB4E9E">
        <w:t>D</w:t>
      </w:r>
      <w:r>
        <w:t xml:space="preserve">ata held by the Receiving </w:t>
      </w:r>
      <w:r w:rsidR="005C642D">
        <w:t>O</w:t>
      </w:r>
      <w:r>
        <w:t xml:space="preserve">rganisation unless otherwise specified in the specific Data Sharing </w:t>
      </w:r>
      <w:r w:rsidR="005F79B4">
        <w:t>Agreement</w:t>
      </w:r>
      <w:r w:rsidR="005C642D">
        <w:t>.</w:t>
      </w:r>
      <w:r>
        <w:t xml:space="preserve"> </w:t>
      </w:r>
    </w:p>
    <w:p w14:paraId="51150274" w14:textId="12EF0F54" w:rsidR="005A4883" w:rsidRPr="005E3150" w:rsidRDefault="005A4883" w:rsidP="005A4883">
      <w:pPr>
        <w:ind w:left="360"/>
        <w:rPr>
          <w:lang w:eastAsia="en-GB"/>
        </w:rPr>
      </w:pPr>
      <w:r>
        <w:rPr>
          <w:lang w:eastAsia="en-GB"/>
        </w:rPr>
        <w:lastRenderedPageBreak/>
        <w:t xml:space="preserve">Where the shared Data is not Personal Data (e.g. </w:t>
      </w:r>
      <w:r w:rsidR="00AB4E9E">
        <w:rPr>
          <w:lang w:eastAsia="en-GB"/>
        </w:rPr>
        <w:t>A</w:t>
      </w:r>
      <w:r>
        <w:rPr>
          <w:lang w:eastAsia="en-GB"/>
        </w:rPr>
        <w:t>nonymised</w:t>
      </w:r>
      <w:r w:rsidR="00AB4E9E">
        <w:rPr>
          <w:lang w:eastAsia="en-GB"/>
        </w:rPr>
        <w:t xml:space="preserve"> G</w:t>
      </w:r>
      <w:r w:rsidR="00F03320">
        <w:rPr>
          <w:lang w:eastAsia="en-GB"/>
        </w:rPr>
        <w:t>rouped</w:t>
      </w:r>
      <w:r>
        <w:rPr>
          <w:lang w:eastAsia="en-GB"/>
        </w:rPr>
        <w:t xml:space="preserve">, or </w:t>
      </w:r>
      <w:r w:rsidR="00AB4E9E">
        <w:rPr>
          <w:lang w:eastAsia="en-GB"/>
        </w:rPr>
        <w:t>A</w:t>
      </w:r>
      <w:r w:rsidR="00444D60">
        <w:rPr>
          <w:lang w:eastAsia="en-GB"/>
        </w:rPr>
        <w:t>nonymised</w:t>
      </w:r>
      <w:r w:rsidR="00AB4E9E">
        <w:rPr>
          <w:lang w:eastAsia="en-GB"/>
        </w:rPr>
        <w:t xml:space="preserve"> patient level</w:t>
      </w:r>
      <w:r w:rsidR="00444D60">
        <w:rPr>
          <w:lang w:eastAsia="en-GB"/>
        </w:rPr>
        <w:t xml:space="preserve"> with</w:t>
      </w:r>
      <w:r>
        <w:rPr>
          <w:lang w:eastAsia="en-GB"/>
        </w:rPr>
        <w:t xml:space="preserve"> appropriate controls in place) it is not subject to the principles of the Data Protection Act.</w:t>
      </w:r>
    </w:p>
    <w:p w14:paraId="60C9A3F9" w14:textId="230DF5F7" w:rsidR="00BA58B4" w:rsidRDefault="005A4883" w:rsidP="005A4883">
      <w:pPr>
        <w:ind w:left="360"/>
        <w:rPr>
          <w:lang w:eastAsia="en-GB"/>
        </w:rPr>
      </w:pPr>
      <w:r>
        <w:t xml:space="preserve">For </w:t>
      </w:r>
      <w:r w:rsidR="00167816">
        <w:t xml:space="preserve">patient level </w:t>
      </w:r>
      <w:r w:rsidR="00AB4E9E">
        <w:t>D</w:t>
      </w:r>
      <w:r w:rsidR="00444D60">
        <w:t xml:space="preserve">ata that has been </w:t>
      </w:r>
      <w:r w:rsidR="00167816">
        <w:t>A</w:t>
      </w:r>
      <w:r w:rsidR="00444D60">
        <w:t xml:space="preserve">nonymised </w:t>
      </w:r>
      <w:r>
        <w:t xml:space="preserve">the Receiving </w:t>
      </w:r>
      <w:r w:rsidR="005C642D">
        <w:t>O</w:t>
      </w:r>
      <w:r>
        <w:t>rganisation shall not use or manipulate the Data in any way that re-identifies any individual from that Data.</w:t>
      </w:r>
      <w:r w:rsidR="00BA58B4">
        <w:t xml:space="preserve"> </w:t>
      </w:r>
    </w:p>
    <w:p w14:paraId="2E0C0E8F" w14:textId="6ED5A761" w:rsidR="005A4883" w:rsidRDefault="00BA58B4" w:rsidP="005A4883">
      <w:pPr>
        <w:ind w:left="360"/>
        <w:rPr>
          <w:lang w:eastAsia="en-GB"/>
        </w:rPr>
      </w:pPr>
      <w:r>
        <w:rPr>
          <w:lang w:eastAsia="en-GB"/>
        </w:rPr>
        <w:t xml:space="preserve">The Receiving </w:t>
      </w:r>
      <w:r w:rsidR="005C642D">
        <w:rPr>
          <w:lang w:eastAsia="en-GB"/>
        </w:rPr>
        <w:t>O</w:t>
      </w:r>
      <w:r>
        <w:rPr>
          <w:lang w:eastAsia="en-GB"/>
        </w:rPr>
        <w:t xml:space="preserve">rganisation shall notify the Providing </w:t>
      </w:r>
      <w:r w:rsidR="007E6AB9">
        <w:rPr>
          <w:lang w:eastAsia="en-GB"/>
        </w:rPr>
        <w:t>O</w:t>
      </w:r>
      <w:r>
        <w:rPr>
          <w:lang w:eastAsia="en-GB"/>
        </w:rPr>
        <w:t>rganisation of any Data Breach (or suspected Data Breach) as soon as it is discovered.  Data Breaches should be recorded according to local incident management procedures but</w:t>
      </w:r>
      <w:r w:rsidR="00444D60">
        <w:rPr>
          <w:lang w:eastAsia="en-GB"/>
        </w:rPr>
        <w:t xml:space="preserve"> must be assessed to establish </w:t>
      </w:r>
      <w:r>
        <w:rPr>
          <w:lang w:eastAsia="en-GB"/>
        </w:rPr>
        <w:t>whether a Serious Incident Requiring Investigation report (as defined in the IG Toolkit) needs to be made. Use of the SIRI reporting system will automatically notify the Information Commissioners Office for incidents that are required to be notified.  Further guidance is available at the following.</w:t>
      </w:r>
    </w:p>
    <w:p w14:paraId="1F974570" w14:textId="6BAE54AB" w:rsidR="005A4883" w:rsidRDefault="00E942FC" w:rsidP="00BA58B4">
      <w:pPr>
        <w:numPr>
          <w:ilvl w:val="0"/>
          <w:numId w:val="0"/>
        </w:numPr>
        <w:ind w:left="283"/>
        <w:rPr>
          <w:lang w:eastAsia="en-GB"/>
        </w:rPr>
      </w:pPr>
      <w:hyperlink r:id="rId10" w:history="1">
        <w:r w:rsidR="005A4883" w:rsidRPr="00B41F4C">
          <w:rPr>
            <w:rStyle w:val="Hyperlink"/>
            <w:lang w:eastAsia="en-GB"/>
          </w:rPr>
          <w:t>https://www.igt.hscic.gov.uk/resources/HSCIC%20SIRI%20Reporting%20and%20Checklist%20Guidance.pdf</w:t>
        </w:r>
      </w:hyperlink>
    </w:p>
    <w:p w14:paraId="094FAA17" w14:textId="158327C8" w:rsidR="005A4883" w:rsidRDefault="005A4883" w:rsidP="006711A8">
      <w:pPr>
        <w:numPr>
          <w:ilvl w:val="0"/>
          <w:numId w:val="0"/>
        </w:numPr>
        <w:ind w:left="360"/>
      </w:pPr>
      <w:r>
        <w:rPr>
          <w:lang w:eastAsia="en-GB"/>
        </w:rPr>
        <w:t xml:space="preserve">Before publishing any Data derived from Data received under this </w:t>
      </w:r>
      <w:r w:rsidR="005F79B4">
        <w:rPr>
          <w:lang w:eastAsia="en-GB"/>
        </w:rPr>
        <w:t>Contract</w:t>
      </w:r>
      <w:r>
        <w:rPr>
          <w:lang w:eastAsia="en-GB"/>
        </w:rPr>
        <w:t xml:space="preserve"> the Receiving </w:t>
      </w:r>
      <w:r w:rsidR="005C642D">
        <w:rPr>
          <w:lang w:eastAsia="en-GB"/>
        </w:rPr>
        <w:t>O</w:t>
      </w:r>
      <w:r>
        <w:rPr>
          <w:lang w:eastAsia="en-GB"/>
        </w:rPr>
        <w:t xml:space="preserve">rganisation shall ensure that the </w:t>
      </w:r>
      <w:r>
        <w:t>a</w:t>
      </w:r>
      <w:r w:rsidRPr="00A10270">
        <w:t xml:space="preserve">ll steps necessary have been taken to render the </w:t>
      </w:r>
      <w:r w:rsidR="00AB4E9E">
        <w:t>D</w:t>
      </w:r>
      <w:r w:rsidR="00F03320">
        <w:t xml:space="preserve">ata </w:t>
      </w:r>
      <w:r w:rsidRPr="00A10270">
        <w:t xml:space="preserve">anonymous to a level sufficient to </w:t>
      </w:r>
      <w:r>
        <w:t xml:space="preserve">be compliant with the Information Commissioner’s Office code of practice: </w:t>
      </w:r>
      <w:hyperlink r:id="rId11" w:history="1">
        <w:r w:rsidRPr="00B41F4C">
          <w:rPr>
            <w:rStyle w:val="Hyperlink"/>
          </w:rPr>
          <w:t>https://ico.org.uk/media/1061/anonymisation-code.pdf</w:t>
        </w:r>
      </w:hyperlink>
    </w:p>
    <w:p w14:paraId="503CE402" w14:textId="6399F1A8" w:rsidR="005A4883" w:rsidRDefault="005A4883" w:rsidP="005A4883">
      <w:pPr>
        <w:ind w:left="360"/>
        <w:rPr>
          <w:lang w:eastAsia="en-GB"/>
        </w:rPr>
      </w:pPr>
      <w:r>
        <w:rPr>
          <w:lang w:eastAsia="en-GB"/>
        </w:rPr>
        <w:t xml:space="preserve">The Receiving </w:t>
      </w:r>
      <w:r w:rsidR="005C642D">
        <w:rPr>
          <w:lang w:eastAsia="en-GB"/>
        </w:rPr>
        <w:t>O</w:t>
      </w:r>
      <w:r>
        <w:rPr>
          <w:lang w:eastAsia="en-GB"/>
        </w:rPr>
        <w:t xml:space="preserve">rganisation shall not transfer Personal Data received under the terms of this </w:t>
      </w:r>
      <w:r w:rsidR="005F79B4">
        <w:rPr>
          <w:lang w:eastAsia="en-GB"/>
        </w:rPr>
        <w:t>Contract</w:t>
      </w:r>
      <w:r>
        <w:rPr>
          <w:lang w:eastAsia="en-GB"/>
        </w:rPr>
        <w:t xml:space="preserve"> outside the European Economic Area without the prior written consent of the Providing </w:t>
      </w:r>
      <w:r w:rsidR="007E6AB9">
        <w:rPr>
          <w:lang w:eastAsia="en-GB"/>
        </w:rPr>
        <w:t>O</w:t>
      </w:r>
      <w:r>
        <w:rPr>
          <w:lang w:eastAsia="en-GB"/>
        </w:rPr>
        <w:t xml:space="preserve">rganisations and only where such transfer is permitted under and complies with the Data Protection Act. </w:t>
      </w:r>
    </w:p>
    <w:p w14:paraId="4B040EA5" w14:textId="23D8973E" w:rsidR="005A4883" w:rsidRPr="004E5C98" w:rsidRDefault="005A4883" w:rsidP="005A4883">
      <w:pPr>
        <w:ind w:left="360"/>
        <w:rPr>
          <w:lang w:eastAsia="en-GB"/>
        </w:rPr>
      </w:pPr>
      <w:r>
        <w:rPr>
          <w:lang w:eastAsia="en-GB"/>
        </w:rPr>
        <w:t xml:space="preserve">The Receiving </w:t>
      </w:r>
      <w:r w:rsidR="005C642D">
        <w:rPr>
          <w:lang w:eastAsia="en-GB"/>
        </w:rPr>
        <w:t>O</w:t>
      </w:r>
      <w:r>
        <w:rPr>
          <w:lang w:eastAsia="en-GB"/>
        </w:rPr>
        <w:t xml:space="preserve">rganisation shall notify the Providing </w:t>
      </w:r>
      <w:r w:rsidR="007E6AB9">
        <w:rPr>
          <w:lang w:eastAsia="en-GB"/>
        </w:rPr>
        <w:t>O</w:t>
      </w:r>
      <w:r>
        <w:rPr>
          <w:lang w:eastAsia="en-GB"/>
        </w:rPr>
        <w:t xml:space="preserve">rganisation if a request is received regarding the Data under the Freedom of Information Act 2000 prior to the release of any Data. </w:t>
      </w:r>
    </w:p>
    <w:p w14:paraId="75B2BBAF" w14:textId="77777777" w:rsidR="005A4883" w:rsidRPr="005E3150" w:rsidRDefault="005A4883" w:rsidP="002421AE">
      <w:pPr>
        <w:pStyle w:val="Heading2"/>
        <w:numPr>
          <w:ilvl w:val="0"/>
          <w:numId w:val="0"/>
        </w:numPr>
        <w:rPr>
          <w:lang w:eastAsia="en-GB"/>
        </w:rPr>
      </w:pPr>
      <w:r>
        <w:rPr>
          <w:lang w:eastAsia="en-GB"/>
        </w:rPr>
        <w:t>Data Controller Responsibilities</w:t>
      </w:r>
    </w:p>
    <w:p w14:paraId="64D7306B" w14:textId="472EFDDD" w:rsidR="005A4883" w:rsidRDefault="005A4883" w:rsidP="005A4883">
      <w:pPr>
        <w:ind w:left="360"/>
        <w:rPr>
          <w:lang w:eastAsia="en-GB"/>
        </w:rPr>
      </w:pPr>
      <w:r>
        <w:rPr>
          <w:lang w:eastAsia="en-GB"/>
        </w:rPr>
        <w:t xml:space="preserve">Where the shared Data is Personal Data the </w:t>
      </w:r>
      <w:r w:rsidR="00565A38">
        <w:rPr>
          <w:lang w:eastAsia="en-GB"/>
        </w:rPr>
        <w:t>R</w:t>
      </w:r>
      <w:r>
        <w:rPr>
          <w:lang w:eastAsia="en-GB"/>
        </w:rPr>
        <w:t xml:space="preserve">eceiving </w:t>
      </w:r>
      <w:r w:rsidR="005C642D">
        <w:rPr>
          <w:lang w:eastAsia="en-GB"/>
        </w:rPr>
        <w:t>O</w:t>
      </w:r>
      <w:r>
        <w:rPr>
          <w:lang w:eastAsia="en-GB"/>
        </w:rPr>
        <w:t xml:space="preserve">rganisation shall be considered to become the Data Controller unless otherwise set out in the specific Data Sharing </w:t>
      </w:r>
      <w:r w:rsidR="005F79B4">
        <w:rPr>
          <w:lang w:eastAsia="en-GB"/>
        </w:rPr>
        <w:t>Agreement</w:t>
      </w:r>
      <w:r>
        <w:rPr>
          <w:lang w:eastAsia="en-GB"/>
        </w:rPr>
        <w:t>.</w:t>
      </w:r>
    </w:p>
    <w:p w14:paraId="2E695EDA" w14:textId="70CDE70A" w:rsidR="005A4883" w:rsidRDefault="005A4883" w:rsidP="005A4883">
      <w:pPr>
        <w:ind w:left="360"/>
        <w:rPr>
          <w:lang w:eastAsia="en-GB"/>
        </w:rPr>
      </w:pPr>
      <w:r>
        <w:rPr>
          <w:lang w:eastAsia="en-GB"/>
        </w:rPr>
        <w:t xml:space="preserve">The </w:t>
      </w:r>
      <w:r w:rsidR="00565A38">
        <w:rPr>
          <w:lang w:eastAsia="en-GB"/>
        </w:rPr>
        <w:t>R</w:t>
      </w:r>
      <w:r>
        <w:rPr>
          <w:lang w:eastAsia="en-GB"/>
        </w:rPr>
        <w:t xml:space="preserve">eceiving </w:t>
      </w:r>
      <w:r w:rsidR="005C642D">
        <w:rPr>
          <w:lang w:eastAsia="en-GB"/>
        </w:rPr>
        <w:t>O</w:t>
      </w:r>
      <w:r>
        <w:rPr>
          <w:lang w:eastAsia="en-GB"/>
        </w:rPr>
        <w:t xml:space="preserve">rganisation shall ensure that </w:t>
      </w:r>
      <w:r w:rsidR="00AB4E9E">
        <w:rPr>
          <w:lang w:eastAsia="en-GB"/>
        </w:rPr>
        <w:t>D</w:t>
      </w:r>
      <w:r>
        <w:rPr>
          <w:lang w:eastAsia="en-GB"/>
        </w:rPr>
        <w:t xml:space="preserve">ata </w:t>
      </w:r>
      <w:r w:rsidR="00AB4E9E">
        <w:rPr>
          <w:lang w:eastAsia="en-GB"/>
        </w:rPr>
        <w:t>are</w:t>
      </w:r>
      <w:r>
        <w:rPr>
          <w:lang w:eastAsia="en-GB"/>
        </w:rPr>
        <w:t xml:space="preserve"> processed lawfully and in accordance with all applicable laws and regulatory standards, including secure storage and transfer.</w:t>
      </w:r>
    </w:p>
    <w:p w14:paraId="7D5B8794" w14:textId="63B96608" w:rsidR="003779A9" w:rsidRPr="005E3150" w:rsidRDefault="005C642D" w:rsidP="005A4883">
      <w:pPr>
        <w:ind w:left="360"/>
        <w:rPr>
          <w:lang w:eastAsia="en-GB"/>
        </w:rPr>
      </w:pPr>
      <w:r>
        <w:rPr>
          <w:lang w:eastAsia="en-GB"/>
        </w:rPr>
        <w:t>The Receiving O</w:t>
      </w:r>
      <w:r w:rsidR="003779A9">
        <w:rPr>
          <w:lang w:eastAsia="en-GB"/>
        </w:rPr>
        <w:t>rganisation will inform the</w:t>
      </w:r>
      <w:r w:rsidR="007E6AB9">
        <w:rPr>
          <w:lang w:eastAsia="en-GB"/>
        </w:rPr>
        <w:t xml:space="preserve"> P</w:t>
      </w:r>
      <w:r w:rsidR="003779A9">
        <w:rPr>
          <w:lang w:eastAsia="en-GB"/>
        </w:rPr>
        <w:t>ro</w:t>
      </w:r>
      <w:r w:rsidR="007E6AB9">
        <w:rPr>
          <w:lang w:eastAsia="en-GB"/>
        </w:rPr>
        <w:t>viding O</w:t>
      </w:r>
      <w:r w:rsidR="003779A9">
        <w:rPr>
          <w:lang w:eastAsia="en-GB"/>
        </w:rPr>
        <w:t>rganisation when a Subject Access Request is made by a patient and will respond to the patient as required by the Data Protection Act.</w:t>
      </w:r>
    </w:p>
    <w:p w14:paraId="1B688CD7" w14:textId="4375B46B" w:rsidR="005A4883" w:rsidRDefault="005A4883" w:rsidP="005A4883">
      <w:pPr>
        <w:ind w:left="360"/>
        <w:rPr>
          <w:lang w:eastAsia="en-GB"/>
        </w:rPr>
      </w:pPr>
      <w:r>
        <w:rPr>
          <w:lang w:eastAsia="en-GB"/>
        </w:rPr>
        <w:t xml:space="preserve">Where the shared Data is not Personal Data but becomes Personal Data through processing undertaken by the Receiving </w:t>
      </w:r>
      <w:r w:rsidR="005C642D">
        <w:rPr>
          <w:lang w:eastAsia="en-GB"/>
        </w:rPr>
        <w:t>O</w:t>
      </w:r>
      <w:r>
        <w:rPr>
          <w:lang w:eastAsia="en-GB"/>
        </w:rPr>
        <w:t xml:space="preserve">rganisation, the organisation shall </w:t>
      </w:r>
      <w:r w:rsidR="00444D60">
        <w:rPr>
          <w:lang w:eastAsia="en-GB"/>
        </w:rPr>
        <w:t>become</w:t>
      </w:r>
      <w:r>
        <w:rPr>
          <w:lang w:eastAsia="en-GB"/>
        </w:rPr>
        <w:t xml:space="preserve"> the Data Controller.  As Data Controller</w:t>
      </w:r>
      <w:r w:rsidR="003779A9">
        <w:rPr>
          <w:lang w:eastAsia="en-GB"/>
        </w:rPr>
        <w:t>,</w:t>
      </w:r>
      <w:r>
        <w:rPr>
          <w:lang w:eastAsia="en-GB"/>
        </w:rPr>
        <w:t xml:space="preserve"> the organisation shall be responsible for notifying the </w:t>
      </w:r>
      <w:r w:rsidR="007E6AB9">
        <w:rPr>
          <w:lang w:eastAsia="en-GB"/>
        </w:rPr>
        <w:t>P</w:t>
      </w:r>
      <w:r w:rsidR="003779A9">
        <w:rPr>
          <w:lang w:eastAsia="en-GB"/>
        </w:rPr>
        <w:t>rovi</w:t>
      </w:r>
      <w:r>
        <w:rPr>
          <w:lang w:eastAsia="en-GB"/>
        </w:rPr>
        <w:t xml:space="preserve">ding </w:t>
      </w:r>
      <w:r w:rsidR="007E6AB9">
        <w:rPr>
          <w:lang w:eastAsia="en-GB"/>
        </w:rPr>
        <w:t>O</w:t>
      </w:r>
      <w:r>
        <w:rPr>
          <w:lang w:eastAsia="en-GB"/>
        </w:rPr>
        <w:t>rganisation; identifying whether the action constitutes a data breach; and establishing a lawful basis for continuing to hold or destroy the Personal Data as appropriate.</w:t>
      </w:r>
    </w:p>
    <w:p w14:paraId="32D7EC83" w14:textId="77777777" w:rsidR="00E11139" w:rsidRDefault="00E11139">
      <w:pPr>
        <w:numPr>
          <w:ilvl w:val="0"/>
          <w:numId w:val="0"/>
        </w:numPr>
        <w:rPr>
          <w:rFonts w:asciiTheme="majorHAnsi" w:eastAsiaTheme="majorEastAsia" w:hAnsiTheme="majorHAnsi" w:cstheme="majorBidi"/>
          <w:color w:val="2E74B5" w:themeColor="accent1" w:themeShade="BF"/>
          <w:sz w:val="26"/>
          <w:szCs w:val="26"/>
        </w:rPr>
      </w:pPr>
      <w:r>
        <w:br w:type="page"/>
      </w:r>
    </w:p>
    <w:p w14:paraId="14EFDE10" w14:textId="1BF22090" w:rsidR="005A4883" w:rsidRDefault="005A4883" w:rsidP="0084656E">
      <w:pPr>
        <w:pStyle w:val="Heading1"/>
      </w:pPr>
      <w:r>
        <w:lastRenderedPageBreak/>
        <w:t>Signature Page</w:t>
      </w:r>
    </w:p>
    <w:tbl>
      <w:tblPr>
        <w:tblStyle w:val="TableGrid"/>
        <w:tblW w:w="0" w:type="auto"/>
        <w:tblInd w:w="360" w:type="dxa"/>
        <w:tblLook w:val="04A0" w:firstRow="1" w:lastRow="0" w:firstColumn="1" w:lastColumn="0" w:noHBand="0" w:noVBand="1"/>
      </w:tblPr>
      <w:tblGrid>
        <w:gridCol w:w="4365"/>
        <w:gridCol w:w="4291"/>
      </w:tblGrid>
      <w:tr w:rsidR="005A4883" w14:paraId="2AFF950B" w14:textId="77777777" w:rsidTr="00AF1F2C">
        <w:tc>
          <w:tcPr>
            <w:tcW w:w="4508" w:type="dxa"/>
          </w:tcPr>
          <w:p w14:paraId="5126CA01" w14:textId="77777777" w:rsidR="005A4883" w:rsidRPr="002421AE" w:rsidRDefault="005A4883" w:rsidP="002421AE">
            <w:pPr>
              <w:numPr>
                <w:ilvl w:val="0"/>
                <w:numId w:val="0"/>
              </w:numPr>
              <w:rPr>
                <w:rFonts w:asciiTheme="majorHAnsi" w:hAnsiTheme="majorHAnsi"/>
                <w:color w:val="2E74B5"/>
                <w:sz w:val="28"/>
                <w:szCs w:val="28"/>
              </w:rPr>
            </w:pPr>
            <w:r w:rsidRPr="002421AE">
              <w:rPr>
                <w:rFonts w:asciiTheme="majorHAnsi" w:hAnsiTheme="majorHAnsi"/>
                <w:color w:val="2E74B5"/>
                <w:sz w:val="28"/>
                <w:szCs w:val="28"/>
              </w:rPr>
              <w:t xml:space="preserve">Signed for and on behalf of </w:t>
            </w:r>
          </w:p>
          <w:p w14:paraId="5820590F" w14:textId="77777777" w:rsidR="005A4883" w:rsidRPr="00A40D05" w:rsidRDefault="005A4883" w:rsidP="00E11139">
            <w:pPr>
              <w:numPr>
                <w:ilvl w:val="0"/>
                <w:numId w:val="0"/>
              </w:numPr>
              <w:ind w:left="283"/>
            </w:pPr>
            <w:r w:rsidRPr="00E11139">
              <w:rPr>
                <w:color w:val="AEAAAA" w:themeColor="background2" w:themeShade="BF"/>
              </w:rPr>
              <w:t>(organisation name)</w:t>
            </w:r>
          </w:p>
        </w:tc>
        <w:tc>
          <w:tcPr>
            <w:tcW w:w="4508" w:type="dxa"/>
          </w:tcPr>
          <w:p w14:paraId="6C058656" w14:textId="77777777" w:rsidR="005A4883" w:rsidRDefault="005A4883" w:rsidP="00AF1F2C">
            <w:pPr>
              <w:numPr>
                <w:ilvl w:val="0"/>
                <w:numId w:val="0"/>
              </w:numPr>
            </w:pPr>
          </w:p>
        </w:tc>
      </w:tr>
      <w:tr w:rsidR="005A4883" w14:paraId="1C579674" w14:textId="77777777" w:rsidTr="00AF1F2C">
        <w:tc>
          <w:tcPr>
            <w:tcW w:w="4508" w:type="dxa"/>
          </w:tcPr>
          <w:p w14:paraId="2A058DF4" w14:textId="77777777" w:rsidR="005A4883" w:rsidRPr="002421AE" w:rsidRDefault="005A4883" w:rsidP="002421AE">
            <w:pPr>
              <w:numPr>
                <w:ilvl w:val="0"/>
                <w:numId w:val="0"/>
              </w:numPr>
              <w:rPr>
                <w:rFonts w:asciiTheme="majorHAnsi" w:hAnsiTheme="majorHAnsi"/>
                <w:color w:val="2E74B5"/>
                <w:sz w:val="28"/>
                <w:szCs w:val="28"/>
              </w:rPr>
            </w:pPr>
            <w:r w:rsidRPr="002421AE">
              <w:rPr>
                <w:rFonts w:asciiTheme="majorHAnsi" w:hAnsiTheme="majorHAnsi"/>
                <w:color w:val="2E74B5"/>
                <w:sz w:val="28"/>
                <w:szCs w:val="28"/>
              </w:rPr>
              <w:t>Name</w:t>
            </w:r>
          </w:p>
        </w:tc>
        <w:tc>
          <w:tcPr>
            <w:tcW w:w="4508" w:type="dxa"/>
          </w:tcPr>
          <w:p w14:paraId="3223A401" w14:textId="77777777" w:rsidR="005A4883" w:rsidRDefault="005A4883" w:rsidP="00AF1F2C">
            <w:pPr>
              <w:numPr>
                <w:ilvl w:val="0"/>
                <w:numId w:val="0"/>
              </w:numPr>
            </w:pPr>
          </w:p>
        </w:tc>
      </w:tr>
      <w:tr w:rsidR="005A4883" w14:paraId="497926B3" w14:textId="77777777" w:rsidTr="00AF1F2C">
        <w:tc>
          <w:tcPr>
            <w:tcW w:w="4508" w:type="dxa"/>
          </w:tcPr>
          <w:p w14:paraId="67339CAE" w14:textId="77777777" w:rsidR="005A4883" w:rsidRPr="002421AE" w:rsidRDefault="005A4883" w:rsidP="002421AE">
            <w:pPr>
              <w:numPr>
                <w:ilvl w:val="0"/>
                <w:numId w:val="0"/>
              </w:numPr>
              <w:rPr>
                <w:rFonts w:asciiTheme="majorHAnsi" w:hAnsiTheme="majorHAnsi"/>
                <w:color w:val="2E74B5"/>
                <w:sz w:val="28"/>
                <w:szCs w:val="28"/>
              </w:rPr>
            </w:pPr>
            <w:r w:rsidRPr="002421AE">
              <w:rPr>
                <w:rFonts w:asciiTheme="majorHAnsi" w:hAnsiTheme="majorHAnsi"/>
                <w:color w:val="2E74B5"/>
                <w:sz w:val="28"/>
                <w:szCs w:val="28"/>
              </w:rPr>
              <w:t>Role / Job Title</w:t>
            </w:r>
          </w:p>
        </w:tc>
        <w:tc>
          <w:tcPr>
            <w:tcW w:w="4508" w:type="dxa"/>
          </w:tcPr>
          <w:p w14:paraId="420EB66C" w14:textId="77777777" w:rsidR="005A4883" w:rsidRDefault="005A4883" w:rsidP="00AF1F2C">
            <w:pPr>
              <w:numPr>
                <w:ilvl w:val="0"/>
                <w:numId w:val="0"/>
              </w:numPr>
            </w:pPr>
          </w:p>
        </w:tc>
      </w:tr>
      <w:tr w:rsidR="005A4883" w14:paraId="743D45F4" w14:textId="77777777" w:rsidTr="00AF1F2C">
        <w:tc>
          <w:tcPr>
            <w:tcW w:w="4508" w:type="dxa"/>
          </w:tcPr>
          <w:p w14:paraId="47CE7638" w14:textId="77777777" w:rsidR="005A4883" w:rsidRPr="002421AE" w:rsidRDefault="005A4883" w:rsidP="002421AE">
            <w:pPr>
              <w:numPr>
                <w:ilvl w:val="0"/>
                <w:numId w:val="0"/>
              </w:numPr>
              <w:rPr>
                <w:rFonts w:asciiTheme="majorHAnsi" w:hAnsiTheme="majorHAnsi"/>
                <w:color w:val="2E74B5"/>
                <w:sz w:val="28"/>
                <w:szCs w:val="28"/>
              </w:rPr>
            </w:pPr>
            <w:r w:rsidRPr="002421AE">
              <w:rPr>
                <w:rFonts w:asciiTheme="majorHAnsi" w:hAnsiTheme="majorHAnsi"/>
                <w:color w:val="2E74B5"/>
                <w:sz w:val="28"/>
                <w:szCs w:val="28"/>
              </w:rPr>
              <w:t>Signature</w:t>
            </w:r>
          </w:p>
        </w:tc>
        <w:tc>
          <w:tcPr>
            <w:tcW w:w="4508" w:type="dxa"/>
          </w:tcPr>
          <w:p w14:paraId="569A3056" w14:textId="77777777" w:rsidR="005A4883" w:rsidRDefault="005A4883" w:rsidP="00AF1F2C">
            <w:pPr>
              <w:numPr>
                <w:ilvl w:val="0"/>
                <w:numId w:val="0"/>
              </w:numPr>
            </w:pPr>
          </w:p>
        </w:tc>
      </w:tr>
      <w:tr w:rsidR="005A4883" w14:paraId="51E44825" w14:textId="77777777" w:rsidTr="00AF1F2C">
        <w:tc>
          <w:tcPr>
            <w:tcW w:w="4508" w:type="dxa"/>
          </w:tcPr>
          <w:p w14:paraId="6DB1A55D" w14:textId="77777777" w:rsidR="005A4883" w:rsidRPr="002421AE" w:rsidRDefault="005A4883" w:rsidP="002421AE">
            <w:pPr>
              <w:numPr>
                <w:ilvl w:val="0"/>
                <w:numId w:val="0"/>
              </w:numPr>
              <w:rPr>
                <w:rFonts w:asciiTheme="majorHAnsi" w:hAnsiTheme="majorHAnsi"/>
                <w:color w:val="2E74B5"/>
                <w:sz w:val="28"/>
                <w:szCs w:val="28"/>
              </w:rPr>
            </w:pPr>
            <w:r w:rsidRPr="002421AE">
              <w:rPr>
                <w:rFonts w:asciiTheme="majorHAnsi" w:hAnsiTheme="majorHAnsi"/>
                <w:color w:val="2E74B5"/>
                <w:sz w:val="28"/>
                <w:szCs w:val="28"/>
              </w:rPr>
              <w:t>Date</w:t>
            </w:r>
          </w:p>
        </w:tc>
        <w:tc>
          <w:tcPr>
            <w:tcW w:w="4508" w:type="dxa"/>
          </w:tcPr>
          <w:p w14:paraId="5321C736" w14:textId="77777777" w:rsidR="005A4883" w:rsidRDefault="005A4883" w:rsidP="00AF1F2C">
            <w:pPr>
              <w:numPr>
                <w:ilvl w:val="0"/>
                <w:numId w:val="0"/>
              </w:numPr>
            </w:pPr>
          </w:p>
        </w:tc>
      </w:tr>
    </w:tbl>
    <w:p w14:paraId="3DB09200" w14:textId="77777777" w:rsidR="005A4883" w:rsidRPr="00A40D05" w:rsidRDefault="005A4883" w:rsidP="005A4883">
      <w:pPr>
        <w:numPr>
          <w:ilvl w:val="0"/>
          <w:numId w:val="0"/>
        </w:numPr>
        <w:rPr>
          <w:lang w:eastAsia="en-GB"/>
        </w:rPr>
      </w:pPr>
    </w:p>
    <w:p w14:paraId="39DDECAE" w14:textId="798355FE" w:rsidR="005A4883" w:rsidRDefault="005A4883" w:rsidP="005A4883">
      <w:pPr>
        <w:numPr>
          <w:ilvl w:val="0"/>
          <w:numId w:val="0"/>
        </w:numPr>
        <w:rPr>
          <w:rFonts w:asciiTheme="majorHAnsi" w:eastAsiaTheme="majorEastAsia" w:hAnsiTheme="majorHAnsi" w:cstheme="majorBidi"/>
          <w:b/>
          <w:bCs/>
          <w:color w:val="2E74B5" w:themeColor="accent1" w:themeShade="BF"/>
          <w:sz w:val="28"/>
          <w:szCs w:val="28"/>
          <w:lang w:eastAsia="en-GB"/>
        </w:rPr>
      </w:pPr>
    </w:p>
    <w:sectPr w:rsidR="005A488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E65FA" w14:textId="77777777" w:rsidR="00E942FC" w:rsidRDefault="00E942FC" w:rsidP="00B6799F">
      <w:pPr>
        <w:spacing w:after="0" w:line="240" w:lineRule="auto"/>
      </w:pPr>
      <w:r>
        <w:separator/>
      </w:r>
    </w:p>
  </w:endnote>
  <w:endnote w:type="continuationSeparator" w:id="0">
    <w:p w14:paraId="4AF7526B" w14:textId="77777777" w:rsidR="00E942FC" w:rsidRDefault="00E942FC" w:rsidP="00B67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287" w:usb1="0000000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Bold">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4509"/>
      <w:gridCol w:w="4517"/>
    </w:tblGrid>
    <w:tr w:rsidR="00CC0E9E" w14:paraId="34E6FCE6" w14:textId="77777777" w:rsidTr="002D54D5">
      <w:tc>
        <w:tcPr>
          <w:tcW w:w="4718" w:type="dxa"/>
          <w:tcBorders>
            <w:top w:val="single" w:sz="4" w:space="0" w:color="auto"/>
            <w:left w:val="nil"/>
            <w:bottom w:val="nil"/>
            <w:right w:val="nil"/>
          </w:tcBorders>
        </w:tcPr>
        <w:p w14:paraId="3BF81009" w14:textId="2C5AE370" w:rsidR="00CC0E9E" w:rsidRPr="00B51A2B" w:rsidRDefault="00E71C26" w:rsidP="0081738A">
          <w:pPr>
            <w:pStyle w:val="Footer"/>
            <w:numPr>
              <w:ilvl w:val="0"/>
              <w:numId w:val="0"/>
            </w:numPr>
            <w:rPr>
              <w:rFonts w:asciiTheme="minorHAnsi" w:hAnsiTheme="minorHAnsi"/>
              <w:sz w:val="20"/>
              <w:szCs w:val="20"/>
            </w:rPr>
          </w:pPr>
          <w:r>
            <w:rPr>
              <w:rFonts w:asciiTheme="minorHAnsi" w:hAnsiTheme="minorHAnsi"/>
              <w:sz w:val="20"/>
              <w:szCs w:val="20"/>
            </w:rPr>
            <w:t>Connected Heal</w:t>
          </w:r>
          <w:r w:rsidR="005F79B4">
            <w:rPr>
              <w:rFonts w:asciiTheme="minorHAnsi" w:hAnsiTheme="minorHAnsi"/>
              <w:sz w:val="20"/>
              <w:szCs w:val="20"/>
            </w:rPr>
            <w:t>th Cities Data Sharing Contract</w:t>
          </w:r>
        </w:p>
        <w:p w14:paraId="368BEC1B" w14:textId="5376C0B0" w:rsidR="00CC0E9E" w:rsidRPr="00B51A2B" w:rsidRDefault="00CC0E9E" w:rsidP="0081738A">
          <w:pPr>
            <w:pStyle w:val="Footer"/>
            <w:numPr>
              <w:ilvl w:val="0"/>
              <w:numId w:val="0"/>
            </w:numPr>
            <w:rPr>
              <w:rFonts w:asciiTheme="minorHAnsi" w:hAnsiTheme="minorHAnsi"/>
              <w:sz w:val="20"/>
              <w:szCs w:val="20"/>
            </w:rPr>
          </w:pPr>
          <w:r>
            <w:rPr>
              <w:rFonts w:asciiTheme="minorHAnsi" w:hAnsiTheme="minorHAnsi"/>
              <w:sz w:val="20"/>
              <w:szCs w:val="20"/>
            </w:rPr>
            <w:t>Version:</w:t>
          </w:r>
          <w:r w:rsidR="0080408B">
            <w:rPr>
              <w:rFonts w:asciiTheme="minorHAnsi" w:hAnsiTheme="minorHAnsi"/>
              <w:sz w:val="20"/>
              <w:szCs w:val="20"/>
            </w:rPr>
            <w:t xml:space="preserve">  </w:t>
          </w:r>
          <w:r>
            <w:rPr>
              <w:rFonts w:asciiTheme="minorHAnsi" w:hAnsiTheme="minorHAnsi"/>
              <w:sz w:val="20"/>
              <w:szCs w:val="20"/>
            </w:rPr>
            <w:t>Version</w:t>
          </w:r>
          <w:r w:rsidR="00D0728A">
            <w:rPr>
              <w:rFonts w:asciiTheme="minorHAnsi" w:hAnsiTheme="minorHAnsi"/>
              <w:sz w:val="20"/>
              <w:szCs w:val="20"/>
            </w:rPr>
            <w:t xml:space="preserve"> 1.1</w:t>
          </w:r>
        </w:p>
        <w:p w14:paraId="30EDA28C" w14:textId="0DCB0DDC" w:rsidR="00CC0E9E" w:rsidRDefault="00CC0E9E" w:rsidP="0081738A">
          <w:pPr>
            <w:pStyle w:val="Footer"/>
            <w:numPr>
              <w:ilvl w:val="0"/>
              <w:numId w:val="0"/>
            </w:numPr>
          </w:pPr>
          <w:r w:rsidRPr="00B51A2B">
            <w:rPr>
              <w:rFonts w:asciiTheme="minorHAnsi" w:hAnsiTheme="minorHAnsi"/>
              <w:sz w:val="20"/>
              <w:szCs w:val="20"/>
            </w:rPr>
            <w:t xml:space="preserve">Date: </w:t>
          </w:r>
          <w:r w:rsidR="00D0728A">
            <w:rPr>
              <w:rFonts w:asciiTheme="minorHAnsi" w:hAnsiTheme="minorHAnsi"/>
              <w:sz w:val="20"/>
              <w:szCs w:val="20"/>
            </w:rPr>
            <w:t>03 May</w:t>
          </w:r>
          <w:r w:rsidR="0080408B">
            <w:rPr>
              <w:rFonts w:asciiTheme="minorHAnsi" w:hAnsiTheme="minorHAnsi"/>
              <w:sz w:val="20"/>
              <w:szCs w:val="20"/>
            </w:rPr>
            <w:t xml:space="preserve"> 2017</w:t>
          </w:r>
        </w:p>
      </w:tc>
      <w:tc>
        <w:tcPr>
          <w:tcW w:w="4718" w:type="dxa"/>
          <w:tcBorders>
            <w:top w:val="single" w:sz="4" w:space="0" w:color="auto"/>
            <w:left w:val="nil"/>
            <w:bottom w:val="nil"/>
            <w:right w:val="nil"/>
          </w:tcBorders>
        </w:tcPr>
        <w:p w14:paraId="2781AD6D" w14:textId="3D29E7D5" w:rsidR="00CC0E9E" w:rsidRDefault="00CC0E9E" w:rsidP="00274F9B">
          <w:pPr>
            <w:pStyle w:val="Footer"/>
            <w:numPr>
              <w:ilvl w:val="0"/>
              <w:numId w:val="0"/>
            </w:numPr>
            <w:ind w:left="360"/>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sidR="00ED7FBF" w:rsidRPr="00ED7FBF">
            <w:rPr>
              <w:b/>
              <w:bCs/>
              <w:noProof/>
            </w:rPr>
            <w:t>2</w:t>
          </w:r>
          <w:r>
            <w:rPr>
              <w:b/>
              <w:bCs/>
              <w:noProof/>
            </w:rPr>
            <w:fldChar w:fldCharType="end"/>
          </w:r>
        </w:p>
      </w:tc>
    </w:tr>
  </w:tbl>
  <w:p w14:paraId="1C80D647" w14:textId="77777777" w:rsidR="00CC0E9E" w:rsidRDefault="00CC0E9E" w:rsidP="00274F9B">
    <w:pPr>
      <w:pStyle w:val="Footer"/>
      <w:numPr>
        <w:ilvl w:val="0"/>
        <w:numId w:val="0"/>
      </w:numPr>
      <w:ind w:left="28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94254" w14:textId="77777777" w:rsidR="00E942FC" w:rsidRDefault="00E942FC" w:rsidP="00B6799F">
      <w:pPr>
        <w:spacing w:after="0" w:line="240" w:lineRule="auto"/>
      </w:pPr>
      <w:r>
        <w:separator/>
      </w:r>
    </w:p>
  </w:footnote>
  <w:footnote w:type="continuationSeparator" w:id="0">
    <w:p w14:paraId="4AE418C3" w14:textId="77777777" w:rsidR="00E942FC" w:rsidRDefault="00E942FC" w:rsidP="00B6799F">
      <w:pPr>
        <w:spacing w:after="0" w:line="240" w:lineRule="auto"/>
      </w:pPr>
      <w:r>
        <w:continuationSeparator/>
      </w:r>
    </w:p>
  </w:footnote>
  <w:footnote w:id="1">
    <w:p w14:paraId="2E43E8F2" w14:textId="77777777" w:rsidR="0021042B" w:rsidRDefault="0021042B" w:rsidP="005A4883">
      <w:pPr>
        <w:pStyle w:val="legclearfix2"/>
        <w:rPr>
          <w:rFonts w:ascii="Arial" w:hAnsi="Arial" w:cs="Arial"/>
          <w:sz w:val="18"/>
          <w:szCs w:val="18"/>
          <w:lang w:val="en"/>
        </w:rPr>
      </w:pPr>
      <w:r>
        <w:rPr>
          <w:rStyle w:val="FootnoteReference"/>
        </w:rPr>
        <w:footnoteRef/>
      </w:r>
      <w:r>
        <w:t xml:space="preserve"> </w:t>
      </w:r>
      <w:r>
        <w:rPr>
          <w:rStyle w:val="legds2"/>
          <w:rFonts w:ascii="Arial" w:hAnsi="Arial" w:cs="Arial"/>
          <w:sz w:val="18"/>
          <w:szCs w:val="18"/>
          <w:lang w:val="en"/>
          <w:specVanish w:val="0"/>
        </w:rPr>
        <w:t>“</w:t>
      </w:r>
      <w:r>
        <w:rPr>
          <w:rStyle w:val="legterm"/>
          <w:rFonts w:ascii="Arial" w:hAnsi="Arial" w:cs="Arial"/>
          <w:sz w:val="18"/>
          <w:szCs w:val="18"/>
          <w:lang w:val="en"/>
        </w:rPr>
        <w:t>medical purposes</w:t>
      </w:r>
      <w:r>
        <w:rPr>
          <w:rStyle w:val="legds2"/>
          <w:rFonts w:ascii="Arial" w:hAnsi="Arial" w:cs="Arial"/>
          <w:sz w:val="18"/>
          <w:szCs w:val="18"/>
          <w:lang w:val="en"/>
          <w:specVanish w:val="0"/>
        </w:rPr>
        <w:t>” means the purposes of any of—</w:t>
      </w:r>
    </w:p>
    <w:p w14:paraId="7E4C648D" w14:textId="77777777" w:rsidR="0021042B" w:rsidRDefault="0021042B" w:rsidP="005A4883">
      <w:pPr>
        <w:pStyle w:val="legclearfix2"/>
        <w:rPr>
          <w:rFonts w:ascii="Arial" w:hAnsi="Arial" w:cs="Arial"/>
          <w:sz w:val="18"/>
          <w:szCs w:val="18"/>
          <w:lang w:val="en"/>
        </w:rPr>
      </w:pPr>
      <w:r>
        <w:rPr>
          <w:rStyle w:val="legds2"/>
          <w:rFonts w:ascii="Arial" w:hAnsi="Arial" w:cs="Arial"/>
          <w:sz w:val="18"/>
          <w:szCs w:val="18"/>
          <w:lang w:val="en"/>
          <w:specVanish w:val="0"/>
        </w:rPr>
        <w:t>(a)</w:t>
      </w:r>
      <w:r>
        <w:rPr>
          <w:rFonts w:ascii="Arial" w:hAnsi="Arial" w:cs="Arial"/>
          <w:sz w:val="18"/>
          <w:szCs w:val="18"/>
          <w:lang w:val="en"/>
        </w:rPr>
        <w:t>preventative medicine, medical diagnosis, medical research, the provision of care and treatment and the management of health and social care services, and</w:t>
      </w:r>
    </w:p>
    <w:p w14:paraId="53BA70DA" w14:textId="77777777" w:rsidR="0021042B" w:rsidRDefault="0021042B" w:rsidP="005A4883">
      <w:pPr>
        <w:pStyle w:val="legclearfix2"/>
      </w:pPr>
      <w:r>
        <w:rPr>
          <w:rFonts w:ascii="Arial" w:hAnsi="Arial" w:cs="Arial"/>
          <w:sz w:val="18"/>
          <w:szCs w:val="18"/>
          <w:lang w:val="en"/>
        </w:rPr>
        <w:t>(b)informing individuals about their physical or mental health or condition, the diagnosis of their condition or their care and treatment.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064"/>
    </w:tblGrid>
    <w:tr w:rsidR="00CC0E9E" w14:paraId="7BD68492" w14:textId="77777777" w:rsidTr="005A4883">
      <w:tc>
        <w:tcPr>
          <w:tcW w:w="4962" w:type="dxa"/>
        </w:tcPr>
        <w:p w14:paraId="53D7BC65" w14:textId="2F19B384" w:rsidR="00CC0E9E" w:rsidRPr="005740BD" w:rsidRDefault="00CC0E9E" w:rsidP="0081738A">
          <w:pPr>
            <w:numPr>
              <w:ilvl w:val="0"/>
              <w:numId w:val="0"/>
            </w:numPr>
          </w:pPr>
          <w:r w:rsidRPr="005A4883">
            <w:rPr>
              <w:rFonts w:asciiTheme="majorHAnsi" w:hAnsiTheme="majorHAnsi" w:cstheme="minorBidi"/>
              <w:b/>
              <w:color w:val="2E74B5"/>
              <w:sz w:val="28"/>
              <w:szCs w:val="28"/>
              <w:lang w:eastAsia="en-US"/>
            </w:rPr>
            <w:t>Data Sharing</w:t>
          </w:r>
          <w:r w:rsidR="005F79B4">
            <w:rPr>
              <w:rFonts w:asciiTheme="majorHAnsi" w:hAnsiTheme="majorHAnsi" w:cstheme="minorBidi"/>
              <w:b/>
              <w:color w:val="2E74B5"/>
              <w:sz w:val="28"/>
              <w:szCs w:val="28"/>
              <w:lang w:eastAsia="en-US"/>
            </w:rPr>
            <w:t xml:space="preserve"> Contract</w:t>
          </w:r>
        </w:p>
      </w:tc>
      <w:tc>
        <w:tcPr>
          <w:tcW w:w="4064" w:type="dxa"/>
        </w:tcPr>
        <w:p w14:paraId="16635592" w14:textId="5E5C9ACF" w:rsidR="00CC0E9E" w:rsidRDefault="00E71C26" w:rsidP="00274F9B">
          <w:pPr>
            <w:pStyle w:val="Header"/>
            <w:numPr>
              <w:ilvl w:val="0"/>
              <w:numId w:val="0"/>
            </w:numPr>
            <w:ind w:left="360"/>
            <w:jc w:val="right"/>
          </w:pPr>
          <w:r w:rsidRPr="00E71C26">
            <w:rPr>
              <w:noProof/>
            </w:rPr>
            <w:drawing>
              <wp:anchor distT="0" distB="0" distL="114300" distR="114300" simplePos="0" relativeHeight="251682816" behindDoc="0" locked="0" layoutInCell="1" allowOverlap="1" wp14:anchorId="5EBE7875" wp14:editId="0D76A004">
                <wp:simplePos x="0" y="0"/>
                <wp:positionH relativeFrom="column">
                  <wp:posOffset>2047875</wp:posOffset>
                </wp:positionH>
                <wp:positionV relativeFrom="paragraph">
                  <wp:posOffset>317</wp:posOffset>
                </wp:positionV>
                <wp:extent cx="460375" cy="701675"/>
                <wp:effectExtent l="0" t="0" r="0" b="3175"/>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60375" cy="701675"/>
                        </a:xfrm>
                        <a:prstGeom prst="rect">
                          <a:avLst/>
                        </a:prstGeom>
                        <a:ln w="12700">
                          <a:miter lim="400000"/>
                        </a:ln>
                      </pic:spPr>
                    </pic:pic>
                  </a:graphicData>
                </a:graphic>
                <wp14:sizeRelH relativeFrom="margin">
                  <wp14:pctWidth>0</wp14:pctWidth>
                </wp14:sizeRelH>
                <wp14:sizeRelV relativeFrom="margin">
                  <wp14:pctHeight>0</wp14:pctHeight>
                </wp14:sizeRelV>
              </wp:anchor>
            </w:drawing>
          </w:r>
        </w:p>
      </w:tc>
    </w:tr>
  </w:tbl>
  <w:p w14:paraId="6FA8E0A1" w14:textId="3AD34707" w:rsidR="00CC0E9E" w:rsidRPr="00274F9B" w:rsidRDefault="00CC0E9E" w:rsidP="00274F9B">
    <w:pPr>
      <w:pStyle w:val="Header"/>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7E365E"/>
    <w:multiLevelType w:val="hybridMultilevel"/>
    <w:tmpl w:val="D7BEBD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40A"/>
    <w:multiLevelType w:val="multilevel"/>
    <w:tmpl w:val="0000088D"/>
    <w:lvl w:ilvl="0">
      <w:start w:val="136"/>
      <w:numFmt w:val="decimal"/>
      <w:lvlText w:val="%1."/>
      <w:lvlJc w:val="left"/>
      <w:pPr>
        <w:ind w:left="763" w:hanging="437"/>
      </w:pPr>
      <w:rPr>
        <w:rFonts w:ascii="Calibri" w:hAnsi="Calibri" w:cs="Calibri"/>
        <w:b w:val="0"/>
        <w:bCs w:val="0"/>
        <w:w w:val="100"/>
        <w:sz w:val="22"/>
        <w:szCs w:val="22"/>
      </w:rPr>
    </w:lvl>
    <w:lvl w:ilvl="1">
      <w:start w:val="1"/>
      <w:numFmt w:val="lowerRoman"/>
      <w:lvlText w:val="%2."/>
      <w:lvlJc w:val="left"/>
      <w:pPr>
        <w:ind w:left="1197" w:hanging="476"/>
      </w:pPr>
      <w:rPr>
        <w:rFonts w:ascii="Times New Roman" w:hAnsi="Times New Roman" w:cs="Times New Roman"/>
        <w:b w:val="0"/>
        <w:bCs w:val="0"/>
        <w:spacing w:val="1"/>
        <w:w w:val="100"/>
        <w:sz w:val="22"/>
        <w:szCs w:val="22"/>
      </w:rPr>
    </w:lvl>
    <w:lvl w:ilvl="2">
      <w:numFmt w:val="bullet"/>
      <w:lvlText w:val="•"/>
      <w:lvlJc w:val="left"/>
      <w:pPr>
        <w:ind w:left="1220" w:hanging="476"/>
      </w:pPr>
    </w:lvl>
    <w:lvl w:ilvl="3">
      <w:numFmt w:val="bullet"/>
      <w:lvlText w:val="•"/>
      <w:lvlJc w:val="left"/>
      <w:pPr>
        <w:ind w:left="2298" w:hanging="476"/>
      </w:pPr>
    </w:lvl>
    <w:lvl w:ilvl="4">
      <w:numFmt w:val="bullet"/>
      <w:lvlText w:val="•"/>
      <w:lvlJc w:val="left"/>
      <w:pPr>
        <w:ind w:left="3376" w:hanging="476"/>
      </w:pPr>
    </w:lvl>
    <w:lvl w:ilvl="5">
      <w:numFmt w:val="bullet"/>
      <w:lvlText w:val="•"/>
      <w:lvlJc w:val="left"/>
      <w:pPr>
        <w:ind w:left="4454" w:hanging="476"/>
      </w:pPr>
    </w:lvl>
    <w:lvl w:ilvl="6">
      <w:numFmt w:val="bullet"/>
      <w:lvlText w:val="•"/>
      <w:lvlJc w:val="left"/>
      <w:pPr>
        <w:ind w:left="5533" w:hanging="476"/>
      </w:pPr>
    </w:lvl>
    <w:lvl w:ilvl="7">
      <w:numFmt w:val="bullet"/>
      <w:lvlText w:val="•"/>
      <w:lvlJc w:val="left"/>
      <w:pPr>
        <w:ind w:left="6611" w:hanging="476"/>
      </w:pPr>
    </w:lvl>
    <w:lvl w:ilvl="8">
      <w:numFmt w:val="bullet"/>
      <w:lvlText w:val="•"/>
      <w:lvlJc w:val="left"/>
      <w:pPr>
        <w:ind w:left="7689" w:hanging="476"/>
      </w:pPr>
    </w:lvl>
  </w:abstractNum>
  <w:abstractNum w:abstractNumId="2" w15:restartNumberingAfterBreak="0">
    <w:nsid w:val="02720779"/>
    <w:multiLevelType w:val="hybridMultilevel"/>
    <w:tmpl w:val="BE484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146510"/>
    <w:multiLevelType w:val="hybridMultilevel"/>
    <w:tmpl w:val="136678FA"/>
    <w:lvl w:ilvl="0" w:tplc="08090001">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abstractNum w:abstractNumId="4" w15:restartNumberingAfterBreak="0">
    <w:nsid w:val="0CF41ACB"/>
    <w:multiLevelType w:val="hybridMultilevel"/>
    <w:tmpl w:val="32880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6E5B2A"/>
    <w:multiLevelType w:val="multilevel"/>
    <w:tmpl w:val="6374BA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CA5217"/>
    <w:multiLevelType w:val="hybridMultilevel"/>
    <w:tmpl w:val="0C4ACE5A"/>
    <w:lvl w:ilvl="0" w:tplc="0809001B">
      <w:start w:val="1"/>
      <w:numFmt w:val="lowerRoman"/>
      <w:lvlText w:val="%1."/>
      <w:lvlJc w:val="right"/>
      <w:pPr>
        <w:ind w:left="36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 w15:restartNumberingAfterBreak="0">
    <w:nsid w:val="18F10105"/>
    <w:multiLevelType w:val="hybridMultilevel"/>
    <w:tmpl w:val="9850D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723FC6"/>
    <w:multiLevelType w:val="multilevel"/>
    <w:tmpl w:val="AE4C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34B81"/>
    <w:multiLevelType w:val="multilevel"/>
    <w:tmpl w:val="D68E8B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F4190C"/>
    <w:multiLevelType w:val="multilevel"/>
    <w:tmpl w:val="215AF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F95B40"/>
    <w:multiLevelType w:val="hybridMultilevel"/>
    <w:tmpl w:val="005655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03B45D"/>
    <w:multiLevelType w:val="hybridMultilevel"/>
    <w:tmpl w:val="881E1F3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3519365F"/>
    <w:multiLevelType w:val="hybridMultilevel"/>
    <w:tmpl w:val="301E5A5A"/>
    <w:lvl w:ilvl="0" w:tplc="A0184B68">
      <w:start w:val="1"/>
      <w:numFmt w:val="bullet"/>
      <w:lvlText w:val="•"/>
      <w:lvlJc w:val="left"/>
      <w:pPr>
        <w:tabs>
          <w:tab w:val="num" w:pos="720"/>
        </w:tabs>
        <w:ind w:left="720" w:hanging="360"/>
      </w:pPr>
      <w:rPr>
        <w:rFonts w:ascii="Arial" w:hAnsi="Arial" w:hint="default"/>
      </w:rPr>
    </w:lvl>
    <w:lvl w:ilvl="1" w:tplc="38F682EC">
      <w:start w:val="1"/>
      <w:numFmt w:val="bullet"/>
      <w:lvlText w:val="•"/>
      <w:lvlJc w:val="left"/>
      <w:pPr>
        <w:tabs>
          <w:tab w:val="num" w:pos="1440"/>
        </w:tabs>
        <w:ind w:left="1440" w:hanging="360"/>
      </w:pPr>
      <w:rPr>
        <w:rFonts w:ascii="Arial" w:hAnsi="Arial" w:hint="default"/>
      </w:rPr>
    </w:lvl>
    <w:lvl w:ilvl="2" w:tplc="30CAFABC" w:tentative="1">
      <w:start w:val="1"/>
      <w:numFmt w:val="bullet"/>
      <w:lvlText w:val="•"/>
      <w:lvlJc w:val="left"/>
      <w:pPr>
        <w:tabs>
          <w:tab w:val="num" w:pos="2160"/>
        </w:tabs>
        <w:ind w:left="2160" w:hanging="360"/>
      </w:pPr>
      <w:rPr>
        <w:rFonts w:ascii="Arial" w:hAnsi="Arial" w:hint="default"/>
      </w:rPr>
    </w:lvl>
    <w:lvl w:ilvl="3" w:tplc="B5E4995E" w:tentative="1">
      <w:start w:val="1"/>
      <w:numFmt w:val="bullet"/>
      <w:lvlText w:val="•"/>
      <w:lvlJc w:val="left"/>
      <w:pPr>
        <w:tabs>
          <w:tab w:val="num" w:pos="2880"/>
        </w:tabs>
        <w:ind w:left="2880" w:hanging="360"/>
      </w:pPr>
      <w:rPr>
        <w:rFonts w:ascii="Arial" w:hAnsi="Arial" w:hint="default"/>
      </w:rPr>
    </w:lvl>
    <w:lvl w:ilvl="4" w:tplc="3BB63CA6" w:tentative="1">
      <w:start w:val="1"/>
      <w:numFmt w:val="bullet"/>
      <w:lvlText w:val="•"/>
      <w:lvlJc w:val="left"/>
      <w:pPr>
        <w:tabs>
          <w:tab w:val="num" w:pos="3600"/>
        </w:tabs>
        <w:ind w:left="3600" w:hanging="360"/>
      </w:pPr>
      <w:rPr>
        <w:rFonts w:ascii="Arial" w:hAnsi="Arial" w:hint="default"/>
      </w:rPr>
    </w:lvl>
    <w:lvl w:ilvl="5" w:tplc="10EA51FA" w:tentative="1">
      <w:start w:val="1"/>
      <w:numFmt w:val="bullet"/>
      <w:lvlText w:val="•"/>
      <w:lvlJc w:val="left"/>
      <w:pPr>
        <w:tabs>
          <w:tab w:val="num" w:pos="4320"/>
        </w:tabs>
        <w:ind w:left="4320" w:hanging="360"/>
      </w:pPr>
      <w:rPr>
        <w:rFonts w:ascii="Arial" w:hAnsi="Arial" w:hint="default"/>
      </w:rPr>
    </w:lvl>
    <w:lvl w:ilvl="6" w:tplc="7EAE59D8" w:tentative="1">
      <w:start w:val="1"/>
      <w:numFmt w:val="bullet"/>
      <w:lvlText w:val="•"/>
      <w:lvlJc w:val="left"/>
      <w:pPr>
        <w:tabs>
          <w:tab w:val="num" w:pos="5040"/>
        </w:tabs>
        <w:ind w:left="5040" w:hanging="360"/>
      </w:pPr>
      <w:rPr>
        <w:rFonts w:ascii="Arial" w:hAnsi="Arial" w:hint="default"/>
      </w:rPr>
    </w:lvl>
    <w:lvl w:ilvl="7" w:tplc="083A032C" w:tentative="1">
      <w:start w:val="1"/>
      <w:numFmt w:val="bullet"/>
      <w:lvlText w:val="•"/>
      <w:lvlJc w:val="left"/>
      <w:pPr>
        <w:tabs>
          <w:tab w:val="num" w:pos="5760"/>
        </w:tabs>
        <w:ind w:left="5760" w:hanging="360"/>
      </w:pPr>
      <w:rPr>
        <w:rFonts w:ascii="Arial" w:hAnsi="Arial" w:hint="default"/>
      </w:rPr>
    </w:lvl>
    <w:lvl w:ilvl="8" w:tplc="32C07D6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C75940"/>
    <w:multiLevelType w:val="hybridMultilevel"/>
    <w:tmpl w:val="CA06BCDE"/>
    <w:lvl w:ilvl="0" w:tplc="2DE623E0">
      <w:start w:val="1"/>
      <w:numFmt w:val="decimal"/>
      <w:pStyle w:val="Normal"/>
      <w:lvlText w:val="%1."/>
      <w:lvlJc w:val="left"/>
      <w:pPr>
        <w:ind w:left="643" w:hanging="360"/>
      </w:pPr>
      <w:rPr>
        <w:rFonts w:cs="Times New Roman" w:hint="default"/>
      </w:rPr>
    </w:lvl>
    <w:lvl w:ilvl="1" w:tplc="0809001B">
      <w:start w:val="1"/>
      <w:numFmt w:val="lowerRoman"/>
      <w:lvlText w:val="%2."/>
      <w:lvlJc w:val="right"/>
      <w:pPr>
        <w:ind w:left="1080" w:hanging="360"/>
      </w:pPr>
      <w:rPr>
        <w:rFonts w:ascii="Times New Roman" w:hAnsi="Times New Roman" w:cs="Times New Roman"/>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3AEE0C8E"/>
    <w:multiLevelType w:val="hybridMultilevel"/>
    <w:tmpl w:val="AAD2C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EB788C"/>
    <w:multiLevelType w:val="hybridMultilevel"/>
    <w:tmpl w:val="DFAA3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DC459B5"/>
    <w:multiLevelType w:val="multilevel"/>
    <w:tmpl w:val="6374BA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F417014"/>
    <w:multiLevelType w:val="hybridMultilevel"/>
    <w:tmpl w:val="2342F760"/>
    <w:lvl w:ilvl="0" w:tplc="A8DA2C62">
      <w:start w:val="1"/>
      <w:numFmt w:val="bullet"/>
      <w:lvlText w:val="•"/>
      <w:lvlJc w:val="left"/>
      <w:pPr>
        <w:tabs>
          <w:tab w:val="num" w:pos="720"/>
        </w:tabs>
        <w:ind w:left="720" w:hanging="360"/>
      </w:pPr>
      <w:rPr>
        <w:rFonts w:ascii="Arial" w:hAnsi="Arial" w:hint="default"/>
      </w:rPr>
    </w:lvl>
    <w:lvl w:ilvl="1" w:tplc="094E3320">
      <w:start w:val="1"/>
      <w:numFmt w:val="bullet"/>
      <w:lvlText w:val="•"/>
      <w:lvlJc w:val="left"/>
      <w:pPr>
        <w:tabs>
          <w:tab w:val="num" w:pos="1440"/>
        </w:tabs>
        <w:ind w:left="1440" w:hanging="360"/>
      </w:pPr>
      <w:rPr>
        <w:rFonts w:ascii="Arial" w:hAnsi="Arial" w:hint="default"/>
      </w:rPr>
    </w:lvl>
    <w:lvl w:ilvl="2" w:tplc="AEAA62E6" w:tentative="1">
      <w:start w:val="1"/>
      <w:numFmt w:val="bullet"/>
      <w:lvlText w:val="•"/>
      <w:lvlJc w:val="left"/>
      <w:pPr>
        <w:tabs>
          <w:tab w:val="num" w:pos="2160"/>
        </w:tabs>
        <w:ind w:left="2160" w:hanging="360"/>
      </w:pPr>
      <w:rPr>
        <w:rFonts w:ascii="Arial" w:hAnsi="Arial" w:hint="default"/>
      </w:rPr>
    </w:lvl>
    <w:lvl w:ilvl="3" w:tplc="A6EADB4A" w:tentative="1">
      <w:start w:val="1"/>
      <w:numFmt w:val="bullet"/>
      <w:lvlText w:val="•"/>
      <w:lvlJc w:val="left"/>
      <w:pPr>
        <w:tabs>
          <w:tab w:val="num" w:pos="2880"/>
        </w:tabs>
        <w:ind w:left="2880" w:hanging="360"/>
      </w:pPr>
      <w:rPr>
        <w:rFonts w:ascii="Arial" w:hAnsi="Arial" w:hint="default"/>
      </w:rPr>
    </w:lvl>
    <w:lvl w:ilvl="4" w:tplc="56963A76" w:tentative="1">
      <w:start w:val="1"/>
      <w:numFmt w:val="bullet"/>
      <w:lvlText w:val="•"/>
      <w:lvlJc w:val="left"/>
      <w:pPr>
        <w:tabs>
          <w:tab w:val="num" w:pos="3600"/>
        </w:tabs>
        <w:ind w:left="3600" w:hanging="360"/>
      </w:pPr>
      <w:rPr>
        <w:rFonts w:ascii="Arial" w:hAnsi="Arial" w:hint="default"/>
      </w:rPr>
    </w:lvl>
    <w:lvl w:ilvl="5" w:tplc="092071FC" w:tentative="1">
      <w:start w:val="1"/>
      <w:numFmt w:val="bullet"/>
      <w:lvlText w:val="•"/>
      <w:lvlJc w:val="left"/>
      <w:pPr>
        <w:tabs>
          <w:tab w:val="num" w:pos="4320"/>
        </w:tabs>
        <w:ind w:left="4320" w:hanging="360"/>
      </w:pPr>
      <w:rPr>
        <w:rFonts w:ascii="Arial" w:hAnsi="Arial" w:hint="default"/>
      </w:rPr>
    </w:lvl>
    <w:lvl w:ilvl="6" w:tplc="30F6D5EC" w:tentative="1">
      <w:start w:val="1"/>
      <w:numFmt w:val="bullet"/>
      <w:lvlText w:val="•"/>
      <w:lvlJc w:val="left"/>
      <w:pPr>
        <w:tabs>
          <w:tab w:val="num" w:pos="5040"/>
        </w:tabs>
        <w:ind w:left="5040" w:hanging="360"/>
      </w:pPr>
      <w:rPr>
        <w:rFonts w:ascii="Arial" w:hAnsi="Arial" w:hint="default"/>
      </w:rPr>
    </w:lvl>
    <w:lvl w:ilvl="7" w:tplc="72D494FC" w:tentative="1">
      <w:start w:val="1"/>
      <w:numFmt w:val="bullet"/>
      <w:lvlText w:val="•"/>
      <w:lvlJc w:val="left"/>
      <w:pPr>
        <w:tabs>
          <w:tab w:val="num" w:pos="5760"/>
        </w:tabs>
        <w:ind w:left="5760" w:hanging="360"/>
      </w:pPr>
      <w:rPr>
        <w:rFonts w:ascii="Arial" w:hAnsi="Arial" w:hint="default"/>
      </w:rPr>
    </w:lvl>
    <w:lvl w:ilvl="8" w:tplc="0D1060A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34E5CC8"/>
    <w:multiLevelType w:val="hybridMultilevel"/>
    <w:tmpl w:val="4FDAC61C"/>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20" w15:restartNumberingAfterBreak="0">
    <w:nsid w:val="4B8036E7"/>
    <w:multiLevelType w:val="hybridMultilevel"/>
    <w:tmpl w:val="CB34206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18E7D8A"/>
    <w:multiLevelType w:val="hybridMultilevel"/>
    <w:tmpl w:val="F34C35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A2A4C7D"/>
    <w:multiLevelType w:val="hybridMultilevel"/>
    <w:tmpl w:val="5D2832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EA81D18"/>
    <w:multiLevelType w:val="multilevel"/>
    <w:tmpl w:val="CE484AE6"/>
    <w:lvl w:ilvl="0">
      <w:start w:val="1"/>
      <w:numFmt w:val="bullet"/>
      <w:lvlText w:val=""/>
      <w:lvlJc w:val="left"/>
      <w:pPr>
        <w:tabs>
          <w:tab w:val="num" w:pos="340"/>
        </w:tabs>
        <w:ind w:left="340" w:hanging="340"/>
      </w:pPr>
      <w:rPr>
        <w:rFonts w:ascii="Symbol" w:hAnsi="Symbol" w:hint="default"/>
        <w:color w:val="auto"/>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516B85"/>
    <w:multiLevelType w:val="hybridMultilevel"/>
    <w:tmpl w:val="42BE022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B9DFA6"/>
    <w:multiLevelType w:val="hybridMultilevel"/>
    <w:tmpl w:val="948C239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2C67ED9"/>
    <w:multiLevelType w:val="multilevel"/>
    <w:tmpl w:val="4718B196"/>
    <w:lvl w:ilvl="0">
      <w:start w:val="1"/>
      <w:numFmt w:val="decimal"/>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7882518"/>
    <w:multiLevelType w:val="hybridMultilevel"/>
    <w:tmpl w:val="88E67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5D3586"/>
    <w:multiLevelType w:val="hybridMultilevel"/>
    <w:tmpl w:val="1EE82488"/>
    <w:lvl w:ilvl="0" w:tplc="F88E09A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D0A54CF"/>
    <w:multiLevelType w:val="hybridMultilevel"/>
    <w:tmpl w:val="98E28E86"/>
    <w:lvl w:ilvl="0" w:tplc="48BCD15C">
      <w:start w:val="1"/>
      <w:numFmt w:val="bullet"/>
      <w:lvlText w:val="•"/>
      <w:lvlJc w:val="left"/>
      <w:pPr>
        <w:tabs>
          <w:tab w:val="num" w:pos="720"/>
        </w:tabs>
        <w:ind w:left="720" w:hanging="360"/>
      </w:pPr>
      <w:rPr>
        <w:rFonts w:ascii="Times New Roman" w:hAnsi="Times New Roman" w:hint="default"/>
      </w:rPr>
    </w:lvl>
    <w:lvl w:ilvl="1" w:tplc="6CDA613C">
      <w:start w:val="1"/>
      <w:numFmt w:val="bullet"/>
      <w:lvlText w:val="•"/>
      <w:lvlJc w:val="left"/>
      <w:pPr>
        <w:tabs>
          <w:tab w:val="num" w:pos="1440"/>
        </w:tabs>
        <w:ind w:left="1440" w:hanging="360"/>
      </w:pPr>
      <w:rPr>
        <w:rFonts w:ascii="Times New Roman" w:hAnsi="Times New Roman" w:hint="default"/>
      </w:rPr>
    </w:lvl>
    <w:lvl w:ilvl="2" w:tplc="8E780666" w:tentative="1">
      <w:start w:val="1"/>
      <w:numFmt w:val="bullet"/>
      <w:lvlText w:val="•"/>
      <w:lvlJc w:val="left"/>
      <w:pPr>
        <w:tabs>
          <w:tab w:val="num" w:pos="2160"/>
        </w:tabs>
        <w:ind w:left="2160" w:hanging="360"/>
      </w:pPr>
      <w:rPr>
        <w:rFonts w:ascii="Times New Roman" w:hAnsi="Times New Roman" w:hint="default"/>
      </w:rPr>
    </w:lvl>
    <w:lvl w:ilvl="3" w:tplc="D81C6164" w:tentative="1">
      <w:start w:val="1"/>
      <w:numFmt w:val="bullet"/>
      <w:lvlText w:val="•"/>
      <w:lvlJc w:val="left"/>
      <w:pPr>
        <w:tabs>
          <w:tab w:val="num" w:pos="2880"/>
        </w:tabs>
        <w:ind w:left="2880" w:hanging="360"/>
      </w:pPr>
      <w:rPr>
        <w:rFonts w:ascii="Times New Roman" w:hAnsi="Times New Roman" w:hint="default"/>
      </w:rPr>
    </w:lvl>
    <w:lvl w:ilvl="4" w:tplc="CA68B4A6" w:tentative="1">
      <w:start w:val="1"/>
      <w:numFmt w:val="bullet"/>
      <w:lvlText w:val="•"/>
      <w:lvlJc w:val="left"/>
      <w:pPr>
        <w:tabs>
          <w:tab w:val="num" w:pos="3600"/>
        </w:tabs>
        <w:ind w:left="3600" w:hanging="360"/>
      </w:pPr>
      <w:rPr>
        <w:rFonts w:ascii="Times New Roman" w:hAnsi="Times New Roman" w:hint="default"/>
      </w:rPr>
    </w:lvl>
    <w:lvl w:ilvl="5" w:tplc="F65A7306" w:tentative="1">
      <w:start w:val="1"/>
      <w:numFmt w:val="bullet"/>
      <w:lvlText w:val="•"/>
      <w:lvlJc w:val="left"/>
      <w:pPr>
        <w:tabs>
          <w:tab w:val="num" w:pos="4320"/>
        </w:tabs>
        <w:ind w:left="4320" w:hanging="360"/>
      </w:pPr>
      <w:rPr>
        <w:rFonts w:ascii="Times New Roman" w:hAnsi="Times New Roman" w:hint="default"/>
      </w:rPr>
    </w:lvl>
    <w:lvl w:ilvl="6" w:tplc="08AE5472" w:tentative="1">
      <w:start w:val="1"/>
      <w:numFmt w:val="bullet"/>
      <w:lvlText w:val="•"/>
      <w:lvlJc w:val="left"/>
      <w:pPr>
        <w:tabs>
          <w:tab w:val="num" w:pos="5040"/>
        </w:tabs>
        <w:ind w:left="5040" w:hanging="360"/>
      </w:pPr>
      <w:rPr>
        <w:rFonts w:ascii="Times New Roman" w:hAnsi="Times New Roman" w:hint="default"/>
      </w:rPr>
    </w:lvl>
    <w:lvl w:ilvl="7" w:tplc="1AEC184C" w:tentative="1">
      <w:start w:val="1"/>
      <w:numFmt w:val="bullet"/>
      <w:lvlText w:val="•"/>
      <w:lvlJc w:val="left"/>
      <w:pPr>
        <w:tabs>
          <w:tab w:val="num" w:pos="5760"/>
        </w:tabs>
        <w:ind w:left="5760" w:hanging="360"/>
      </w:pPr>
      <w:rPr>
        <w:rFonts w:ascii="Times New Roman" w:hAnsi="Times New Roman" w:hint="default"/>
      </w:rPr>
    </w:lvl>
    <w:lvl w:ilvl="8" w:tplc="5C82546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D7E4A04"/>
    <w:multiLevelType w:val="hybridMultilevel"/>
    <w:tmpl w:val="6E56654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01936AB"/>
    <w:multiLevelType w:val="hybridMultilevel"/>
    <w:tmpl w:val="38B86A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E44E8C"/>
    <w:multiLevelType w:val="hybridMultilevel"/>
    <w:tmpl w:val="D4D0EDC0"/>
    <w:lvl w:ilvl="0" w:tplc="F05A48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A42B73"/>
    <w:multiLevelType w:val="hybridMultilevel"/>
    <w:tmpl w:val="488CB9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A5017BB"/>
    <w:multiLevelType w:val="hybridMultilevel"/>
    <w:tmpl w:val="33E07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BCE6F00"/>
    <w:multiLevelType w:val="hybridMultilevel"/>
    <w:tmpl w:val="46465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C578C05"/>
    <w:multiLevelType w:val="hybridMultilevel"/>
    <w:tmpl w:val="2CF4A4F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F3A2EA9"/>
    <w:multiLevelType w:val="hybridMultilevel"/>
    <w:tmpl w:val="3DF0AF58"/>
    <w:lvl w:ilvl="0" w:tplc="08090001">
      <w:start w:val="1"/>
      <w:numFmt w:val="bullet"/>
      <w:lvlText w:val=""/>
      <w:lvlJc w:val="left"/>
      <w:pPr>
        <w:tabs>
          <w:tab w:val="num" w:pos="540"/>
        </w:tabs>
        <w:ind w:left="54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8B3FBD"/>
    <w:multiLevelType w:val="hybridMultilevel"/>
    <w:tmpl w:val="EAC2D7FC"/>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14"/>
  </w:num>
  <w:num w:numId="3">
    <w:abstractNumId w:val="14"/>
  </w:num>
  <w:num w:numId="4">
    <w:abstractNumId w:val="17"/>
  </w:num>
  <w:num w:numId="5">
    <w:abstractNumId w:val="5"/>
  </w:num>
  <w:num w:numId="6">
    <w:abstractNumId w:val="16"/>
  </w:num>
  <w:num w:numId="7">
    <w:abstractNumId w:val="27"/>
  </w:num>
  <w:num w:numId="8">
    <w:abstractNumId w:val="24"/>
  </w:num>
  <w:num w:numId="9">
    <w:abstractNumId w:val="30"/>
  </w:num>
  <w:num w:numId="10">
    <w:abstractNumId w:val="23"/>
  </w:num>
  <w:num w:numId="11">
    <w:abstractNumId w:val="6"/>
  </w:num>
  <w:num w:numId="12">
    <w:abstractNumId w:val="37"/>
  </w:num>
  <w:num w:numId="13">
    <w:abstractNumId w:val="11"/>
  </w:num>
  <w:num w:numId="14">
    <w:abstractNumId w:val="35"/>
  </w:num>
  <w:num w:numId="15">
    <w:abstractNumId w:val="19"/>
  </w:num>
  <w:num w:numId="16">
    <w:abstractNumId w:val="14"/>
    <w:lvlOverride w:ilvl="0">
      <w:startOverride w:val="1"/>
    </w:lvlOverride>
  </w:num>
  <w:num w:numId="17">
    <w:abstractNumId w:val="8"/>
  </w:num>
  <w:num w:numId="18">
    <w:abstractNumId w:val="20"/>
  </w:num>
  <w:num w:numId="19">
    <w:abstractNumId w:val="4"/>
  </w:num>
  <w:num w:numId="20">
    <w:abstractNumId w:val="26"/>
  </w:num>
  <w:num w:numId="21">
    <w:abstractNumId w:val="14"/>
    <w:lvlOverride w:ilvl="0">
      <w:startOverride w:val="1"/>
    </w:lvlOverride>
  </w:num>
  <w:num w:numId="22">
    <w:abstractNumId w:val="26"/>
    <w:lvlOverride w:ilvl="0">
      <w:startOverride w:val="1"/>
    </w:lvlOverride>
  </w:num>
  <w:num w:numId="23">
    <w:abstractNumId w:val="38"/>
  </w:num>
  <w:num w:numId="24">
    <w:abstractNumId w:val="14"/>
    <w:lvlOverride w:ilvl="0">
      <w:startOverride w:val="1"/>
    </w:lvlOverride>
  </w:num>
  <w:num w:numId="25">
    <w:abstractNumId w:val="14"/>
    <w:lvlOverride w:ilvl="0">
      <w:startOverride w:val="1"/>
    </w:lvlOverride>
  </w:num>
  <w:num w:numId="26">
    <w:abstractNumId w:val="10"/>
  </w:num>
  <w:num w:numId="27">
    <w:abstractNumId w:val="14"/>
    <w:lvlOverride w:ilvl="0">
      <w:startOverride w:val="1"/>
    </w:lvlOverride>
  </w:num>
  <w:num w:numId="28">
    <w:abstractNumId w:val="28"/>
  </w:num>
  <w:num w:numId="29">
    <w:abstractNumId w:val="9"/>
  </w:num>
  <w:num w:numId="30">
    <w:abstractNumId w:val="18"/>
  </w:num>
  <w:num w:numId="31">
    <w:abstractNumId w:val="3"/>
  </w:num>
  <w:num w:numId="32">
    <w:abstractNumId w:val="36"/>
  </w:num>
  <w:num w:numId="33">
    <w:abstractNumId w:val="25"/>
  </w:num>
  <w:num w:numId="34">
    <w:abstractNumId w:val="0"/>
  </w:num>
  <w:num w:numId="35">
    <w:abstractNumId w:val="12"/>
  </w:num>
  <w:num w:numId="36">
    <w:abstractNumId w:val="15"/>
  </w:num>
  <w:num w:numId="37">
    <w:abstractNumId w:val="31"/>
  </w:num>
  <w:num w:numId="38">
    <w:abstractNumId w:val="33"/>
  </w:num>
  <w:num w:numId="39">
    <w:abstractNumId w:val="22"/>
  </w:num>
  <w:num w:numId="40">
    <w:abstractNumId w:val="7"/>
  </w:num>
  <w:num w:numId="41">
    <w:abstractNumId w:val="14"/>
    <w:lvlOverride w:ilvl="0">
      <w:startOverride w:val="1"/>
    </w:lvlOverride>
  </w:num>
  <w:num w:numId="42">
    <w:abstractNumId w:val="29"/>
  </w:num>
  <w:num w:numId="43">
    <w:abstractNumId w:val="34"/>
  </w:num>
  <w:num w:numId="44">
    <w:abstractNumId w:val="13"/>
  </w:num>
  <w:num w:numId="45">
    <w:abstractNumId w:val="14"/>
    <w:lvlOverride w:ilvl="0">
      <w:startOverride w:val="1"/>
    </w:lvlOverride>
  </w:num>
  <w:num w:numId="46">
    <w:abstractNumId w:val="1"/>
    <w:lvlOverride w:ilvl="0">
      <w:startOverride w:val="136"/>
    </w:lvlOverride>
    <w:lvlOverride w:ilvl="1">
      <w:startOverride w:val="1"/>
    </w:lvlOverride>
    <w:lvlOverride w:ilvl="2"/>
    <w:lvlOverride w:ilvl="3"/>
    <w:lvlOverride w:ilvl="4"/>
    <w:lvlOverride w:ilvl="5"/>
    <w:lvlOverride w:ilvl="6"/>
    <w:lvlOverride w:ilvl="7"/>
    <w:lvlOverride w:ilvl="8"/>
  </w:num>
  <w:num w:numId="47">
    <w:abstractNumId w:val="32"/>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99F"/>
    <w:rsid w:val="00012291"/>
    <w:rsid w:val="00022AC8"/>
    <w:rsid w:val="00024729"/>
    <w:rsid w:val="000335EF"/>
    <w:rsid w:val="000349C1"/>
    <w:rsid w:val="00036B2B"/>
    <w:rsid w:val="00042E91"/>
    <w:rsid w:val="00051B38"/>
    <w:rsid w:val="00052AD6"/>
    <w:rsid w:val="00052B51"/>
    <w:rsid w:val="00062BA8"/>
    <w:rsid w:val="00072BED"/>
    <w:rsid w:val="00082163"/>
    <w:rsid w:val="000B186F"/>
    <w:rsid w:val="000D2279"/>
    <w:rsid w:val="000D57EA"/>
    <w:rsid w:val="000F6016"/>
    <w:rsid w:val="00100CAF"/>
    <w:rsid w:val="00120749"/>
    <w:rsid w:val="00127580"/>
    <w:rsid w:val="00152084"/>
    <w:rsid w:val="001521F0"/>
    <w:rsid w:val="00167816"/>
    <w:rsid w:val="001A762F"/>
    <w:rsid w:val="001B3799"/>
    <w:rsid w:val="001E5FA7"/>
    <w:rsid w:val="001E7D5E"/>
    <w:rsid w:val="0021042B"/>
    <w:rsid w:val="0021306E"/>
    <w:rsid w:val="002332EB"/>
    <w:rsid w:val="0023502B"/>
    <w:rsid w:val="00236C27"/>
    <w:rsid w:val="002421AE"/>
    <w:rsid w:val="0025104B"/>
    <w:rsid w:val="00253BEC"/>
    <w:rsid w:val="00256015"/>
    <w:rsid w:val="00274F9B"/>
    <w:rsid w:val="0027591B"/>
    <w:rsid w:val="00283707"/>
    <w:rsid w:val="00292DBC"/>
    <w:rsid w:val="00297E84"/>
    <w:rsid w:val="002A6633"/>
    <w:rsid w:val="002C1CC1"/>
    <w:rsid w:val="002C3457"/>
    <w:rsid w:val="002D006C"/>
    <w:rsid w:val="002D54D5"/>
    <w:rsid w:val="002E4117"/>
    <w:rsid w:val="002F4898"/>
    <w:rsid w:val="00307AB5"/>
    <w:rsid w:val="00312628"/>
    <w:rsid w:val="0032428F"/>
    <w:rsid w:val="00340E6F"/>
    <w:rsid w:val="00346E05"/>
    <w:rsid w:val="00350E84"/>
    <w:rsid w:val="003528F4"/>
    <w:rsid w:val="003706B0"/>
    <w:rsid w:val="00375F33"/>
    <w:rsid w:val="003779A9"/>
    <w:rsid w:val="003816F3"/>
    <w:rsid w:val="003B4818"/>
    <w:rsid w:val="003C1040"/>
    <w:rsid w:val="003D029D"/>
    <w:rsid w:val="003E2BF5"/>
    <w:rsid w:val="003F2C3A"/>
    <w:rsid w:val="004200BB"/>
    <w:rsid w:val="0044408A"/>
    <w:rsid w:val="00444D60"/>
    <w:rsid w:val="00447E89"/>
    <w:rsid w:val="00453656"/>
    <w:rsid w:val="00455D8D"/>
    <w:rsid w:val="00456366"/>
    <w:rsid w:val="00472A18"/>
    <w:rsid w:val="004774BE"/>
    <w:rsid w:val="00481FCF"/>
    <w:rsid w:val="00483760"/>
    <w:rsid w:val="00486A5F"/>
    <w:rsid w:val="004E5C98"/>
    <w:rsid w:val="00505B8B"/>
    <w:rsid w:val="0050693E"/>
    <w:rsid w:val="005371D8"/>
    <w:rsid w:val="00542BAF"/>
    <w:rsid w:val="005461A0"/>
    <w:rsid w:val="00551F76"/>
    <w:rsid w:val="00565A38"/>
    <w:rsid w:val="00573410"/>
    <w:rsid w:val="005740BD"/>
    <w:rsid w:val="00585DB9"/>
    <w:rsid w:val="00585DBE"/>
    <w:rsid w:val="00591E68"/>
    <w:rsid w:val="005950F9"/>
    <w:rsid w:val="005A4883"/>
    <w:rsid w:val="005B0144"/>
    <w:rsid w:val="005B057D"/>
    <w:rsid w:val="005B684E"/>
    <w:rsid w:val="005C642D"/>
    <w:rsid w:val="005D1E2E"/>
    <w:rsid w:val="005D35C3"/>
    <w:rsid w:val="005D5017"/>
    <w:rsid w:val="005E0554"/>
    <w:rsid w:val="005E3150"/>
    <w:rsid w:val="005F45C4"/>
    <w:rsid w:val="005F79B4"/>
    <w:rsid w:val="00606506"/>
    <w:rsid w:val="00616B27"/>
    <w:rsid w:val="00620C87"/>
    <w:rsid w:val="00627F20"/>
    <w:rsid w:val="006613EB"/>
    <w:rsid w:val="00683DA1"/>
    <w:rsid w:val="006909F2"/>
    <w:rsid w:val="006D7AE7"/>
    <w:rsid w:val="006F41CA"/>
    <w:rsid w:val="006F7AEF"/>
    <w:rsid w:val="00726CB1"/>
    <w:rsid w:val="007379EC"/>
    <w:rsid w:val="00741694"/>
    <w:rsid w:val="007467AF"/>
    <w:rsid w:val="00754EFD"/>
    <w:rsid w:val="007565CF"/>
    <w:rsid w:val="00785338"/>
    <w:rsid w:val="0078543B"/>
    <w:rsid w:val="0078799B"/>
    <w:rsid w:val="00791B6D"/>
    <w:rsid w:val="007C1637"/>
    <w:rsid w:val="007C439B"/>
    <w:rsid w:val="007D0292"/>
    <w:rsid w:val="007E6AB9"/>
    <w:rsid w:val="007F46A0"/>
    <w:rsid w:val="0080408B"/>
    <w:rsid w:val="008050D6"/>
    <w:rsid w:val="0081738A"/>
    <w:rsid w:val="008261DC"/>
    <w:rsid w:val="008376D1"/>
    <w:rsid w:val="0084656E"/>
    <w:rsid w:val="008718D0"/>
    <w:rsid w:val="008C6C2C"/>
    <w:rsid w:val="008D42A5"/>
    <w:rsid w:val="008E01DA"/>
    <w:rsid w:val="008E56BA"/>
    <w:rsid w:val="008F206E"/>
    <w:rsid w:val="009025F8"/>
    <w:rsid w:val="009056A7"/>
    <w:rsid w:val="00917FC4"/>
    <w:rsid w:val="009255EA"/>
    <w:rsid w:val="00925C2E"/>
    <w:rsid w:val="00936BA5"/>
    <w:rsid w:val="0094386B"/>
    <w:rsid w:val="009548EC"/>
    <w:rsid w:val="00956E15"/>
    <w:rsid w:val="009624A6"/>
    <w:rsid w:val="0097652B"/>
    <w:rsid w:val="0097720E"/>
    <w:rsid w:val="00977A18"/>
    <w:rsid w:val="00977FFB"/>
    <w:rsid w:val="00995397"/>
    <w:rsid w:val="009F0110"/>
    <w:rsid w:val="009F51D5"/>
    <w:rsid w:val="009F64C3"/>
    <w:rsid w:val="00A02AF1"/>
    <w:rsid w:val="00A10F02"/>
    <w:rsid w:val="00A160F4"/>
    <w:rsid w:val="00A40D05"/>
    <w:rsid w:val="00A56890"/>
    <w:rsid w:val="00A82380"/>
    <w:rsid w:val="00A83F4F"/>
    <w:rsid w:val="00A96992"/>
    <w:rsid w:val="00AA0693"/>
    <w:rsid w:val="00AB4E9E"/>
    <w:rsid w:val="00AD0FF3"/>
    <w:rsid w:val="00AF01F5"/>
    <w:rsid w:val="00AF1F2C"/>
    <w:rsid w:val="00B14015"/>
    <w:rsid w:val="00B14121"/>
    <w:rsid w:val="00B370B0"/>
    <w:rsid w:val="00B42037"/>
    <w:rsid w:val="00B472CF"/>
    <w:rsid w:val="00B543D1"/>
    <w:rsid w:val="00B578D0"/>
    <w:rsid w:val="00B656FB"/>
    <w:rsid w:val="00B6799F"/>
    <w:rsid w:val="00B85D7E"/>
    <w:rsid w:val="00BA367F"/>
    <w:rsid w:val="00BA58B4"/>
    <w:rsid w:val="00BA5A95"/>
    <w:rsid w:val="00BB69FB"/>
    <w:rsid w:val="00BD42C8"/>
    <w:rsid w:val="00BE5163"/>
    <w:rsid w:val="00C12BB4"/>
    <w:rsid w:val="00C14A49"/>
    <w:rsid w:val="00C23A00"/>
    <w:rsid w:val="00C306B5"/>
    <w:rsid w:val="00C35C98"/>
    <w:rsid w:val="00C42C8C"/>
    <w:rsid w:val="00C4743E"/>
    <w:rsid w:val="00C53476"/>
    <w:rsid w:val="00C93184"/>
    <w:rsid w:val="00CC0E9E"/>
    <w:rsid w:val="00CD3578"/>
    <w:rsid w:val="00CD381D"/>
    <w:rsid w:val="00CD600A"/>
    <w:rsid w:val="00CF6DB2"/>
    <w:rsid w:val="00CF790A"/>
    <w:rsid w:val="00D0728A"/>
    <w:rsid w:val="00D1552B"/>
    <w:rsid w:val="00D16FBB"/>
    <w:rsid w:val="00D22737"/>
    <w:rsid w:val="00D30606"/>
    <w:rsid w:val="00D5463D"/>
    <w:rsid w:val="00D5609F"/>
    <w:rsid w:val="00D62942"/>
    <w:rsid w:val="00D67748"/>
    <w:rsid w:val="00D7428D"/>
    <w:rsid w:val="00D97F97"/>
    <w:rsid w:val="00DB1BA3"/>
    <w:rsid w:val="00DC22F2"/>
    <w:rsid w:val="00DD1318"/>
    <w:rsid w:val="00DE34CA"/>
    <w:rsid w:val="00DE429C"/>
    <w:rsid w:val="00DF0F65"/>
    <w:rsid w:val="00E1070F"/>
    <w:rsid w:val="00E11139"/>
    <w:rsid w:val="00E30176"/>
    <w:rsid w:val="00E3218A"/>
    <w:rsid w:val="00E441B0"/>
    <w:rsid w:val="00E52E64"/>
    <w:rsid w:val="00E534AD"/>
    <w:rsid w:val="00E54DCB"/>
    <w:rsid w:val="00E67795"/>
    <w:rsid w:val="00E71C26"/>
    <w:rsid w:val="00E76BBB"/>
    <w:rsid w:val="00E8705D"/>
    <w:rsid w:val="00E942FC"/>
    <w:rsid w:val="00EC3D49"/>
    <w:rsid w:val="00EC7751"/>
    <w:rsid w:val="00ED30D3"/>
    <w:rsid w:val="00ED37F4"/>
    <w:rsid w:val="00ED6941"/>
    <w:rsid w:val="00ED7FBF"/>
    <w:rsid w:val="00EE402D"/>
    <w:rsid w:val="00EE66DC"/>
    <w:rsid w:val="00EE721A"/>
    <w:rsid w:val="00EF2D7D"/>
    <w:rsid w:val="00F03320"/>
    <w:rsid w:val="00F050B8"/>
    <w:rsid w:val="00F07EBA"/>
    <w:rsid w:val="00F14BCD"/>
    <w:rsid w:val="00F22216"/>
    <w:rsid w:val="00F27CC0"/>
    <w:rsid w:val="00F4091C"/>
    <w:rsid w:val="00F47CD9"/>
    <w:rsid w:val="00F65235"/>
    <w:rsid w:val="00F86321"/>
    <w:rsid w:val="00F975F6"/>
    <w:rsid w:val="00FA7F76"/>
    <w:rsid w:val="00FB5F9B"/>
    <w:rsid w:val="00FC26E6"/>
    <w:rsid w:val="00FF779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8EF99"/>
  <w15:chartTrackingRefBased/>
  <w15:docId w15:val="{346EF970-280D-40EA-A04C-FB8CEFC54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BB4"/>
    <w:pPr>
      <w:numPr>
        <w:numId w:val="2"/>
      </w:numPr>
    </w:pPr>
  </w:style>
  <w:style w:type="paragraph" w:styleId="Heading1">
    <w:name w:val="heading 1"/>
    <w:basedOn w:val="Normal"/>
    <w:next w:val="Normal"/>
    <w:link w:val="Heading1Char"/>
    <w:uiPriority w:val="9"/>
    <w:qFormat/>
    <w:rsid w:val="00F050B8"/>
    <w:pPr>
      <w:keepNext/>
      <w:keepLines/>
      <w:numPr>
        <w:numId w:val="0"/>
      </w:numPr>
      <w:spacing w:before="240" w:after="240" w:line="276" w:lineRule="auto"/>
      <w:outlineLvl w:val="0"/>
    </w:pPr>
    <w:rPr>
      <w:rFonts w:asciiTheme="majorHAnsi" w:eastAsiaTheme="majorEastAsia" w:hAnsiTheme="majorHAnsi" w:cstheme="majorBidi"/>
      <w:b/>
      <w:bCs/>
      <w:color w:val="2E74B5" w:themeColor="accent1" w:themeShade="BF"/>
      <w:sz w:val="28"/>
      <w:szCs w:val="28"/>
      <w:lang w:eastAsia="en-GB"/>
    </w:rPr>
  </w:style>
  <w:style w:type="paragraph" w:styleId="Heading2">
    <w:name w:val="heading 2"/>
    <w:basedOn w:val="Normal"/>
    <w:next w:val="Normal"/>
    <w:link w:val="Heading2Char"/>
    <w:uiPriority w:val="9"/>
    <w:unhideWhenUsed/>
    <w:qFormat/>
    <w:rsid w:val="00B6799F"/>
    <w:pPr>
      <w:keepNext/>
      <w:keepLines/>
      <w:spacing w:before="120" w:after="2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2D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679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799F"/>
  </w:style>
  <w:style w:type="paragraph" w:styleId="Footer">
    <w:name w:val="footer"/>
    <w:basedOn w:val="Normal"/>
    <w:link w:val="FooterChar"/>
    <w:uiPriority w:val="99"/>
    <w:unhideWhenUsed/>
    <w:rsid w:val="00B679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799F"/>
  </w:style>
  <w:style w:type="character" w:customStyle="1" w:styleId="Heading1Char">
    <w:name w:val="Heading 1 Char"/>
    <w:basedOn w:val="DefaultParagraphFont"/>
    <w:link w:val="Heading1"/>
    <w:uiPriority w:val="9"/>
    <w:rsid w:val="00B6799F"/>
    <w:rPr>
      <w:rFonts w:asciiTheme="majorHAnsi" w:eastAsiaTheme="majorEastAsia" w:hAnsiTheme="majorHAnsi" w:cstheme="majorBidi"/>
      <w:b/>
      <w:bCs/>
      <w:color w:val="2E74B5" w:themeColor="accent1" w:themeShade="BF"/>
      <w:sz w:val="28"/>
      <w:szCs w:val="28"/>
      <w:lang w:eastAsia="en-GB"/>
    </w:rPr>
  </w:style>
  <w:style w:type="table" w:styleId="TableGrid">
    <w:name w:val="Table Grid"/>
    <w:basedOn w:val="TableNormal"/>
    <w:uiPriority w:val="59"/>
    <w:rsid w:val="00B6799F"/>
    <w:pPr>
      <w:spacing w:after="200" w:line="276" w:lineRule="auto"/>
    </w:pPr>
    <w:rPr>
      <w:rFonts w:ascii="Calibri" w:hAnsi="Calibri" w:cstheme="minorHAnsi"/>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799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1"/>
    <w:qFormat/>
    <w:rsid w:val="003B4818"/>
    <w:pPr>
      <w:ind w:left="720"/>
      <w:contextualSpacing/>
    </w:pPr>
  </w:style>
  <w:style w:type="character" w:styleId="Hyperlink">
    <w:name w:val="Hyperlink"/>
    <w:basedOn w:val="DefaultParagraphFont"/>
    <w:uiPriority w:val="99"/>
    <w:unhideWhenUsed/>
    <w:rsid w:val="004E5C98"/>
    <w:rPr>
      <w:color w:val="0563C1" w:themeColor="hyperlink"/>
      <w:u w:val="single"/>
    </w:rPr>
  </w:style>
  <w:style w:type="paragraph" w:styleId="Title">
    <w:name w:val="Title"/>
    <w:basedOn w:val="Normal"/>
    <w:next w:val="Normal"/>
    <w:link w:val="TitleChar"/>
    <w:uiPriority w:val="10"/>
    <w:qFormat/>
    <w:rsid w:val="00F40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91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F4091C"/>
    <w:pPr>
      <w:spacing w:after="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E54DCB"/>
    <w:pPr>
      <w:numPr>
        <w:numId w:val="0"/>
      </w:numPr>
      <w:tabs>
        <w:tab w:val="right" w:leader="dot" w:pos="9016"/>
      </w:tabs>
      <w:spacing w:after="100"/>
      <w:ind w:left="-360"/>
    </w:pPr>
    <w:rPr>
      <w:noProof/>
    </w:rPr>
  </w:style>
  <w:style w:type="paragraph" w:styleId="TOC2">
    <w:name w:val="toc 2"/>
    <w:basedOn w:val="Normal"/>
    <w:next w:val="Normal"/>
    <w:autoRedefine/>
    <w:uiPriority w:val="39"/>
    <w:unhideWhenUsed/>
    <w:rsid w:val="00E54DCB"/>
    <w:pPr>
      <w:numPr>
        <w:numId w:val="0"/>
      </w:numPr>
      <w:tabs>
        <w:tab w:val="right" w:leader="dot" w:pos="9736"/>
      </w:tabs>
      <w:spacing w:after="100"/>
      <w:ind w:left="-140"/>
    </w:pPr>
  </w:style>
  <w:style w:type="character" w:styleId="Strong">
    <w:name w:val="Strong"/>
    <w:basedOn w:val="DefaultParagraphFont"/>
    <w:uiPriority w:val="22"/>
    <w:qFormat/>
    <w:rsid w:val="00616B27"/>
    <w:rPr>
      <w:b/>
      <w:bCs/>
    </w:rPr>
  </w:style>
  <w:style w:type="paragraph" w:styleId="PlainText">
    <w:name w:val="Plain Text"/>
    <w:basedOn w:val="Normal"/>
    <w:link w:val="PlainTextChar"/>
    <w:uiPriority w:val="99"/>
    <w:unhideWhenUsed/>
    <w:rsid w:val="00D97F97"/>
    <w:pPr>
      <w:numPr>
        <w:numId w:val="0"/>
      </w:numPr>
      <w:spacing w:before="60" w:after="120"/>
    </w:pPr>
    <w:rPr>
      <w:rFonts w:ascii="Calibri" w:eastAsia="Calibri" w:hAnsi="Calibri" w:cs="Times New Roman"/>
      <w:szCs w:val="21"/>
      <w:lang w:eastAsia="en-GB"/>
    </w:rPr>
  </w:style>
  <w:style w:type="character" w:customStyle="1" w:styleId="PlainTextChar">
    <w:name w:val="Plain Text Char"/>
    <w:basedOn w:val="DefaultParagraphFont"/>
    <w:link w:val="PlainText"/>
    <w:uiPriority w:val="99"/>
    <w:rsid w:val="00D97F97"/>
    <w:rPr>
      <w:rFonts w:ascii="Calibri" w:eastAsia="Calibri" w:hAnsi="Calibri" w:cs="Times New Roman"/>
      <w:szCs w:val="21"/>
      <w:lang w:eastAsia="en-GB"/>
    </w:rPr>
  </w:style>
  <w:style w:type="paragraph" w:styleId="FootnoteText">
    <w:name w:val="footnote text"/>
    <w:basedOn w:val="Normal"/>
    <w:link w:val="FootnoteTextChar"/>
    <w:rsid w:val="00D97F97"/>
    <w:pPr>
      <w:numPr>
        <w:numId w:val="0"/>
      </w:numPr>
      <w:spacing w:before="60" w:after="120"/>
    </w:pPr>
    <w:rPr>
      <w:rFonts w:ascii="Calibri" w:eastAsia="Times New Roman" w:hAnsi="Calibri" w:cs="Times New Roman"/>
      <w:sz w:val="20"/>
      <w:szCs w:val="20"/>
      <w:lang w:eastAsia="en-GB"/>
    </w:rPr>
  </w:style>
  <w:style w:type="character" w:customStyle="1" w:styleId="FootnoteTextChar">
    <w:name w:val="Footnote Text Char"/>
    <w:basedOn w:val="DefaultParagraphFont"/>
    <w:link w:val="FootnoteText"/>
    <w:rsid w:val="00D97F97"/>
    <w:rPr>
      <w:rFonts w:ascii="Calibri" w:eastAsia="Times New Roman" w:hAnsi="Calibri" w:cs="Times New Roman"/>
      <w:sz w:val="20"/>
      <w:szCs w:val="20"/>
      <w:lang w:eastAsia="en-GB"/>
    </w:rPr>
  </w:style>
  <w:style w:type="character" w:styleId="FootnoteReference">
    <w:name w:val="footnote reference"/>
    <w:uiPriority w:val="99"/>
    <w:rsid w:val="00D97F97"/>
    <w:rPr>
      <w:vertAlign w:val="superscript"/>
    </w:rPr>
  </w:style>
  <w:style w:type="character" w:customStyle="1" w:styleId="Heading3Char">
    <w:name w:val="Heading 3 Char"/>
    <w:basedOn w:val="DefaultParagraphFont"/>
    <w:link w:val="Heading3"/>
    <w:uiPriority w:val="9"/>
    <w:rsid w:val="00292DB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C3457"/>
    <w:pPr>
      <w:numPr>
        <w:numId w:val="0"/>
      </w:numPr>
      <w:spacing w:after="150"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236C27"/>
    <w:rPr>
      <w:sz w:val="16"/>
      <w:szCs w:val="16"/>
    </w:rPr>
  </w:style>
  <w:style w:type="paragraph" w:styleId="CommentText">
    <w:name w:val="annotation text"/>
    <w:basedOn w:val="Normal"/>
    <w:link w:val="CommentTextChar"/>
    <w:uiPriority w:val="99"/>
    <w:semiHidden/>
    <w:unhideWhenUsed/>
    <w:rsid w:val="00236C27"/>
    <w:pPr>
      <w:spacing w:line="240" w:lineRule="auto"/>
    </w:pPr>
    <w:rPr>
      <w:sz w:val="20"/>
      <w:szCs w:val="20"/>
    </w:rPr>
  </w:style>
  <w:style w:type="character" w:customStyle="1" w:styleId="CommentTextChar">
    <w:name w:val="Comment Text Char"/>
    <w:basedOn w:val="DefaultParagraphFont"/>
    <w:link w:val="CommentText"/>
    <w:uiPriority w:val="99"/>
    <w:semiHidden/>
    <w:rsid w:val="00236C27"/>
    <w:rPr>
      <w:sz w:val="20"/>
      <w:szCs w:val="20"/>
    </w:rPr>
  </w:style>
  <w:style w:type="paragraph" w:styleId="CommentSubject">
    <w:name w:val="annotation subject"/>
    <w:basedOn w:val="CommentText"/>
    <w:next w:val="CommentText"/>
    <w:link w:val="CommentSubjectChar"/>
    <w:uiPriority w:val="99"/>
    <w:semiHidden/>
    <w:unhideWhenUsed/>
    <w:rsid w:val="00236C27"/>
    <w:rPr>
      <w:b/>
      <w:bCs/>
    </w:rPr>
  </w:style>
  <w:style w:type="character" w:customStyle="1" w:styleId="CommentSubjectChar">
    <w:name w:val="Comment Subject Char"/>
    <w:basedOn w:val="CommentTextChar"/>
    <w:link w:val="CommentSubject"/>
    <w:uiPriority w:val="99"/>
    <w:semiHidden/>
    <w:rsid w:val="00236C27"/>
    <w:rPr>
      <w:b/>
      <w:bCs/>
      <w:sz w:val="20"/>
      <w:szCs w:val="20"/>
    </w:rPr>
  </w:style>
  <w:style w:type="paragraph" w:styleId="BalloonText">
    <w:name w:val="Balloon Text"/>
    <w:basedOn w:val="Normal"/>
    <w:link w:val="BalloonTextChar"/>
    <w:uiPriority w:val="99"/>
    <w:semiHidden/>
    <w:unhideWhenUsed/>
    <w:rsid w:val="00236C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C27"/>
    <w:rPr>
      <w:rFonts w:ascii="Segoe UI" w:hAnsi="Segoe UI" w:cs="Segoe UI"/>
      <w:sz w:val="18"/>
      <w:szCs w:val="18"/>
    </w:rPr>
  </w:style>
  <w:style w:type="character" w:styleId="Emphasis">
    <w:name w:val="Emphasis"/>
    <w:basedOn w:val="DefaultParagraphFont"/>
    <w:uiPriority w:val="20"/>
    <w:qFormat/>
    <w:rsid w:val="00F47CD9"/>
    <w:rPr>
      <w:i/>
      <w:iCs/>
    </w:rPr>
  </w:style>
  <w:style w:type="character" w:styleId="FollowedHyperlink">
    <w:name w:val="FollowedHyperlink"/>
    <w:basedOn w:val="DefaultParagraphFont"/>
    <w:uiPriority w:val="99"/>
    <w:semiHidden/>
    <w:unhideWhenUsed/>
    <w:rsid w:val="00F47CD9"/>
    <w:rPr>
      <w:color w:val="954F72" w:themeColor="followedHyperlink"/>
      <w:u w:val="single"/>
    </w:rPr>
  </w:style>
  <w:style w:type="paragraph" w:styleId="TOC3">
    <w:name w:val="toc 3"/>
    <w:basedOn w:val="Normal"/>
    <w:next w:val="Normal"/>
    <w:autoRedefine/>
    <w:uiPriority w:val="39"/>
    <w:unhideWhenUsed/>
    <w:rsid w:val="00C35C98"/>
    <w:pPr>
      <w:numPr>
        <w:numId w:val="0"/>
      </w:numPr>
      <w:spacing w:after="100"/>
      <w:ind w:left="440"/>
    </w:pPr>
    <w:rPr>
      <w:rFonts w:eastAsiaTheme="minorEastAsia" w:cs="Times New Roman"/>
      <w:lang w:val="en-US"/>
    </w:rPr>
  </w:style>
  <w:style w:type="paragraph" w:customStyle="1" w:styleId="legclearfix2">
    <w:name w:val="legclearfix2"/>
    <w:basedOn w:val="Normal"/>
    <w:rsid w:val="005A4883"/>
    <w:pPr>
      <w:numPr>
        <w:numId w:val="0"/>
      </w:numPr>
      <w:shd w:val="clear" w:color="auto" w:fill="FFFFFF"/>
      <w:spacing w:after="120" w:line="360" w:lineRule="atLeast"/>
    </w:pPr>
    <w:rPr>
      <w:rFonts w:ascii="Times New Roman" w:eastAsia="Times New Roman" w:hAnsi="Times New Roman" w:cs="Times New Roman"/>
      <w:color w:val="000000"/>
      <w:sz w:val="19"/>
      <w:szCs w:val="19"/>
      <w:lang w:eastAsia="en-GB"/>
    </w:rPr>
  </w:style>
  <w:style w:type="character" w:customStyle="1" w:styleId="legds2">
    <w:name w:val="legds2"/>
    <w:basedOn w:val="DefaultParagraphFont"/>
    <w:rsid w:val="005A4883"/>
    <w:rPr>
      <w:vanish w:val="0"/>
      <w:webHidden w:val="0"/>
      <w:specVanish w:val="0"/>
    </w:rPr>
  </w:style>
  <w:style w:type="character" w:customStyle="1" w:styleId="legterm">
    <w:name w:val="legterm"/>
    <w:basedOn w:val="DefaultParagraphFont"/>
    <w:rsid w:val="005A4883"/>
  </w:style>
  <w:style w:type="paragraph" w:customStyle="1" w:styleId="Default">
    <w:name w:val="Default"/>
    <w:rsid w:val="0027591B"/>
    <w:pPr>
      <w:autoSpaceDE w:val="0"/>
      <w:autoSpaceDN w:val="0"/>
      <w:adjustRightInd w:val="0"/>
      <w:spacing w:after="0" w:line="240" w:lineRule="auto"/>
    </w:pPr>
    <w:rPr>
      <w:rFonts w:ascii="Trebuchet MS" w:hAnsi="Trebuchet MS" w:cs="Trebuchet MS"/>
      <w:color w:val="000000"/>
      <w:sz w:val="24"/>
      <w:szCs w:val="24"/>
    </w:rPr>
  </w:style>
  <w:style w:type="character" w:customStyle="1" w:styleId="ListParagraphChar">
    <w:name w:val="List Paragraph Char"/>
    <w:basedOn w:val="DefaultParagraphFont"/>
    <w:link w:val="ListParagraph"/>
    <w:uiPriority w:val="34"/>
    <w:rsid w:val="005950F9"/>
  </w:style>
  <w:style w:type="paragraph" w:customStyle="1" w:styleId="Pa2">
    <w:name w:val="Pa2"/>
    <w:basedOn w:val="Default"/>
    <w:next w:val="Default"/>
    <w:uiPriority w:val="99"/>
    <w:rsid w:val="005950F9"/>
    <w:pPr>
      <w:spacing w:line="221" w:lineRule="atLeast"/>
    </w:pPr>
    <w:rPr>
      <w:rFonts w:cstheme="minorBidi"/>
      <w:color w:val="auto"/>
    </w:rPr>
  </w:style>
  <w:style w:type="character" w:customStyle="1" w:styleId="A5">
    <w:name w:val="A5"/>
    <w:uiPriority w:val="99"/>
    <w:rsid w:val="005950F9"/>
    <w:rPr>
      <w:rFonts w:cs="Trebuchet MS"/>
      <w:b/>
      <w:bCs/>
      <w:color w:val="000000"/>
    </w:rPr>
  </w:style>
  <w:style w:type="paragraph" w:styleId="EndnoteText">
    <w:name w:val="endnote text"/>
    <w:basedOn w:val="Normal"/>
    <w:link w:val="EndnoteTextChar"/>
    <w:uiPriority w:val="99"/>
    <w:semiHidden/>
    <w:unhideWhenUsed/>
    <w:rsid w:val="005950F9"/>
    <w:pPr>
      <w:numPr>
        <w:numId w:val="0"/>
      </w:numPr>
      <w:spacing w:after="0" w:line="240" w:lineRule="auto"/>
      <w:textboxTightWrap w:val="lastLineOnly"/>
    </w:pPr>
    <w:rPr>
      <w:rFonts w:ascii="Arial" w:eastAsia="Times New Roman" w:hAnsi="Arial" w:cs="Times New Roman"/>
      <w:sz w:val="20"/>
      <w:szCs w:val="20"/>
    </w:rPr>
  </w:style>
  <w:style w:type="character" w:customStyle="1" w:styleId="EndnoteTextChar">
    <w:name w:val="Endnote Text Char"/>
    <w:basedOn w:val="DefaultParagraphFont"/>
    <w:link w:val="EndnoteText"/>
    <w:uiPriority w:val="99"/>
    <w:semiHidden/>
    <w:rsid w:val="005950F9"/>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5950F9"/>
    <w:rPr>
      <w:vertAlign w:val="superscript"/>
    </w:rPr>
  </w:style>
  <w:style w:type="paragraph" w:customStyle="1" w:styleId="TableText">
    <w:name w:val="Table Text"/>
    <w:basedOn w:val="Normal"/>
    <w:link w:val="TableTextChar"/>
    <w:qFormat/>
    <w:rsid w:val="00E1070F"/>
    <w:pPr>
      <w:numPr>
        <w:numId w:val="0"/>
      </w:numPr>
      <w:spacing w:after="120" w:line="240" w:lineRule="auto"/>
      <w:textboxTightWrap w:val="allLines"/>
    </w:pPr>
    <w:rPr>
      <w:rFonts w:ascii="Arial" w:eastAsia="Times New Roman" w:hAnsi="Arial" w:cs="Times New Roman"/>
      <w:sz w:val="21"/>
      <w:szCs w:val="24"/>
      <w:lang w:eastAsia="en-GB"/>
    </w:rPr>
  </w:style>
  <w:style w:type="character" w:customStyle="1" w:styleId="TableTextChar">
    <w:name w:val="Table Text Char"/>
    <w:link w:val="TableText"/>
    <w:rsid w:val="00E1070F"/>
    <w:rPr>
      <w:rFonts w:ascii="Arial" w:eastAsia="Times New Roman" w:hAnsi="Arial" w:cs="Times New Roman"/>
      <w:sz w:val="21"/>
      <w:szCs w:val="24"/>
      <w:lang w:eastAsia="en-GB"/>
    </w:rPr>
  </w:style>
  <w:style w:type="paragraph" w:customStyle="1" w:styleId="TableHeader">
    <w:name w:val="Table Header"/>
    <w:basedOn w:val="Normal"/>
    <w:qFormat/>
    <w:rsid w:val="00E1070F"/>
    <w:pPr>
      <w:numPr>
        <w:numId w:val="0"/>
      </w:numPr>
      <w:tabs>
        <w:tab w:val="right" w:pos="14580"/>
      </w:tabs>
      <w:spacing w:before="60" w:after="60" w:line="240" w:lineRule="auto"/>
      <w:ind w:right="-108"/>
      <w:textboxTightWrap w:val="allLines"/>
    </w:pPr>
    <w:rPr>
      <w:rFonts w:ascii="Arial" w:eastAsia="SimSun" w:hAnsi="Arial" w:cs="Arial"/>
      <w:b/>
      <w:bCs/>
      <w:sz w:val="21"/>
      <w:szCs w:val="24"/>
      <w:lang w:val="en-US" w:eastAsia="en-GB"/>
    </w:rPr>
  </w:style>
  <w:style w:type="paragraph" w:customStyle="1" w:styleId="unnumberedheadings">
    <w:name w:val="unnumbered headings"/>
    <w:basedOn w:val="Normal"/>
    <w:next w:val="Normal"/>
    <w:link w:val="unnumberedheadingsChar"/>
    <w:qFormat/>
    <w:rsid w:val="00E1070F"/>
    <w:pPr>
      <w:numPr>
        <w:numId w:val="0"/>
      </w:numPr>
      <w:spacing w:before="60" w:after="120" w:line="360" w:lineRule="auto"/>
    </w:pPr>
    <w:rPr>
      <w:rFonts w:ascii="Arial Bold" w:eastAsia="Times New Roman" w:hAnsi="Arial Bold" w:cs="Times New Roman"/>
      <w:b/>
      <w:color w:val="2E74B5"/>
      <w:sz w:val="36"/>
      <w:lang w:eastAsia="en-GB"/>
    </w:rPr>
  </w:style>
  <w:style w:type="character" w:customStyle="1" w:styleId="unnumberedheadingsChar">
    <w:name w:val="unnumbered headings Char"/>
    <w:link w:val="unnumberedheadings"/>
    <w:rsid w:val="00E1070F"/>
    <w:rPr>
      <w:rFonts w:ascii="Arial Bold" w:eastAsia="Times New Roman" w:hAnsi="Arial Bold" w:cs="Times New Roman"/>
      <w:b/>
      <w:color w:val="2E74B5"/>
      <w:sz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69018">
      <w:bodyDiv w:val="1"/>
      <w:marLeft w:val="0"/>
      <w:marRight w:val="0"/>
      <w:marTop w:val="0"/>
      <w:marBottom w:val="0"/>
      <w:divBdr>
        <w:top w:val="none" w:sz="0" w:space="0" w:color="auto"/>
        <w:left w:val="none" w:sz="0" w:space="0" w:color="auto"/>
        <w:bottom w:val="none" w:sz="0" w:space="0" w:color="auto"/>
        <w:right w:val="none" w:sz="0" w:space="0" w:color="auto"/>
      </w:divBdr>
      <w:divsChild>
        <w:div w:id="1301881942">
          <w:marLeft w:val="0"/>
          <w:marRight w:val="0"/>
          <w:marTop w:val="0"/>
          <w:marBottom w:val="0"/>
          <w:divBdr>
            <w:top w:val="none" w:sz="0" w:space="0" w:color="auto"/>
            <w:left w:val="none" w:sz="0" w:space="0" w:color="auto"/>
            <w:bottom w:val="none" w:sz="0" w:space="0" w:color="auto"/>
            <w:right w:val="none" w:sz="0" w:space="0" w:color="auto"/>
          </w:divBdr>
        </w:div>
      </w:divsChild>
    </w:div>
    <w:div w:id="490876311">
      <w:bodyDiv w:val="1"/>
      <w:marLeft w:val="0"/>
      <w:marRight w:val="0"/>
      <w:marTop w:val="0"/>
      <w:marBottom w:val="0"/>
      <w:divBdr>
        <w:top w:val="none" w:sz="0" w:space="0" w:color="auto"/>
        <w:left w:val="none" w:sz="0" w:space="0" w:color="auto"/>
        <w:bottom w:val="none" w:sz="0" w:space="0" w:color="auto"/>
        <w:right w:val="none" w:sz="0" w:space="0" w:color="auto"/>
      </w:divBdr>
    </w:div>
    <w:div w:id="1049300221">
      <w:bodyDiv w:val="1"/>
      <w:marLeft w:val="0"/>
      <w:marRight w:val="0"/>
      <w:marTop w:val="0"/>
      <w:marBottom w:val="0"/>
      <w:divBdr>
        <w:top w:val="none" w:sz="0" w:space="0" w:color="auto"/>
        <w:left w:val="none" w:sz="0" w:space="0" w:color="auto"/>
        <w:bottom w:val="none" w:sz="0" w:space="0" w:color="auto"/>
        <w:right w:val="none" w:sz="0" w:space="0" w:color="auto"/>
      </w:divBdr>
      <w:divsChild>
        <w:div w:id="739333284">
          <w:marLeft w:val="0"/>
          <w:marRight w:val="0"/>
          <w:marTop w:val="0"/>
          <w:marBottom w:val="0"/>
          <w:divBdr>
            <w:top w:val="none" w:sz="0" w:space="0" w:color="auto"/>
            <w:left w:val="none" w:sz="0" w:space="0" w:color="auto"/>
            <w:bottom w:val="none" w:sz="0" w:space="0" w:color="auto"/>
            <w:right w:val="none" w:sz="0" w:space="0" w:color="auto"/>
          </w:divBdr>
        </w:div>
      </w:divsChild>
    </w:div>
    <w:div w:id="1364017661">
      <w:bodyDiv w:val="1"/>
      <w:marLeft w:val="0"/>
      <w:marRight w:val="0"/>
      <w:marTop w:val="0"/>
      <w:marBottom w:val="0"/>
      <w:divBdr>
        <w:top w:val="none" w:sz="0" w:space="0" w:color="auto"/>
        <w:left w:val="none" w:sz="0" w:space="0" w:color="auto"/>
        <w:bottom w:val="none" w:sz="0" w:space="0" w:color="auto"/>
        <w:right w:val="none" w:sz="0" w:space="0" w:color="auto"/>
      </w:divBdr>
      <w:divsChild>
        <w:div w:id="1600215382">
          <w:marLeft w:val="0"/>
          <w:marRight w:val="0"/>
          <w:marTop w:val="0"/>
          <w:marBottom w:val="0"/>
          <w:divBdr>
            <w:top w:val="none" w:sz="0" w:space="0" w:color="auto"/>
            <w:left w:val="none" w:sz="0" w:space="0" w:color="auto"/>
            <w:bottom w:val="none" w:sz="0" w:space="0" w:color="auto"/>
            <w:right w:val="none" w:sz="0" w:space="0" w:color="auto"/>
          </w:divBdr>
          <w:divsChild>
            <w:div w:id="26177336">
              <w:marLeft w:val="0"/>
              <w:marRight w:val="0"/>
              <w:marTop w:val="0"/>
              <w:marBottom w:val="0"/>
              <w:divBdr>
                <w:top w:val="none" w:sz="0" w:space="0" w:color="auto"/>
                <w:left w:val="none" w:sz="0" w:space="0" w:color="auto"/>
                <w:bottom w:val="none" w:sz="0" w:space="0" w:color="auto"/>
                <w:right w:val="none" w:sz="0" w:space="0" w:color="auto"/>
              </w:divBdr>
              <w:divsChild>
                <w:div w:id="1426802846">
                  <w:marLeft w:val="0"/>
                  <w:marRight w:val="0"/>
                  <w:marTop w:val="0"/>
                  <w:marBottom w:val="480"/>
                  <w:divBdr>
                    <w:top w:val="none" w:sz="0" w:space="0" w:color="auto"/>
                    <w:left w:val="none" w:sz="0" w:space="0" w:color="auto"/>
                    <w:bottom w:val="none" w:sz="0" w:space="0" w:color="auto"/>
                    <w:right w:val="none" w:sz="0" w:space="0" w:color="auto"/>
                  </w:divBdr>
                  <w:divsChild>
                    <w:div w:id="1915698663">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01506644">
      <w:bodyDiv w:val="1"/>
      <w:marLeft w:val="0"/>
      <w:marRight w:val="0"/>
      <w:marTop w:val="0"/>
      <w:marBottom w:val="0"/>
      <w:divBdr>
        <w:top w:val="none" w:sz="0" w:space="0" w:color="auto"/>
        <w:left w:val="none" w:sz="0" w:space="0" w:color="auto"/>
        <w:bottom w:val="none" w:sz="0" w:space="0" w:color="auto"/>
        <w:right w:val="none" w:sz="0" w:space="0" w:color="auto"/>
      </w:divBdr>
      <w:divsChild>
        <w:div w:id="1207179558">
          <w:marLeft w:val="0"/>
          <w:marRight w:val="0"/>
          <w:marTop w:val="0"/>
          <w:marBottom w:val="0"/>
          <w:divBdr>
            <w:top w:val="none" w:sz="0" w:space="0" w:color="auto"/>
            <w:left w:val="none" w:sz="0" w:space="0" w:color="auto"/>
            <w:bottom w:val="none" w:sz="0" w:space="0" w:color="auto"/>
            <w:right w:val="none" w:sz="0" w:space="0" w:color="auto"/>
          </w:divBdr>
        </w:div>
      </w:divsChild>
    </w:div>
    <w:div w:id="1751534754">
      <w:bodyDiv w:val="1"/>
      <w:marLeft w:val="0"/>
      <w:marRight w:val="0"/>
      <w:marTop w:val="0"/>
      <w:marBottom w:val="0"/>
      <w:divBdr>
        <w:top w:val="none" w:sz="0" w:space="0" w:color="auto"/>
        <w:left w:val="none" w:sz="0" w:space="0" w:color="auto"/>
        <w:bottom w:val="none" w:sz="0" w:space="0" w:color="auto"/>
        <w:right w:val="none" w:sz="0" w:space="0" w:color="auto"/>
      </w:divBdr>
      <w:divsChild>
        <w:div w:id="2044597012">
          <w:marLeft w:val="1166"/>
          <w:marRight w:val="0"/>
          <w:marTop w:val="134"/>
          <w:marBottom w:val="0"/>
          <w:divBdr>
            <w:top w:val="none" w:sz="0" w:space="0" w:color="auto"/>
            <w:left w:val="none" w:sz="0" w:space="0" w:color="auto"/>
            <w:bottom w:val="none" w:sz="0" w:space="0" w:color="auto"/>
            <w:right w:val="none" w:sz="0" w:space="0" w:color="auto"/>
          </w:divBdr>
        </w:div>
        <w:div w:id="336926961">
          <w:marLeft w:val="1166"/>
          <w:marRight w:val="0"/>
          <w:marTop w:val="134"/>
          <w:marBottom w:val="0"/>
          <w:divBdr>
            <w:top w:val="none" w:sz="0" w:space="0" w:color="auto"/>
            <w:left w:val="none" w:sz="0" w:space="0" w:color="auto"/>
            <w:bottom w:val="none" w:sz="0" w:space="0" w:color="auto"/>
            <w:right w:val="none" w:sz="0" w:space="0" w:color="auto"/>
          </w:divBdr>
        </w:div>
        <w:div w:id="718015157">
          <w:marLeft w:val="1166"/>
          <w:marRight w:val="0"/>
          <w:marTop w:val="134"/>
          <w:marBottom w:val="0"/>
          <w:divBdr>
            <w:top w:val="none" w:sz="0" w:space="0" w:color="auto"/>
            <w:left w:val="none" w:sz="0" w:space="0" w:color="auto"/>
            <w:bottom w:val="none" w:sz="0" w:space="0" w:color="auto"/>
            <w:right w:val="none" w:sz="0" w:space="0" w:color="auto"/>
          </w:divBdr>
        </w:div>
        <w:div w:id="720324515">
          <w:marLeft w:val="1166"/>
          <w:marRight w:val="0"/>
          <w:marTop w:val="134"/>
          <w:marBottom w:val="0"/>
          <w:divBdr>
            <w:top w:val="none" w:sz="0" w:space="0" w:color="auto"/>
            <w:left w:val="none" w:sz="0" w:space="0" w:color="auto"/>
            <w:bottom w:val="none" w:sz="0" w:space="0" w:color="auto"/>
            <w:right w:val="none" w:sz="0" w:space="0" w:color="auto"/>
          </w:divBdr>
        </w:div>
      </w:divsChild>
    </w:div>
    <w:div w:id="1889605471">
      <w:bodyDiv w:val="1"/>
      <w:marLeft w:val="0"/>
      <w:marRight w:val="0"/>
      <w:marTop w:val="0"/>
      <w:marBottom w:val="0"/>
      <w:divBdr>
        <w:top w:val="none" w:sz="0" w:space="0" w:color="auto"/>
        <w:left w:val="none" w:sz="0" w:space="0" w:color="auto"/>
        <w:bottom w:val="none" w:sz="0" w:space="0" w:color="auto"/>
        <w:right w:val="none" w:sz="0" w:space="0" w:color="auto"/>
      </w:divBdr>
      <w:divsChild>
        <w:div w:id="1535342233">
          <w:marLeft w:val="0"/>
          <w:marRight w:val="0"/>
          <w:marTop w:val="0"/>
          <w:marBottom w:val="0"/>
          <w:divBdr>
            <w:top w:val="none" w:sz="0" w:space="0" w:color="auto"/>
            <w:left w:val="none" w:sz="0" w:space="0" w:color="auto"/>
            <w:bottom w:val="none" w:sz="0" w:space="0" w:color="auto"/>
            <w:right w:val="none" w:sz="0" w:space="0" w:color="auto"/>
          </w:divBdr>
          <w:divsChild>
            <w:div w:id="54206095">
              <w:marLeft w:val="0"/>
              <w:marRight w:val="0"/>
              <w:marTop w:val="0"/>
              <w:marBottom w:val="0"/>
              <w:divBdr>
                <w:top w:val="none" w:sz="0" w:space="0" w:color="auto"/>
                <w:left w:val="none" w:sz="0" w:space="0" w:color="auto"/>
                <w:bottom w:val="none" w:sz="0" w:space="0" w:color="auto"/>
                <w:right w:val="none" w:sz="0" w:space="0" w:color="auto"/>
              </w:divBdr>
              <w:divsChild>
                <w:div w:id="1540894023">
                  <w:marLeft w:val="0"/>
                  <w:marRight w:val="0"/>
                  <w:marTop w:val="0"/>
                  <w:marBottom w:val="0"/>
                  <w:divBdr>
                    <w:top w:val="none" w:sz="0" w:space="0" w:color="auto"/>
                    <w:left w:val="none" w:sz="0" w:space="0" w:color="auto"/>
                    <w:bottom w:val="none" w:sz="0" w:space="0" w:color="auto"/>
                    <w:right w:val="none" w:sz="0" w:space="0" w:color="auto"/>
                  </w:divBdr>
                  <w:divsChild>
                    <w:div w:id="1974215798">
                      <w:marLeft w:val="0"/>
                      <w:marRight w:val="0"/>
                      <w:marTop w:val="0"/>
                      <w:marBottom w:val="0"/>
                      <w:divBdr>
                        <w:top w:val="none" w:sz="0" w:space="0" w:color="auto"/>
                        <w:left w:val="none" w:sz="0" w:space="0" w:color="auto"/>
                        <w:bottom w:val="none" w:sz="0" w:space="0" w:color="auto"/>
                        <w:right w:val="none" w:sz="0" w:space="0" w:color="auto"/>
                      </w:divBdr>
                      <w:divsChild>
                        <w:div w:id="452604437">
                          <w:marLeft w:val="0"/>
                          <w:marRight w:val="0"/>
                          <w:marTop w:val="0"/>
                          <w:marBottom w:val="0"/>
                          <w:divBdr>
                            <w:top w:val="none" w:sz="0" w:space="0" w:color="auto"/>
                            <w:left w:val="none" w:sz="0" w:space="0" w:color="auto"/>
                            <w:bottom w:val="none" w:sz="0" w:space="0" w:color="auto"/>
                            <w:right w:val="none" w:sz="0" w:space="0" w:color="auto"/>
                          </w:divBdr>
                          <w:divsChild>
                            <w:div w:id="873804966">
                              <w:marLeft w:val="0"/>
                              <w:marRight w:val="0"/>
                              <w:marTop w:val="300"/>
                              <w:marBottom w:val="0"/>
                              <w:divBdr>
                                <w:top w:val="none" w:sz="0" w:space="0" w:color="auto"/>
                                <w:left w:val="none" w:sz="0" w:space="0" w:color="auto"/>
                                <w:bottom w:val="none" w:sz="0" w:space="0" w:color="auto"/>
                                <w:right w:val="none" w:sz="0" w:space="0" w:color="auto"/>
                              </w:divBdr>
                            </w:div>
                            <w:div w:id="14112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599566">
      <w:bodyDiv w:val="1"/>
      <w:marLeft w:val="0"/>
      <w:marRight w:val="0"/>
      <w:marTop w:val="0"/>
      <w:marBottom w:val="0"/>
      <w:divBdr>
        <w:top w:val="none" w:sz="0" w:space="0" w:color="auto"/>
        <w:left w:val="none" w:sz="0" w:space="0" w:color="auto"/>
        <w:bottom w:val="none" w:sz="0" w:space="0" w:color="auto"/>
        <w:right w:val="none" w:sz="0" w:space="0" w:color="auto"/>
      </w:divBdr>
      <w:divsChild>
        <w:div w:id="1775441263">
          <w:marLeft w:val="1166"/>
          <w:marRight w:val="0"/>
          <w:marTop w:val="134"/>
          <w:marBottom w:val="0"/>
          <w:divBdr>
            <w:top w:val="none" w:sz="0" w:space="0" w:color="auto"/>
            <w:left w:val="none" w:sz="0" w:space="0" w:color="auto"/>
            <w:bottom w:val="none" w:sz="0" w:space="0" w:color="auto"/>
            <w:right w:val="none" w:sz="0" w:space="0" w:color="auto"/>
          </w:divBdr>
        </w:div>
        <w:div w:id="1446191597">
          <w:marLeft w:val="1166"/>
          <w:marRight w:val="0"/>
          <w:marTop w:val="134"/>
          <w:marBottom w:val="0"/>
          <w:divBdr>
            <w:top w:val="none" w:sz="0" w:space="0" w:color="auto"/>
            <w:left w:val="none" w:sz="0" w:space="0" w:color="auto"/>
            <w:bottom w:val="none" w:sz="0" w:space="0" w:color="auto"/>
            <w:right w:val="none" w:sz="0" w:space="0" w:color="auto"/>
          </w:divBdr>
        </w:div>
        <w:div w:id="706485931">
          <w:marLeft w:val="1166"/>
          <w:marRight w:val="0"/>
          <w:marTop w:val="134"/>
          <w:marBottom w:val="0"/>
          <w:divBdr>
            <w:top w:val="none" w:sz="0" w:space="0" w:color="auto"/>
            <w:left w:val="none" w:sz="0" w:space="0" w:color="auto"/>
            <w:bottom w:val="none" w:sz="0" w:space="0" w:color="auto"/>
            <w:right w:val="none" w:sz="0" w:space="0" w:color="auto"/>
          </w:divBdr>
        </w:div>
        <w:div w:id="835725455">
          <w:marLeft w:val="1166"/>
          <w:marRight w:val="0"/>
          <w:marTop w:val="134"/>
          <w:marBottom w:val="0"/>
          <w:divBdr>
            <w:top w:val="none" w:sz="0" w:space="0" w:color="auto"/>
            <w:left w:val="none" w:sz="0" w:space="0" w:color="auto"/>
            <w:bottom w:val="none" w:sz="0" w:space="0" w:color="auto"/>
            <w:right w:val="none" w:sz="0" w:space="0" w:color="auto"/>
          </w:divBdr>
        </w:div>
      </w:divsChild>
    </w:div>
    <w:div w:id="2099788689">
      <w:bodyDiv w:val="1"/>
      <w:marLeft w:val="0"/>
      <w:marRight w:val="0"/>
      <w:marTop w:val="0"/>
      <w:marBottom w:val="0"/>
      <w:divBdr>
        <w:top w:val="none" w:sz="0" w:space="0" w:color="auto"/>
        <w:left w:val="none" w:sz="0" w:space="0" w:color="auto"/>
        <w:bottom w:val="none" w:sz="0" w:space="0" w:color="auto"/>
        <w:right w:val="none" w:sz="0" w:space="0" w:color="auto"/>
      </w:divBdr>
      <w:divsChild>
        <w:div w:id="289628600">
          <w:marLeft w:val="0"/>
          <w:marRight w:val="0"/>
          <w:marTop w:val="0"/>
          <w:marBottom w:val="0"/>
          <w:divBdr>
            <w:top w:val="none" w:sz="0" w:space="0" w:color="auto"/>
            <w:left w:val="none" w:sz="0" w:space="0" w:color="auto"/>
            <w:bottom w:val="none" w:sz="0" w:space="0" w:color="auto"/>
            <w:right w:val="none" w:sz="0" w:space="0" w:color="auto"/>
          </w:divBdr>
          <w:divsChild>
            <w:div w:id="640499130">
              <w:marLeft w:val="0"/>
              <w:marRight w:val="0"/>
              <w:marTop w:val="0"/>
              <w:marBottom w:val="0"/>
              <w:divBdr>
                <w:top w:val="none" w:sz="0" w:space="0" w:color="auto"/>
                <w:left w:val="none" w:sz="0" w:space="0" w:color="auto"/>
                <w:bottom w:val="none" w:sz="0" w:space="0" w:color="auto"/>
                <w:right w:val="none" w:sz="0" w:space="0" w:color="auto"/>
              </w:divBdr>
              <w:divsChild>
                <w:div w:id="1002007824">
                  <w:marLeft w:val="0"/>
                  <w:marRight w:val="-95"/>
                  <w:marTop w:val="0"/>
                  <w:marBottom w:val="0"/>
                  <w:divBdr>
                    <w:top w:val="none" w:sz="0" w:space="0" w:color="auto"/>
                    <w:left w:val="none" w:sz="0" w:space="0" w:color="auto"/>
                    <w:bottom w:val="none" w:sz="0" w:space="0" w:color="auto"/>
                    <w:right w:val="none" w:sz="0" w:space="0" w:color="auto"/>
                  </w:divBdr>
                  <w:divsChild>
                    <w:div w:id="2041271780">
                      <w:marLeft w:val="2445"/>
                      <w:marRight w:val="2850"/>
                      <w:marTop w:val="0"/>
                      <w:marBottom w:val="0"/>
                      <w:divBdr>
                        <w:top w:val="none" w:sz="0" w:space="0" w:color="auto"/>
                        <w:left w:val="none" w:sz="0" w:space="0" w:color="auto"/>
                        <w:bottom w:val="none" w:sz="0" w:space="0" w:color="auto"/>
                        <w:right w:val="single" w:sz="6" w:space="18" w:color="E5E5E5"/>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o.org.uk/media/1061/anonymisation-code.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gt.hscic.gov.uk/resources/HSCIC%20SIRI%20Reporting%20and%20Checklist%20Guidance.pdf" TargetMode="External"/><Relationship Id="rId4" Type="http://schemas.openxmlformats.org/officeDocument/2006/relationships/settings" Target="settings.xml"/><Relationship Id="rId9" Type="http://schemas.openxmlformats.org/officeDocument/2006/relationships/hyperlink" Target="https://ico.org.uk/media/1061/anonymisation-code.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15F497-8077-EB4D-8F08-A5FFA6696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Sanderson</dc:creator>
  <cp:keywords/>
  <dc:description/>
  <cp:lastModifiedBy>Gary Leeming</cp:lastModifiedBy>
  <cp:revision>2</cp:revision>
  <dcterms:created xsi:type="dcterms:W3CDTF">2020-01-31T11:56:00Z</dcterms:created>
  <dcterms:modified xsi:type="dcterms:W3CDTF">2020-01-31T11:56:00Z</dcterms:modified>
</cp:coreProperties>
</file>