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C00000"/>
          <w:sz w:val="40"/>
          <w:szCs w:val="40"/>
        </w:rPr>
        <w:t xml:space="preserve">BUSINESS INTELLIGENCE EXPOSURE</w:t>
      </w:r>
    </w:p>
    <w:p>
      <w:pPr>
        <w:spacing w:before="240"/>
        <w:jc w:val="center"/>
      </w:pPr>
      <w:r>
        <w:rPr>
          <w:rFonts w:ascii="Arial" w:cs="Arial" w:eastAsia="Arial" w:hAnsi="Arial"/>
          <w:color w:val="C00000"/>
          <w:sz w:val="32"/>
          <w:szCs w:val="32"/>
        </w:rPr>
        <w:t xml:space="preserve">Critical Assessment of Competitive Intelligence Risk</w:t>
      </w:r>
    </w:p>
    <w:p>
      <w:pPr>
        <w:spacing w:before="480"/>
        <w:jc w:val="center"/>
      </w:pPr>
      <w:r>
        <w:rPr>
          <w:rFonts w:ascii="Arial" w:cs="Arial" w:eastAsia="Arial" w:hAnsi="Arial"/>
          <w:i/>
          <w:iCs/>
          <w:sz w:val="24"/>
          <w:szCs w:val="24"/>
        </w:rPr>
        <w:t xml:space="preserve">IFS Cloud &amp; Azure Cosmos DB Integration Vulnerabilities</w:t>
      </w:r>
    </w:p>
    <w:p>
      <w:pPr>
        <w:spacing w:before="1440"/>
        <w:jc w:val="center"/>
      </w:pPr>
      <w:r>
        <w:rPr>
          <w:rFonts w:ascii="Arial" w:cs="Arial" w:eastAsia="Arial" w:hAnsi="Arial"/>
          <w:b/>
          <w:bCs/>
          <w:color w:val="C00000"/>
          <w:sz w:val="28"/>
          <w:szCs w:val="28"/>
        </w:rPr>
        <w:t xml:space="preserve">STRICTLY CONFIDENTIAL</w:t>
      </w:r>
    </w:p>
    <w:p>
      <w:pPr>
        <w:spacing w:before="240"/>
        <w:jc w:val="center"/>
      </w:pPr>
      <w:r>
        <w:rPr>
          <w:rFonts w:ascii="Arial" w:cs="Arial" w:eastAsia="Arial" w:hAnsi="Arial"/>
          <w:b/>
          <w:bCs/>
          <w:sz w:val="22"/>
          <w:szCs w:val="22"/>
        </w:rPr>
        <w:t xml:space="preserve">Board-Level Distribution Only</w:t>
      </w:r>
    </w:p>
    <w:p>
      <w:r>
        <w:br w:type="page"/>
      </w:r>
    </w:p>
    <w:p>
      <w:pPr>
        <w:pStyle w:val="Heading1"/>
      </w:pPr>
      <w:r>
        <w:t xml:space="preserve">Executive Summary</w:t>
      </w:r>
    </w:p>
    <w:p>
      <w:pPr>
        <w:spacing w:after="240"/>
      </w:pPr>
      <w:r>
        <w:t xml:space="preserve">The technical vulnerabilities identified in NCC's IFS Cloud and Azure Cosmos DB integration do not merely risk data loss—they expose high-value competitive intelligence to a small number of sophisticated actors who could extract hundreds of millions of SEK in competitive advantage annually. This assessment quantifies what threat actors actually gain and identifies the most likely beneficiaries.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240"/>
              <w:left w:type="dxa" w:w="240"/>
              <w:bottom w:type="dxa" w:w="240"/>
              <w:right w:type="dxa" w:w="240"/>
            </w:tcMar>
          </w:tcPr>
          <w:p>
            <w:pPr>
              <w:spacing w:after="120"/>
            </w:pPr>
            <w:r>
              <w:rPr>
                <w:b/>
                <w:bCs/>
                <w:color w:val="C00000"/>
                <w:sz w:val="28"/>
                <w:szCs w:val="28"/>
              </w:rPr>
              <w:t xml:space="preserve">CRITICAL FINDING</w:t>
            </w:r>
          </w:p>
          <w:p>
            <w:r>
              <w:rPr>
                <w:sz w:val="24"/>
                <w:szCs w:val="24"/>
              </w:rPr>
              <w:t xml:space="preserve">The current architecture provides external consultants with sufficient access to extract project-level financial data, cost structures, subcontractor pricing, and operational metrics that would give Nordic competitors a decisive 0.5-3% bidding advantage—worth 50-400 MSEK per major tender. The value is concentrated among 5-25 key decision-makers at competitor firms, hyperscalers, and investment funds.</w:t>
            </w:r>
          </w:p>
        </w:tc>
      </w:tr>
    </w:tbl>
    <w:p>
      <w:pPr>
        <w:spacing w:before="360"/>
      </w:pPr>
    </w:p>
    <w:p>
      <w:pPr>
        <w:pStyle w:val="Heading1"/>
      </w:pPr>
      <w:r>
        <w:t xml:space="preserve">1. Data at Risk – What Information Is Exposed</w:t>
      </w:r>
    </w:p>
    <w:p>
      <w:pPr>
        <w:spacing w:after="180"/>
      </w:pPr>
      <w:r>
        <w:t xml:space="preserve">The IFS Cloud and Cosmos DB integration contains the complete operational and financial DNA of NCC's construction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Data Category</w:t>
            </w:r>
          </w:p>
        </w:tc>
        <w:tc>
          <w:tcPr>
            <w:tcW w:type="dxa" w:w="6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Specific Intelligence Exposed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 Financials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cost build-up (labor + overhead + equipment + materials + risk premium + target margin), cash-flow profiles, bid aggressiveness indicators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Subcontractor Pricing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Framework agreement prices, preferred supplier lists, which subs give extraordinary discounts, performance/claims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Productivity Metrics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Man-hour estimates per activity, productivity rates, known weaknesses (ground conditions, winter work, concrete pours, permitting delays)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 Center Intelligence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Real execution data from Meta/Facebook Luleå and other Nordic hyperscaler campuses: PUE achieved, cost per MW, timeline slippage patterns, change-order frequency, sustainability premium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Financial Health Signals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 with &gt;15-20% cost overruns, delayed cash collection, change-order rejection rates, provisions/write-downs in next 1-2 quarters, backlog quality</w:t>
            </w:r>
          </w:p>
        </w:tc>
      </w:tr>
    </w:tbl>
    <w:p>
      <w:r>
        <w:br w:type="page"/>
      </w:r>
    </w:p>
    <w:p>
      <w:pPr>
        <w:pStyle w:val="Heading1"/>
      </w:pPr>
      <w:r>
        <w:t xml:space="preserve">2. Threat Actor Analysis – Who Benefits and How Much</w:t>
      </w:r>
    </w:p>
    <w:p>
      <w:pPr>
        <w:pStyle w:val="Heading2"/>
      </w:pPr>
      <w:r>
        <w:t xml:space="preserve">Tier 1: Nordic Construction Competitors</w:t>
      </w:r>
    </w:p>
    <w:p>
      <w:pPr>
        <w:spacing w:before="180" w:after="120"/>
      </w:pPr>
      <w:r>
        <w:rPr>
          <w:b/>
          <w:bCs/>
        </w:rPr>
        <w:t xml:space="preserve">Primary Beneficiaries: </w:t>
      </w:r>
      <w:r>
        <w:t xml:space="preserve">Skanska, Peab, Veidekke, YIT, AF Gruppen</w:t>
      </w:r>
    </w:p>
    <w:p>
      <w:pPr>
        <w:pStyle w:val="Heading3"/>
      </w:pPr>
      <w:r>
        <w:t xml:space="preserve">Attack Vector: Tender Intelligence</w:t>
      </w:r>
    </w:p>
    <w:p>
      <w:pPr>
        <w:spacing w:before="120" w:after="120"/>
      </w:pPr>
      <w:r>
        <w:t xml:space="preserve">NCC competes in tenders worth hundreds of millions to billions of SEK for highways, rail extensions, hospitals, universities, metro projects, and wastewater treatment plants. In markets where the winner typically prevails by 0.5-3%, access to NCC's exact cost structures provides a decisive advantage.</w:t>
      </w:r>
    </w:p>
    <w:p>
      <w:pPr>
        <w:spacing w:before="120" w:after="60"/>
      </w:pPr>
      <w:r>
        <w:rPr>
          <w:b/>
          <w:bCs/>
          <w:sz w:val="24"/>
          <w:szCs w:val="24"/>
        </w:rPr>
        <w:t xml:space="preserve">What They Gain:</w:t>
      </w:r>
    </w:p>
    <w:p>
      <w:pPr>
        <w:spacing w:before="60" w:after="60"/>
      </w:pPr>
      <w:r>
        <w:rPr>
          <w:b/>
          <w:bCs/>
        </w:rPr>
        <w:t xml:space="preserve">• </w:t>
      </w:r>
      <w:r>
        <w:t xml:space="preserve">Ability to price just below NCC while protecting margin</w:t>
      </w:r>
    </w:p>
    <w:p>
      <w:pPr>
        <w:spacing w:before="60" w:after="60"/>
      </w:pPr>
      <w:r>
        <w:rPr>
          <w:b/>
          <w:bCs/>
        </w:rPr>
        <w:t xml:space="preserve">• </w:t>
      </w:r>
      <w:r>
        <w:t xml:space="preserve">Intelligence to walk away from tenders NCC will win anyway</w:t>
      </w:r>
    </w:p>
    <w:p>
      <w:pPr>
        <w:spacing w:before="60" w:after="60"/>
      </w:pPr>
      <w:r>
        <w:rPr>
          <w:b/>
          <w:bCs/>
        </w:rPr>
        <w:t xml:space="preserve">• </w:t>
      </w:r>
      <w:r>
        <w:t xml:space="preserve">Knowledge of NCC's current hunger for work vs. margin discipline</w:t>
      </w:r>
    </w:p>
    <w:p>
      <w:pPr>
        <w:spacing w:before="60" w:after="240"/>
      </w:pPr>
      <w:r>
        <w:rPr>
          <w:b/>
          <w:bCs/>
        </w:rPr>
        <w:t xml:space="preserve">• </w:t>
      </w:r>
      <w:r>
        <w:t xml:space="preserve">Understanding of NCC's risk pricing on difficult site conditions</w:t>
      </w:r>
    </w:p>
    <w:p>
      <w:pPr>
        <w:spacing w:before="120" w:after="60"/>
      </w:pPr>
      <w:r>
        <w:rPr>
          <w:b/>
          <w:bCs/>
          <w:color w:val="C00000"/>
          <w:sz w:val="24"/>
          <w:szCs w:val="24"/>
        </w:rPr>
        <w:t xml:space="preserve">Financial Impact:</w:t>
      </w:r>
    </w:p>
    <w:p>
      <w:pPr>
        <w:spacing w:before="60" w:after="240"/>
      </w:pPr>
      <w:r>
        <w:rPr>
          <w:b/>
          <w:bCs/>
          <w:color w:val="C00000"/>
          <w:sz w:val="26"/>
          <w:szCs w:val="26"/>
        </w:rPr>
        <w:t xml:space="preserve">50-400 MSEK per year per competitor</w:t>
      </w:r>
      <w:r>
        <w:rPr>
          <w:sz w:val="24"/>
          <w:szCs w:val="24"/>
        </w:rPr>
        <w:t xml:space="preserve"> (winning or avoiding 1-3 major tenders)</w:t>
      </w:r>
    </w:p>
    <w:p>
      <w:pPr>
        <w:pStyle w:val="Heading3"/>
      </w:pPr>
      <w:r>
        <w:t xml:space="preserve">Attack Vector: Subcontractor Negotiation</w:t>
      </w:r>
    </w:p>
    <w:p>
      <w:pPr>
        <w:spacing w:before="120" w:after="120"/>
      </w:pPr>
      <w:r>
        <w:t xml:space="preserve">Armed with NCC's exact supplier pricing, competitors can approach the same subcontractors and demand equivalent or better terms.</w:t>
      </w:r>
    </w:p>
    <w:p>
      <w:pPr>
        <w:spacing w:before="120" w:after="60"/>
      </w:pPr>
      <w:r>
        <w:rPr>
          <w:b/>
          <w:bCs/>
          <w:sz w:val="24"/>
          <w:szCs w:val="24"/>
        </w:rPr>
        <w:t xml:space="preserve">What They Gain:</w:t>
      </w:r>
    </w:p>
    <w:p>
      <w:pPr>
        <w:spacing w:before="60" w:after="60"/>
      </w:pPr>
      <w:r>
        <w:rPr>
          <w:b/>
          <w:bCs/>
        </w:rPr>
        <w:t xml:space="preserve">• </w:t>
      </w:r>
      <w:r>
        <w:t xml:space="preserve">Leverage to negotiate: "We know you give NCC X SEK/m³ — match it or we walk"</w:t>
      </w:r>
    </w:p>
    <w:p>
      <w:pPr>
        <w:spacing w:before="60" w:after="60"/>
      </w:pPr>
      <w:r>
        <w:rPr>
          <w:b/>
          <w:bCs/>
        </w:rPr>
        <w:t xml:space="preserve">• </w:t>
      </w:r>
      <w:r>
        <w:t xml:space="preserve">Knowledge of which suppliers offer extraordinary discounts or payment terms</w:t>
      </w:r>
    </w:p>
    <w:p>
      <w:pPr>
        <w:spacing w:before="60" w:after="240"/>
      </w:pPr>
      <w:r>
        <w:rPr>
          <w:b/>
          <w:bCs/>
        </w:rPr>
        <w:t xml:space="preserve">• </w:t>
      </w:r>
      <w:r>
        <w:t xml:space="preserve">Direct gross margin improvement on every overlapping project</w:t>
      </w:r>
    </w:p>
    <w:p>
      <w:pPr>
        <w:spacing w:before="120" w:after="60"/>
      </w:pPr>
      <w:r>
        <w:rPr>
          <w:b/>
          <w:bCs/>
          <w:color w:val="C00000"/>
          <w:sz w:val="24"/>
          <w:szCs w:val="24"/>
        </w:rPr>
        <w:t xml:space="preserve">Financial Impact:</w:t>
      </w:r>
    </w:p>
    <w:p>
      <w:pPr>
        <w:spacing w:before="60" w:after="360"/>
      </w:pPr>
      <w:r>
        <w:rPr>
          <w:b/>
          <w:bCs/>
          <w:color w:val="C00000"/>
          <w:sz w:val="26"/>
          <w:szCs w:val="26"/>
        </w:rPr>
        <w:t xml:space="preserve">20-150 MSEK per year per competitor</w:t>
      </w:r>
      <w:r>
        <w:rPr>
          <w:sz w:val="24"/>
          <w:szCs w:val="24"/>
        </w:rPr>
        <w:t xml:space="preserve"> (margin improvement across portfolio)</w:t>
      </w:r>
    </w:p>
    <w:p>
      <w:r>
        <w:br w:type="page"/>
      </w:r>
    </w:p>
    <w:p>
      <w:pPr>
        <w:pStyle w:val="Heading2"/>
      </w:pPr>
      <w:r>
        <w:t xml:space="preserve">Tier 2: Global Hyperscalers &amp; Data Center Contractors</w:t>
      </w:r>
    </w:p>
    <w:p>
      <w:pPr>
        <w:spacing w:before="180" w:after="120"/>
      </w:pPr>
      <w:r>
        <w:rPr>
          <w:b/>
          <w:bCs/>
        </w:rPr>
        <w:t xml:space="preserve">Primary Beneficiaries: </w:t>
      </w:r>
      <w:r>
        <w:t xml:space="preserve">Microsoft, Google, AWS, Oracle (hyperscalers); Large GCs pursuing data center work</w:t>
      </w:r>
    </w:p>
    <w:p>
      <w:pPr>
        <w:pStyle w:val="Heading3"/>
      </w:pPr>
      <w:r>
        <w:t xml:space="preserve">Attack Vector: Nordic Data Center Execution Intelligence</w:t>
      </w:r>
    </w:p>
    <w:p>
      <w:pPr>
        <w:spacing w:before="120" w:after="120"/>
      </w:pPr>
      <w:r>
        <w:t xml:space="preserve">NCC's real execution experience with the Meta/Facebook Luleå campus and other Nordic hyperscaler facilities provides invaluable benchmarks that are otherwise unavailable.</w:t>
      </w:r>
    </w:p>
    <w:p>
      <w:pPr>
        <w:spacing w:before="120" w:after="60"/>
      </w:pPr>
      <w:r>
        <w:rPr>
          <w:b/>
          <w:bCs/>
          <w:sz w:val="24"/>
          <w:szCs w:val="24"/>
        </w:rPr>
        <w:t xml:space="preserve">What They Gain:</w:t>
      </w:r>
    </w:p>
    <w:p>
      <w:pPr>
        <w:spacing w:before="60" w:after="60"/>
      </w:pPr>
      <w:r>
        <w:rPr>
          <w:b/>
          <w:bCs/>
        </w:rPr>
        <w:t xml:space="preserve">• </w:t>
      </w:r>
      <w:r>
        <w:t xml:space="preserve">Real PUE (Power Usage Effectiveness) achieved in cold-climate builds</w:t>
      </w:r>
    </w:p>
    <w:p>
      <w:pPr>
        <w:spacing w:before="60" w:after="60"/>
      </w:pPr>
      <w:r>
        <w:rPr>
          <w:b/>
          <w:bCs/>
        </w:rPr>
        <w:t xml:space="preserve">• </w:t>
      </w:r>
      <w:r>
        <w:t xml:space="preserve">Actual construction cost per MW (extremely valuable benchmark)</w:t>
      </w:r>
    </w:p>
    <w:p>
      <w:pPr>
        <w:spacing w:before="60" w:after="60"/>
      </w:pPr>
      <w:r>
        <w:rPr>
          <w:b/>
          <w:bCs/>
        </w:rPr>
        <w:t xml:space="preserve">• </w:t>
      </w:r>
      <w:r>
        <w:t xml:space="preserve">Timeline slippage patterns: permitting, winter delays, grid connection</w:t>
      </w:r>
    </w:p>
    <w:p>
      <w:pPr>
        <w:spacing w:before="60" w:after="60"/>
      </w:pPr>
      <w:r>
        <w:rPr>
          <w:b/>
          <w:bCs/>
        </w:rPr>
        <w:t xml:space="preserve">• </w:t>
      </w:r>
      <w:r>
        <w:t xml:space="preserve">Change-order frequency and magnitude from hyperscaler clients</w:t>
      </w:r>
    </w:p>
    <w:p>
      <w:pPr>
        <w:spacing w:before="60" w:after="60"/>
      </w:pPr>
      <w:r>
        <w:rPr>
          <w:b/>
          <w:bCs/>
        </w:rPr>
        <w:t xml:space="preserve">• </w:t>
      </w:r>
      <w:r>
        <w:t xml:space="preserve">Sustainability premium tolerance (how much extra hyperscalers will pay for green features)</w:t>
      </w:r>
    </w:p>
    <w:p>
      <w:pPr>
        <w:spacing w:before="60" w:after="240"/>
      </w:pPr>
      <w:r>
        <w:rPr>
          <w:b/>
          <w:bCs/>
        </w:rPr>
        <w:t xml:space="preserve">• </w:t>
      </w:r>
      <w:r>
        <w:t xml:space="preserve">Modular vs. traditional build trade-offs in Nordic conditions</w:t>
      </w:r>
    </w:p>
    <w:p>
      <w:pPr>
        <w:spacing w:before="120" w:after="60"/>
      </w:pPr>
      <w:r>
        <w:rPr>
          <w:b/>
          <w:bCs/>
          <w:sz w:val="24"/>
          <w:szCs w:val="24"/>
        </w:rPr>
        <w:t xml:space="preserve">Strategic Value:</w:t>
      </w:r>
    </w:p>
    <w:p>
      <w:pPr>
        <w:spacing w:before="60" w:after="120"/>
      </w:pPr>
      <w:r>
        <w:t xml:space="preserve">Even if not directly competing with NCC for the next contract, this intelligence enables hyperscalers to negotiate harder with eventual winners or adjust internal budgeting for Nordic expansion. For general contractors, it provides a realistic cost and risk model to win more hyperscaler work.</w:t>
      </w:r>
    </w:p>
    <w:p>
      <w:pPr>
        <w:spacing w:before="120" w:after="60"/>
      </w:pPr>
      <w:r>
        <w:rPr>
          <w:b/>
          <w:bCs/>
          <w:color w:val="C00000"/>
          <w:sz w:val="24"/>
          <w:szCs w:val="24"/>
        </w:rPr>
        <w:t xml:space="preserve">Financial Impact:</w:t>
      </w:r>
    </w:p>
    <w:p>
      <w:pPr>
        <w:spacing w:before="60" w:after="360"/>
      </w:pPr>
      <w:r>
        <w:rPr>
          <w:b/>
          <w:bCs/>
          <w:color w:val="C00000"/>
          <w:sz w:val="26"/>
          <w:szCs w:val="26"/>
        </w:rPr>
        <w:t xml:space="preserve">50-300 MSEK strategic value</w:t>
      </w:r>
      <w:r>
        <w:rPr>
          <w:sz w:val="24"/>
          <w:szCs w:val="24"/>
        </w:rPr>
        <w:t xml:space="preserve"> (improved negotiation position and execution planning)</w:t>
      </w:r>
    </w:p>
    <w:p>
      <w:r>
        <w:br w:type="page"/>
      </w:r>
    </w:p>
    <w:p>
      <w:pPr>
        <w:pStyle w:val="Heading2"/>
      </w:pPr>
      <w:r>
        <w:t xml:space="preserve">Tier 3: Investment Funds &amp; Activist Investors</w:t>
      </w:r>
    </w:p>
    <w:p>
      <w:pPr>
        <w:spacing w:before="180" w:after="120"/>
      </w:pPr>
      <w:r>
        <w:rPr>
          <w:b/>
          <w:bCs/>
        </w:rPr>
        <w:t xml:space="preserve">Primary Beneficiaries: </w:t>
      </w:r>
      <w:r>
        <w:t xml:space="preserve">Hedge funds, private equity, activist investors, banks/bondholders</w:t>
      </w:r>
    </w:p>
    <w:p>
      <w:pPr>
        <w:pStyle w:val="Heading3"/>
      </w:pPr>
      <w:r>
        <w:t xml:space="preserve">Attack Vector: Financial Health Early Warning</w:t>
      </w:r>
    </w:p>
    <w:p>
      <w:pPr>
        <w:spacing w:before="120" w:after="120"/>
      </w:pPr>
      <w:r>
        <w:t xml:space="preserve">Project-level financial data reveals which projects are underwater, delayed cash collection patterns, and provisions/write-downs coming in the next 1-2 quarters—information that precedes public financial statements by months.</w:t>
      </w:r>
    </w:p>
    <w:p>
      <w:pPr>
        <w:spacing w:before="120" w:after="60"/>
      </w:pPr>
      <w:r>
        <w:rPr>
          <w:b/>
          <w:bCs/>
          <w:sz w:val="24"/>
          <w:szCs w:val="24"/>
        </w:rPr>
        <w:t xml:space="preserve">What They Gain:</w:t>
      </w:r>
    </w:p>
    <w:p>
      <w:pPr>
        <w:spacing w:before="60" w:after="60"/>
      </w:pPr>
      <w:r>
        <w:rPr>
          <w:b/>
          <w:bCs/>
        </w:rPr>
        <w:t xml:space="preserve">• </w:t>
      </w:r>
      <w:r>
        <w:t xml:space="preserve">Early positioning for short-selling opportunities</w:t>
      </w:r>
    </w:p>
    <w:p>
      <w:pPr>
        <w:spacing w:before="60" w:after="60"/>
      </w:pPr>
      <w:r>
        <w:rPr>
          <w:b/>
          <w:bCs/>
        </w:rPr>
        <w:t xml:space="preserve">• </w:t>
      </w:r>
      <w:r>
        <w:t xml:space="preserve">Clearer M&amp;A or spin-off valuation intelligence</w:t>
      </w:r>
    </w:p>
    <w:p>
      <w:pPr>
        <w:spacing w:before="60" w:after="60"/>
      </w:pPr>
      <w:r>
        <w:rPr>
          <w:b/>
          <w:bCs/>
        </w:rPr>
        <w:t xml:space="preserve">• </w:t>
      </w:r>
      <w:r>
        <w:t xml:space="preserve">Ability to adjust credit exposure before earnings releases</w:t>
      </w:r>
    </w:p>
    <w:p>
      <w:pPr>
        <w:spacing w:before="60" w:after="240"/>
      </w:pPr>
      <w:r>
        <w:rPr>
          <w:b/>
          <w:bCs/>
        </w:rPr>
        <w:t xml:space="preserve">• </w:t>
      </w:r>
      <w:r>
        <w:t xml:space="preserve">Backlog quality assessment (how much is low-margin or high-risk)</w:t>
      </w:r>
    </w:p>
    <w:p>
      <w:pPr>
        <w:spacing w:before="120" w:after="60"/>
      </w:pPr>
      <w:r>
        <w:rPr>
          <w:b/>
          <w:bCs/>
          <w:color w:val="C00000"/>
          <w:sz w:val="24"/>
          <w:szCs w:val="24"/>
        </w:rPr>
        <w:t xml:space="preserve">Financial Impact:</w:t>
      </w:r>
    </w:p>
    <w:p>
      <w:pPr>
        <w:spacing w:before="60" w:after="360"/>
      </w:pPr>
      <w:r>
        <w:rPr>
          <w:b/>
          <w:bCs/>
          <w:color w:val="C00000"/>
          <w:sz w:val="26"/>
          <w:szCs w:val="26"/>
        </w:rPr>
        <w:t xml:space="preserve">10-200 MSEK per year</w:t>
      </w:r>
      <w:r>
        <w:rPr>
          <w:sz w:val="24"/>
          <w:szCs w:val="24"/>
        </w:rPr>
        <w:t xml:space="preserve"> (trading profits and positioning)</w:t>
      </w:r>
    </w:p>
    <w:p>
      <w:r>
        <w:br w:type="page"/>
      </w:r>
    </w:p>
    <w:p>
      <w:pPr>
        <w:pStyle w:val="Heading1"/>
      </w:pPr>
      <w:r>
        <w:t xml:space="preserve">3. Consolidated Financial Impact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Type of Advantage</w:t>
            </w:r>
          </w:p>
        </w:tc>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Value Per Player/Year</w:t>
            </w:r>
          </w:p>
        </w:tc>
        <w:tc>
          <w:tcPr>
            <w:tcW w:type="dxa" w:w="3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Main Beneficiaries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Winning/avoiding 1-3 big tenders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50-400 MSEK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Nordic rivals (Skanska, Peab, Veidekke, YIT, AF Gruppen)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Supplier/subcontractor negotiations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20-150 MSEK</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Same Nordic competitors + international players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center execution 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50-300 MSEK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Hyperscalers + large GCs chasing hyperscaler work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Financial early signals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10-200 MSEK</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Hedge funds, PE, activist investors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Targeted headhunting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Strategic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competitors</w:t>
            </w:r>
          </w:p>
        </w:tc>
      </w:tr>
    </w:tbl>
    <w:p>
      <w:pPr>
        <w:spacing w:before="360"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240"/>
              <w:left w:type="dxa" w:w="240"/>
              <w:bottom w:type="dxa" w:w="240"/>
              <w:right w:type="dxa" w:w="240"/>
            </w:tcMar>
          </w:tcPr>
          <w:p>
            <w:pPr>
              <w:spacing w:after="120"/>
            </w:pPr>
            <w:r>
              <w:rPr>
                <w:b/>
                <w:bCs/>
                <w:color w:val="C00000"/>
                <w:sz w:val="26"/>
                <w:szCs w:val="26"/>
              </w:rPr>
              <w:t xml:space="preserve">CRITICAL INSIGHT: The Circle of Knowledge</w:t>
            </w:r>
          </w:p>
          <w:p>
            <w:r>
              <w:rPr>
                <w:sz w:val="24"/>
                <w:szCs w:val="24"/>
              </w:rPr>
              <w:t xml:space="preserve">The value is enormous, but only if the intelligence remains within a small circle. If 5-25 key decision-makers at competitor firms, hyperscalers, and investment funds gain access, the advantage persists. If it becomes widely known, the value collapses. This is why sophisticated actors keep such access extremely restricted.</w:t>
            </w:r>
          </w:p>
        </w:tc>
      </w:tr>
    </w:tbl>
    <w:p>
      <w:r>
        <w:br w:type="page"/>
      </w:r>
    </w:p>
    <w:p>
      <w:pPr>
        <w:pStyle w:val="Heading1"/>
      </w:pPr>
      <w:r>
        <w:t xml:space="preserve">4. Technical Vulnerability → Business Intelligence Linkage</w:t>
      </w:r>
    </w:p>
    <w:p>
      <w:pPr>
        <w:spacing w:after="180"/>
      </w:pPr>
      <w:r>
        <w:t xml:space="preserve">The technical vulnerabilities identified in the IFS Cloud and Cosmos DB integration directly enable business intelligence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Technical Vulnerability</w:t>
            </w:r>
          </w:p>
        </w:tc>
        <w:tc>
          <w:tcPr>
            <w:tcW w:type="dxa" w:w="5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Business Intelligence Exposure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Over-privileged Consultant 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Consultants with delete/read permissions can extract complete project financials, subcontractor pricing, and operational metrics before triggering a rollback to cover tracks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Broad Wipe-Out Logic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Malicious actor can intentionally trigger date-level wipes to create gaps in audit trails, making data exfiltration harder to detect and trace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Retry Storm Amplification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operational noise and incident response fatigue, providing cover for targeted data extraction during periods of system instability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Lack of Granular Audit Controls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Insufficient monitoring of consultant read patterns means systematic data extraction can occur over weeks or months without detection</w:t>
            </w:r>
          </w:p>
        </w:tc>
      </w:tr>
    </w:tbl>
    <w:p>
      <w:r>
        <w:br w:type="page"/>
      </w:r>
    </w:p>
    <w:p>
      <w:pPr>
        <w:pStyle w:val="Heading1"/>
      </w:pPr>
      <w:r>
        <w:t xml:space="preserve">5. Realistic Attack Scenarios</w:t>
      </w:r>
    </w:p>
    <w:p>
      <w:pPr>
        <w:pStyle w:val="Heading2"/>
      </w:pPr>
      <w:r>
        <w:t xml:space="preserve">Scenario 1: Pre-Tender Intelligence Extraction</w:t>
      </w:r>
    </w:p>
    <w:p>
      <w:pPr>
        <w:spacing w:before="180" w:after="120"/>
      </w:pPr>
      <w:r>
        <w:rPr>
          <w:b/>
          <w:bCs/>
        </w:rPr>
        <w:t xml:space="preserve">Attacker: </w:t>
      </w:r>
      <w:r>
        <w:t xml:space="preserve">Consultant working for multiple Nordic contractors (common in industry)</w:t>
      </w:r>
    </w:p>
    <w:p>
      <w:pPr>
        <w:spacing w:before="60" w:after="120"/>
      </w:pPr>
      <w:r>
        <w:rPr>
          <w:b/>
          <w:bCs/>
        </w:rPr>
        <w:t xml:space="preserve">Timeline: </w:t>
      </w:r>
      <w:r>
        <w:t xml:space="preserve">2-4 weeks before major tender submission</w:t>
      </w:r>
    </w:p>
    <w:p>
      <w:pPr>
        <w:spacing w:before="60" w:after="180"/>
      </w:pPr>
      <w:r>
        <w:rPr>
          <w:b/>
          <w:bCs/>
        </w:rPr>
        <w:t xml:space="preserve">Method:</w:t>
      </w:r>
    </w:p>
    <w:p>
      <w:pPr>
        <w:spacing w:before="60" w:after="60"/>
      </w:pPr>
      <w:r>
        <w:rPr>
          <w:b/>
          <w:bCs/>
        </w:rPr>
        <w:t xml:space="preserve">1. </w:t>
      </w:r>
      <w:r>
        <w:t xml:space="preserve">Query Cosmos DB for recent projects matching upcoming tender profile (e.g., hospital construction, rail extension)</w:t>
      </w:r>
    </w:p>
    <w:p>
      <w:pPr>
        <w:spacing w:before="60" w:after="60"/>
      </w:pPr>
      <w:r>
        <w:rPr>
          <w:b/>
          <w:bCs/>
        </w:rPr>
        <w:t xml:space="preserve">2. </w:t>
      </w:r>
      <w:r>
        <w:t xml:space="preserve">Extract cost structures, productivity rates, risk premiums, and margin targets</w:t>
      </w:r>
    </w:p>
    <w:p>
      <w:pPr>
        <w:spacing w:before="60" w:after="60"/>
      </w:pPr>
      <w:r>
        <w:rPr>
          <w:b/>
          <w:bCs/>
        </w:rPr>
        <w:t xml:space="preserve">3. </w:t>
      </w:r>
      <w:r>
        <w:t xml:space="preserve">Download subcontractor framework pricing for key trades</w:t>
      </w:r>
    </w:p>
    <w:p>
      <w:pPr>
        <w:spacing w:before="60" w:after="60"/>
      </w:pPr>
      <w:r>
        <w:rPr>
          <w:b/>
          <w:bCs/>
        </w:rPr>
        <w:t xml:space="preserve">4. </w:t>
      </w:r>
      <w:r>
        <w:t xml:space="preserve">Trigger intentional wipe-out to obscure access patterns</w:t>
      </w:r>
    </w:p>
    <w:p>
      <w:pPr>
        <w:spacing w:before="60" w:after="240"/>
      </w:pPr>
      <w:r>
        <w:rPr>
          <w:b/>
          <w:bCs/>
        </w:rPr>
        <w:t xml:space="preserve">5. </w:t>
      </w:r>
      <w:r>
        <w:t xml:space="preserve">Provide intelligence to competitor who prices bid 1-2% below NCC</w:t>
      </w:r>
    </w:p>
    <w:p>
      <w:pPr>
        <w:spacing w:before="120" w:after="60"/>
      </w:pPr>
      <w:r>
        <w:rPr>
          <w:b/>
          <w:bCs/>
          <w:color w:val="C00000"/>
          <w:sz w:val="24"/>
          <w:szCs w:val="24"/>
        </w:rPr>
        <w:t xml:space="preserve">Result: </w:t>
      </w:r>
    </w:p>
    <w:p>
      <w:pPr>
        <w:spacing w:before="60" w:after="360"/>
      </w:pPr>
      <w:r>
        <w:rPr>
          <w:color w:val="C00000"/>
          <w:sz w:val="24"/>
          <w:szCs w:val="24"/>
        </w:rPr>
        <w:t xml:space="preserve">Competitor wins 2 BSEK tender that NCC would have otherwise secured. Consultant receives 500-1,000 KSEK finder's fee.</w:t>
      </w:r>
    </w:p>
    <w:p>
      <w:pPr>
        <w:pStyle w:val="Heading2"/>
      </w:pPr>
      <w:r>
        <w:t xml:space="preserve">Scenario 2: Hyperscaler Nordic Expansion Planning</w:t>
      </w:r>
    </w:p>
    <w:p>
      <w:pPr>
        <w:spacing w:before="180" w:after="120"/>
      </w:pPr>
      <w:r>
        <w:rPr>
          <w:b/>
          <w:bCs/>
        </w:rPr>
        <w:t xml:space="preserve">Attacker: </w:t>
      </w:r>
      <w:r>
        <w:t xml:space="preserve">Consultant or employee with ties to hyperscaler or competing data center contractor</w:t>
      </w:r>
    </w:p>
    <w:p>
      <w:pPr>
        <w:spacing w:before="60" w:after="120"/>
      </w:pPr>
      <w:r>
        <w:rPr>
          <w:b/>
          <w:bCs/>
        </w:rPr>
        <w:t xml:space="preserve">Timeline: </w:t>
      </w:r>
      <w:r>
        <w:t xml:space="preserve">6-12 months before hyperscaler announces Nordic campus</w:t>
      </w:r>
    </w:p>
    <w:p>
      <w:pPr>
        <w:spacing w:before="60" w:after="180"/>
      </w:pPr>
      <w:r>
        <w:rPr>
          <w:b/>
          <w:bCs/>
        </w:rPr>
        <w:t xml:space="preserve">Method:</w:t>
      </w:r>
    </w:p>
    <w:p>
      <w:pPr>
        <w:spacing w:before="60" w:after="60"/>
      </w:pPr>
      <w:r>
        <w:rPr>
          <w:b/>
          <w:bCs/>
        </w:rPr>
        <w:t xml:space="preserve">1. </w:t>
      </w:r>
      <w:r>
        <w:t xml:space="preserve">Extract complete execution data from Meta/Facebook Luleå and other Nordic hyperscaler projects</w:t>
      </w:r>
    </w:p>
    <w:p>
      <w:pPr>
        <w:spacing w:before="60" w:after="60"/>
      </w:pPr>
      <w:r>
        <w:rPr>
          <w:b/>
          <w:bCs/>
        </w:rPr>
        <w:t xml:space="preserve">2. </w:t>
      </w:r>
      <w:r>
        <w:t xml:space="preserve">Analyze PUE, cost per MW, timeline patterns, change-order data, sustainability premiums</w:t>
      </w:r>
    </w:p>
    <w:p>
      <w:pPr>
        <w:spacing w:before="60" w:after="60"/>
      </w:pPr>
      <w:r>
        <w:rPr>
          <w:b/>
          <w:bCs/>
        </w:rPr>
        <w:t xml:space="preserve">3. </w:t>
      </w:r>
      <w:r>
        <w:t xml:space="preserve">Package intelligence as "Nordic data center feasibility study"</w:t>
      </w:r>
    </w:p>
    <w:p>
      <w:pPr>
        <w:spacing w:before="60" w:after="240"/>
      </w:pPr>
      <w:r>
        <w:rPr>
          <w:b/>
          <w:bCs/>
        </w:rPr>
        <w:t xml:space="preserve">4. </w:t>
      </w:r>
      <w:r>
        <w:t xml:space="preserve">Sell or provide to hyperscaler infrastructure planning team or competing contractor</w:t>
      </w:r>
    </w:p>
    <w:p>
      <w:pPr>
        <w:spacing w:before="120" w:after="60"/>
      </w:pPr>
      <w:r>
        <w:rPr>
          <w:b/>
          <w:bCs/>
          <w:color w:val="C00000"/>
          <w:sz w:val="24"/>
          <w:szCs w:val="24"/>
        </w:rPr>
        <w:t xml:space="preserve">Result: </w:t>
      </w:r>
    </w:p>
    <w:p>
      <w:pPr>
        <w:spacing w:before="60" w:after="360"/>
      </w:pPr>
      <w:r>
        <w:rPr>
          <w:color w:val="C00000"/>
          <w:sz w:val="24"/>
          <w:szCs w:val="24"/>
        </w:rPr>
        <w:t xml:space="preserve">Hyperscaler negotiates 10-15% cost reduction with eventual contractor based on NCC benchmarks. Competing contractor wins work using NCC's execution playbook. Value: 100-300 MSEK.</w:t>
      </w:r>
    </w:p>
    <w:p>
      <w:pPr>
        <w:pStyle w:val="Heading2"/>
      </w:pPr>
      <w:r>
        <w:t xml:space="preserve">Scenario 3: Financial Trading Intelligence</w:t>
      </w:r>
    </w:p>
    <w:p>
      <w:pPr>
        <w:spacing w:before="180" w:after="120"/>
      </w:pPr>
      <w:r>
        <w:rPr>
          <w:b/>
          <w:bCs/>
        </w:rPr>
        <w:t xml:space="preserve">Attacker: </w:t>
      </w:r>
      <w:r>
        <w:t xml:space="preserve">Hedge fund analyst or consultant with trading connections</w:t>
      </w:r>
    </w:p>
    <w:p>
      <w:pPr>
        <w:spacing w:before="60" w:after="120"/>
      </w:pPr>
      <w:r>
        <w:rPr>
          <w:b/>
          <w:bCs/>
        </w:rPr>
        <w:t xml:space="preserve">Timeline: </w:t>
      </w:r>
      <w:r>
        <w:t xml:space="preserve">Ongoing quarterly monitoring</w:t>
      </w:r>
    </w:p>
    <w:p>
      <w:pPr>
        <w:spacing w:before="60" w:after="180"/>
      </w:pPr>
      <w:r>
        <w:rPr>
          <w:b/>
          <w:bCs/>
        </w:rPr>
        <w:t xml:space="preserve">Method:</w:t>
      </w:r>
    </w:p>
    <w:p>
      <w:pPr>
        <w:spacing w:before="60" w:after="60"/>
      </w:pPr>
      <w:r>
        <w:rPr>
          <w:b/>
          <w:bCs/>
        </w:rPr>
        <w:t xml:space="preserve">1. </w:t>
      </w:r>
      <w:r>
        <w:t xml:space="preserve">Monthly extraction of project-level profitability data</w:t>
      </w:r>
    </w:p>
    <w:p>
      <w:pPr>
        <w:spacing w:before="60" w:after="60"/>
      </w:pPr>
      <w:r>
        <w:rPr>
          <w:b/>
          <w:bCs/>
        </w:rPr>
        <w:t xml:space="preserve">2. </w:t>
      </w:r>
      <w:r>
        <w:t xml:space="preserve">Identify projects with &gt;15-20% cost overruns, delayed collections, write-down risks</w:t>
      </w:r>
    </w:p>
    <w:p>
      <w:pPr>
        <w:spacing w:before="60" w:after="60"/>
      </w:pPr>
      <w:r>
        <w:rPr>
          <w:b/>
          <w:bCs/>
        </w:rPr>
        <w:t xml:space="preserve">3. </w:t>
      </w:r>
      <w:r>
        <w:t xml:space="preserve">Track backlog quality and bid aggressiveness trends</w:t>
      </w:r>
    </w:p>
    <w:p>
      <w:pPr>
        <w:spacing w:before="60" w:after="240"/>
      </w:pPr>
      <w:r>
        <w:rPr>
          <w:b/>
          <w:bCs/>
        </w:rPr>
        <w:t xml:space="preserve">4. </w:t>
      </w:r>
      <w:r>
        <w:t xml:space="preserve">Position short before quarterly earnings when overruns will be disclosed</w:t>
      </w:r>
    </w:p>
    <w:p>
      <w:pPr>
        <w:spacing w:before="120" w:after="60"/>
      </w:pPr>
      <w:r>
        <w:rPr>
          <w:b/>
          <w:bCs/>
          <w:color w:val="C00000"/>
          <w:sz w:val="24"/>
          <w:szCs w:val="24"/>
        </w:rPr>
        <w:t xml:space="preserve">Result: </w:t>
      </w:r>
    </w:p>
    <w:p>
      <w:pPr>
        <w:spacing w:before="60" w:after="360"/>
      </w:pPr>
      <w:r>
        <w:rPr>
          <w:color w:val="C00000"/>
          <w:sz w:val="24"/>
          <w:szCs w:val="24"/>
        </w:rPr>
        <w:t xml:space="preserve">Fund profits 30-80 MSEK over 2-3 quarters by front-running negative earnings surprises. Banks adjust credit facilities based on early signals.</w:t>
      </w:r>
    </w:p>
    <w:p>
      <w:r>
        <w:br w:type="page"/>
      </w:r>
    </w:p>
    <w:p>
      <w:pPr>
        <w:pStyle w:val="Heading1"/>
      </w:pPr>
      <w:r>
        <w:t xml:space="preserve">6. Regulatory &amp; Standards Compliance Impact</w:t>
      </w:r>
    </w:p>
    <w:p>
      <w:pPr>
        <w:pStyle w:val="Heading2"/>
      </w:pPr>
      <w:r>
        <w:t xml:space="preserve">ISO/IEC 27001 – Information Security</w:t>
      </w:r>
    </w:p>
    <w:p>
      <w:pPr>
        <w:spacing w:before="180" w:after="120"/>
      </w:pPr>
      <w:r>
        <w:t xml:space="preserve">The current architecture violates multiple ISO 27001 controls that are specifically designed to prevent competitive intelligence exposure:</w:t>
      </w:r>
    </w:p>
    <w:p>
      <w:pPr>
        <w:spacing w:before="120" w:after="60"/>
      </w:pPr>
      <w:r>
        <w:rPr>
          <w:b/>
          <w:bCs/>
        </w:rPr>
        <w:t xml:space="preserve">• A.5.15 (Access Control): </w:t>
      </w:r>
      <w:r>
        <w:t xml:space="preserve">Over-privileged consultants can access sensitive competitive data</w:t>
      </w:r>
    </w:p>
    <w:p>
      <w:pPr>
        <w:spacing w:before="60" w:after="60"/>
      </w:pPr>
      <w:r>
        <w:rPr>
          <w:b/>
          <w:bCs/>
        </w:rPr>
        <w:t xml:space="preserve">• A.8.10 (Information Deletion): </w:t>
      </w:r>
      <w:r>
        <w:t xml:space="preserve">Broad wipe-out logic enables audit trail destruction</w:t>
      </w:r>
    </w:p>
    <w:p>
      <w:pPr>
        <w:spacing w:before="60" w:after="60"/>
      </w:pPr>
      <w:r>
        <w:rPr>
          <w:b/>
          <w:bCs/>
        </w:rPr>
        <w:t xml:space="preserve">• A.8.12 (Data Integrity): </w:t>
      </w:r>
      <w:r>
        <w:t xml:space="preserve">Phantom data loss risk compromises financial record reliability</w:t>
      </w:r>
    </w:p>
    <w:p>
      <w:pPr>
        <w:spacing w:before="60" w:after="360"/>
      </w:pPr>
      <w:r>
        <w:rPr>
          <w:b/>
          <w:bCs/>
        </w:rPr>
        <w:t xml:space="preserve">• A.5.36 (Independent Review): </w:t>
      </w:r>
      <w:r>
        <w:t xml:space="preserve">No third-party audit of high-risk integration architecture</w:t>
      </w:r>
    </w:p>
    <w:p>
      <w:pPr>
        <w:pStyle w:val="Heading2"/>
      </w:pPr>
      <w:r>
        <w:t xml:space="preserve">NIST Cybersecurity Framework</w:t>
      </w:r>
    </w:p>
    <w:p>
      <w:pPr>
        <w:spacing w:before="180" w:after="120"/>
      </w:pPr>
      <w:r>
        <w:t xml:space="preserve">NIST CSF gaps directly enable business intelligence extraction:</w:t>
      </w:r>
    </w:p>
    <w:p>
      <w:pPr>
        <w:spacing w:before="120" w:after="60"/>
      </w:pPr>
      <w:r>
        <w:rPr>
          <w:b/>
          <w:bCs/>
        </w:rPr>
        <w:t xml:space="preserve">• Identify (ID.RA): </w:t>
      </w:r>
      <w:r>
        <w:t xml:space="preserve">Integration logic risk not formally classified as competitive intelligence threat</w:t>
      </w:r>
    </w:p>
    <w:p>
      <w:pPr>
        <w:spacing w:before="60" w:after="60"/>
      </w:pPr>
      <w:r>
        <w:rPr>
          <w:b/>
          <w:bCs/>
        </w:rPr>
        <w:t xml:space="preserve">• Protect (PR.AC / PR.DS): </w:t>
      </w:r>
      <w:r>
        <w:t xml:space="preserve">No protection against data exfiltration by privileged consultants</w:t>
      </w:r>
    </w:p>
    <w:p>
      <w:pPr>
        <w:spacing w:before="60" w:after="60"/>
      </w:pPr>
      <w:r>
        <w:rPr>
          <w:b/>
          <w:bCs/>
        </w:rPr>
        <w:t xml:space="preserve">• Detect (DE.CM): </w:t>
      </w:r>
      <w:r>
        <w:t xml:space="preserve">No monitoring for systematic read patterns indicating intelligence gathering</w:t>
      </w:r>
    </w:p>
    <w:p>
      <w:pPr>
        <w:spacing w:before="60" w:after="360"/>
      </w:pPr>
      <w:r>
        <w:rPr>
          <w:b/>
          <w:bCs/>
        </w:rPr>
        <w:t xml:space="preserve">• Recover (RC.RP): </w:t>
      </w:r>
      <w:r>
        <w:t xml:space="preserve">Cannot recover from targeted extraction once sensitive data is compromised</w:t>
      </w:r>
    </w:p>
    <w:p>
      <w:r>
        <w:br w:type="page"/>
      </w:r>
    </w:p>
    <w:p>
      <w:pPr>
        <w:pStyle w:val="Heading1"/>
      </w:pPr>
      <w:r>
        <w:t xml:space="preserve">7. Immediate Actions Required</w:t>
      </w:r>
    </w:p>
    <w:p>
      <w:pPr>
        <w:spacing w:before="240" w:after="120"/>
      </w:pPr>
      <w:r>
        <w:rPr>
          <w:b/>
          <w:bCs/>
          <w:color w:val="C00000"/>
          <w:sz w:val="26"/>
          <w:szCs w:val="26"/>
        </w:rPr>
        <w:t xml:space="preserve">1. Emergency Access Audit</w:t>
      </w:r>
    </w:p>
    <w:p>
      <w:pPr>
        <w:spacing w:before="60" w:after="60"/>
      </w:pPr>
      <w:r>
        <w:rPr>
          <w:b/>
          <w:bCs/>
        </w:rPr>
        <w:t xml:space="preserve">Timeframe: </w:t>
      </w:r>
      <w:r>
        <w:t xml:space="preserve">48-72 hours</w:t>
      </w:r>
    </w:p>
    <w:p>
      <w:pPr>
        <w:spacing w:before="60" w:after="240"/>
      </w:pPr>
      <w:r>
        <w:t xml:space="preserve">Immediately audit all consultant access to IFS Cloud and Cosmos DB over the past 12 months. Identify unusual read patterns, bulk data exports, or access immediately preceding major tender submissions.</w:t>
      </w:r>
    </w:p>
    <w:p>
      <w:pPr>
        <w:spacing w:before="240" w:after="120"/>
      </w:pPr>
      <w:r>
        <w:rPr>
          <w:b/>
          <w:bCs/>
          <w:color w:val="C00000"/>
          <w:sz w:val="26"/>
          <w:szCs w:val="26"/>
        </w:rPr>
        <w:t xml:space="preserve">2. Implement Zero Trust for Consultants</w:t>
      </w:r>
    </w:p>
    <w:p>
      <w:pPr>
        <w:spacing w:before="60" w:after="60"/>
      </w:pPr>
      <w:r>
        <w:rPr>
          <w:b/>
          <w:bCs/>
        </w:rPr>
        <w:t xml:space="preserve">Timeframe: </w:t>
      </w:r>
      <w:r>
        <w:t xml:space="preserve">1-2 weeks</w:t>
      </w:r>
    </w:p>
    <w:p>
      <w:pPr>
        <w:spacing w:before="60" w:after="240"/>
      </w:pPr>
      <w:r>
        <w:t xml:space="preserve">Revoke broad delete and read permissions. Implement just-in-time access with 4-hour expiration for specific data sets. Add real-time alerting for bulk reads, cross-project queries, and subcontractor pricing access.</w:t>
      </w:r>
    </w:p>
    <w:p>
      <w:pPr>
        <w:spacing w:before="240" w:after="120"/>
      </w:pPr>
      <w:r>
        <w:rPr>
          <w:b/>
          <w:bCs/>
          <w:color w:val="C00000"/>
          <w:sz w:val="26"/>
          <w:szCs w:val="26"/>
        </w:rPr>
        <w:t xml:space="preserve">3. Refine Rollback Logic</w:t>
      </w:r>
    </w:p>
    <w:p>
      <w:pPr>
        <w:spacing w:before="60" w:after="60"/>
      </w:pPr>
      <w:r>
        <w:rPr>
          <w:b/>
          <w:bCs/>
        </w:rPr>
        <w:t xml:space="preserve">Timeframe: </w:t>
      </w:r>
      <w:r>
        <w:t xml:space="preserve">2-4 weeks</w:t>
      </w:r>
    </w:p>
    <w:p>
      <w:pPr>
        <w:spacing w:before="60" w:after="240"/>
      </w:pPr>
      <w:r>
        <w:t xml:space="preserve">Move from date-level wipe-outs to record-level or transaction-scoped rollbacks. Eliminate the ability to trigger broad data destruction that obscures audit trails.</w:t>
      </w:r>
    </w:p>
    <w:p>
      <w:pPr>
        <w:spacing w:before="240" w:after="120"/>
      </w:pPr>
      <w:r>
        <w:rPr>
          <w:b/>
          <w:bCs/>
          <w:color w:val="C00000"/>
          <w:sz w:val="26"/>
          <w:szCs w:val="26"/>
        </w:rPr>
        <w:t xml:space="preserve">4. External Third-Party Audit</w:t>
      </w:r>
    </w:p>
    <w:p>
      <w:pPr>
        <w:spacing w:before="60" w:after="60"/>
      </w:pPr>
      <w:r>
        <w:rPr>
          <w:b/>
          <w:bCs/>
        </w:rPr>
        <w:t xml:space="preserve">Timeframe: </w:t>
      </w:r>
      <w:r>
        <w:t xml:space="preserve">Engage within 1 week, complete in 4-6 weeks</w:t>
      </w:r>
    </w:p>
    <w:p>
      <w:pPr>
        <w:spacing w:before="60" w:after="240"/>
      </w:pPr>
      <w:r>
        <w:t xml:space="preserve">Contract independent firm (e.g., EY, KPMG) to conduct forensic review of Azure IAM, RBAC, Cosmos DB access logs, and integration architecture. Focus on identifying any historical data exfiltration patterns.</w:t>
      </w:r>
    </w:p>
    <w:p>
      <w:pPr>
        <w:spacing w:before="240" w:after="120"/>
      </w:pPr>
      <w:r>
        <w:rPr>
          <w:b/>
          <w:bCs/>
          <w:color w:val="C00000"/>
          <w:sz w:val="26"/>
          <w:szCs w:val="26"/>
        </w:rPr>
        <w:t xml:space="preserve">5. Client Notification Assessment</w:t>
      </w:r>
    </w:p>
    <w:p>
      <w:pPr>
        <w:spacing w:before="60" w:after="60"/>
      </w:pPr>
      <w:r>
        <w:rPr>
          <w:b/>
          <w:bCs/>
        </w:rPr>
        <w:t xml:space="preserve">Timeframe: </w:t>
      </w:r>
      <w:r>
        <w:t xml:space="preserve">Upon completion of access audit</w:t>
      </w:r>
    </w:p>
    <w:p>
      <w:pPr>
        <w:spacing w:before="60" w:after="240"/>
      </w:pPr>
      <w:r>
        <w:t xml:space="preserve">If audit reveals evidence of systematic data extraction or if broad wipe-outs have occurred, initiate incident response protocol and assess notification obligations to affected clients and regulatory bodies.</w:t>
      </w:r>
    </w:p>
    <w:p>
      <w:r>
        <w:br w:type="page"/>
      </w:r>
    </w:p>
    <w:p>
      <w:pPr>
        <w:pStyle w:val="Heading1"/>
      </w:pPr>
      <w:r>
        <w:t xml:space="preserve">Final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240"/>
              <w:left w:type="dxa" w:w="240"/>
              <w:bottom w:type="dxa" w:w="240"/>
              <w:right w:type="dxa" w:w="240"/>
            </w:tcMar>
          </w:tcPr>
          <w:p>
            <w:pPr>
              <w:spacing w:after="180"/>
            </w:pPr>
            <w:r>
              <w:rPr>
                <w:b/>
                <w:bCs/>
                <w:color w:val="C00000"/>
                <w:sz w:val="28"/>
                <w:szCs w:val="28"/>
              </w:rPr>
              <w:t xml:space="preserve">BOARD-LEVEL SUMMARY</w:t>
            </w:r>
          </w:p>
          <w:p>
            <w:pPr>
              <w:spacing w:after="120"/>
            </w:pPr>
            <w:r>
              <w:rPr>
                <w:sz w:val="24"/>
                <w:szCs w:val="24"/>
              </w:rPr>
              <w:t xml:space="preserve">The current IFS Cloud and Cosmos DB integration architecture creates a high-value competitive intelligence exposure worth 130-1,050 MSEK annually to a small number of sophisticated threat actors:</w:t>
            </w:r>
          </w:p>
          <w:p>
            <w:pPr>
              <w:spacing w:before="120" w:after="80"/>
            </w:pPr>
            <w:r>
              <w:rPr>
                <w:b/>
                <w:bCs/>
                <w:sz w:val="24"/>
                <w:szCs w:val="24"/>
              </w:rPr>
              <w:t xml:space="preserve">• Nordic competitors (Skanska, Peab, Veidekke, YIT, AF Gruppen): 70-550 MSEK/year</w:t>
            </w:r>
          </w:p>
          <w:p>
            <w:pPr>
              <w:spacing w:before="80" w:after="80"/>
            </w:pPr>
            <w:r>
              <w:rPr>
                <w:b/>
                <w:bCs/>
                <w:sz w:val="24"/>
                <w:szCs w:val="24"/>
              </w:rPr>
              <w:t xml:space="preserve">• Hyperscalers and data center contractors: 50-300 MSEK strategic value</w:t>
            </w:r>
          </w:p>
          <w:p>
            <w:pPr>
              <w:spacing w:before="80" w:after="180"/>
            </w:pPr>
            <w:r>
              <w:rPr>
                <w:b/>
                <w:bCs/>
                <w:sz w:val="24"/>
                <w:szCs w:val="24"/>
              </w:rPr>
              <w:t xml:space="preserve">• Investment funds and financial players: 10-200 MSEK/year</w:t>
            </w:r>
          </w:p>
          <w:p>
            <w:pPr>
              <w:spacing w:before="180"/>
            </w:pPr>
            <w:r>
              <w:rPr>
                <w:sz w:val="24"/>
                <w:szCs w:val="24"/>
              </w:rPr>
              <w:t xml:space="preserve">The technical vulnerabilities (over-privileged consultants, broad wipe-out logic, lack of granular auditing) directly enable systematic extraction of tender intelligence, subcontractor pricing, data center execution benchmarks, and financial health signals. This exposure represents a material competitive disadvantage and potential fiduciary breach requiring immediate Board attention and action.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C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C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2026-02-02T17:32:27.842Z</dcterms:created>
  <dcterms:modified xsi:type="dcterms:W3CDTF">2026-02-02T17:32:27.844Z</dcterms:modified>
</cp:coreProperties>
</file>

<file path=docProps/custom.xml><?xml version="1.0" encoding="utf-8"?>
<Properties xmlns="http://schemas.openxmlformats.org/officeDocument/2006/custom-properties" xmlns:vt="http://schemas.openxmlformats.org/officeDocument/2006/docPropsVTypes"/>
</file>