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4"/>
        </w:rPr>
        <w:t>Integritetsskyddsmyndigheten (IMY)</w:t>
      </w:r>
    </w:p>
    <w:p>
      <w:pPr>
        <w:spacing w:before="0" w:after="160"/>
        <w:jc w:val="center"/>
      </w:pPr>
      <w:r>
        <w:rPr>
          <w:rFonts w:ascii="Times New Roman" w:hAnsi="Times New Roman"/>
          <w:b w:val="0"/>
          <w:i w:val="0"/>
          <w:sz w:val="18"/>
        </w:rPr>
        <w:t>Box 8114, 104 20 Stockholm · imy@imy.se</w:t>
      </w:r>
    </w:p>
    <w:p>
      <w:pPr>
        <w:pBdr>
          <w:bottom w:val="single" w:sz="6" w:space="1" w:color="808080"/>
        </w:pBdr>
        <w:spacing w:after="80"/>
      </w:pPr>
    </w:p>
    <w:p>
      <w:pPr>
        <w:spacing w:before="0" w:after="0"/>
        <w:jc w:val="center"/>
      </w:pPr>
      <w:r>
        <w:rPr>
          <w:rFonts w:ascii="Times New Roman" w:hAnsi="Times New Roman"/>
          <w:b/>
          <w:i w:val="0"/>
          <w:sz w:val="26"/>
        </w:rPr>
        <w:t>KLAGOMÅL ENLIGT ARTIKEL 77 GDPR</w:t>
      </w:r>
    </w:p>
    <w:p>
      <w:pPr>
        <w:spacing w:before="0" w:after="200"/>
        <w:jc w:val="center"/>
      </w:pPr>
      <w:r>
        <w:rPr>
          <w:rFonts w:ascii="Times New Roman" w:hAnsi="Times New Roman"/>
          <w:b w:val="0"/>
          <w:i/>
          <w:sz w:val="20"/>
        </w:rPr>
        <w:t>Complaint to the supervisory authority under Article 77 of the GDPR</w:t>
      </w:r>
    </w:p>
    <w:tbl>
      <w:tblPr>
        <w:tblW w:type="auto" w:w="0"/>
        <w:tblLook w:firstColumn="1" w:firstRow="1" w:lastColumn="0" w:lastRow="0" w:noHBand="0" w:noVBand="1" w:val="04A0"/>
      </w:tblPr>
      <w:tblGrid>
        <w:gridCol w:w="3168"/>
        <w:gridCol w:w="6192"/>
      </w:tblGrid>
      <w:tr>
        <w:tc>
          <w:tcPr>
            <w:tcW w:type="dxa" w:w="4680"/>
          </w:tcPr>
          <w:p>
            <w:pPr>
              <w:spacing w:after="40"/>
            </w:pPr>
            <w:r/>
            <w:r>
              <w:rPr>
                <w:rFonts w:ascii="Times New Roman" w:hAnsi="Times New Roman"/>
                <w:b/>
                <w:sz w:val="20"/>
              </w:rPr>
              <w:t>Date:</w:t>
            </w:r>
          </w:p>
        </w:tc>
        <w:tc>
          <w:tcPr>
            <w:tcW w:type="dxa" w:w="4680"/>
          </w:tcPr>
          <w:p>
            <w:pPr>
              <w:spacing w:after="40"/>
            </w:pPr>
            <w:r/>
            <w:r>
              <w:rPr>
                <w:rFonts w:ascii="Times New Roman" w:hAnsi="Times New Roman"/>
                <w:sz w:val="20"/>
              </w:rPr>
              <w:t>8 June 2026</w:t>
            </w:r>
          </w:p>
        </w:tc>
      </w:tr>
      <w:tr>
        <w:tc>
          <w:tcPr>
            <w:tcW w:type="dxa" w:w="4680"/>
          </w:tcPr>
          <w:p>
            <w:pPr>
              <w:spacing w:after="40"/>
            </w:pPr>
            <w:r/>
            <w:r>
              <w:rPr>
                <w:rFonts w:ascii="Times New Roman" w:hAnsi="Times New Roman"/>
                <w:b/>
                <w:sz w:val="20"/>
              </w:rPr>
              <w:t>Complainant’s ref:</w:t>
            </w:r>
          </w:p>
        </w:tc>
        <w:tc>
          <w:tcPr>
            <w:tcW w:type="dxa" w:w="4680"/>
          </w:tcPr>
          <w:p>
            <w:pPr>
              <w:spacing w:after="40"/>
            </w:pPr>
            <w:r/>
            <w:r>
              <w:rPr>
                <w:rFonts w:ascii="Times New Roman" w:hAnsi="Times New Roman"/>
                <w:sz w:val="20"/>
              </w:rPr>
              <w:t>[ ref ]</w:t>
            </w:r>
          </w:p>
        </w:tc>
      </w:tr>
      <w:tr>
        <w:tc>
          <w:tcPr>
            <w:tcW w:type="dxa" w:w="4680"/>
          </w:tcPr>
          <w:p>
            <w:pPr>
              <w:spacing w:after="40"/>
            </w:pPr>
            <w:r/>
            <w:r>
              <w:rPr>
                <w:rFonts w:ascii="Times New Roman" w:hAnsi="Times New Roman"/>
                <w:b/>
                <w:sz w:val="20"/>
              </w:rPr>
              <w:t>Lodged by:</w:t>
            </w:r>
          </w:p>
        </w:tc>
        <w:tc>
          <w:tcPr>
            <w:tcW w:type="dxa" w:w="4680"/>
          </w:tcPr>
          <w:p>
            <w:pPr>
              <w:spacing w:after="40"/>
            </w:pPr>
            <w:r/>
            <w:r>
              <w:rPr>
                <w:rFonts w:ascii="Times New Roman" w:hAnsi="Times New Roman"/>
                <w:sz w:val="20"/>
              </w:rPr>
              <w:t>[ Name ], Counsel — for and on behalf of the complainant</w:t>
            </w:r>
          </w:p>
        </w:tc>
      </w:tr>
    </w:tbl>
    <w:p>
      <w:pPr>
        <w:spacing w:before="0" w:after="80"/>
      </w:pPr>
    </w:p>
    <w:p>
      <w:pPr>
        <w:pStyle w:val="Heading1"/>
      </w:pPr>
      <w:r>
        <w:t>1.  The complainant (data subject)</w:t>
      </w:r>
    </w:p>
    <w:tbl>
      <w:tblPr>
        <w:tblW w:type="auto" w:w="0"/>
        <w:tblLook w:firstColumn="1" w:firstRow="1" w:lastColumn="0" w:lastRow="0" w:noHBand="0" w:noVBand="1" w:val="04A0"/>
      </w:tblPr>
      <w:tblGrid>
        <w:gridCol w:w="3168"/>
        <w:gridCol w:w="6192"/>
      </w:tblGrid>
      <w:tr>
        <w:tc>
          <w:tcPr>
            <w:tcW w:type="dxa" w:w="4680"/>
          </w:tcPr>
          <w:p>
            <w:pPr>
              <w:spacing w:after="40"/>
            </w:pPr>
            <w:r/>
            <w:r>
              <w:rPr>
                <w:rFonts w:ascii="Times New Roman" w:hAnsi="Times New Roman"/>
                <w:b/>
                <w:sz w:val="20"/>
              </w:rPr>
              <w:t>Name:</w:t>
            </w:r>
          </w:p>
        </w:tc>
        <w:tc>
          <w:tcPr>
            <w:tcW w:type="dxa" w:w="4680"/>
          </w:tcPr>
          <w:p>
            <w:pPr>
              <w:spacing w:after="40"/>
            </w:pPr>
            <w:r/>
            <w:r>
              <w:rPr>
                <w:rFonts w:ascii="Times New Roman" w:hAnsi="Times New Roman"/>
                <w:sz w:val="20"/>
              </w:rPr>
              <w:t>Thaer Saidi</w:t>
            </w:r>
          </w:p>
        </w:tc>
      </w:tr>
      <w:tr>
        <w:tc>
          <w:tcPr>
            <w:tcW w:type="dxa" w:w="4680"/>
          </w:tcPr>
          <w:p>
            <w:pPr>
              <w:spacing w:after="40"/>
            </w:pPr>
            <w:r/>
            <w:r>
              <w:rPr>
                <w:rFonts w:ascii="Times New Roman" w:hAnsi="Times New Roman"/>
                <w:b/>
                <w:sz w:val="20"/>
              </w:rPr>
              <w:t>Personal identity no.:</w:t>
            </w:r>
          </w:p>
        </w:tc>
        <w:tc>
          <w:tcPr>
            <w:tcW w:type="dxa" w:w="4680"/>
          </w:tcPr>
          <w:p>
            <w:pPr>
              <w:spacing w:after="40"/>
            </w:pPr>
            <w:r/>
            <w:r>
              <w:rPr>
                <w:rFonts w:ascii="Times New Roman" w:hAnsi="Times New Roman"/>
                <w:sz w:val="20"/>
              </w:rPr>
              <w:t>[ YYYYMMDD-XXXX ]</w:t>
            </w:r>
          </w:p>
        </w:tc>
      </w:tr>
      <w:tr>
        <w:tc>
          <w:tcPr>
            <w:tcW w:type="dxa" w:w="4680"/>
          </w:tcPr>
          <w:p>
            <w:pPr>
              <w:spacing w:after="40"/>
            </w:pPr>
            <w:r/>
            <w:r>
              <w:rPr>
                <w:rFonts w:ascii="Times New Roman" w:hAnsi="Times New Roman"/>
                <w:b/>
                <w:sz w:val="20"/>
              </w:rPr>
              <w:t>Address:</w:t>
            </w:r>
          </w:p>
        </w:tc>
        <w:tc>
          <w:tcPr>
            <w:tcW w:type="dxa" w:w="4680"/>
          </w:tcPr>
          <w:p>
            <w:pPr>
              <w:spacing w:after="40"/>
            </w:pPr>
            <w:r/>
            <w:r>
              <w:rPr>
                <w:rFonts w:ascii="Times New Roman" w:hAnsi="Times New Roman"/>
                <w:sz w:val="20"/>
              </w:rPr>
              <w:t>[ home address ]</w:t>
            </w:r>
          </w:p>
        </w:tc>
      </w:tr>
      <w:tr>
        <w:tc>
          <w:tcPr>
            <w:tcW w:type="dxa" w:w="4680"/>
          </w:tcPr>
          <w:p>
            <w:pPr>
              <w:spacing w:after="40"/>
            </w:pPr>
            <w:r/>
            <w:r>
              <w:rPr>
                <w:rFonts w:ascii="Times New Roman" w:hAnsi="Times New Roman"/>
                <w:b/>
                <w:sz w:val="20"/>
              </w:rPr>
              <w:t>Email:</w:t>
            </w:r>
          </w:p>
        </w:tc>
        <w:tc>
          <w:tcPr>
            <w:tcW w:type="dxa" w:w="4680"/>
          </w:tcPr>
          <w:p>
            <w:pPr>
              <w:spacing w:after="40"/>
            </w:pPr>
            <w:r/>
            <w:r>
              <w:rPr>
                <w:rFonts w:ascii="Times New Roman" w:hAnsi="Times New Roman"/>
                <w:sz w:val="20"/>
              </w:rPr>
              <w:t>[ personal email ]</w:t>
            </w:r>
          </w:p>
        </w:tc>
      </w:tr>
      <w:tr>
        <w:tc>
          <w:tcPr>
            <w:tcW w:type="dxa" w:w="4680"/>
          </w:tcPr>
          <w:p>
            <w:pPr>
              <w:spacing w:after="40"/>
            </w:pPr>
            <w:r/>
            <w:r>
              <w:rPr>
                <w:rFonts w:ascii="Times New Roman" w:hAnsi="Times New Roman"/>
                <w:b/>
                <w:sz w:val="20"/>
              </w:rPr>
              <w:t>Represented by:</w:t>
            </w:r>
          </w:p>
        </w:tc>
        <w:tc>
          <w:tcPr>
            <w:tcW w:type="dxa" w:w="4680"/>
          </w:tcPr>
          <w:p>
            <w:pPr>
              <w:spacing w:after="40"/>
            </w:pPr>
            <w:r/>
            <w:r>
              <w:rPr>
                <w:rFonts w:ascii="Times New Roman" w:hAnsi="Times New Roman"/>
                <w:sz w:val="20"/>
              </w:rPr>
              <w:t>[ Law firm / advokat ] — see authority enclosed</w:t>
            </w:r>
          </w:p>
        </w:tc>
      </w:tr>
    </w:tbl>
    <w:p>
      <w:pPr>
        <w:spacing w:before="0" w:after="80"/>
      </w:pPr>
    </w:p>
    <w:p>
      <w:pPr>
        <w:pStyle w:val="Heading1"/>
      </w:pPr>
      <w:r>
        <w:t>2.  The organisation(s) complained about</w:t>
      </w:r>
    </w:p>
    <w:p>
      <w:pPr>
        <w:spacing w:after="120" w:line="276" w:lineRule="auto"/>
        <w:ind w:left="720" w:hanging="720"/>
      </w:pPr>
      <w:r>
        <w:rPr>
          <w:rFonts w:ascii="Times New Roman" w:hAnsi="Times New Roman"/>
          <w:sz w:val="22"/>
        </w:rPr>
        <w:t>2.1</w:t>
        <w:tab/>
      </w:r>
      <w:r>
        <w:rPr>
          <w:rFonts w:ascii="Times New Roman" w:hAnsi="Times New Roman"/>
          <w:sz w:val="22"/>
        </w:rPr>
        <w:t>This complaint is directed at the following entities, whose precise roles as controller / joint controller the complainant asks IMY to establish:</w:t>
      </w:r>
    </w:p>
    <w:tbl>
      <w:tblPr>
        <w:tblW w:type="auto" w:w="0"/>
        <w:tblLook w:firstColumn="1" w:firstRow="1" w:lastColumn="0" w:lastRow="0" w:noHBand="0" w:noVBand="1" w:val="04A0"/>
      </w:tblPr>
      <w:tblGrid>
        <w:gridCol w:w="3168"/>
        <w:gridCol w:w="6192"/>
      </w:tblGrid>
      <w:tr>
        <w:tc>
          <w:tcPr>
            <w:tcW w:type="dxa" w:w="4680"/>
          </w:tcPr>
          <w:p>
            <w:pPr>
              <w:spacing w:after="40"/>
            </w:pPr>
            <w:r/>
            <w:r>
              <w:rPr>
                <w:rFonts w:ascii="Times New Roman" w:hAnsi="Times New Roman"/>
                <w:b/>
                <w:sz w:val="20"/>
              </w:rPr>
              <w:t>Respondent 1:</w:t>
            </w:r>
          </w:p>
        </w:tc>
        <w:tc>
          <w:tcPr>
            <w:tcW w:type="dxa" w:w="4680"/>
          </w:tcPr>
          <w:p>
            <w:pPr>
              <w:spacing w:after="40"/>
            </w:pPr>
            <w:r/>
            <w:r>
              <w:rPr>
                <w:rFonts w:ascii="Times New Roman" w:hAnsi="Times New Roman"/>
                <w:sz w:val="20"/>
              </w:rPr>
              <w:t>Epical Group AB / Epical Sweden AB</w:t>
            </w:r>
          </w:p>
        </w:tc>
      </w:tr>
      <w:tr>
        <w:tc>
          <w:tcPr>
            <w:tcW w:type="dxa" w:w="4680"/>
          </w:tcPr>
          <w:p>
            <w:pPr>
              <w:spacing w:after="40"/>
            </w:pPr>
            <w:r/>
            <w:r>
              <w:rPr>
                <w:rFonts w:ascii="Times New Roman" w:hAnsi="Times New Roman"/>
                <w:b/>
                <w:sz w:val="20"/>
              </w:rPr>
              <w:t>Org. no.:</w:t>
            </w:r>
          </w:p>
        </w:tc>
        <w:tc>
          <w:tcPr>
            <w:tcW w:type="dxa" w:w="4680"/>
          </w:tcPr>
          <w:p>
            <w:pPr>
              <w:spacing w:after="40"/>
            </w:pPr>
            <w:r/>
            <w:r>
              <w:rPr>
                <w:rFonts w:ascii="Times New Roman" w:hAnsi="Times New Roman"/>
                <w:sz w:val="20"/>
              </w:rPr>
              <w:t>[ org.nr ]</w:t>
            </w:r>
          </w:p>
        </w:tc>
      </w:tr>
      <w:tr>
        <w:tc>
          <w:tcPr>
            <w:tcW w:type="dxa" w:w="4680"/>
          </w:tcPr>
          <w:p>
            <w:pPr>
              <w:spacing w:after="40"/>
            </w:pPr>
            <w:r/>
            <w:r>
              <w:rPr>
                <w:rFonts w:ascii="Times New Roman" w:hAnsi="Times New Roman"/>
                <w:b/>
                <w:sz w:val="20"/>
              </w:rPr>
              <w:t>Address:</w:t>
            </w:r>
          </w:p>
        </w:tc>
        <w:tc>
          <w:tcPr>
            <w:tcW w:type="dxa" w:w="4680"/>
          </w:tcPr>
          <w:p>
            <w:pPr>
              <w:spacing w:after="40"/>
            </w:pPr>
            <w:r/>
            <w:r>
              <w:rPr>
                <w:rFonts w:ascii="Times New Roman" w:hAnsi="Times New Roman"/>
                <w:sz w:val="20"/>
              </w:rPr>
              <w:t>[ registered address ]</w:t>
            </w:r>
          </w:p>
        </w:tc>
      </w:tr>
      <w:tr>
        <w:tc>
          <w:tcPr>
            <w:tcW w:type="dxa" w:w="4680"/>
          </w:tcPr>
          <w:p>
            <w:pPr>
              <w:spacing w:after="40"/>
            </w:pPr>
            <w:r/>
            <w:r>
              <w:rPr>
                <w:rFonts w:ascii="Times New Roman" w:hAnsi="Times New Roman"/>
                <w:b/>
                <w:sz w:val="20"/>
              </w:rPr>
              <w:t>Contact:</w:t>
            </w:r>
          </w:p>
        </w:tc>
        <w:tc>
          <w:tcPr>
            <w:tcW w:type="dxa" w:w="4680"/>
          </w:tcPr>
          <w:p>
            <w:pPr>
              <w:spacing w:after="40"/>
            </w:pPr>
            <w:r/>
            <w:r>
              <w:rPr>
                <w:rFonts w:ascii="Times New Roman" w:hAnsi="Times New Roman"/>
                <w:sz w:val="20"/>
              </w:rPr>
              <w:t>Mr Lars Rosenquist (handled the request internally)</w:t>
            </w:r>
          </w:p>
        </w:tc>
      </w:tr>
      <w:tr>
        <w:tc>
          <w:tcPr>
            <w:tcW w:type="dxa" w:w="4680"/>
          </w:tcPr>
          <w:p>
            <w:pPr>
              <w:spacing w:after="40"/>
            </w:pPr>
            <w:r/>
            <w:r>
              <w:rPr>
                <w:rFonts w:ascii="Times New Roman" w:hAnsi="Times New Roman"/>
                <w:b/>
                <w:sz w:val="20"/>
              </w:rPr>
              <w:t>Respondent 2:</w:t>
            </w:r>
          </w:p>
        </w:tc>
        <w:tc>
          <w:tcPr>
            <w:tcW w:type="dxa" w:w="4680"/>
          </w:tcPr>
          <w:p>
            <w:pPr>
              <w:spacing w:after="40"/>
            </w:pPr>
            <w:r/>
            <w:r>
              <w:rPr>
                <w:rFonts w:ascii="Times New Roman" w:hAnsi="Times New Roman"/>
                <w:sz w:val="20"/>
              </w:rPr>
              <w:t>Nordcloud Hosting Sweden AB</w:t>
            </w:r>
          </w:p>
        </w:tc>
      </w:tr>
      <w:tr>
        <w:tc>
          <w:tcPr>
            <w:tcW w:type="dxa" w:w="4680"/>
          </w:tcPr>
          <w:p>
            <w:pPr>
              <w:spacing w:after="40"/>
            </w:pPr>
            <w:r/>
            <w:r>
              <w:rPr>
                <w:rFonts w:ascii="Times New Roman" w:hAnsi="Times New Roman"/>
                <w:b/>
                <w:sz w:val="20"/>
              </w:rPr>
              <w:t>Org. no.:</w:t>
            </w:r>
          </w:p>
        </w:tc>
        <w:tc>
          <w:tcPr>
            <w:tcW w:type="dxa" w:w="4680"/>
          </w:tcPr>
          <w:p>
            <w:pPr>
              <w:spacing w:after="40"/>
            </w:pPr>
            <w:r/>
            <w:r>
              <w:rPr>
                <w:rFonts w:ascii="Times New Roman" w:hAnsi="Times New Roman"/>
                <w:sz w:val="20"/>
              </w:rPr>
              <w:t>[ org.nr ]</w:t>
            </w:r>
          </w:p>
        </w:tc>
      </w:tr>
      <w:tr>
        <w:tc>
          <w:tcPr>
            <w:tcW w:type="dxa" w:w="4680"/>
          </w:tcPr>
          <w:p>
            <w:pPr>
              <w:spacing w:after="40"/>
            </w:pPr>
            <w:r/>
            <w:r>
              <w:rPr>
                <w:rFonts w:ascii="Times New Roman" w:hAnsi="Times New Roman"/>
                <w:b/>
                <w:sz w:val="20"/>
              </w:rPr>
              <w:t>Address:</w:t>
            </w:r>
          </w:p>
        </w:tc>
        <w:tc>
          <w:tcPr>
            <w:tcW w:type="dxa" w:w="4680"/>
          </w:tcPr>
          <w:p>
            <w:pPr>
              <w:spacing w:after="40"/>
            </w:pPr>
            <w:r/>
            <w:r>
              <w:rPr>
                <w:rFonts w:ascii="Times New Roman" w:hAnsi="Times New Roman"/>
                <w:sz w:val="20"/>
              </w:rPr>
              <w:t>[ registered address ]</w:t>
            </w:r>
          </w:p>
        </w:tc>
      </w:tr>
      <w:tr>
        <w:tc>
          <w:tcPr>
            <w:tcW w:type="dxa" w:w="4680"/>
          </w:tcPr>
          <w:p>
            <w:pPr>
              <w:spacing w:after="40"/>
            </w:pPr>
            <w:r/>
            <w:r>
              <w:rPr>
                <w:rFonts w:ascii="Times New Roman" w:hAnsi="Times New Roman"/>
                <w:b/>
                <w:sz w:val="20"/>
              </w:rPr>
              <w:t>Contact:</w:t>
            </w:r>
          </w:p>
        </w:tc>
        <w:tc>
          <w:tcPr>
            <w:tcW w:type="dxa" w:w="4680"/>
          </w:tcPr>
          <w:p>
            <w:pPr>
              <w:spacing w:after="40"/>
            </w:pPr>
            <w:r/>
            <w:r>
              <w:rPr>
                <w:rFonts w:ascii="Times New Roman" w:hAnsi="Times New Roman"/>
                <w:sz w:val="20"/>
              </w:rPr>
              <w:t>Nordcloud Group Legal / Data Protection Officer</w:t>
            </w:r>
          </w:p>
        </w:tc>
      </w:tr>
    </w:tbl>
    <w:p>
      <w:pPr>
        <w:spacing w:after="120" w:line="276" w:lineRule="auto"/>
        <w:ind w:left="720" w:hanging="720"/>
      </w:pPr>
      <w:r>
        <w:rPr>
          <w:rFonts w:ascii="Times New Roman" w:hAnsi="Times New Roman"/>
          <w:sz w:val="22"/>
        </w:rPr>
        <w:t>2.2</w:t>
        <w:tab/>
      </w:r>
      <w:r>
        <w:rPr>
          <w:rFonts w:ascii="Times New Roman" w:hAnsi="Times New Roman"/>
          <w:sz w:val="22"/>
        </w:rPr>
        <w:t>The extension notice in this matter was issued by Nordcloud Hosting Sweden AB, while the complainant’s request was made to, and handled internally by, Epical. The identity of the controller is itself in dispute and forms part of this complaint (see paragraph 6(a) below).</w:t>
      </w:r>
    </w:p>
    <w:p>
      <w:pPr>
        <w:pStyle w:val="Heading1"/>
      </w:pPr>
      <w:r>
        <w:t>3.  Summary of the complaint</w:t>
      </w:r>
    </w:p>
    <w:p>
      <w:pPr>
        <w:spacing w:after="120" w:line="276" w:lineRule="auto"/>
        <w:ind w:left="720" w:hanging="720"/>
      </w:pPr>
      <w:r>
        <w:rPr>
          <w:rFonts w:ascii="Times New Roman" w:hAnsi="Times New Roman"/>
          <w:sz w:val="22"/>
        </w:rPr>
        <w:t>3.1</w:t>
        <w:tab/>
      </w:r>
      <w:r>
        <w:rPr>
          <w:rFonts w:ascii="Times New Roman" w:hAnsi="Times New Roman"/>
          <w:sz w:val="22"/>
        </w:rPr>
        <w:t>The complainant is a former member of staff at Epical Sweden AB. On or about mid-January 2026 he made a request under Article 15 GDPR for access to his personal data. The controller invoked a two-month extension and undertook to respond by no later than 27 April 2026. That deadline has passed and no compliant Article 15 response has been provided.</w:t>
      </w:r>
    </w:p>
    <w:p>
      <w:pPr>
        <w:spacing w:after="120" w:line="276" w:lineRule="auto"/>
        <w:ind w:left="720" w:hanging="720"/>
      </w:pPr>
      <w:r>
        <w:rPr>
          <w:rFonts w:ascii="Times New Roman" w:hAnsi="Times New Roman"/>
          <w:sz w:val="22"/>
        </w:rPr>
        <w:t>3.2</w:t>
        <w:tab/>
      </w:r>
      <w:r>
        <w:rPr>
          <w:rFonts w:ascii="Times New Roman" w:hAnsi="Times New Roman"/>
          <w:sz w:val="22"/>
        </w:rPr>
        <w:t>In addition to that failure of access, the case material that the complainant has seen reveals that the organisation has processed, retained and (it appears) disclosed excessive and highly sensitive personal data of the complainant and of numerous third parties — including a 105-person spreadsheet of personal identity numbers, salaries, addresses and trade-union affiliation; BankID identity and signature artifacts of the complainant and of an unrelated third party; and health/sick-leave information about a named individual.</w:t>
      </w:r>
    </w:p>
    <w:p>
      <w:pPr>
        <w:spacing w:after="120" w:line="276" w:lineRule="auto"/>
        <w:ind w:left="720" w:hanging="720"/>
      </w:pPr>
      <w:r>
        <w:rPr>
          <w:rFonts w:ascii="Times New Roman" w:hAnsi="Times New Roman"/>
          <w:sz w:val="22"/>
        </w:rPr>
        <w:t>3.3</w:t>
        <w:tab/>
      </w:r>
      <w:r>
        <w:rPr>
          <w:rFonts w:ascii="Times New Roman" w:hAnsi="Times New Roman"/>
          <w:sz w:val="22"/>
        </w:rPr>
        <w:t>The complainant asks IMY to investigate these matters under Articles 57 and 58 GDPR, to order the controller to comply with Article 15, and to consider the exercise of its corrective powers, including an administrative fine under Article 83.</w:t>
      </w:r>
    </w:p>
    <w:p>
      <w:pPr>
        <w:pStyle w:val="Heading1"/>
      </w:pPr>
      <w:r>
        <w:t>4.  Jurisdiction and admissibility</w:t>
      </w:r>
    </w:p>
    <w:p>
      <w:pPr>
        <w:spacing w:after="120" w:line="276" w:lineRule="auto"/>
        <w:ind w:left="720" w:hanging="720"/>
      </w:pPr>
      <w:r>
        <w:rPr>
          <w:rFonts w:ascii="Times New Roman" w:hAnsi="Times New Roman"/>
          <w:sz w:val="22"/>
        </w:rPr>
        <w:t>4.1</w:t>
        <w:tab/>
      </w:r>
      <w:r>
        <w:rPr>
          <w:rFonts w:ascii="Times New Roman" w:hAnsi="Times New Roman"/>
          <w:sz w:val="22"/>
        </w:rPr>
        <w:t>The complainant is resident in Sweden and the controllers are established in Sweden. IMY is the competent supervisory authority under Article 55 GDPR. The complainant is entitled to lodge this complaint under Article 77 GDPR and Chapter 6 of the Swedish Data Protection Act (lag (2018:218)).</w:t>
      </w:r>
    </w:p>
    <w:p>
      <w:pPr>
        <w:spacing w:after="120" w:line="276" w:lineRule="auto"/>
        <w:ind w:left="720" w:hanging="720"/>
      </w:pPr>
      <w:r>
        <w:rPr>
          <w:rFonts w:ascii="Times New Roman" w:hAnsi="Times New Roman"/>
          <w:sz w:val="22"/>
        </w:rPr>
        <w:t>4.2</w:t>
        <w:tab/>
      </w:r>
      <w:r>
        <w:rPr>
          <w:rFonts w:ascii="Times New Roman" w:hAnsi="Times New Roman"/>
          <w:sz w:val="22"/>
        </w:rPr>
        <w:t>The complaint is brought within a reasonable time of the infringements becoming apparent. The complainant has, in parallel, sent a formal letter before action to the controllers requiring compliance; a copy can be provided to IMY on request.</w:t>
      </w:r>
    </w:p>
    <w:p>
      <w:pPr>
        <w:pStyle w:val="Heading1"/>
      </w:pPr>
      <w:r>
        <w:t>5.  Factual background and chronology</w:t>
      </w:r>
    </w:p>
    <w:p>
      <w:pPr>
        <w:spacing w:after="120" w:line="276" w:lineRule="auto"/>
        <w:ind w:left="720" w:hanging="720"/>
      </w:pPr>
      <w:r>
        <w:rPr>
          <w:rFonts w:ascii="Times New Roman" w:hAnsi="Times New Roman"/>
          <w:sz w:val="22"/>
        </w:rPr>
        <w:t>5.1</w:t>
        <w:tab/>
      </w:r>
      <w:r>
        <w:rPr>
          <w:rFonts w:ascii="Times New Roman" w:hAnsi="Times New Roman"/>
          <w:sz w:val="22"/>
        </w:rPr>
        <w:t>February 2023 onwards — the period covered by the access request, during which the complainant’s personal data was processed across Epical, Nordcloud and (per the extension notice) IBM systems.</w:t>
      </w:r>
    </w:p>
    <w:p>
      <w:pPr>
        <w:spacing w:after="120" w:line="276" w:lineRule="auto"/>
        <w:ind w:left="720" w:hanging="720"/>
      </w:pPr>
      <w:r>
        <w:rPr>
          <w:rFonts w:ascii="Times New Roman" w:hAnsi="Times New Roman"/>
          <w:sz w:val="22"/>
        </w:rPr>
        <w:t>5.2</w:t>
        <w:tab/>
      </w:r>
      <w:r>
        <w:rPr>
          <w:rFonts w:ascii="Times New Roman" w:hAnsi="Times New Roman"/>
          <w:sz w:val="22"/>
        </w:rPr>
        <w:t>Mid-January 2026 — the complainant submits his Article 15 request, seeking his complete HR/personnel file, payroll and compensation data, performance records, internal correspondence (email/Teams/Slack) in which he is the subject or is referenced, system/access/audit logs, and the Article 15(1)(a)–(h) information.</w:t>
      </w:r>
    </w:p>
    <w:p>
      <w:pPr>
        <w:spacing w:after="120" w:line="276" w:lineRule="auto"/>
        <w:ind w:left="720" w:hanging="720"/>
      </w:pPr>
      <w:r>
        <w:rPr>
          <w:rFonts w:ascii="Times New Roman" w:hAnsi="Times New Roman"/>
          <w:sz w:val="22"/>
        </w:rPr>
        <w:t>5.3</w:t>
        <w:tab/>
      </w:r>
      <w:r>
        <w:rPr>
          <w:rFonts w:ascii="Times New Roman" w:hAnsi="Times New Roman"/>
          <w:sz w:val="22"/>
        </w:rPr>
        <w:t>13 February 2026 — Nordcloud Hosting Sweden AB issues an extension notice. It states the request was “submitted on 27.1.2026”, asserts the case is complex, and undertakes to respond “by no later than 27.4.2026”. The internal Epical dossier, by contrast, records receipt in “mid-January” and the matter as handled by Mr Lars Rosenquist.</w:t>
      </w:r>
    </w:p>
    <w:p>
      <w:pPr>
        <w:spacing w:after="120" w:line="276" w:lineRule="auto"/>
        <w:ind w:left="720" w:hanging="720"/>
      </w:pPr>
      <w:r>
        <w:rPr>
          <w:rFonts w:ascii="Times New Roman" w:hAnsi="Times New Roman"/>
          <w:sz w:val="22"/>
        </w:rPr>
        <w:t>5.4</w:t>
        <w:tab/>
      </w:r>
      <w:r>
        <w:rPr>
          <w:rFonts w:ascii="Times New Roman" w:hAnsi="Times New Roman"/>
          <w:sz w:val="22"/>
        </w:rPr>
        <w:t>27 April 2026 — the controller’s own extended deadline. It passed without a compliant Article 15 response.</w:t>
      </w:r>
    </w:p>
    <w:p>
      <w:pPr>
        <w:spacing w:after="120" w:line="276" w:lineRule="auto"/>
        <w:ind w:left="720" w:hanging="720"/>
      </w:pPr>
      <w:r>
        <w:rPr>
          <w:rFonts w:ascii="Times New Roman" w:hAnsi="Times New Roman"/>
          <w:sz w:val="22"/>
        </w:rPr>
        <w:t>5.5</w:t>
        <w:tab/>
      </w:r>
      <w:r>
        <w:rPr>
          <w:rFonts w:ascii="Times New Roman" w:hAnsi="Times New Roman"/>
          <w:sz w:val="22"/>
        </w:rPr>
        <w:t>The internal DSAR dossier records the data-source inventory as still “Pending IT/HR input” (HR systems, email systems, Teams/collaboration and IT logs all marked “Pending”), and asserts blanket exclusions of entire mailboxes, full email/Teams threads and attachments.</w:t>
      </w:r>
    </w:p>
    <w:p>
      <w:pPr>
        <w:pStyle w:val="Heading1"/>
      </w:pPr>
      <w:r>
        <w:t>6.  The infringements complained of</w:t>
      </w:r>
    </w:p>
    <w:p>
      <w:pPr>
        <w:spacing w:before="0" w:after="160"/>
      </w:pPr>
      <w:r>
        <w:rPr>
          <w:rFonts w:ascii="Times New Roman" w:hAnsi="Times New Roman"/>
          <w:b w:val="0"/>
          <w:i w:val="0"/>
          <w:sz w:val="22"/>
        </w:rPr>
        <w:t>The complainant relies on the following infringements, each cross-referenced to the exhibits in the Schedule.</w:t>
      </w:r>
    </w:p>
    <w:p>
      <w:pPr>
        <w:spacing w:after="120" w:line="276" w:lineRule="auto"/>
        <w:ind w:left="1440" w:hanging="720"/>
      </w:pPr>
      <w:r>
        <w:rPr>
          <w:rFonts w:ascii="Times New Roman" w:hAnsi="Times New Roman"/>
          <w:b/>
          <w:sz w:val="22"/>
        </w:rPr>
        <w:t>(a)</w:t>
        <w:tab/>
      </w:r>
      <w:r>
        <w:rPr>
          <w:rFonts w:ascii="Times New Roman" w:hAnsi="Times New Roman"/>
          <w:sz w:val="22"/>
        </w:rPr>
        <w:t>Controller identity / accountability (Arts 5(2), 12, 13–14). The organisation has not given a clear, consistent account of which entity is the controller, undermining the complainant’s ability to exercise his rights.</w:t>
      </w:r>
    </w:p>
    <w:p>
      <w:pPr>
        <w:spacing w:after="120" w:line="276" w:lineRule="auto"/>
        <w:ind w:left="1440" w:hanging="720"/>
      </w:pPr>
      <w:r>
        <w:rPr>
          <w:rFonts w:ascii="Times New Roman" w:hAnsi="Times New Roman"/>
          <w:b/>
          <w:sz w:val="22"/>
        </w:rPr>
        <w:t>(b)</w:t>
        <w:tab/>
      </w:r>
      <w:r>
        <w:rPr>
          <w:rFonts w:ascii="Times New Roman" w:hAnsi="Times New Roman"/>
          <w:sz w:val="22"/>
        </w:rPr>
        <w:t>Failure to comply with the right of access within the time limit (Arts 12(3), 15(1), 15(3)). Even on the controller’s own extended deadline of 27 April 2026, no compliant response was provided; the data-source inventory remained “Pending”. [Exhibits D, E]</w:t>
      </w:r>
    </w:p>
    <w:p>
      <w:pPr>
        <w:spacing w:after="120" w:line="276" w:lineRule="auto"/>
        <w:ind w:left="1440" w:hanging="720"/>
      </w:pPr>
      <w:r>
        <w:rPr>
          <w:rFonts w:ascii="Times New Roman" w:hAnsi="Times New Roman"/>
          <w:b/>
          <w:sz w:val="22"/>
        </w:rPr>
        <w:t>(c)</w:t>
        <w:tab/>
      </w:r>
      <w:r>
        <w:rPr>
          <w:rFonts w:ascii="Times New Roman" w:hAnsi="Times New Roman"/>
          <w:sz w:val="22"/>
        </w:rPr>
        <w:t>Improper reliance on blanket exclusions without reasons (Arts 12(4), 15). The controller asserted categorical refusals of mailboxes, threads and attachments instead of extracting/summarising the complainant’s personal data and giving specific reasons for any redactions. [Exhibit E]</w:t>
      </w:r>
    </w:p>
    <w:p>
      <w:pPr>
        <w:spacing w:after="120" w:line="276" w:lineRule="auto"/>
        <w:ind w:left="1440" w:hanging="720"/>
      </w:pPr>
      <w:r>
        <w:rPr>
          <w:rFonts w:ascii="Times New Roman" w:hAnsi="Times New Roman"/>
          <w:b/>
          <w:sz w:val="22"/>
        </w:rPr>
        <w:t>(d)</w:t>
        <w:tab/>
      </w:r>
      <w:r>
        <w:rPr>
          <w:rFonts w:ascii="Times New Roman" w:hAnsi="Times New Roman"/>
          <w:sz w:val="22"/>
        </w:rPr>
        <w:t>Unlawful / excessive processing and apparent disclosure of third-party personal data (Arts 5(1)(c), 5(1)(f), 6, 9, 32). A single spreadsheet exposes 105 employees’ personal identity numbers, private contact details, home addresses, salaries and trade-union club/section — trade-union membership being special-category data under Article 9. [Exhibit A]</w:t>
      </w:r>
    </w:p>
    <w:p>
      <w:pPr>
        <w:spacing w:after="120" w:line="276" w:lineRule="auto"/>
        <w:ind w:left="1440" w:hanging="720"/>
      </w:pPr>
      <w:r>
        <w:rPr>
          <w:rFonts w:ascii="Times New Roman" w:hAnsi="Times New Roman"/>
          <w:b/>
          <w:sz w:val="22"/>
        </w:rPr>
        <w:t>(e)</w:t>
        <w:tab/>
      </w:r>
      <w:r>
        <w:rPr>
          <w:rFonts w:ascii="Times New Roman" w:hAnsi="Times New Roman"/>
          <w:sz w:val="22"/>
        </w:rPr>
        <w:t>Exposure of BankID identity and signature artifacts (Arts 5(1)(c), 5(1)(f), 32; Arts 33–34). The material contains BankID completion records for the complainant and an unrelated third party, including personal identity numbers, device/IP identifiers and full signature/certificate payloads. [Exhibit B]</w:t>
      </w:r>
    </w:p>
    <w:p>
      <w:pPr>
        <w:spacing w:after="120" w:line="276" w:lineRule="auto"/>
        <w:ind w:left="1440" w:hanging="720"/>
      </w:pPr>
      <w:r>
        <w:rPr>
          <w:rFonts w:ascii="Times New Roman" w:hAnsi="Times New Roman"/>
          <w:b/>
          <w:sz w:val="22"/>
        </w:rPr>
        <w:t>(f)</w:t>
        <w:tab/>
      </w:r>
      <w:r>
        <w:rPr>
          <w:rFonts w:ascii="Times New Roman" w:hAnsi="Times New Roman"/>
          <w:sz w:val="22"/>
        </w:rPr>
        <w:t>Excessive sensitive HR/financial/family data (Arts 5(1)(c), 9, 15(1)(b), 32). An export of the complainant’s Unit4 record includes his IBAN/bank account, absence records and next-of-kin (spouse) details. [Exhibit C]</w:t>
      </w:r>
    </w:p>
    <w:p>
      <w:pPr>
        <w:spacing w:after="120" w:line="276" w:lineRule="auto"/>
        <w:ind w:left="1440" w:hanging="720"/>
      </w:pPr>
      <w:r>
        <w:rPr>
          <w:rFonts w:ascii="Times New Roman" w:hAnsi="Times New Roman"/>
          <w:b/>
          <w:sz w:val="22"/>
        </w:rPr>
        <w:t>(g)</w:t>
        <w:tab/>
      </w:r>
      <w:r>
        <w:rPr>
          <w:rFonts w:ascii="Times New Roman" w:hAnsi="Times New Roman"/>
          <w:sz w:val="22"/>
        </w:rPr>
        <w:t>Health data of third parties in broad exports (Arts 9, 5(1)(f)). An export discloses a named individual’s heart attack and sick leave. [Exhibit F]</w:t>
      </w:r>
    </w:p>
    <w:p>
      <w:pPr>
        <w:spacing w:after="120" w:line="276" w:lineRule="auto"/>
        <w:ind w:left="1440" w:hanging="720"/>
      </w:pPr>
      <w:r>
        <w:rPr>
          <w:rFonts w:ascii="Times New Roman" w:hAnsi="Times New Roman"/>
          <w:b/>
          <w:sz w:val="22"/>
        </w:rPr>
        <w:t>(h)</w:t>
        <w:tab/>
      </w:r>
      <w:r>
        <w:rPr>
          <w:rFonts w:ascii="Times New Roman" w:hAnsi="Times New Roman"/>
          <w:sz w:val="22"/>
        </w:rPr>
        <w:t>Inadequate security and data-protection-by-design (Arts 25, 32). The corpus mixes HR/identity data with operational credentials (forwarded SFTP credentials; Azure role assignments), evidencing inadequate technical and organisational measures. [Exhibit G]</w:t>
      </w:r>
    </w:p>
    <w:p>
      <w:pPr>
        <w:spacing w:after="120" w:line="276" w:lineRule="auto"/>
        <w:ind w:left="1440" w:hanging="720"/>
      </w:pPr>
      <w:r>
        <w:rPr>
          <w:rFonts w:ascii="Times New Roman" w:hAnsi="Times New Roman"/>
          <w:b/>
          <w:sz w:val="22"/>
        </w:rPr>
        <w:t>(i)</w:t>
        <w:tab/>
      </w:r>
      <w:r>
        <w:rPr>
          <w:rFonts w:ascii="Times New Roman" w:hAnsi="Times New Roman"/>
          <w:sz w:val="22"/>
        </w:rPr>
        <w:t>Possible unnotified personal data breach (Arts 33, 34). If the third-party data at (d)–(g) was disclosed to the complainant or was broadly accessible internally, the controller’s breach-notification duties are engaged and appear not to have been met.</w:t>
      </w:r>
    </w:p>
    <w:p>
      <w:pPr>
        <w:pStyle w:val="Heading1"/>
      </w:pPr>
      <w:r>
        <w:t>7.  What the complainant asks IMY to do</w:t>
      </w:r>
    </w:p>
    <w:p>
      <w:pPr>
        <w:spacing w:after="120" w:line="276" w:lineRule="auto"/>
        <w:ind w:left="720" w:hanging="720"/>
      </w:pPr>
      <w:r>
        <w:rPr>
          <w:rFonts w:ascii="Times New Roman" w:hAnsi="Times New Roman"/>
          <w:sz w:val="22"/>
        </w:rPr>
        <w:t>7.1</w:t>
        <w:tab/>
      </w:r>
      <w:r>
        <w:rPr>
          <w:rFonts w:ascii="Times New Roman" w:hAnsi="Times New Roman"/>
          <w:sz w:val="22"/>
        </w:rPr>
        <w:t>Exercise its investigative powers under Article 58(1) to obtain from the controllers a full account of the processing, the data-source inventory, the exact receipt date of the request, the controller’s identity, and the lawful basis and safeguards applied to the third-party special-category, financial and identity data.</w:t>
      </w:r>
    </w:p>
    <w:p>
      <w:pPr>
        <w:spacing w:after="120" w:line="276" w:lineRule="auto"/>
        <w:ind w:left="720" w:hanging="720"/>
      </w:pPr>
      <w:r>
        <w:rPr>
          <w:rFonts w:ascii="Times New Roman" w:hAnsi="Times New Roman"/>
          <w:sz w:val="22"/>
        </w:rPr>
        <w:t>7.2</w:t>
        <w:tab/>
      </w:r>
      <w:r>
        <w:rPr>
          <w:rFonts w:ascii="Times New Roman" w:hAnsi="Times New Roman"/>
          <w:sz w:val="22"/>
        </w:rPr>
        <w:t>Issue an order under Article 58(2)(c) requiring the controller to comply with the complainant’s Article 15 request, including by providing a copy of his personal data (with intelligible extracts/summaries of relevant messages and logs) and all Article 15(1)(a)–(h) information, and to give Article 12(4) reasons for any redactions.</w:t>
      </w:r>
    </w:p>
    <w:p>
      <w:pPr>
        <w:spacing w:after="120" w:line="276" w:lineRule="auto"/>
        <w:ind w:left="720" w:hanging="720"/>
      </w:pPr>
      <w:r>
        <w:rPr>
          <w:rFonts w:ascii="Times New Roman" w:hAnsi="Times New Roman"/>
          <w:sz w:val="22"/>
        </w:rPr>
        <w:t>7.3</w:t>
        <w:tab/>
      </w:r>
      <w:r>
        <w:rPr>
          <w:rFonts w:ascii="Times New Roman" w:hAnsi="Times New Roman"/>
          <w:sz w:val="22"/>
        </w:rPr>
        <w:t>Investigate whether the member/union list, the BankID artifacts and the broad exports constitute a personal data breach, and whether the controller complied with Articles 33 and 34.</w:t>
      </w:r>
    </w:p>
    <w:p>
      <w:pPr>
        <w:spacing w:after="120" w:line="276" w:lineRule="auto"/>
        <w:ind w:left="720" w:hanging="720"/>
      </w:pPr>
      <w:r>
        <w:rPr>
          <w:rFonts w:ascii="Times New Roman" w:hAnsi="Times New Roman"/>
          <w:sz w:val="22"/>
        </w:rPr>
        <w:t>7.4</w:t>
        <w:tab/>
      </w:r>
      <w:r>
        <w:rPr>
          <w:rFonts w:ascii="Times New Roman" w:hAnsi="Times New Roman"/>
          <w:sz w:val="22"/>
        </w:rPr>
        <w:t>Consider the exercise of its corrective powers under Article 58(2), including a reprimand, a compliance order and, if appropriate, an administrative fine under Article 83, having regard to the sensitivity and volume of the data and the number of data subjects affected.</w:t>
      </w:r>
    </w:p>
    <w:p>
      <w:pPr>
        <w:spacing w:after="120" w:line="276" w:lineRule="auto"/>
        <w:ind w:left="720" w:hanging="720"/>
      </w:pPr>
      <w:r>
        <w:rPr>
          <w:rFonts w:ascii="Times New Roman" w:hAnsi="Times New Roman"/>
          <w:sz w:val="22"/>
        </w:rPr>
        <w:t>7.5</w:t>
        <w:tab/>
      </w:r>
      <w:r>
        <w:rPr>
          <w:rFonts w:ascii="Times New Roman" w:hAnsi="Times New Roman"/>
          <w:sz w:val="22"/>
        </w:rPr>
        <w:t>Keep the complainant informed of the progress and outcome of the complaint, as required by Article 77(2) GDPR.</w:t>
      </w:r>
    </w:p>
    <w:p>
      <w:pPr>
        <w:pStyle w:val="Heading1"/>
      </w:pPr>
      <w:r>
        <w:t>8.  Evidence relied upon (Schedule of exhibits)</w:t>
      </w:r>
    </w:p>
    <w:p>
      <w:pPr>
        <w:spacing w:before="0" w:after="160"/>
      </w:pPr>
      <w:r>
        <w:rPr>
          <w:rFonts w:ascii="Times New Roman" w:hAnsi="Times New Roman"/>
          <w:b w:val="0"/>
          <w:i w:val="0"/>
          <w:sz w:val="22"/>
        </w:rPr>
        <w:t>The following exhibits are available to be produced to IMY. Third-party identifiers are redacted in the complainant’s working copies and unredacted originals can be supplied to IMY on a confidential basis.</w:t>
      </w:r>
    </w:p>
    <w:p>
      <w:pPr>
        <w:spacing w:after="120" w:line="276" w:lineRule="auto"/>
        <w:ind w:left="1872" w:hanging="1872"/>
      </w:pPr>
      <w:r>
        <w:rPr>
          <w:rFonts w:ascii="Times New Roman" w:hAnsi="Times New Roman"/>
          <w:b/>
          <w:sz w:val="22"/>
        </w:rPr>
        <w:t>Exhibit A:</w:t>
        <w:tab/>
      </w:r>
      <w:r>
        <w:rPr>
          <w:rFonts w:ascii="Times New Roman" w:hAnsi="Times New Roman"/>
          <w:sz w:val="22"/>
        </w:rPr>
        <w:t>Spreadsheet of 105 employees — personnummer, contact details, addresses, salaries, trade-union club/section (“member-list”).</w:t>
      </w:r>
    </w:p>
    <w:p>
      <w:pPr>
        <w:spacing w:after="120" w:line="276" w:lineRule="auto"/>
        <w:ind w:left="1872" w:hanging="1872"/>
      </w:pPr>
      <w:r>
        <w:rPr>
          <w:rFonts w:ascii="Times New Roman" w:hAnsi="Times New Roman"/>
          <w:b/>
          <w:sz w:val="22"/>
        </w:rPr>
        <w:t>Exhibit B:</w:t>
        <w:tab/>
      </w:r>
      <w:r>
        <w:rPr>
          <w:rFonts w:ascii="Times New Roman" w:hAnsi="Times New Roman"/>
          <w:sz w:val="22"/>
        </w:rPr>
        <w:t>BankID signature/SDO records for the complainant and a third party — personal identity numbers, device/IP identifiers, signature/certificate payloads.</w:t>
      </w:r>
    </w:p>
    <w:p>
      <w:pPr>
        <w:spacing w:after="120" w:line="276" w:lineRule="auto"/>
        <w:ind w:left="1872" w:hanging="1872"/>
      </w:pPr>
      <w:r>
        <w:rPr>
          <w:rFonts w:ascii="Times New Roman" w:hAnsi="Times New Roman"/>
          <w:b/>
          <w:sz w:val="22"/>
        </w:rPr>
        <w:t>Exhibit C:</w:t>
        <w:tab/>
      </w:r>
      <w:r>
        <w:rPr>
          <w:rFonts w:ascii="Times New Roman" w:hAnsi="Times New Roman"/>
          <w:sz w:val="22"/>
        </w:rPr>
        <w:t>Unit4 export of the complainant’s HR record — personnummer, bank account/IBAN, absence records, next-of-kin (spouse) details.</w:t>
      </w:r>
    </w:p>
    <w:p>
      <w:pPr>
        <w:spacing w:after="120" w:line="276" w:lineRule="auto"/>
        <w:ind w:left="1872" w:hanging="1872"/>
      </w:pPr>
      <w:r>
        <w:rPr>
          <w:rFonts w:ascii="Times New Roman" w:hAnsi="Times New Roman"/>
          <w:b/>
          <w:sz w:val="22"/>
        </w:rPr>
        <w:t>Exhibit D:</w:t>
        <w:tab/>
      </w:r>
      <w:r>
        <w:rPr>
          <w:rFonts w:ascii="Times New Roman" w:hAnsi="Times New Roman"/>
          <w:sz w:val="22"/>
        </w:rPr>
        <w:t>Extension notice dated 13 February 2026 (Nordcloud) — receipt 27.1.2026, deadline 27.4.2026.</w:t>
      </w:r>
    </w:p>
    <w:p>
      <w:pPr>
        <w:spacing w:after="120" w:line="276" w:lineRule="auto"/>
        <w:ind w:left="1872" w:hanging="1872"/>
      </w:pPr>
      <w:r>
        <w:rPr>
          <w:rFonts w:ascii="Times New Roman" w:hAnsi="Times New Roman"/>
          <w:b/>
          <w:sz w:val="22"/>
        </w:rPr>
        <w:t>Exhibit E:</w:t>
        <w:tab/>
      </w:r>
      <w:r>
        <w:rPr>
          <w:rFonts w:ascii="Times New Roman" w:hAnsi="Times New Roman"/>
          <w:sz w:val="22"/>
        </w:rPr>
        <w:t>Internal Epical DSAR dossier — “Pending” inventory, “mid-January” receipt, handling by Mr Lars Rosenquist, blanket scope exclusions.</w:t>
      </w:r>
    </w:p>
    <w:p>
      <w:pPr>
        <w:spacing w:after="120" w:line="276" w:lineRule="auto"/>
        <w:ind w:left="1872" w:hanging="1872"/>
      </w:pPr>
      <w:r>
        <w:rPr>
          <w:rFonts w:ascii="Times New Roman" w:hAnsi="Times New Roman"/>
          <w:b/>
          <w:sz w:val="22"/>
        </w:rPr>
        <w:t>Exhibit F:</w:t>
        <w:tab/>
      </w:r>
      <w:r>
        <w:rPr>
          <w:rFonts w:ascii="Times New Roman" w:hAnsi="Times New Roman"/>
          <w:sz w:val="22"/>
        </w:rPr>
        <w:t>Teams/email export disclosing a named third party’s heart attack / sick leave.</w:t>
      </w:r>
    </w:p>
    <w:p>
      <w:pPr>
        <w:spacing w:after="120" w:line="276" w:lineRule="auto"/>
        <w:ind w:left="1872" w:hanging="1872"/>
      </w:pPr>
      <w:r>
        <w:rPr>
          <w:rFonts w:ascii="Times New Roman" w:hAnsi="Times New Roman"/>
          <w:b/>
          <w:sz w:val="22"/>
        </w:rPr>
        <w:t>Exhibit G:</w:t>
        <w:tab/>
      </w:r>
      <w:r>
        <w:rPr>
          <w:rFonts w:ascii="Times New Roman" w:hAnsi="Times New Roman"/>
          <w:sz w:val="22"/>
        </w:rPr>
        <w:t>Teams export forwarding SFTP credentials; Azure role-assignment export.</w:t>
      </w:r>
    </w:p>
    <w:p>
      <w:pPr>
        <w:pStyle w:val="Heading1"/>
      </w:pPr>
      <w:r>
        <w:t>9.  Declaration</w:t>
      </w:r>
    </w:p>
    <w:p>
      <w:pPr>
        <w:spacing w:after="120" w:line="276" w:lineRule="auto"/>
        <w:ind w:left="720" w:hanging="720"/>
      </w:pPr>
      <w:r>
        <w:rPr>
          <w:rFonts w:ascii="Times New Roman" w:hAnsi="Times New Roman"/>
          <w:sz w:val="22"/>
        </w:rPr>
        <w:t>9.1</w:t>
        <w:tab/>
      </w:r>
      <w:r>
        <w:rPr>
          <w:rFonts w:ascii="Times New Roman" w:hAnsi="Times New Roman"/>
          <w:sz w:val="22"/>
        </w:rPr>
        <w:t>The complainant confirms that the information given in this complaint is true to the best of his knowledge and belief, and consents to IMY processing the personal data in this complaint for the purpose of investigating it.</w:t>
      </w:r>
    </w:p>
    <w:p>
      <w:pPr>
        <w:spacing w:before="0" w:after="360"/>
      </w:pPr>
    </w:p>
    <w:p>
      <w:pPr>
        <w:spacing w:before="0" w:after="0"/>
      </w:pPr>
      <w:r>
        <w:rPr>
          <w:rFonts w:ascii="Times New Roman" w:hAnsi="Times New Roman"/>
          <w:b w:val="0"/>
          <w:i w:val="0"/>
          <w:sz w:val="22"/>
        </w:rPr>
        <w:t>_____________________________</w:t>
      </w:r>
    </w:p>
    <w:p>
      <w:pPr>
        <w:spacing w:before="0" w:after="200"/>
      </w:pPr>
      <w:r>
        <w:rPr>
          <w:rFonts w:ascii="Times New Roman" w:hAnsi="Times New Roman"/>
          <w:b/>
          <w:i w:val="0"/>
          <w:sz w:val="22"/>
        </w:rPr>
        <w:t>Thaer Saidi (complainant)</w:t>
      </w:r>
    </w:p>
    <w:p>
      <w:pPr>
        <w:spacing w:before="0" w:after="0"/>
      </w:pPr>
      <w:r>
        <w:rPr>
          <w:rFonts w:ascii="Times New Roman" w:hAnsi="Times New Roman"/>
          <w:b w:val="0"/>
          <w:i w:val="0"/>
          <w:sz w:val="22"/>
        </w:rPr>
        <w:t>_____________________________</w:t>
      </w:r>
    </w:p>
    <w:p>
      <w:pPr>
        <w:spacing w:before="0" w:after="0"/>
      </w:pPr>
      <w:r>
        <w:rPr>
          <w:rFonts w:ascii="Times New Roman" w:hAnsi="Times New Roman"/>
          <w:b/>
          <w:i w:val="0"/>
          <w:sz w:val="22"/>
        </w:rPr>
        <w:t>[ Name ], [ Advokat / title ]</w:t>
      </w:r>
    </w:p>
    <w:p>
      <w:pPr>
        <w:spacing w:before="0" w:after="280"/>
      </w:pPr>
      <w:r>
        <w:rPr>
          <w:rFonts w:ascii="Times New Roman" w:hAnsi="Times New Roman"/>
          <w:b w:val="0"/>
          <w:i/>
          <w:sz w:val="22"/>
        </w:rPr>
        <w:t>for and on behalf of [ LAW FIRM NAME ] — Counsel for the complainant</w:t>
      </w:r>
    </w:p>
    <w:p>
      <w:pPr>
        <w:pStyle w:val="Heading1"/>
      </w:pPr>
      <w:r>
        <w:t>Attachments</w:t>
      </w:r>
    </w:p>
    <w:p>
      <w:pPr>
        <w:spacing w:after="120" w:line="276" w:lineRule="auto"/>
        <w:ind w:left="720" w:firstLine="0"/>
      </w:pPr>
      <w:r>
        <w:rPr>
          <w:rFonts w:ascii="Times New Roman" w:hAnsi="Times New Roman"/>
          <w:b/>
          <w:sz w:val="22"/>
        </w:rPr>
        <w:tab/>
      </w:r>
      <w:r>
        <w:rPr>
          <w:rFonts w:ascii="Times New Roman" w:hAnsi="Times New Roman"/>
          <w:sz w:val="22"/>
        </w:rPr>
        <w:t>1.  Letter before action to Epical / Nordcloud dated 8 June 2026.</w:t>
      </w:r>
    </w:p>
    <w:p>
      <w:pPr>
        <w:spacing w:after="120" w:line="276" w:lineRule="auto"/>
        <w:ind w:left="720" w:firstLine="0"/>
      </w:pPr>
      <w:r>
        <w:rPr>
          <w:rFonts w:ascii="Times New Roman" w:hAnsi="Times New Roman"/>
          <w:b/>
          <w:sz w:val="22"/>
        </w:rPr>
        <w:tab/>
      </w:r>
      <w:r>
        <w:rPr>
          <w:rFonts w:ascii="Times New Roman" w:hAnsi="Times New Roman"/>
          <w:sz w:val="22"/>
        </w:rPr>
        <w:t>2.  Power of attorney / authority to act.</w:t>
      </w:r>
    </w:p>
    <w:p>
      <w:pPr>
        <w:spacing w:after="120" w:line="276" w:lineRule="auto"/>
        <w:ind w:left="720" w:firstLine="0"/>
      </w:pPr>
      <w:r>
        <w:rPr>
          <w:rFonts w:ascii="Times New Roman" w:hAnsi="Times New Roman"/>
          <w:b/>
          <w:sz w:val="22"/>
        </w:rPr>
        <w:tab/>
      </w:r>
      <w:r>
        <w:rPr>
          <w:rFonts w:ascii="Times New Roman" w:hAnsi="Times New Roman"/>
          <w:sz w:val="22"/>
        </w:rPr>
        <w:t>3.  Exhibits A–G (as listed in section 8).</w:t>
      </w:r>
    </w:p>
    <w:p>
      <w:pPr>
        <w:spacing w:after="120" w:line="276" w:lineRule="auto"/>
        <w:ind w:left="720" w:firstLine="0"/>
      </w:pPr>
      <w:r>
        <w:rPr>
          <w:rFonts w:ascii="Times New Roman" w:hAnsi="Times New Roman"/>
          <w:b/>
          <w:sz w:val="22"/>
        </w:rPr>
        <w:tab/>
      </w:r>
      <w:r>
        <w:rPr>
          <w:rFonts w:ascii="Times New Roman" w:hAnsi="Times New Roman"/>
          <w:sz w:val="22"/>
        </w:rPr>
        <w:t>4.  Copy of the complainant’s identification.</w:t>
      </w:r>
    </w:p>
    <w:p>
      <w:pPr>
        <w:spacing w:before="0" w:after="160"/>
      </w:pPr>
    </w:p>
    <w:p>
      <w:pPr>
        <w:pBdr>
          <w:bottom w:val="single" w:sz="6" w:space="1" w:color="808080"/>
        </w:pBdr>
        <w:spacing w:after="80"/>
      </w:pPr>
    </w:p>
    <w:p>
      <w:pPr>
        <w:spacing w:before="0" w:after="120"/>
      </w:pPr>
      <w:r>
        <w:rPr>
          <w:rFonts w:ascii="Times New Roman" w:hAnsi="Times New Roman"/>
          <w:b w:val="0"/>
          <w:i/>
          <w:sz w:val="18"/>
        </w:rPr>
        <w:t>DRAFTING NOTE (delete before filing): Complete all [ ] fields (complainant ID/address, org. numbers, addresses, firm details, signatory). IMY normally conducts proceedings in Swedish — consider filing in Swedish or enclosing a Swedish translation. Verify the true DSAR receipt date and the controller entity, and confirm what (if anything) has already been disclosed to the complainant, before filing. Prepared on the instructions and material provided; to be reviewed by the responsible advokat. This is not, by itself, legal advice.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