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A1A2E"/>
          <w:sz w:val="34"/>
          <w:szCs w:val="34"/>
        </w:rPr>
        <w:t xml:space="preserve">Hallucination &amp; Bias Detection Report</w:t>
      </w:r>
    </w:p>
    <w:p>
      <w:pPr>
        <w:spacing w:after="260"/>
      </w:pPr>
      <w:r>
        <w:rPr>
          <w:rFonts w:ascii="Calibri" w:cs="Calibri" w:eastAsia="Calibri" w:hAnsi="Calibri"/>
          <w:color w:val="444444"/>
          <w:sz w:val="24"/>
          <w:szCs w:val="24"/>
        </w:rPr>
        <w:t xml:space="preserve">Deliverable 2 – Bias Assessment Section</w:t>
      </w:r>
    </w:p>
    <w:p>
      <w:pPr>
        <w:pStyle w:val="Heading3"/>
        <w:spacing w:after="120" w:before="220"/>
      </w:pPr>
      <w:r>
        <w:rPr>
          <w:rFonts w:ascii="Calibri" w:cs="Calibri" w:eastAsia="Calibri" w:hAnsi="Calibri"/>
          <w:b/>
          <w:bCs/>
          <w:color w:val="2B3A67"/>
          <w:sz w:val="23"/>
          <w:szCs w:val="23"/>
        </w:rPr>
        <w:t xml:space="preserve">Source Reviewed</w:t>
      </w:r>
    </w:p>
    <w:p>
      <w:pPr>
        <w:spacing w:after="200" w:line="300"/>
        <w:jc w:val="both"/>
      </w:pPr>
      <w:r>
        <w:rPr>
          <w:rFonts w:ascii="Calibri" w:cs="Calibri" w:eastAsia="Calibri" w:hAnsi="Calibri"/>
          <w:sz w:val="22"/>
          <w:szCs w:val="22"/>
        </w:rPr>
        <w:t xml:space="preserve">This report examines the Version C output produced by Oluchi Loveth Agbo as part of the Excelerate Prompt Engineering internship, together with its accompanying verification matrix. Version C is an AI-generated literature review summary addressing the use of artificial intelligence in classroom learning, organised around three thematic claims: personalised and adaptive learning, reduced teacher workload, and student overreliance on AI tools. The following assessment applies the Week 2 bias evaluation framework to the response in its entirety, with reference to the verification matrix where relevant to determine whether the report's conclusions are adequately supported by the underlying evidence.</w:t>
      </w:r>
    </w:p>
    <w:p>
      <w:pPr>
        <w:pBdr>
          <w:bottom w:val="single" w:color="CCCCCC" w:sz="6" w:space="1"/>
        </w:pBdr>
        <w:spacing w:after="200" w:before="100"/>
      </w:pPr>
    </w:p>
    <w:p>
      <w:pPr>
        <w:pStyle w:val="Heading1"/>
        <w:spacing w:after="160" w:before="320"/>
      </w:pPr>
      <w:r>
        <w:rPr>
          <w:rFonts w:ascii="Calibri" w:cs="Calibri" w:eastAsia="Calibri" w:hAnsi="Calibri"/>
          <w:b/>
          <w:bCs/>
          <w:color w:val="1A1A2E"/>
          <w:sz w:val="27"/>
          <w:szCs w:val="27"/>
        </w:rPr>
        <w:t xml:space="preserve">1. Four-Question Bias Assessment</w:t>
      </w:r>
    </w:p>
    <w:p>
      <w:pPr>
        <w:pStyle w:val="Heading2"/>
        <w:spacing w:after="140" w:before="260"/>
      </w:pPr>
      <w:r>
        <w:rPr>
          <w:rFonts w:ascii="Calibri" w:cs="Calibri" w:eastAsia="Calibri" w:hAnsi="Calibri"/>
          <w:b/>
          <w:bCs/>
          <w:color w:val="1A1A2E"/>
          <w:sz w:val="24"/>
          <w:szCs w:val="24"/>
        </w:rPr>
        <w:t xml:space="preserve">1.1 Are Multiple Perspectives Considered?</w:t>
      </w:r>
    </w:p>
    <w:p>
      <w:pPr>
        <w:spacing w:after="200" w:line="300"/>
        <w:jc w:val="both"/>
      </w:pPr>
      <w:r>
        <w:rPr>
          <w:rFonts w:ascii="Calibri" w:cs="Calibri" w:eastAsia="Calibri" w:hAnsi="Calibri"/>
          <w:sz w:val="22"/>
          <w:szCs w:val="22"/>
        </w:rPr>
        <w:t xml:space="preserve">The response appears to consider multiple perspectives to a reasonable degree. A direct comparison of paragraph length indicates that the theme addressing overreliance and disagreement in the literature is, in fact, the longest of the three sections, suggesting that the concern is not under-represented in terms of coverage. However, a more subtle imbalance may be present in how the paragraph is structured: the concern is introduced first and is then followed by a counter-interpretation attributing the issue to implementation and training gaps rather than to the technology itself. This sequencing means the AI-favourable interpretation is positioned as the concluding statement, which may give it a degree of rhetorical precedence even where the underlying word count is balanced.</w:t>
      </w:r>
    </w:p>
    <w:p>
      <w:pPr>
        <w:pStyle w:val="Heading2"/>
        <w:spacing w:after="140" w:before="260"/>
      </w:pPr>
      <w:r>
        <w:rPr>
          <w:rFonts w:ascii="Calibri" w:cs="Calibri" w:eastAsia="Calibri" w:hAnsi="Calibri"/>
          <w:b/>
          <w:bCs/>
          <w:color w:val="1A1A2E"/>
          <w:sz w:val="24"/>
          <w:szCs w:val="24"/>
        </w:rPr>
        <w:t xml:space="preserve">1.2 Is the Language Neutral?</w:t>
      </w:r>
    </w:p>
    <w:p>
      <w:pPr>
        <w:spacing w:after="200" w:line="300"/>
        <w:jc w:val="both"/>
      </w:pPr>
      <w:r>
        <w:rPr>
          <w:rFonts w:ascii="Calibri" w:cs="Calibri" w:eastAsia="Calibri" w:hAnsi="Calibri"/>
          <w:sz w:val="22"/>
          <w:szCs w:val="22"/>
        </w:rPr>
        <w:t xml:space="preserve">The language used throughout the response is largely neutral and consistent with academic conventions, with claims generally attributed to named studies or organisations rather than presented as unqualified fact. One instance, however, appears to overstate its source: the response states that the OECD's 2026 report “confirms” that adaptive platforms are scaling across member states. According to the verification matrix, the report's actual framing is more cautious and centres on a gap between digital expansion and meaningful transformation. This suggests a wording precision issue rather than a broader pattern of emotionally charged or promotional language.</w:t>
      </w:r>
    </w:p>
    <w:p>
      <w:pPr>
        <w:pStyle w:val="Heading2"/>
        <w:spacing w:after="140" w:before="260"/>
      </w:pPr>
      <w:r>
        <w:rPr>
          <w:rFonts w:ascii="Calibri" w:cs="Calibri" w:eastAsia="Calibri" w:hAnsi="Calibri"/>
          <w:b/>
          <w:bCs/>
          <w:color w:val="1A1A2E"/>
          <w:sz w:val="24"/>
          <w:szCs w:val="24"/>
        </w:rPr>
        <w:t xml:space="preserve">1.3 Are Assumptions Clearly Identified?</w:t>
      </w:r>
    </w:p>
    <w:p>
      <w:pPr>
        <w:spacing w:after="200" w:line="300"/>
        <w:jc w:val="both"/>
      </w:pPr>
      <w:r>
        <w:rPr>
          <w:rFonts w:ascii="Calibri" w:cs="Calibri" w:eastAsia="Calibri" w:hAnsi="Calibri"/>
          <w:sz w:val="22"/>
          <w:szCs w:val="22"/>
        </w:rPr>
        <w:t xml:space="preserve">The response does not appear to identify its underlying assumptions explicitly. Most notably, it does not acknowledge that the headline effect size (0.73–1.3 standard deviations) originates from a single crossover trial involving 194 undergraduate physics students at one institution, and it does not note that findings drawn primarily from Western and OECD contexts are being generalised to “classroom learning” as a broad category. Making these assumptions explicit would strengthen the transparency of the analysis and help readers judge the appropriate scope of the conclusions.</w:t>
      </w:r>
    </w:p>
    <w:p>
      <w:pPr>
        <w:pStyle w:val="Heading2"/>
        <w:spacing w:after="140" w:before="260"/>
      </w:pPr>
      <w:r>
        <w:rPr>
          <w:rFonts w:ascii="Calibri" w:cs="Calibri" w:eastAsia="Calibri" w:hAnsi="Calibri"/>
          <w:b/>
          <w:bCs/>
          <w:color w:val="1A1A2E"/>
          <w:sz w:val="24"/>
          <w:szCs w:val="24"/>
        </w:rPr>
        <w:t xml:space="preserve">1.4 Is Evidence Balanced?</w:t>
      </w:r>
    </w:p>
    <w:p>
      <w:pPr>
        <w:spacing w:after="200" w:line="300"/>
        <w:jc w:val="both"/>
      </w:pPr>
      <w:r>
        <w:rPr>
          <w:rFonts w:ascii="Calibri" w:cs="Calibri" w:eastAsia="Calibri" w:hAnsi="Calibri"/>
          <w:sz w:val="22"/>
          <w:szCs w:val="22"/>
        </w:rPr>
        <w:t xml:space="preserve">The evidence appears balanced in terms of volume: each of the three themes is supported by comparable space and cites sources that are, for the most part, verifiable and credible. The balance is somewhat less consistent at the level of resolution, since the paragraph presenting the strongest counter-evidence – the overreliance theme – is also the paragraph that appears to soften its own conclusion in its closing sentence. This does not indicate a lack of balance in the sources selected, but it may affect how the strength of the disagreement is ultimately perceived by the reader.</w:t>
      </w:r>
    </w:p>
    <w:p>
      <w:pPr>
        <w:pBdr>
          <w:bottom w:val="single" w:color="CCCCCC" w:sz="6" w:space="1"/>
        </w:pBdr>
        <w:spacing w:after="200" w:before="100"/>
      </w:pPr>
    </w:p>
    <w:p>
      <w:pPr>
        <w:pStyle w:val="Heading1"/>
        <w:spacing w:after="160" w:before="320"/>
      </w:pPr>
      <w:r>
        <w:rPr>
          <w:rFonts w:ascii="Calibri" w:cs="Calibri" w:eastAsia="Calibri" w:hAnsi="Calibri"/>
          <w:b/>
          <w:bCs/>
          <w:color w:val="1A1A2E"/>
          <w:sz w:val="27"/>
          <w:szCs w:val="27"/>
        </w:rPr>
        <w:t xml:space="preserve">2. Biases Identified</w:t>
      </w:r>
    </w:p>
    <w:p>
      <w:pPr>
        <w:pStyle w:val="Heading2"/>
        <w:spacing w:after="140" w:before="260"/>
      </w:pPr>
      <w:r>
        <w:rPr>
          <w:rFonts w:ascii="Calibri" w:cs="Calibri" w:eastAsia="Calibri" w:hAnsi="Calibri"/>
          <w:b/>
          <w:bCs/>
          <w:color w:val="1A1A2E"/>
          <w:sz w:val="24"/>
          <w:szCs w:val="24"/>
        </w:rPr>
        <w:t xml:space="preserve">2.1 Confirmation Bias</w:t>
      </w:r>
    </w:p>
    <w:p>
      <w:pPr>
        <w:pStyle w:val="ListParagraph"/>
        <w:numPr>
          <w:ilvl w:val="0"/>
          <w:numId w:val="2"/>
        </w:numPr>
        <w:spacing w:after="14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tendency to favour evidence that supports the benefits of AI while minimising or softening evidence that raises concerns.</w:t>
      </w:r>
    </w:p>
    <w:p>
      <w:pPr>
        <w:pStyle w:val="ListParagraph"/>
        <w:numPr>
          <w:ilvl w:val="0"/>
          <w:numId w:val="2"/>
        </w:numPr>
        <w:spacing w:after="140" w:line="300"/>
        <w:jc w:val="both"/>
      </w:pPr>
      <w:r>
        <w:rPr>
          <w:rFonts w:ascii="Calibri" w:cs="Calibri" w:eastAsia="Calibri" w:hAnsi="Calibri"/>
          <w:b/>
          <w:bCs/>
          <w:sz w:val="22"/>
          <w:szCs w:val="22"/>
        </w:rPr>
        <w:t xml:space="preserve">Where It Appears: </w:t>
      </w:r>
      <w:r>
        <w:rPr>
          <w:rFonts w:ascii="Calibri" w:cs="Calibri" w:eastAsia="Calibri" w:hAnsi="Calibri"/>
          <w:sz w:val="22"/>
          <w:szCs w:val="22"/>
        </w:rPr>
        <w:t xml:space="preserve">This bias does not appear to operate at the level of overall structure, since the concern-related paragraph is, by word count, the longest section of the response and criticism is not simply omitted. It appears in a more limited form in the final sentence of the overreliance theme, where the concern is reframed as a “training gap rather than an inherent flaw,” allowing the AI-favourable interpretation to close the paragraph.</w:t>
      </w:r>
    </w:p>
    <w:p>
      <w:pPr>
        <w:pStyle w:val="ListParagraph"/>
        <w:numPr>
          <w:ilvl w:val="0"/>
          <w:numId w:val="2"/>
        </w:numPr>
        <w:spacing w:after="140" w:line="300"/>
        <w:jc w:val="both"/>
      </w:pPr>
      <w:r>
        <w:rPr>
          <w:rFonts w:ascii="Calibri" w:cs="Calibri" w:eastAsia="Calibri" w:hAnsi="Calibri"/>
          <w:b/>
          <w:bCs/>
          <w:sz w:val="22"/>
          <w:szCs w:val="22"/>
        </w:rPr>
        <w:t xml:space="preserve">Recommended Improvement: </w:t>
      </w:r>
      <w:r>
        <w:rPr>
          <w:rFonts w:ascii="Calibri" w:cs="Calibri" w:eastAsia="Calibri" w:hAnsi="Calibri"/>
          <w:sz w:val="22"/>
          <w:szCs w:val="22"/>
        </w:rPr>
        <w:t xml:space="preserve">The counter-interpretation attributed to RAND and CDT could be presented as a separately labelled, co-equal viewpoint (for example, under a heading such as “Alternative Interpretation”) rather than as the concluding statement of the concern paragraph, so that neither position is structurally favoured as the final word.</w:t>
      </w:r>
    </w:p>
    <w:p>
      <w:pPr>
        <w:pStyle w:val="Heading2"/>
        <w:spacing w:after="140" w:before="260"/>
      </w:pPr>
      <w:r>
        <w:rPr>
          <w:rFonts w:ascii="Calibri" w:cs="Calibri" w:eastAsia="Calibri" w:hAnsi="Calibri"/>
          <w:b/>
          <w:bCs/>
          <w:color w:val="1A1A2E"/>
          <w:sz w:val="24"/>
          <w:szCs w:val="24"/>
        </w:rPr>
        <w:t xml:space="preserve">2.2 Selection Bias</w:t>
      </w:r>
    </w:p>
    <w:p>
      <w:pPr>
        <w:pStyle w:val="ListParagraph"/>
        <w:numPr>
          <w:ilvl w:val="0"/>
          <w:numId w:val="2"/>
        </w:numPr>
        <w:spacing w:after="14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tendency to rely on one type of evidence, such as quantitative studies, while excluding other relevant forms of evidence, such as qualitative research.</w:t>
      </w:r>
    </w:p>
    <w:p>
      <w:pPr>
        <w:pStyle w:val="ListParagraph"/>
        <w:numPr>
          <w:ilvl w:val="0"/>
          <w:numId w:val="2"/>
        </w:numPr>
        <w:spacing w:after="140" w:line="300"/>
        <w:jc w:val="both"/>
      </w:pPr>
      <w:r>
        <w:rPr>
          <w:rFonts w:ascii="Calibri" w:cs="Calibri" w:eastAsia="Calibri" w:hAnsi="Calibri"/>
          <w:b/>
          <w:bCs/>
          <w:sz w:val="22"/>
          <w:szCs w:val="22"/>
        </w:rPr>
        <w:t xml:space="preserve">Where It Appears: </w:t>
      </w:r>
      <w:r>
        <w:rPr>
          <w:rFonts w:ascii="Calibri" w:cs="Calibri" w:eastAsia="Calibri" w:hAnsi="Calibri"/>
          <w:sz w:val="22"/>
          <w:szCs w:val="22"/>
        </w:rPr>
        <w:t xml:space="preserve">All six sourced claims listed in the verification matrix (C-01 through C-06) are drawn from randomised controlled trials, surveys, or a systematic review reporting quantitative outcomes. No classroom observation studies, teacher or student interviews, or qualitative case studies appear to be included.</w:t>
      </w:r>
    </w:p>
    <w:p>
      <w:pPr>
        <w:pStyle w:val="ListParagraph"/>
        <w:numPr>
          <w:ilvl w:val="0"/>
          <w:numId w:val="2"/>
        </w:numPr>
        <w:spacing w:after="140" w:line="300"/>
        <w:jc w:val="both"/>
      </w:pPr>
      <w:r>
        <w:rPr>
          <w:rFonts w:ascii="Calibri" w:cs="Calibri" w:eastAsia="Calibri" w:hAnsi="Calibri"/>
          <w:b/>
          <w:bCs/>
          <w:sz w:val="22"/>
          <w:szCs w:val="22"/>
        </w:rPr>
        <w:t xml:space="preserve">Recommended Improvement: </w:t>
      </w:r>
      <w:r>
        <w:rPr>
          <w:rFonts w:ascii="Calibri" w:cs="Calibri" w:eastAsia="Calibri" w:hAnsi="Calibri"/>
          <w:sz w:val="22"/>
          <w:szCs w:val="22"/>
        </w:rPr>
        <w:t xml:space="preserve">Incorporating at least one qualitative or mixed-methods source would help capture classroom experience and contextual nuance that quantitative figures alone may not fully convey.</w:t>
      </w:r>
    </w:p>
    <w:p>
      <w:pPr>
        <w:pStyle w:val="Heading2"/>
        <w:spacing w:after="140" w:before="260"/>
      </w:pPr>
      <w:r>
        <w:rPr>
          <w:rFonts w:ascii="Calibri" w:cs="Calibri" w:eastAsia="Calibri" w:hAnsi="Calibri"/>
          <w:b/>
          <w:bCs/>
          <w:color w:val="1A1A2E"/>
          <w:sz w:val="24"/>
          <w:szCs w:val="24"/>
        </w:rPr>
        <w:t xml:space="preserve">2.3 Cultural Bias</w:t>
      </w:r>
    </w:p>
    <w:p>
      <w:pPr>
        <w:pStyle w:val="ListParagraph"/>
        <w:numPr>
          <w:ilvl w:val="0"/>
          <w:numId w:val="2"/>
        </w:numPr>
        <w:spacing w:after="14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tendency to draw on a geographically or culturally narrow evidence base without acknowledging the resulting limitations.</w:t>
      </w:r>
    </w:p>
    <w:p>
      <w:pPr>
        <w:pStyle w:val="ListParagraph"/>
        <w:numPr>
          <w:ilvl w:val="0"/>
          <w:numId w:val="2"/>
        </w:numPr>
        <w:spacing w:after="140" w:line="300"/>
        <w:jc w:val="both"/>
      </w:pPr>
      <w:r>
        <w:rPr>
          <w:rFonts w:ascii="Calibri" w:cs="Calibri" w:eastAsia="Calibri" w:hAnsi="Calibri"/>
          <w:b/>
          <w:bCs/>
          <w:sz w:val="22"/>
          <w:szCs w:val="22"/>
        </w:rPr>
        <w:t xml:space="preserve">Where It Appears: </w:t>
      </w:r>
      <w:r>
        <w:rPr>
          <w:rFonts w:ascii="Calibri" w:cs="Calibri" w:eastAsia="Calibri" w:hAnsi="Calibri"/>
          <w:sz w:val="22"/>
          <w:szCs w:val="22"/>
        </w:rPr>
        <w:t xml:space="preserve">The organisations cited throughout the response – including Harvard (Kestin et al.), the Center for Democracy and Technology, AAC&amp;U/Elon, RAND, and the OECD – are predominantly United States–based or Western-majority institutions. The response does not include evidence from the Global South or from non-Western education systems, nor does it acknowledge this as a limitation.</w:t>
      </w:r>
    </w:p>
    <w:p>
      <w:pPr>
        <w:pStyle w:val="ListParagraph"/>
        <w:numPr>
          <w:ilvl w:val="0"/>
          <w:numId w:val="2"/>
        </w:numPr>
        <w:spacing w:after="140" w:line="300"/>
        <w:jc w:val="both"/>
      </w:pPr>
      <w:r>
        <w:rPr>
          <w:rFonts w:ascii="Calibri" w:cs="Calibri" w:eastAsia="Calibri" w:hAnsi="Calibri"/>
          <w:b/>
          <w:bCs/>
          <w:sz w:val="22"/>
          <w:szCs w:val="22"/>
        </w:rPr>
        <w:t xml:space="preserve">Recommended Improvement: </w:t>
      </w:r>
      <w:r>
        <w:rPr>
          <w:rFonts w:ascii="Calibri" w:cs="Calibri" w:eastAsia="Calibri" w:hAnsi="Calibri"/>
          <w:sz w:val="22"/>
          <w:szCs w:val="22"/>
        </w:rPr>
        <w:t xml:space="preserve">Adding a brief limitation statement, together with evidence from a wider range of regions where available, would help contextualise the findings before they are generalised to “classroom learning” as a whole.</w:t>
      </w:r>
    </w:p>
    <w:p>
      <w:pPr>
        <w:pBdr>
          <w:bottom w:val="single" w:color="CCCCCC" w:sz="6" w:space="1"/>
        </w:pBdr>
        <w:spacing w:after="200" w:before="100"/>
      </w:pPr>
    </w:p>
    <w:p>
      <w:pPr>
        <w:pStyle w:val="Heading1"/>
        <w:spacing w:after="160" w:before="320"/>
      </w:pPr>
      <w:r>
        <w:rPr>
          <w:rFonts w:ascii="Calibri" w:cs="Calibri" w:eastAsia="Calibri" w:hAnsi="Calibri"/>
          <w:b/>
          <w:bCs/>
          <w:color w:val="1A1A2E"/>
          <w:sz w:val="27"/>
          <w:szCs w:val="27"/>
        </w:rPr>
        <w:t xml:space="preserve">3. Additional Observation</w:t>
      </w:r>
    </w:p>
    <w:p>
      <w:pPr>
        <w:spacing w:after="200" w:line="300"/>
        <w:jc w:val="both"/>
      </w:pPr>
      <w:r>
        <w:rPr>
          <w:rFonts w:ascii="Calibri" w:cs="Calibri" w:eastAsia="Calibri" w:hAnsi="Calibri"/>
          <w:sz w:val="22"/>
          <w:szCs w:val="22"/>
        </w:rPr>
        <w:t xml:space="preserve">The overreliance theme cites “adoption research (RAND, CDT)” in support of the interpretation that overreliance reflects an implementation and training gap rather than an inherent limitation of the technology. Of these two attributions, the CDT source is included and verified in the verification matrix (C-04). RAND, however, does not appear as a separate entry anywhere in the matrix (C-01 through C-06). This is not, on its own, evidence that the RAND attribution is inaccurate or fabricated; the verification matrix simply does not contain a corresponding verification record for it. Given that this citation contributes to the interpretation of the response's most significant point of disagreement, it is recommended that a specific RAND publication be identified and verified before the claim is relied upon further, or that the RAND attribution be removed and the interpretation supported solely by the verified CDT source.</w:t>
      </w:r>
    </w:p>
    <w:p>
      <w:pPr>
        <w:pBdr>
          <w:bottom w:val="single" w:color="CCCCCC" w:sz="6" w:space="1"/>
        </w:pBdr>
        <w:spacing w:after="200" w:before="100"/>
      </w:pPr>
    </w:p>
    <w:p>
      <w:pPr>
        <w:pStyle w:val="Heading1"/>
        <w:spacing w:after="160" w:before="320"/>
      </w:pPr>
      <w:r>
        <w:rPr>
          <w:rFonts w:ascii="Calibri" w:cs="Calibri" w:eastAsia="Calibri" w:hAnsi="Calibri"/>
          <w:b/>
          <w:bCs/>
          <w:color w:val="1A1A2E"/>
          <w:sz w:val="27"/>
          <w:szCs w:val="27"/>
        </w:rPr>
        <w:t xml:space="preserve">4. Overall Evaluation</w:t>
      </w:r>
    </w:p>
    <w:p>
      <w:pPr>
        <w:spacing w:after="200" w:line="300"/>
        <w:jc w:val="both"/>
      </w:pPr>
      <w:r>
        <w:rPr>
          <w:rFonts w:ascii="Calibri" w:cs="Calibri" w:eastAsia="Calibri" w:hAnsi="Calibri"/>
          <w:sz w:val="22"/>
          <w:szCs w:val="22"/>
        </w:rPr>
        <w:t xml:space="preserve">Overall, the Version C response reflects a reasonably well-researched and professionally written summary, with claims that are, for the most part, traceable to verifiable sources. Coverage of the three themes is broadly balanced in length, and the response does make a genuine attempt to acknowledge disagreement in the literature rather than presenting AI adoption as uniformly positive. At the same time, the analysis suggests several areas for improvement: the concluding sentence of the overreliance theme may lend disproportionate weight to the AI-favourable interpretation, the evidence base relies primarily on quantitative and Western-centred sources, key assumptions are not made explicit, and one supporting citation (RAND) has not yet been independently verified. Addressing these points would further strengthen the objectivity and rigour of the response.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2026-07-31T06:20:15.686Z</dcterms:created>
  <dcterms:modified xsi:type="dcterms:W3CDTF">2026-07-31T06:20:15.703Z</dcterms:modified>
</cp:coreProperties>
</file>

<file path=docProps/custom.xml><?xml version="1.0" encoding="utf-8"?>
<Properties xmlns="http://schemas.openxmlformats.org/officeDocument/2006/custom-properties" xmlns:vt="http://schemas.openxmlformats.org/officeDocument/2006/docPropsVTypes"/>
</file>