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Tableau → Power BI</w:t>
      </w:r>
    </w:p>
    <w:p>
      <w:pPr>
        <w:spacing w:after="200"/>
        <w:jc w:val="center"/>
      </w:pPr>
      <w:r>
        <w:rPr>
          <w:rFonts w:ascii="Arial" w:cs="Arial" w:eastAsia="Arial" w:hAnsi="Arial"/>
          <w:b/>
          <w:bCs/>
          <w:color w:val="4472C4"/>
          <w:sz w:val="48"/>
          <w:szCs w:val="48"/>
        </w:rPr>
        <w:t xml:space="preserve">Migration Assessment Tool</w:t>
      </w:r>
    </w:p>
    <w:p>
      <w:pPr>
        <w:spacing w:after="120"/>
        <w:jc w:val="center"/>
      </w:pPr>
      <w:r>
        <w:rPr>
          <w:rFonts w:ascii="Arial" w:cs="Arial" w:eastAsia="Arial" w:hAnsi="Arial"/>
          <w:color w:val="666666"/>
          <w:sz w:val="28"/>
          <w:szCs w:val="28"/>
        </w:rPr>
        <w:t xml:space="preserve">Technical Documentation</w:t>
      </w:r>
    </w:p>
    <w:p>
      <w:pPr>
        <w:spacing w:after="1440"/>
        <w:jc w:val="center"/>
      </w:pPr>
      <w:r>
        <w:rPr>
          <w:rFonts w:ascii="Arial" w:cs="Arial" w:eastAsia="Arial" w:hAnsi="Arial"/>
          <w:color w:val="888888"/>
          <w:sz w:val="20"/>
          <w:szCs w:val="20"/>
        </w:rPr>
        <w:t xml:space="preserve">Generated: May 7,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Tool Version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Metadata API Edition (Tableau 2022.x / 2023.x)</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Platform</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Microsoft Power BI Desktop / Service</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 Method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Tableau REST API — Username + Password</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 Formats</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CSV files + Multi-tab Excel (.xlsx)</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w:t>
      </w:r>
    </w:p>
    <w:p>
      <w:pPr>
        <w:spacing w:after="120"/>
      </w:pPr>
      <w:r>
        <w:rPr>
          <w:rFonts w:ascii="Arial" w:cs="Arial" w:eastAsia="Arial" w:hAnsi="Arial"/>
          <w:sz w:val="20"/>
          <w:szCs w:val="20"/>
        </w:rPr>
        <w:t xml:space="preserve">This tool extracts comprehensive workbook metadata from Tableau Server using the Metadata API (GraphQL) and produces a structured assessment report to support a Tableau-to-Power BI migration. Unlike direct PostgreSQL queries, the Metadata API works with all Tableau Server versions from 2022.x onwards, including 2023.x where workbook XML is no longer stored in the repository database.</w:t>
      </w:r>
    </w:p>
    <w:p>
      <w:pPr>
        <w:spacing w:after="80"/>
      </w:pPr>
      <w:r>
        <w:t xml:space="preserve"/>
      </w:r>
    </w:p>
    <w:p>
      <w:pPr>
        <w:spacing w:after="120"/>
      </w:pPr>
      <w:r>
        <w:rPr>
          <w:rFonts w:ascii="Arial" w:cs="Arial" w:eastAsia="Arial" w:hAnsi="Arial"/>
          <w:sz w:val="20"/>
          <w:szCs w:val="20"/>
        </w:rPr>
        <w:t xml:space="preserve">The assessment identifies every calculated field, flags LOD expressions and Table Calculations, maps Tableau data types to Power BI equivalents, scores each workbook for migration complexity, and generates per-expression DAX migration guidance — giving the migration team a prioritised, actionable inventory from day one.</w:t>
      </w:r>
    </w:p>
    <w:p>
      <w:pPr>
        <w:spacing w:after="80"/>
      </w:pPr>
      <w:r>
        <w:t xml:space="preserve"/>
      </w:r>
    </w:p>
    <w:p>
      <w:pPr>
        <w:pStyle w:val="Heading1"/>
      </w:pPr>
      <w:r>
        <w:t xml:space="preserve">2  How It Works</w:t>
      </w:r>
    </w:p>
    <w:p>
      <w:pPr>
        <w:spacing w:after="120"/>
      </w:pPr>
      <w:r>
        <w:rPr>
          <w:rFonts w:ascii="Arial" w:cs="Arial" w:eastAsia="Arial" w:hAnsi="Arial"/>
          <w:sz w:val="20"/>
          <w:szCs w:val="20"/>
        </w:rPr>
        <w:t xml:space="preserve">The extractor follows a seven-step process each time it runs: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Step</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Sign 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Authenticates to Tableau Server REST API using your admin username and password. Retrieves a session token valid for all subsequent calls.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Discover Sites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Calls GET /api/{version}/sites to retrieve the full list of sites on the server. For each site, a separate sign-in is performed to scope the Metadata API queries correctly.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Query Calc Fields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Sends a paginated GraphQL query to /api/metadata/graphql requesting all CalculatedField nodes. Each page returns up to 100 fields including: name, formula, dataType, role, and parent workbook/datasource context.</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Query Datasources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second GraphQL query fetches all EmbeddedDatasource nodes to resolve connection types (SQL Server, BigQuery, Salesforce, etc.) for gateway planning.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Query Custom SQL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 third GraphQL query fetches all CustomSQLTable nodes, returning the full SQL text and downstream datasource/workbook context for every Custom SQL block across all sites.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Analyse Formulas &amp; SQL</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Each formula is scanned for LOD expressions, table calculations, and date/conditional logic. Each Custom SQL block is analysed for subqueries, JOINs, UNIONs, GROUP BY, window functions, and WHERE clauses.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Score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Each field and workbook is scored HIGH / MEDIUM / LOW based on formula patterns. Workbook scores roll up from field-level counts.</w:t>
            </w:r>
          </w:p>
        </w:tc>
      </w:tr>
      <w:tr>
        <w:tc>
          <w:tcPr>
            <w:tcW w:type="dxa" w:w="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Write Outputs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Results are written to 7 timestamped CSV files (calc fields, LOD, table calcs, workbooks, datasources, custom SQL, owner activity) and a formatted 8-tab Excel assessment workbook.</w:t>
            </w:r>
          </w:p>
        </w:tc>
      </w:tr>
    </w:tbl>
    <w:p>
      <w:pPr>
        <w:spacing w:after="80"/>
      </w:pPr>
      <w:r>
        <w:t xml:space="preserve"/>
      </w:r>
    </w:p>
    <w:p>
      <w:pPr>
        <w:pStyle w:val="Heading2"/>
      </w:pPr>
      <w:r>
        <w:t xml:space="preserve">2.1  Authentication</w:t>
      </w:r>
    </w:p>
    <w:p>
      <w:pPr>
        <w:spacing w:after="120"/>
      </w:pPr>
      <w:r>
        <w:rPr>
          <w:rFonts w:ascii="Arial" w:cs="Arial" w:eastAsia="Arial" w:hAnsi="Arial"/>
          <w:sz w:val="20"/>
          <w:szCs w:val="20"/>
        </w:rPr>
        <w:t xml:space="preserve">The script authenticates using the Tableau REST API sign-in endpoint. Your admin username and password are exchanged for a short-lived session token that is used in all subsequent API calls. The token is scoped to a specific site, so the script re-authenticates for each site when extracting all sites.</w:t>
      </w:r>
    </w:p>
    <w:p>
      <w:pPr>
        <w:spacing w:after="80"/>
      </w:pPr>
      <w:r>
        <w:t xml:space="preserve"/>
      </w:r>
    </w:p>
    <w:p>
      <w:pPr>
        <w:spacing w:after="80"/>
      </w:pPr>
      <w:r>
        <w:rPr>
          <w:rFonts w:ascii="Arial" w:cs="Arial" w:eastAsia="Arial" w:hAnsi="Arial"/>
          <w:b/>
          <w:bCs/>
          <w:sz w:val="20"/>
          <w:szCs w:val="20"/>
        </w:rPr>
        <w:t xml:space="preserve">Endpoint: </w:t>
      </w:r>
      <w:r>
        <w:rPr>
          <w:rFonts w:ascii="Arial" w:cs="Arial" w:eastAsia="Arial" w:hAnsi="Arial"/>
          <w:sz w:val="20"/>
          <w:szCs w:val="20"/>
        </w:rPr>
        <w:t xml:space="preserve">POST /api/{version}/auth/signin</w:t>
      </w:r>
    </w:p>
    <w:p>
      <w:pPr>
        <w:spacing w:after="80"/>
      </w:pPr>
      <w:r>
        <w:rPr>
          <w:rFonts w:ascii="Arial" w:cs="Arial" w:eastAsia="Arial" w:hAnsi="Arial"/>
          <w:b/>
          <w:bCs/>
          <w:sz w:val="20"/>
          <w:szCs w:val="20"/>
        </w:rPr>
        <w:t xml:space="preserve">API Version: </w:t>
      </w:r>
      <w:r>
        <w:rPr>
          <w:rFonts w:ascii="Arial" w:cs="Arial" w:eastAsia="Arial" w:hAnsi="Arial"/>
          <w:sz w:val="20"/>
          <w:szCs w:val="20"/>
        </w:rPr>
        <w:t xml:space="preserve">3.21 for Tableau Server 2023.3</w:t>
      </w:r>
    </w:p>
    <w:p>
      <w:pPr>
        <w:spacing w:after="80"/>
      </w:pPr>
      <w:r>
        <w:t xml:space="preserve"/>
      </w:r>
    </w:p>
    <w:p>
      <w:pPr>
        <w:pStyle w:val="Heading2"/>
      </w:pPr>
      <w:r>
        <w:t xml:space="preserve">2.2  Metadata API — GraphQL</w:t>
      </w:r>
    </w:p>
    <w:p>
      <w:pPr>
        <w:spacing w:after="120"/>
      </w:pPr>
      <w:r>
        <w:rPr>
          <w:rFonts w:ascii="Arial" w:cs="Arial" w:eastAsia="Arial" w:hAnsi="Arial"/>
          <w:sz w:val="20"/>
          <w:szCs w:val="20"/>
        </w:rPr>
        <w:t xml:space="preserve">The Metadata API is a GraphQL endpoint built into Tableau Server 2019.3+ and fully featured from 2022.x onwards. It exposes the full catalogue of workbooks, datasources, fields, and lineage information without requiring workbook downloads or direct database access.</w:t>
      </w:r>
    </w:p>
    <w:p>
      <w:pPr>
        <w:spacing w:after="80"/>
      </w:pPr>
      <w:r>
        <w:t xml:space="preserve"/>
      </w:r>
    </w:p>
    <w:p>
      <w:pPr>
        <w:spacing w:after="120"/>
      </w:pPr>
      <w:r>
        <w:rPr>
          <w:rFonts w:ascii="Arial" w:cs="Arial" w:eastAsia="Arial" w:hAnsi="Arial"/>
          <w:sz w:val="20"/>
          <w:szCs w:val="20"/>
        </w:rPr>
        <w:t xml:space="preserve">The script runs three core queries:</w:t>
      </w:r>
    </w:p>
    <w:p>
      <w:pPr>
        <w:spacing w:after="80"/>
      </w:pPr>
      <w:r>
        <w:t xml:space="preserve"/>
      </w:r>
    </w:p>
    <w:p>
      <w:pPr>
        <w:pStyle w:val="ListParagraph"/>
        <w:numPr>
          <w:ilvl w:val="0"/>
          <w:numId w:val="2"/>
        </w:numPr>
        <w:spacing w:after="80"/>
      </w:pPr>
      <w:r>
        <w:rPr>
          <w:rFonts w:ascii="Arial" w:cs="Arial" w:eastAsia="Arial" w:hAnsi="Arial"/>
          <w:sz w:val="20"/>
          <w:szCs w:val="20"/>
        </w:rPr>
        <w:t xml:space="preserve">calculatedFieldsConnection — returns all calculated fields server-wide, each with its formula, data type, role, and parent workbook context. Auto-paginates in batches of 100.</w:t>
      </w:r>
    </w:p>
    <w:p>
      <w:pPr>
        <w:pStyle w:val="ListParagraph"/>
        <w:numPr>
          <w:ilvl w:val="0"/>
          <w:numId w:val="2"/>
        </w:numPr>
        <w:spacing w:after="80"/>
      </w:pPr>
      <w:r>
        <w:rPr>
          <w:rFonts w:ascii="Arial" w:cs="Arial" w:eastAsia="Arial" w:hAnsi="Arial"/>
          <w:sz w:val="20"/>
          <w:szCs w:val="20"/>
        </w:rPr>
        <w:t xml:space="preserve">embeddedDatasourcesConnection — returns all embedded datasources to resolve connection types (SQL Server, BigQuery, Salesforce, Oracle, etc.) needed for Power BI gateway planning.</w:t>
      </w:r>
    </w:p>
    <w:p>
      <w:pPr>
        <w:pStyle w:val="ListParagraph"/>
        <w:numPr>
          <w:ilvl w:val="0"/>
          <w:numId w:val="2"/>
        </w:numPr>
        <w:spacing w:after="80"/>
      </w:pPr>
      <w:r>
        <w:rPr>
          <w:rFonts w:ascii="Arial" w:cs="Arial" w:eastAsia="Arial" w:hAnsi="Arial"/>
          <w:sz w:val="20"/>
          <w:szCs w:val="20"/>
        </w:rPr>
        <w:t xml:space="preserve">customSQLTablesConnection — returns every Custom SQL table defined across all datasources and workbooks, including the full SQL query text and downstream context. See Section 2.6.</w:t>
      </w:r>
    </w:p>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Pagination is cursor-based. The script automatically follows pageInfo.hasNextPage / endCursor until all records are retrieved, regardless of server size.</w:t>
      </w:r>
    </w:p>
    <w:p>
      <w:pPr>
        <w:spacing w:after="80"/>
      </w:pPr>
      <w:r>
        <w:t xml:space="preserve"/>
      </w:r>
    </w:p>
    <w:p>
      <w:pPr>
        <w:pStyle w:val="Heading2"/>
      </w:pPr>
      <w:r>
        <w:t xml:space="preserve">2.3  Formula Analysis</w:t>
      </w:r>
    </w:p>
    <w:p>
      <w:pPr>
        <w:spacing w:after="120"/>
      </w:pPr>
      <w:r>
        <w:rPr>
          <w:rFonts w:ascii="Arial" w:cs="Arial" w:eastAsia="Arial" w:hAnsi="Arial"/>
          <w:sz w:val="20"/>
          <w:szCs w:val="20"/>
        </w:rPr>
        <w:t xml:space="preserve">Every formula returned by the Metadata API is analysed locally using regular expressions. Three categories of pattern are detected:</w:t>
      </w:r>
    </w:p>
    <w:p>
      <w:pPr>
        <w:spacing w:after="80"/>
      </w:pPr>
      <w:r>
        <w:t xml:space="preserve"/>
      </w:r>
    </w:p>
    <w:p>
      <w:pPr>
        <w:pStyle w:val="ListParagraph"/>
        <w:numPr>
          <w:ilvl w:val="0"/>
          <w:numId w:val="3"/>
        </w:numPr>
        <w:spacing w:after="80"/>
      </w:pPr>
      <w:r>
        <w:rPr>
          <w:rFonts w:ascii="Arial" w:cs="Arial" w:eastAsia="Arial" w:hAnsi="Arial"/>
          <w:sz w:val="20"/>
          <w:szCs w:val="20"/>
        </w:rPr>
        <w:t xml:space="preserve">LOD Expressions — scanned for {FIXED ...}, {INCLUDE ...}, {EXCLUDE ...} patterns. Multiple LOD types within one formula are captured individually.</w:t>
      </w:r>
    </w:p>
    <w:p>
      <w:pPr>
        <w:pStyle w:val="ListParagraph"/>
        <w:numPr>
          <w:ilvl w:val="0"/>
          <w:numId w:val="3"/>
        </w:numPr>
        <w:spacing w:after="80"/>
      </w:pPr>
      <w:r>
        <w:rPr>
          <w:rFonts w:ascii="Arial" w:cs="Arial" w:eastAsia="Arial" w:hAnsi="Arial"/>
          <w:sz w:val="20"/>
          <w:szCs w:val="20"/>
        </w:rPr>
        <w:t xml:space="preserve">Table Calculations — scanned for RUNNING_SUM, RUNNING_AVG, WINDOW_SUM, WINDOW_AVG, LOOKUP, FIRST, LAST, INDEX, RANK, SIZE, TOTAL, PREVIOUS_VALUE.</w:t>
      </w:r>
    </w:p>
    <w:p>
      <w:pPr>
        <w:pStyle w:val="ListParagraph"/>
        <w:numPr>
          <w:ilvl w:val="0"/>
          <w:numId w:val="3"/>
        </w:numPr>
        <w:spacing w:after="80"/>
      </w:pPr>
      <w:r>
        <w:rPr>
          <w:rFonts w:ascii="Arial" w:cs="Arial" w:eastAsia="Arial" w:hAnsi="Arial"/>
          <w:sz w:val="20"/>
          <w:szCs w:val="20"/>
        </w:rPr>
        <w:t xml:space="preserve">Conditional / Date Logic — scanned for IF, CASE, IIF, ELSEIF, and DATEDIFF, DATEPART, DATEADD, DATETRUNC patterns.</w:t>
      </w:r>
    </w:p>
    <w:p>
      <w:pPr>
        <w:spacing w:after="80"/>
      </w:pPr>
      <w:r>
        <w:t xml:space="preserve"/>
      </w:r>
    </w:p>
    <w:p>
      <w:pPr>
        <w:pStyle w:val="Heading2"/>
      </w:pPr>
      <w:r>
        <w:t xml:space="preserve">2.4  Complexity Scoring</w:t>
      </w:r>
    </w:p>
    <w:p>
      <w:pPr>
        <w:spacing w:after="120"/>
      </w:pPr>
      <w:r>
        <w:rPr>
          <w:rFonts w:ascii="Arial" w:cs="Arial" w:eastAsia="Arial" w:hAnsi="Arial"/>
          <w:sz w:val="20"/>
          <w:szCs w:val="20"/>
        </w:rPr>
        <w:t xml:space="preserve">Each field and workbook is scored into one of three migration complexity tiers: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Level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Colour</w:t>
            </w:r>
          </w:p>
        </w:tc>
        <w:tc>
          <w:tcPr>
            <w:tcW w:type="dxa" w:w="5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Meaning</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Red background</w:t>
            </w:r>
          </w:p>
        </w:tc>
        <w:tc>
          <w:tcPr>
            <w:tcW w:type="dxa" w:w="5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expressions or Table Calculations present — requires manual DAX re-engineering</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MEDIUM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Amber background</w:t>
            </w:r>
          </w:p>
        </w:tc>
        <w:tc>
          <w:tcPr>
            <w:tcW w:type="dxa" w:w="5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Conditional logic (IF/CASE) or date transforms — moderate effort to re-write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LOW</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Green background</w:t>
            </w:r>
          </w:p>
        </w:tc>
        <w:tc>
          <w:tcPr>
            <w:tcW w:type="dxa" w:w="5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Simple aggregations (SUM, AVG, COUNT) — near-mechanical translation to DAX</w:t>
            </w:r>
          </w:p>
        </w:tc>
      </w:tr>
    </w:tbl>
    <w:p>
      <w:pPr>
        <w:spacing w:after="80"/>
      </w:pPr>
      <w:r>
        <w:t xml:space="preserve"/>
      </w:r>
    </w:p>
    <w:p>
      <w:pPr>
        <w:spacing w:after="120"/>
      </w:pPr>
      <w:r>
        <w:rPr>
          <w:rFonts w:ascii="Arial" w:cs="Arial" w:eastAsia="Arial" w:hAnsi="Arial"/>
          <w:sz w:val="20"/>
          <w:szCs w:val="20"/>
        </w:rPr>
        <w:t xml:space="preserve">Workbook scores roll up from field-level counts: a workbook is scored HIGH if it contains more than five LOD fields or five table calculation fields, MEDIUM if it has any LOD or table calc fields, and LOW otherwise.</w:t>
      </w:r>
    </w:p>
    <w:p>
      <w:pPr>
        <w:spacing w:after="80"/>
      </w:pPr>
      <w:r>
        <w:t xml:space="preserve"/>
      </w:r>
    </w:p>
    <w:p>
      <w:pPr>
        <w:pStyle w:val="Heading2"/>
      </w:pPr>
      <w:r>
        <w:t xml:space="preserve">2.5  DAX Migration Guidance</w:t>
      </w:r>
    </w:p>
    <w:p>
      <w:pPr>
        <w:spacing w:after="120"/>
      </w:pPr>
      <w:r>
        <w:rPr>
          <w:rFonts w:ascii="Arial" w:cs="Arial" w:eastAsia="Arial" w:hAnsi="Arial"/>
          <w:sz w:val="20"/>
          <w:szCs w:val="20"/>
        </w:rPr>
        <w:t xml:space="preserve">For every LOD expression and table calculation detected, the tool generates a specific DAX migration note explaining the equivalent Power BI pattern:</w:t>
      </w:r>
    </w:p>
    <w:p>
      <w:pPr>
        <w:spacing w:after="80"/>
      </w:pPr>
      <w:r>
        <w:t xml:space="preserve"/>
      </w:r>
    </w:p>
    <w:p>
      <w:pPr>
        <w:pStyle w:val="ListParagraph"/>
        <w:numPr>
          <w:ilvl w:val="0"/>
          <w:numId w:val="3"/>
        </w:numPr>
        <w:spacing w:after="80"/>
      </w:pPr>
      <w:r>
        <w:rPr>
          <w:rFonts w:ascii="Arial" w:cs="Arial" w:eastAsia="Arial" w:hAnsi="Arial"/>
          <w:sz w:val="20"/>
          <w:szCs w:val="20"/>
        </w:rPr>
        <w:t xml:space="preserve">FIXED → CALCULATE(&lt;expr&gt;, ALL(&lt;table&gt;)) or REMOVEFILTERS() to override filter context</w:t>
      </w:r>
    </w:p>
    <w:p>
      <w:pPr>
        <w:pStyle w:val="ListParagraph"/>
        <w:numPr>
          <w:ilvl w:val="0"/>
          <w:numId w:val="3"/>
        </w:numPr>
        <w:spacing w:after="80"/>
      </w:pPr>
      <w:r>
        <w:rPr>
          <w:rFonts w:ascii="Arial" w:cs="Arial" w:eastAsia="Arial" w:hAnsi="Arial"/>
          <w:sz w:val="20"/>
          <w:szCs w:val="20"/>
        </w:rPr>
        <w:t xml:space="preserve">INCLUDE → CALCULATE(&lt;expr&gt;, FILTER(...)) to add granularity via a virtual table</w:t>
      </w:r>
    </w:p>
    <w:p>
      <w:pPr>
        <w:pStyle w:val="ListParagraph"/>
        <w:numPr>
          <w:ilvl w:val="0"/>
          <w:numId w:val="3"/>
        </w:numPr>
        <w:spacing w:after="80"/>
      </w:pPr>
      <w:r>
        <w:rPr>
          <w:rFonts w:ascii="Arial" w:cs="Arial" w:eastAsia="Arial" w:hAnsi="Arial"/>
          <w:sz w:val="20"/>
          <w:szCs w:val="20"/>
        </w:rPr>
        <w:t xml:space="preserve">EXCLUDE → CALCULATE(&lt;expr&gt;, REMOVEFILTERS(&lt;column&gt;)) to drop a specific column from context</w:t>
      </w:r>
    </w:p>
    <w:p>
      <w:pPr>
        <w:pStyle w:val="ListParagraph"/>
        <w:numPr>
          <w:ilvl w:val="0"/>
          <w:numId w:val="3"/>
        </w:numPr>
        <w:spacing w:after="80"/>
      </w:pPr>
      <w:r>
        <w:rPr>
          <w:rFonts w:ascii="Arial" w:cs="Arial" w:eastAsia="Arial" w:hAnsi="Arial"/>
          <w:sz w:val="20"/>
          <w:szCs w:val="20"/>
        </w:rPr>
        <w:t xml:space="preserve">RUNNING_SUM → CALCULATE(SUM(...), FILTER(ALL(Dates), Dates[Date] &lt;= MAX(Dates[Date])))</w:t>
      </w:r>
    </w:p>
    <w:p>
      <w:pPr>
        <w:pStyle w:val="ListParagraph"/>
        <w:numPr>
          <w:ilvl w:val="0"/>
          <w:numId w:val="3"/>
        </w:numPr>
        <w:spacing w:after="80"/>
      </w:pPr>
      <w:r>
        <w:rPr>
          <w:rFonts w:ascii="Arial" w:cs="Arial" w:eastAsia="Arial" w:hAnsi="Arial"/>
          <w:sz w:val="20"/>
          <w:szCs w:val="20"/>
        </w:rPr>
        <w:t xml:space="preserve">RANK → RANKX(ALL(&lt;table&gt;[&lt;col&gt;]), &lt;measure&gt;)</w:t>
      </w:r>
    </w:p>
    <w:p>
      <w:pPr>
        <w:pStyle w:val="ListParagraph"/>
        <w:numPr>
          <w:ilvl w:val="0"/>
          <w:numId w:val="3"/>
        </w:numPr>
        <w:spacing w:after="80"/>
      </w:pPr>
      <w:r>
        <w:rPr>
          <w:rFonts w:ascii="Arial" w:cs="Arial" w:eastAsia="Arial" w:hAnsi="Arial"/>
          <w:sz w:val="20"/>
          <w:szCs w:val="20"/>
        </w:rPr>
        <w:t xml:space="preserve">WINDOW_SUM → CALCULATE with DATESINPERIOD or sliding window FILTER</w:t>
      </w:r>
    </w:p>
    <w:p>
      <w:pPr>
        <w:spacing w:after="80"/>
      </w:pPr>
      <w:r>
        <w:t xml:space="preserve"/>
      </w:r>
    </w:p>
    <w:p>
      <w:pPr>
        <w:pStyle w:val="Heading2"/>
      </w:pPr>
      <w:r>
        <w:t xml:space="preserve">2.6  Custom SQL Extraction</w:t>
      </w:r>
    </w:p>
    <w:p>
      <w:pPr>
        <w:spacing w:after="120"/>
      </w:pPr>
      <w:r>
        <w:rPr>
          <w:rFonts w:ascii="Arial" w:cs="Arial" w:eastAsia="Arial" w:hAnsi="Arial"/>
          <w:sz w:val="20"/>
          <w:szCs w:val="20"/>
        </w:rPr>
        <w:t xml:space="preserve">Many Tableau datasources embed hand-written SQL queries (Custom SQL) to pre-join, filter, or transform source data before Tableau sees it. These queries represent hidden ETL logic that must be migrated to Power Query M, dataflows, or a data warehouse layer in the Power BI architecture.</w:t>
      </w:r>
    </w:p>
    <w:p>
      <w:pPr>
        <w:spacing w:after="80"/>
      </w:pPr>
      <w:r>
        <w:t xml:space="preserve"/>
      </w:r>
    </w:p>
    <w:p>
      <w:pPr>
        <w:spacing w:after="120"/>
      </w:pPr>
      <w:r>
        <w:rPr>
          <w:rFonts w:ascii="Arial" w:cs="Arial" w:eastAsia="Arial" w:hAnsi="Arial"/>
          <w:sz w:val="20"/>
          <w:szCs w:val="20"/>
        </w:rPr>
        <w:t xml:space="preserve">The extractor uses the customSQLTablesConnection GraphQL query to retrieve every Custom SQL table defined across all sites, workbooks, and datasources. For each SQL block the following analysis is performed automatically:</w:t>
      </w:r>
    </w:p>
    <w:p>
      <w:pPr>
        <w:spacing w:after="80"/>
      </w:pPr>
      <w:r>
        <w:t xml:space="preserve"/>
      </w:r>
    </w:p>
    <w:p>
      <w:pPr>
        <w:pStyle w:val="ListParagraph"/>
        <w:numPr>
          <w:ilvl w:val="0"/>
          <w:numId w:val="3"/>
        </w:numPr>
        <w:spacing w:after="80"/>
      </w:pPr>
      <w:r>
        <w:rPr>
          <w:rFonts w:ascii="Arial" w:cs="Arial" w:eastAsia="Arial" w:hAnsi="Arial"/>
          <w:sz w:val="20"/>
          <w:szCs w:val="20"/>
        </w:rPr>
        <w:t xml:space="preserve">Subquery detection — identifies nested SELECT statements (pattern: SELECT ... FROM (...))</w:t>
      </w:r>
    </w:p>
    <w:p>
      <w:pPr>
        <w:pStyle w:val="ListParagraph"/>
        <w:numPr>
          <w:ilvl w:val="0"/>
          <w:numId w:val="3"/>
        </w:numPr>
        <w:spacing w:after="80"/>
      </w:pPr>
      <w:r>
        <w:rPr>
          <w:rFonts w:ascii="Arial" w:cs="Arial" w:eastAsia="Arial" w:hAnsi="Arial"/>
          <w:sz w:val="20"/>
          <w:szCs w:val="20"/>
        </w:rPr>
        <w:t xml:space="preserve">JOIN detection — flags any JOIN keyword (INNER, LEFT, RIGHT, FULL, CROSS)</w:t>
      </w:r>
    </w:p>
    <w:p>
      <w:pPr>
        <w:pStyle w:val="ListParagraph"/>
        <w:numPr>
          <w:ilvl w:val="0"/>
          <w:numId w:val="3"/>
        </w:numPr>
        <w:spacing w:after="80"/>
      </w:pPr>
      <w:r>
        <w:rPr>
          <w:rFonts w:ascii="Arial" w:cs="Arial" w:eastAsia="Arial" w:hAnsi="Arial"/>
          <w:sz w:val="20"/>
          <w:szCs w:val="20"/>
        </w:rPr>
        <w:t xml:space="preserve">UNION detection — flags UNION and UNION ALL operators</w:t>
      </w:r>
    </w:p>
    <w:p>
      <w:pPr>
        <w:pStyle w:val="ListParagraph"/>
        <w:numPr>
          <w:ilvl w:val="0"/>
          <w:numId w:val="3"/>
        </w:numPr>
        <w:spacing w:after="80"/>
      </w:pPr>
      <w:r>
        <w:rPr>
          <w:rFonts w:ascii="Arial" w:cs="Arial" w:eastAsia="Arial" w:hAnsi="Arial"/>
          <w:sz w:val="20"/>
          <w:szCs w:val="20"/>
        </w:rPr>
        <w:t xml:space="preserve">WHERE detection — flags WHERE clauses indicating row-level filters</w:t>
      </w:r>
    </w:p>
    <w:p>
      <w:pPr>
        <w:pStyle w:val="ListParagraph"/>
        <w:numPr>
          <w:ilvl w:val="0"/>
          <w:numId w:val="3"/>
        </w:numPr>
        <w:spacing w:after="80"/>
      </w:pPr>
      <w:r>
        <w:rPr>
          <w:rFonts w:ascii="Arial" w:cs="Arial" w:eastAsia="Arial" w:hAnsi="Arial"/>
          <w:sz w:val="20"/>
          <w:szCs w:val="20"/>
        </w:rPr>
        <w:t xml:space="preserve">GROUP BY detection — flags aggregation logic</w:t>
      </w:r>
    </w:p>
    <w:p>
      <w:pPr>
        <w:pStyle w:val="ListParagraph"/>
        <w:numPr>
          <w:ilvl w:val="0"/>
          <w:numId w:val="3"/>
        </w:numPr>
        <w:spacing w:after="80"/>
      </w:pPr>
      <w:r>
        <w:rPr>
          <w:rFonts w:ascii="Arial" w:cs="Arial" w:eastAsia="Arial" w:hAnsi="Arial"/>
          <w:sz w:val="20"/>
          <w:szCs w:val="20"/>
        </w:rPr>
        <w:t xml:space="preserve">Window function detection — flags analytical functions (ROW_NUMBER, RANK, DENSE_RANK, LAG, LEAD, NTILE, FIRST_VALUE, LAST_VALUE, NTH_VALUE, OVER)</w:t>
      </w:r>
    </w:p>
    <w:p>
      <w:pPr>
        <w:spacing w:after="80"/>
      </w:pPr>
      <w:r>
        <w:t xml:space="preserve"/>
      </w:r>
    </w:p>
    <w:p>
      <w:pPr>
        <w:spacing w:after="120"/>
      </w:pPr>
      <w:r>
        <w:rPr>
          <w:rFonts w:ascii="Arial" w:cs="Arial" w:eastAsia="Arial" w:hAnsi="Arial"/>
          <w:sz w:val="20"/>
          <w:szCs w:val="20"/>
        </w:rPr>
        <w:t xml:space="preserve">Each SQL block is also scored for migration effort. A SQL query with subqueries, window functions, or UNION operators is flagged with specific migration notes describing the recommended Power Query or DAX approach for each pattern.</w:t>
      </w:r>
    </w:p>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The full SQL text is preserved in both the CSV output (custom_sql_{ts}.csv) and the Excel Custom SQL tab. This means a developer can copy the SQL directly from the assessment file and begin porting it to Power Query M without needing access to Tableau Server.</w:t>
      </w:r>
    </w:p>
    <w:p>
      <w:pPr>
        <w:spacing w:after="80"/>
      </w:pPr>
      <w:r>
        <w:t xml:space="preserve"/>
      </w:r>
    </w:p>
    <w:p>
      <w:pPr>
        <w:pStyle w:val="Heading2"/>
      </w:pPr>
      <w:r>
        <w:t xml:space="preserve">2.7  Owner Activity Analysis</w:t>
      </w:r>
    </w:p>
    <w:p>
      <w:pPr>
        <w:spacing w:after="120"/>
      </w:pPr>
      <w:r>
        <w:rPr>
          <w:rFonts w:ascii="Arial" w:cs="Arial" w:eastAsia="Arial" w:hAnsi="Arial"/>
          <w:sz w:val="20"/>
          <w:szCs w:val="20"/>
        </w:rPr>
        <w:t xml:space="preserve">After extracting workbook and field metadata the tool calls two additional Tableau REST API endpoints to enrich the output with ownership health and usage data:</w:t>
      </w:r>
    </w:p>
    <w:p>
      <w:pPr>
        <w:spacing w:after="80"/>
      </w:pPr>
      <w:r>
        <w:t xml:space="preserve"/>
      </w:r>
    </w:p>
    <w:p>
      <w:pPr>
        <w:pStyle w:val="ListParagraph"/>
        <w:numPr>
          <w:ilvl w:val="0"/>
          <w:numId w:val="3"/>
        </w:numPr>
        <w:spacing w:after="80"/>
      </w:pPr>
      <w:r>
        <w:rPr>
          <w:rFonts w:ascii="Arial" w:cs="Arial" w:eastAsia="Arial" w:hAnsi="Arial"/>
          <w:sz w:val="20"/>
          <w:szCs w:val="20"/>
        </w:rPr>
        <w:t xml:space="preserve">GET /api/{version}/sites/{siteId}/users — retrieves every user on the site including their last login timestamp, display name, email, and site role.</w:t>
      </w:r>
    </w:p>
    <w:p>
      <w:pPr>
        <w:pStyle w:val="ListParagraph"/>
        <w:numPr>
          <w:ilvl w:val="0"/>
          <w:numId w:val="3"/>
        </w:numPr>
        <w:spacing w:after="80"/>
      </w:pPr>
      <w:r>
        <w:rPr>
          <w:rFonts w:ascii="Arial" w:cs="Arial" w:eastAsia="Arial" w:hAnsi="Arial"/>
          <w:sz w:val="20"/>
          <w:szCs w:val="20"/>
        </w:rPr>
        <w:t xml:space="preserve">GET /api/{version}/sites/{siteId}/views?includeUsageStatistics=true — retrieves all views on the site with total_view_count, which is then aggregated to workbook level.</w:t>
      </w:r>
    </w:p>
    <w:p>
      <w:pPr>
        <w:spacing w:after="80"/>
      </w:pPr>
      <w:r>
        <w:t xml:space="preserve"/>
      </w:r>
    </w:p>
    <w:p>
      <w:pPr>
        <w:spacing w:after="120"/>
      </w:pPr>
      <w:r>
        <w:rPr>
          <w:rFonts w:ascii="Arial" w:cs="Arial" w:eastAsia="Arial" w:hAnsi="Arial"/>
          <w:sz w:val="20"/>
          <w:szCs w:val="20"/>
        </w:rPr>
        <w:t xml:space="preserve">With these two datasets the tool calculates four additional signals per workbook:</w:t>
      </w:r>
    </w:p>
    <w:p>
      <w:pPr>
        <w:spacing w:after="80"/>
      </w:pPr>
      <w:r>
        <w:t xml:space="preserve"/>
      </w:r>
    </w:p>
    <w:p>
      <w:pPr>
        <w:pStyle w:val="ListParagraph"/>
        <w:numPr>
          <w:ilvl w:val="0"/>
          <w:numId w:val="3"/>
        </w:numPr>
        <w:spacing w:after="80"/>
      </w:pPr>
      <w:r>
        <w:rPr>
          <w:rFonts w:ascii="Arial" w:cs="Arial" w:eastAsia="Arial" w:hAnsi="Arial"/>
          <w:sz w:val="20"/>
          <w:szCs w:val="20"/>
        </w:rPr>
        <w:t xml:space="preserve">Total Views — cumulative view count aggregated across all views in the workbook.</w:t>
      </w:r>
    </w:p>
    <w:p>
      <w:pPr>
        <w:pStyle w:val="ListParagraph"/>
        <w:numPr>
          <w:ilvl w:val="0"/>
          <w:numId w:val="3"/>
        </w:numPr>
        <w:spacing w:after="80"/>
      </w:pPr>
      <w:r>
        <w:rPr>
          <w:rFonts w:ascii="Arial" w:cs="Arial" w:eastAsia="Arial" w:hAnsi="Arial"/>
          <w:sz w:val="20"/>
          <w:szCs w:val="20"/>
        </w:rPr>
        <w:t xml:space="preserve">Never Viewed — True if total_views == 0. These workbooks have zero business evidence and are the safest candidates to skip during migration.</w:t>
      </w:r>
    </w:p>
    <w:p>
      <w:pPr>
        <w:pStyle w:val="ListParagraph"/>
        <w:numPr>
          <w:ilvl w:val="0"/>
          <w:numId w:val="3"/>
        </w:numPr>
        <w:spacing w:after="80"/>
      </w:pPr>
      <w:r>
        <w:rPr>
          <w:rFonts w:ascii="Arial" w:cs="Arial" w:eastAsia="Arial" w:hAnsi="Arial"/>
          <w:sz w:val="20"/>
          <w:szCs w:val="20"/>
        </w:rPr>
        <w:t xml:space="preserve">Unused — True if total_views &lt;= the configured unused_view_threshold (default: 0). Raise this threshold (e.g. to 10) to also flag rarely-accessed workbooks.</w:t>
      </w:r>
    </w:p>
    <w:p>
      <w:pPr>
        <w:pStyle w:val="ListParagraph"/>
        <w:numPr>
          <w:ilvl w:val="0"/>
          <w:numId w:val="3"/>
        </w:numPr>
        <w:spacing w:after="80"/>
      </w:pPr>
      <w:r>
        <w:rPr>
          <w:rFonts w:ascii="Arial" w:cs="Arial" w:eastAsia="Arial" w:hAnsi="Arial"/>
          <w:sz w:val="20"/>
          <w:szCs w:val="20"/>
        </w:rPr>
        <w:t xml:space="preserve">Owner Is Active / Owner Last Login — the owner's most recent Tableau login date. If the owner has not logged in within inactive_owner_days (default: 90) or has never logged in, the workbook is flagged with an inactive owner. These workbooks need ownership reassignment before migration.</w:t>
      </w:r>
    </w:p>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Both thresholds are configurable in config_metadata.json: inactive_owner_days (default 90) and unused_view_threshold (default 0).</w:t>
      </w:r>
    </w:p>
    <w:p>
      <w:pPr>
        <w:spacing w:after="80"/>
      </w:pPr>
      <w:r>
        <w:t xml:space="preserve"/>
      </w:r>
    </w:p>
    <w:p>
      <w:r>
        <w:br w:type="page"/>
      </w:r>
    </w:p>
    <w:p>
      <w:pPr>
        <w:pStyle w:val="Heading1"/>
      </w:pPr>
      <w:r>
        <w:t xml:space="preserve">3  What You Get in the Output</w:t>
      </w:r>
    </w:p>
    <w:p>
      <w:pPr>
        <w:spacing w:after="120"/>
      </w:pPr>
      <w:r>
        <w:rPr>
          <w:rFonts w:ascii="Arial" w:cs="Arial" w:eastAsia="Arial" w:hAnsi="Arial"/>
          <w:sz w:val="20"/>
          <w:szCs w:val="20"/>
        </w:rPr>
        <w:t xml:space="preserve">Every run produces timestamped files in the configured output directory. The timestamp format is YYYYMMDD_HHMMSS so multiple runs never overwrite each other.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File Name (timestamped)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calc_fields_YYYYMMDD.csv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Every calculated field across all workbooks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lod_expressions_YYYYMMDD.csv</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LOD-only fields (FIXED / INCLUDE / EXCLUDE)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table_calcs_YYYYMMDD.csv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 calculation fields</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workbooks_YYYYMMDD.csv</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Per-workbook complexity rollup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datasources_YYYYMMDD.csv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 connection inventory</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custom_sql_YYYYMMDD.csv</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Custom SQL blocks with full SQL text and analysis flags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owner_activity_YYYYMMDD.csv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CSV</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users per site with last login date, days since login, and active/inactive flag</w:t>
            </w:r>
          </w:p>
        </w:tc>
      </w:tr>
      <w:tr>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tableau_assessment_metadata_YYYYMMDD.xlsx</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Excel</w:t>
            </w:r>
          </w:p>
        </w:tc>
        <w:tc>
          <w:tcPr>
            <w:tcW w:type="dxa" w:w="4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of the above in one formatted 8-tab workbook (includes Owner Activity tab)</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All CSV files use UTF-8 encoding with comma delimiters. They can be opened directly in Excel, imported into Power BI Desktop, or loaded into any database for further analysis.</w:t>
      </w:r>
    </w:p>
    <w:p>
      <w:pPr>
        <w:spacing w:after="80"/>
      </w:pPr>
      <w:r>
        <w:t xml:space="preserve"/>
      </w:r>
    </w:p>
    <w:p>
      <w:pPr>
        <w:pStyle w:val="Heading2"/>
      </w:pPr>
      <w:r>
        <w:t xml:space="preserve">3.1  Log File</w:t>
      </w:r>
    </w:p>
    <w:p>
      <w:pPr>
        <w:spacing w:after="120"/>
      </w:pPr>
      <w:r>
        <w:rPr>
          <w:rFonts w:ascii="Arial" w:cs="Arial" w:eastAsia="Arial" w:hAnsi="Arial"/>
          <w:sz w:val="20"/>
          <w:szCs w:val="20"/>
        </w:rPr>
        <w:t xml:space="preserve">A rotating log file (tableau_metadata_extractor.log) is written alongside the output files. It records every sign-in, page fetch, field count, and error. The log rotates at 10 MB and keeps three backups. Set log_level to DEBUG in the config to capture per-page GraphQL fetch details for troubleshooting.</w:t>
      </w:r>
    </w:p>
    <w:p>
      <w:pPr>
        <w:spacing w:after="80"/>
      </w:pPr>
      <w:r>
        <w:t xml:space="preserve"/>
      </w:r>
    </w:p>
    <w:p>
      <w:pPr>
        <w:pStyle w:val="Heading2"/>
      </w:pPr>
      <w:r>
        <w:t xml:space="preserve">3.2  Re-running the Tool</w:t>
      </w:r>
    </w:p>
    <w:p>
      <w:pPr>
        <w:spacing w:after="120"/>
      </w:pPr>
      <w:r>
        <w:rPr>
          <w:rFonts w:ascii="Arial" w:cs="Arial" w:eastAsia="Arial" w:hAnsi="Arial"/>
          <w:sz w:val="20"/>
          <w:szCs w:val="20"/>
        </w:rPr>
        <w:t xml:space="preserve">The tool is safe to re-run at any time. Each run creates new timestamped files and does not modify or delete previous results. Running it before and after a Tableau publishing cycle gives a diff-ready pair of assessment files.</w:t>
      </w:r>
    </w:p>
    <w:p>
      <w:pPr>
        <w:spacing w:after="80"/>
      </w:pPr>
      <w:r>
        <w:t xml:space="preserve"/>
      </w:r>
    </w:p>
    <w:p>
      <w:r>
        <w:br w:type="page"/>
      </w:r>
    </w:p>
    <w:p>
      <w:pPr>
        <w:pStyle w:val="Heading1"/>
      </w:pPr>
      <w:r>
        <w:t xml:space="preserve">4  Sample Output File — Tab Details</w:t>
      </w:r>
    </w:p>
    <w:p>
      <w:pPr>
        <w:spacing w:after="120"/>
      </w:pPr>
      <w:r>
        <w:rPr>
          <w:rFonts w:ascii="Arial" w:cs="Arial" w:eastAsia="Arial" w:hAnsi="Arial"/>
          <w:sz w:val="20"/>
          <w:szCs w:val="20"/>
        </w:rPr>
        <w:t xml:space="preserve">The Excel workbook contains eight tabs. Each tab is described below with its column definitions, example values, and guidance on how to use the data.</w:t>
      </w:r>
    </w:p>
    <w:p>
      <w:pPr>
        <w:spacing w:after="80"/>
      </w:pPr>
      <w:r>
        <w:t xml:space="preserve"/>
      </w:r>
    </w:p>
    <w:p>
      <w:pPr>
        <w:pStyle w:val="Heading2"/>
      </w:pPr>
      <w:r>
        <w:t xml:space="preserve">4.1  Summary Tab</w:t>
      </w:r>
    </w:p>
    <w:p>
      <w:pPr>
        <w:spacing w:after="120"/>
      </w:pPr>
      <w:r>
        <w:rPr>
          <w:rFonts w:ascii="Arial" w:cs="Arial" w:eastAsia="Arial" w:hAnsi="Arial"/>
          <w:sz w:val="20"/>
          <w:szCs w:val="20"/>
        </w:rPr>
        <w:t xml:space="preserve">The Summary tab provides an at-a-glance executive overview of the entire Tableau environment. It contains no tables — just labelled rows in two columns (metric name and value) grouped into colour-coded sections.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Section</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sites extracted, total workbooks, total datasources found.</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FIELD COUNTS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Total calculated fields, broken down into LOD expression fields and table calculation fields.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MIGRATION COMPLEXITY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Count of workbooks at each complexity level: HIGH, MEDIUM, LOW.</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TYPE BREAKDOWN</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Count of FIXED, INCLUDE, and EXCLUDE expressions across all workbooks.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 CALC FUNCTIONS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Count per function (RUNNING_SUM, RANK, WINDOW_SUM, etc.).</w:t>
            </w:r>
          </w:p>
        </w:tc>
      </w:tr>
      <w:tr>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CONNECTION TYPES</w:t>
            </w:r>
          </w:p>
        </w:tc>
        <w:tc>
          <w:tcPr>
            <w:tcW w:type="dxa" w:w="63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Count of each datasource connection type (sqlserver, bigquery, salesforce, oracle, etc.).</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This tab is the recommended starting point for stakeholder presentations. The connection types section is especially useful for estimating Power BI Gateway infrastructure requirements.</w:t>
      </w:r>
    </w:p>
    <w:p>
      <w:pPr>
        <w:spacing w:after="80"/>
      </w:pPr>
      <w:r>
        <w:t xml:space="preserve"/>
      </w:r>
    </w:p>
    <w:p>
      <w:pPr>
        <w:pStyle w:val="Heading2"/>
      </w:pPr>
      <w:r>
        <w:t xml:space="preserve">4.2  Workbooks Tab</w:t>
      </w:r>
    </w:p>
    <w:p>
      <w:pPr>
        <w:spacing w:after="120"/>
      </w:pPr>
      <w:r>
        <w:rPr>
          <w:rFonts w:ascii="Arial" w:cs="Arial" w:eastAsia="Arial" w:hAnsi="Arial"/>
          <w:sz w:val="20"/>
          <w:szCs w:val="20"/>
        </w:rPr>
        <w:t xml:space="preserve">One row per workbook. Colour-coded by Migration Complexity. Sorted by complexity (HIGH first) within each site and project.</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 the workbook belongs to.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 within the site.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Display name of the workbook as it appears in Tableau Server.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Revenue Dashboard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Owner</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Username of the workbook owner (who last published it).</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admin@company.com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Calc Fields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Total number of calculated fields in the workbook.</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Fields</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calculated fields that contain LOD expressions.</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 Calc Fields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calculated fields that use table calculation functions.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Migration Complexity</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 MEDIUM / LOW. Colour-coded red / amber / green.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Total Views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Cumulative view count across all views in the workbook (from REST API usage stats).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342</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Never Viewed</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Total Views == 0. Prime decommission candidate — no evidence of business use.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Unused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Total Views &lt;= unused_view_threshold config setting (default 0).</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Owner Active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the owner logged in within inactive_owner_days (default 90). No = inactive owner.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Owner Last Login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 the workbook owner last signed in to Tableau Server. 'Never' = never logged 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2025-03-15</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Created</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 the workbook was first published to Tableau Server.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2023-01-15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Updated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 the workbook was last republished.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2024-03-20</w:t>
            </w:r>
          </w:p>
        </w:tc>
      </w:tr>
    </w:tbl>
    <w:p>
      <w:pPr>
        <w:spacing w:after="80"/>
      </w:pPr>
      <w:r>
        <w:t xml:space="preserve"/>
      </w:r>
    </w:p>
    <w:p>
      <w:pPr>
        <w:spacing w:after="80"/>
      </w:pPr>
      <w:r>
        <w:t xml:space="preserve"/>
      </w:r>
    </w:p>
    <w:p>
      <w:pPr>
        <w:pStyle w:val="Heading2"/>
      </w:pPr>
      <w:r>
        <w:t xml:space="preserve">4.3  Calculated Fields Tab</w:t>
      </w:r>
    </w:p>
    <w:p>
      <w:pPr>
        <w:spacing w:after="120"/>
      </w:pPr>
      <w:r>
        <w:rPr>
          <w:rFonts w:ascii="Arial" w:cs="Arial" w:eastAsia="Arial" w:hAnsi="Arial"/>
          <w:sz w:val="20"/>
          <w:szCs w:val="20"/>
        </w:rPr>
        <w:t xml:space="preserve">The primary assessment tab. One row per calculated field across all workbooks and datasources. This is the main input for the DAX migration workstream. Rows are colour-coded by Migration Complexity.</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Parent workbook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Pipeline Tracker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Embedded datasource the field belongs to.</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CRM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Field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 Tableau field name (in square brackets).</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[Category Revenue Share]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Type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data type: STRING, INTEGER, REAL, BOOLEAN, DATE, DATETIME.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PBI Type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Equivalent Power BI / DAX data type.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Decimal Number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Role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dimension or measure.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measure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Formula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full Tableau calculation formula.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SUM([Revenue]) / {FIXED [Category] : SUM([Revenue])}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Has LOD</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the formula contains any LOD expression.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Types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Comma-separated list of LOD types present (FIXED, INCLUDE, EXCLUDE).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FIXED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Has Table Calc</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the formula uses a table calculation function.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 Calc Functions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Comma-separated table calc functions found in the formula.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RUNNING_SUM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Migration Complexity</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 / MEDIUM / LOW. Colour-coded.</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DAX Guidance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Specific DAX CALCULATE() pattern to use when re-implementing this field.</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FIXED: CALCULATE(&lt;expr&gt;, ALL(&lt;table&gt;)) — removes all filter context</w:t>
            </w:r>
          </w:p>
        </w:tc>
      </w:tr>
    </w:tbl>
    <w:p>
      <w:pPr>
        <w:spacing w:after="80"/>
      </w:pPr>
      <w:r>
        <w:t xml:space="preserve"/>
      </w:r>
    </w:p>
    <w:p>
      <w:pPr>
        <w:spacing w:after="80"/>
      </w:pPr>
      <w:r>
        <w:t xml:space="preserve"/>
      </w:r>
    </w:p>
    <w:p>
      <w:pPr>
        <w:pStyle w:val="Heading2"/>
      </w:pPr>
      <w:r>
        <w:t xml:space="preserve">4.4  LOD Expressions Tab</w:t>
      </w:r>
    </w:p>
    <w:p>
      <w:pPr>
        <w:spacing w:after="120"/>
      </w:pPr>
      <w:r>
        <w:rPr>
          <w:rFonts w:ascii="Arial" w:cs="Arial" w:eastAsia="Arial" w:hAnsi="Arial"/>
          <w:sz w:val="20"/>
          <w:szCs w:val="20"/>
        </w:rPr>
        <w:t xml:space="preserve">A filtered subset of the Calculated Fields tab showing only fields that contain LOD expressions ({FIXED}, {INCLUDE}, or {EXCLUDE}). The Formula column is highlighted in orange to draw attention. This tab is the primary input for the DAX re-engineering team.</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Parent workbook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Revenue Dashboard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Embedded datasource.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Field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 Tableau field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[Region Sales Share]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Types</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LOD expression type(s) found in the formula.</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FIXED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Formula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full Tableau formula (highlighted orange).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SUM([Revenue]) / {FIXED : SUM([Revenue])}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DAX Migration Guidance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Step-by-step DAX CALCULATE() pattern for this specific LOD expression.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FIXED: CALCULATE(&lt;expr&gt;, ALL(&lt;table&gt;)) — removes all filter context</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LOD expressions are the most complex pattern to migrate to Power BI. Each {FIXED} expression maps to a DAX measure using CALCULATE with REMOVEFILTERS or ALL. Each {INCLUDE} maps to CALCULATE with an additional FILTER. Each {EXCLUDE} maps to CALCULATE with REMOVEFILTERS on a specific column.</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Fields with multiple LOD types in one formula (e.g., both FIXED and INCLUDE) are flagged separately. These should be decomposed into two DAX measures before combining them.</w:t>
      </w:r>
    </w:p>
    <w:p>
      <w:pPr>
        <w:spacing w:after="80"/>
      </w:pPr>
      <w:r>
        <w:t xml:space="preserve"/>
      </w:r>
    </w:p>
    <w:p>
      <w:pPr>
        <w:pStyle w:val="Heading2"/>
      </w:pPr>
      <w:r>
        <w:t xml:space="preserve">4.5  Table Calculations Tab</w:t>
      </w:r>
    </w:p>
    <w:p>
      <w:pPr>
        <w:spacing w:after="120"/>
      </w:pPr>
      <w:r>
        <w:rPr>
          <w:rFonts w:ascii="Arial" w:cs="Arial" w:eastAsia="Arial" w:hAnsi="Arial"/>
          <w:sz w:val="20"/>
          <w:szCs w:val="20"/>
        </w:rPr>
        <w:t xml:space="preserve">A filtered subset showing only fields that use Tableau table calculation functions. These functions compute values relative to the current partition and addressing, which has no direct equivalent in Power BI — each must be re-implemented using DAX time-intelligence, RANKX, or window-style CALCULATE patterns.</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Parent workbook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Quota Attainment</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Embedded datasource.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Sales 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Field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 Tableau field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[Rolling 3M Revenue]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Functions Used</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 calc function(s) detected in the formula.</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WINDOW_SUM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Formula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full Tableau formula.</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WINDOW_SUM(SUM([Revenue]),-2,0)</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DAX Migration Guidance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Recommended DAX pattern for the detected table calc function.</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CALCULATE(SUM(Revenue[Amount]), DATESINPERIOD(Dates[Date], MAX(Dates[Date]), -3, MONTH))</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Table calculations in Tableau depend on view-level context (partition and addressing fields). In Power BI there is no direct equivalent — the DAX patterns in this tab are starting points that will need to be validated against the intended visual context.</w:t>
      </w:r>
    </w:p>
    <w:p>
      <w:pPr>
        <w:spacing w:after="80"/>
      </w:pPr>
      <w:r>
        <w:t xml:space="preserve"/>
      </w:r>
    </w:p>
    <w:p>
      <w:pPr>
        <w:pStyle w:val="Heading2"/>
      </w:pPr>
      <w:r>
        <w:t xml:space="preserve">4.6  Datasources Tab</w:t>
      </w:r>
    </w:p>
    <w:p>
      <w:pPr>
        <w:spacing w:after="120"/>
      </w:pPr>
      <w:r>
        <w:rPr>
          <w:rFonts w:ascii="Arial" w:cs="Arial" w:eastAsia="Arial" w:hAnsi="Arial"/>
          <w:sz w:val="20"/>
          <w:szCs w:val="20"/>
        </w:rPr>
        <w:t xml:space="preserve">One row per embedded datasource. This tab is used to plan the Power BI data model, gateway infrastructure, and connection method for each source system. Connection types are resolved from the Metadata API’s upstream table and published datasource references.</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Marketing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Digital Marketing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Parent workbook name.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Campaign ROI</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Name of the embedded datasource.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Marketing 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Connection Type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Underlying connection class detected from the Metadata API (sqlserver, bigquery, salesforce, oracle, etc.).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bigquery</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 Published</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the datasource is a published (shared) datasource on Tableau Server; No if it is embedded directly in the workbook.</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Total Fields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calculated fields in this datasource (from the Calculated Fields tab).</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Calc Fields</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those fields that are calculated (have a formula).</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Connection Type determines the Power BI connector to use. sqlserver → SQL Server connector; bigquery → Google BigQuery connector; salesforce → Salesforce Objects connector; oracle → Oracle Database connector.</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Is Published = Yes indicates a shared datasource. In Power BI, these map to shared datasets or dataflows in Power BI Service. Is Published = No means the connection is embedded and will need to be recreated as a direct connection in the Power BI report.</w:t>
      </w:r>
    </w:p>
    <w:p>
      <w:pPr>
        <w:spacing w:after="80"/>
      </w:pPr>
      <w:r>
        <w:t xml:space="preserve"/>
      </w:r>
    </w:p>
    <w:p>
      <w:pPr>
        <w:pStyle w:val="Heading2"/>
      </w:pPr>
      <w:r>
        <w:t xml:space="preserve">4.7  Custom SQL Tab</w:t>
      </w:r>
    </w:p>
    <w:p>
      <w:pPr>
        <w:spacing w:after="120"/>
      </w:pPr>
      <w:r>
        <w:rPr>
          <w:rFonts w:ascii="Arial" w:cs="Arial" w:eastAsia="Arial" w:hAnsi="Arial"/>
          <w:sz w:val="20"/>
          <w:szCs w:val="20"/>
        </w:rPr>
        <w:t xml:space="preserve">One row per Custom SQL table found across all datasources and workbooks. Custom SQL is any hand-written SQL block that a developer embedded directly in a Tableau datasource instead of pointing to a table. This tab captures those SQL blocks in full, along with automated analysis flags, so the migration team can assess the ETL re-work required in Power Query or a data warehouse layer.</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 the Custom SQL belongs to.</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Project folder of the parent workbook.</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 Analytics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 that uses this Custom SQL datasource.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PL Dashboard</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Datasource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Name of the datasource in Tableau that contains the Custom SQL.</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Finance_DS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SQL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Internal name of the Custom SQL table as defined in Tableau.</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gl_transactions_custom</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Connection Type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Underlying database connection (redshift, snowflake, bigquery, sqlserver, mysql, oracle).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redshift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Lines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lines in the SQL query - a rough proxy for complexity.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18</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Subquery</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the SQL contains a nested SELECT. Subqueries map to CTE steps in Power Query.</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JOINs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any JOIN keyword is present. Maps to Merge Queries in Power Query.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UNIONs</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UNION or UNION ALL is used. Maps to Append Queries in Power Query or UNION() in DAX.</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WHERE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a WHERE clause is present. Maps to Table.SelectRows in Power Query.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GROUP BY</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GROUP BY aggregation is present. Maps to Table.Group in Power Query or SUMMARIZE in DAX.</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Window Funcs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 if window functions are used (ROW_NUMBER, RANK, LAG, LEAD). Requires RANKX or EARLIER in DAX.</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Migration Notes</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Auto-generated guidance describing detected patterns and the recommended Power Query/DAX approach.</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Subquery + GROUP BY: refactor as CTE or Power Query M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SQL Query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The full SQL query text (lavender background). Copy directly to Power Query Advanced Editor to begin porting.</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SELECT account_code, SUM(amount) FROM ...</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The SQL Query column has word-wrap and a lavender background for readability. Column O is set to 80 characters wide.</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Migration effort order (highest first): Window Funcs require DAX RANKX/EARLIER rewrite; Subquery + GROUP BY map to Power Query CTEs; UNION maps to Append; JOIN + WHERE maps to Merge + filter steps.</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Connection Type drives Power BI connector choice. Redshift and BigQuery use cloud connectors; SQL Server and Oracle require an on-premises data gateway.</w:t>
      </w:r>
    </w:p>
    <w:p>
      <w:pPr>
        <w:spacing w:after="80"/>
      </w:pPr>
      <w:r>
        <w:t xml:space="preserve"/>
      </w:r>
    </w:p>
    <w:p>
      <w:pPr>
        <w:pStyle w:val="Heading2"/>
      </w:pPr>
      <w:r>
        <w:t xml:space="preserve">4.8  Owner Activity Tab</w:t>
      </w:r>
    </w:p>
    <w:p>
      <w:pPr>
        <w:spacing w:after="120"/>
      </w:pPr>
      <w:r>
        <w:rPr>
          <w:rFonts w:ascii="Arial" w:cs="Arial" w:eastAsia="Arial" w:hAnsi="Arial"/>
          <w:sz w:val="20"/>
          <w:szCs w:val="20"/>
        </w:rPr>
        <w:t xml:space="preserve">One row per user per site, populated via the Tableau REST API. This tab is the primary input for the ownership reassignment workstream before migration — it identifies who still has active access, which users have gone inactive, and how many high-complexity workbooks each person owns.</w:t>
      </w:r>
    </w:p>
    <w:p>
      <w:pPr>
        <w:spacing w:after="80"/>
      </w:pPr>
      <w:r>
        <w:t xml:space="preserve"/>
      </w:r>
    </w:p>
    <w:p>
      <w:pPr>
        <w:pStyle w:val="Heading3"/>
      </w:pPr>
      <w:r>
        <w:t xml:space="preserve">Column Definitions</w:t>
      </w:r>
    </w:p>
    <w:p>
      <w:pPr>
        <w:spacing w:after="120"/>
      </w:pPr>
      <w:r>
        <w:rPr>
          <w:rFonts w:ascii="Arial" w:cs="Arial" w:eastAsia="Arial" w:hAnsi="Arial"/>
          <w:sz w:val="20"/>
          <w:szCs w:val="20"/>
        </w:rP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3600"/>
        <w:gridCol w:w="22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Column Name</w:t>
            </w:r>
          </w:p>
        </w:tc>
        <w:tc>
          <w:tcPr>
            <w:tcW w:type="dxa" w:w="1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Type</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22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Finance</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Username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Server username (login name).</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alice.wang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Display 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Full display name of the user.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Alice Wang</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Email</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Email address on record in Tableau Server.</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alice.wang@company.com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 Role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Tableau site role (Creator, Explorer, Viewer, SiteAdministratorCreator, etc.).</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Creator</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Last Login</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Date of the user's most recent sign-in. 'Never' if the user has never logged in (e.g. provisioned but unused).</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2025-03-15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Days Since Login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days since last login. -1 means never logged in.</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52</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Is Active</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Yes/No</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 if Days Since Login &gt; inactive_owner_days threshold (default 90) or if the user has never logged in. Inactive rows are highlighted red.</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Owned Workbooks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Total number of workbooks this user owns on this site.</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Owned HIGH</w:t>
            </w:r>
          </w:p>
        </w:tc>
        <w:tc>
          <w:tcPr>
            <w:tcW w:type="dxa" w:w="1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owned workbooks scored HIGH migration complexity.</w:t>
            </w:r>
          </w:p>
        </w:tc>
        <w:tc>
          <w:tcPr>
            <w:tcW w:type="dxa" w:w="22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Owned MEDIUM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Integer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Number of owned workbooks scored MEDIUM migration complexity.</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bl>
    <w:p>
      <w:pPr>
        <w:spacing w:after="80"/>
      </w:pPr>
      <w:r>
        <w:t xml:space="preserve"/>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Inactive users highlighted in red are former employees or users who have left the team. Before migrating their workbooks to Power BI, ownership must be reassigned to an active user.</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Users with Is Active = No and Owned HIGH &gt; 0 are the highest priority for ownership reassignment — they own complex workbooks that require significant migration effort and there is no owner to validate the logic.</w:t>
      </w:r>
    </w:p>
    <w:p>
      <w:pPr>
        <w:spacing w:after="120"/>
        <w:ind w:left="360"/>
      </w:pPr>
      <w:r>
        <w:rPr>
          <w:rFonts w:ascii="Arial" w:cs="Arial" w:eastAsia="Arial" w:hAnsi="Arial"/>
          <w:b/>
          <w:bCs/>
          <w:color w:val="1F3864"/>
          <w:sz w:val="18"/>
          <w:szCs w:val="18"/>
        </w:rPr>
        <w:t xml:space="preserve">Note: </w:t>
      </w:r>
      <w:r>
        <w:rPr>
          <w:rFonts w:ascii="Arial" w:cs="Arial" w:eastAsia="Arial" w:hAnsi="Arial"/>
          <w:i/>
          <w:iCs/>
          <w:color w:val="444444"/>
          <w:sz w:val="18"/>
          <w:szCs w:val="18"/>
        </w:rPr>
        <w:t xml:space="preserve">Users who show Never in Last Login were provisioned but never used Tableau. Their owned workbooks should be reviewed to determine if they were created by an admin on behalf of the user.</w:t>
      </w:r>
    </w:p>
    <w:p>
      <w:pPr>
        <w:spacing w:after="80"/>
      </w:pPr>
      <w:r>
        <w:t xml:space="preserve"/>
      </w:r>
    </w:p>
    <w:p>
      <w:r>
        <w:br w:type="page"/>
      </w:r>
    </w:p>
    <w:p>
      <w:pPr>
        <w:pStyle w:val="Heading1"/>
      </w:pPr>
      <w:r>
        <w:t xml:space="preserve">5  Quick Start</w:t>
      </w:r>
    </w:p>
    <w:p>
      <w:pPr>
        <w:spacing w:after="80"/>
      </w:pPr>
      <w:r>
        <w:t xml:space="preserve"/>
      </w:r>
    </w:p>
    <w:p>
      <w:pPr>
        <w:pStyle w:val="Heading2"/>
      </w:pPr>
      <w:r>
        <w:t xml:space="preserve">5.1  Prerequisites</w:t>
      </w:r>
    </w:p>
    <w:p>
      <w:pPr>
        <w:pStyle w:val="ListParagraph"/>
        <w:numPr>
          <w:ilvl w:val="0"/>
          <w:numId w:val="3"/>
        </w:numPr>
        <w:spacing w:after="80"/>
      </w:pPr>
      <w:r>
        <w:rPr>
          <w:rFonts w:ascii="Arial" w:cs="Arial" w:eastAsia="Arial" w:hAnsi="Arial"/>
          <w:sz w:val="20"/>
          <w:szCs w:val="20"/>
        </w:rPr>
        <w:t xml:space="preserve">Python 3.8 or higher</w:t>
      </w:r>
    </w:p>
    <w:p>
      <w:pPr>
        <w:pStyle w:val="ListParagraph"/>
        <w:numPr>
          <w:ilvl w:val="0"/>
          <w:numId w:val="3"/>
        </w:numPr>
        <w:spacing w:after="80"/>
      </w:pPr>
      <w:r>
        <w:rPr>
          <w:rFonts w:ascii="Arial" w:cs="Arial" w:eastAsia="Arial" w:hAnsi="Arial"/>
          <w:sz w:val="20"/>
          <w:szCs w:val="20"/>
        </w:rPr>
        <w:t xml:space="preserve">Network access to your Tableau Server (HTTPS)</w:t>
      </w:r>
    </w:p>
    <w:p>
      <w:pPr>
        <w:pStyle w:val="ListParagraph"/>
        <w:numPr>
          <w:ilvl w:val="0"/>
          <w:numId w:val="3"/>
        </w:numPr>
        <w:spacing w:after="80"/>
      </w:pPr>
      <w:r>
        <w:rPr>
          <w:rFonts w:ascii="Arial" w:cs="Arial" w:eastAsia="Arial" w:hAnsi="Arial"/>
          <w:sz w:val="20"/>
          <w:szCs w:val="20"/>
        </w:rPr>
        <w:t xml:space="preserve">Tableau Server admin credentials (username + password)</w:t>
      </w:r>
    </w:p>
    <w:p>
      <w:pPr>
        <w:pStyle w:val="ListParagraph"/>
        <w:numPr>
          <w:ilvl w:val="0"/>
          <w:numId w:val="3"/>
        </w:numPr>
        <w:spacing w:after="80"/>
      </w:pPr>
      <w:r>
        <w:rPr>
          <w:rFonts w:ascii="Arial" w:cs="Arial" w:eastAsia="Arial" w:hAnsi="Arial"/>
          <w:sz w:val="20"/>
          <w:szCs w:val="20"/>
        </w:rPr>
        <w:t xml:space="preserve">Metadata API enabled on your Tableau Server (enabled by default from 2019.3+)</w:t>
      </w:r>
    </w:p>
    <w:p>
      <w:pPr>
        <w:spacing w:after="80"/>
      </w:pPr>
      <w:r>
        <w:t xml:space="preserve"/>
      </w:r>
    </w:p>
    <w:p>
      <w:pPr>
        <w:pStyle w:val="Heading2"/>
      </w:pPr>
      <w:r>
        <w:t xml:space="preserve">5.2  Installation</w:t>
      </w:r>
    </w:p>
    <w:p>
      <w:pPr>
        <w:spacing w:after="80"/>
      </w:pPr>
      <w:r>
        <w:rPr>
          <w:rFonts w:ascii="Courier New" w:cs="Courier New" w:eastAsia="Courier New" w:hAnsi="Courier New"/>
          <w:color w:val="2E4057"/>
          <w:sz w:val="18"/>
          <w:szCs w:val="18"/>
        </w:rPr>
        <w:t xml:space="preserve">pip install requests openpyxl</w:t>
      </w:r>
    </w:p>
    <w:p>
      <w:pPr>
        <w:spacing w:after="80"/>
      </w:pPr>
      <w:r>
        <w:t xml:space="preserve"/>
      </w:r>
    </w:p>
    <w:p>
      <w:pPr>
        <w:pStyle w:val="Heading2"/>
      </w:pPr>
      <w:r>
        <w:t xml:space="preserve">5.3  Configuration</w:t>
      </w:r>
    </w:p>
    <w:p>
      <w:pPr>
        <w:spacing w:after="120"/>
      </w:pPr>
      <w:r>
        <w:rPr>
          <w:rFonts w:ascii="Arial" w:cs="Arial" w:eastAsia="Arial" w:hAnsi="Arial"/>
          <w:sz w:val="20"/>
          <w:szCs w:val="20"/>
        </w:rPr>
        <w:t xml:space="preserve">Copy config_metadata.example.json to config_metadata.json and fill in your values: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Setting</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server_url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Full URL of your Tableau Server, e.g. https://tableau.yourcompany.com</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api_version</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3.21 for Tableau Server 2023.3. Check via /api/2.3/serverinfo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username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Admin username for Tableau Server sign-in</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password</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Admin password. Can also be set via TABLEAU_PASSWORD environment variable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site_content_url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 "all" to scan every site, or "" for the Default site only</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verify_ssl</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true (default). Set to false only for self-signed certificates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output_dir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Folder where CSV and Excel files are written</w:t>
            </w:r>
          </w:p>
        </w:tc>
      </w:tr>
      <w:tr>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inactive_owner_days</w:t>
            </w:r>
          </w:p>
        </w:tc>
        <w:tc>
          <w:tcPr>
            <w:tcW w:type="dxa" w:w="696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Days without login before an owner is flagged inactive (default: 90)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unused_view_threshold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Workbooks with total views at or below this value are flagged unused (default: 0)</w:t>
            </w:r>
          </w:p>
        </w:tc>
      </w:tr>
    </w:tbl>
    <w:p>
      <w:pPr>
        <w:spacing w:after="80"/>
      </w:pPr>
      <w:r>
        <w:t xml:space="preserve"/>
      </w:r>
    </w:p>
    <w:p>
      <w:pPr>
        <w:pStyle w:val="Heading2"/>
      </w:pPr>
      <w:r>
        <w:t xml:space="preserve">5.4  Running the Script</w:t>
      </w:r>
    </w:p>
    <w:p>
      <w:pPr>
        <w:spacing w:after="80"/>
      </w:pPr>
      <w:r>
        <w:rPr>
          <w:rFonts w:ascii="Courier New" w:cs="Courier New" w:eastAsia="Courier New" w:hAnsi="Courier New"/>
          <w:color w:val="2E4057"/>
          <w:sz w:val="18"/>
          <w:szCs w:val="18"/>
        </w:rPr>
        <w:t xml:space="preserve">python tableau_metadata_api_extractor.py --config config_metadata.json</w:t>
      </w:r>
    </w:p>
    <w:p>
      <w:pPr>
        <w:spacing w:after="80"/>
      </w:pPr>
      <w:r>
        <w:t xml:space="preserve"/>
      </w:r>
    </w:p>
    <w:p>
      <w:pPr>
        <w:spacing w:after="120"/>
      </w:pPr>
      <w:r>
        <w:rPr>
          <w:rFonts w:ascii="Arial" w:cs="Arial" w:eastAsia="Arial" w:hAnsi="Arial"/>
          <w:sz w:val="20"/>
          <w:szCs w:val="20"/>
        </w:rPr>
        <w:t xml:space="preserve">The script prints progress to the console and writes the same information to the log file. On completion it prints the full path to each output file.</w:t>
      </w:r>
    </w:p>
    <w:p>
      <w:pPr>
        <w:spacing w:after="80"/>
      </w:pPr>
      <w:r>
        <w:t xml:space="preserv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tabs>
        <w:tab w:val="right" w:pos="9360"/>
      </w:tabs>
    </w:pPr>
    <w:r>
      <w:rPr>
        <w:rFonts w:ascii="Arial" w:cs="Arial" w:eastAsia="Arial" w:hAnsi="Arial"/>
        <w:b/>
        <w:bCs/>
        <w:color w:val="1F3864"/>
        <w:sz w:val="18"/>
        <w:szCs w:val="18"/>
      </w:rPr>
      <w:t xml:space="preserve">Tableau → Power BI Migration Assessment</w:t>
    </w:r>
    <w:r>
      <w:rPr>
        <w:rFonts w:ascii="Arial" w:cs="Arial" w:eastAsia="Arial" w:hAnsi="Arial"/>
        <w:color w:val="888888"/>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lvl w:ilvl="1" w15:tentative="1">
      <w:start w:val="1"/>
      <w:numFmt w:val="bullet"/>
      <w:lvlText w:val="◦"/>
      <w:lvlJc w:val="left"/>
      <w:pPr>
        <w:spacing w:after="80"/>
        <w:ind w:left="108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472C4" w:sz="6" w:space="1"/>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2026-05-07T00:17:14.966Z</dcterms:created>
  <dcterms:modified xsi:type="dcterms:W3CDTF">2026-05-07T00:17:14.966Z</dcterms:modified>
</cp:coreProperties>
</file>

<file path=docProps/custom.xml><?xml version="1.0" encoding="utf-8"?>
<Properties xmlns="http://schemas.openxmlformats.org/officeDocument/2006/custom-properties" xmlns:vt="http://schemas.openxmlformats.org/officeDocument/2006/docPropsVTypes"/>
</file>