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C41" w:rsidRDefault="00D61614" w:rsidP="00D61614">
      <w:pPr>
        <w:jc w:val="center"/>
      </w:pPr>
      <w:r w:rsidRPr="00D61614">
        <w:rPr>
          <w:u w:val="single"/>
        </w:rPr>
        <w:t>Project Summary</w:t>
      </w:r>
    </w:p>
    <w:p w:rsidR="00D61614" w:rsidRDefault="00D61614" w:rsidP="00D61614">
      <w:pPr>
        <w:jc w:val="center"/>
      </w:pPr>
    </w:p>
    <w:p w:rsidR="001B324E" w:rsidRDefault="00386A00" w:rsidP="00386A00">
      <w:r>
        <w:t>How do DRG’s, discharges, and medicare payments vary state-to-state?</w:t>
      </w:r>
    </w:p>
    <w:p w:rsidR="00257373" w:rsidRDefault="00257373" w:rsidP="00386A00"/>
    <w:p w:rsidR="001B324E" w:rsidRDefault="001B324E" w:rsidP="00386A00">
      <w:r>
        <w:tab/>
        <w:t>What we found was that the top DRG does not vary significantly state-to-state, only having 5 DRG’s for all 50 states &amp; DC:</w:t>
      </w:r>
    </w:p>
    <w:p w:rsidR="001B324E" w:rsidRDefault="00CC69F6" w:rsidP="00386A00">
      <w:r>
        <w:rPr>
          <w:noProof/>
        </w:rPr>
        <w:drawing>
          <wp:inline distT="0" distB="0" distL="0" distR="0">
            <wp:extent cx="51562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36_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47"/>
                    <a:stretch/>
                  </pic:blipFill>
                  <pic:spPr bwMode="auto">
                    <a:xfrm>
                      <a:off x="0" y="0"/>
                      <a:ext cx="5156200" cy="130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4E" w:rsidRDefault="001B324E" w:rsidP="00386A00"/>
    <w:p w:rsidR="001B324E" w:rsidRDefault="001B324E" w:rsidP="00386A00">
      <w:r>
        <w:tab/>
      </w:r>
      <w:r w:rsidR="00DF1D41">
        <w:t>The number of discharges, normalized for population, does appear to be correlated with % over 65, but not entirely:</w:t>
      </w:r>
    </w:p>
    <w:p w:rsidR="00DF1D41" w:rsidRDefault="00CC69F6" w:rsidP="00386A00">
      <w:r>
        <w:rPr>
          <w:noProof/>
        </w:rPr>
        <w:drawing>
          <wp:inline distT="0" distB="0" distL="0" distR="0">
            <wp:extent cx="5943600" cy="392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22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41" w:rsidRDefault="00DF1D41" w:rsidP="00386A00"/>
    <w:p w:rsidR="00CC69F6" w:rsidRDefault="00DF1D41" w:rsidP="00386A00">
      <w:r>
        <w:tab/>
      </w:r>
    </w:p>
    <w:p w:rsidR="00CC69F6" w:rsidRDefault="00CC69F6" w:rsidP="00386A00"/>
    <w:p w:rsidR="00CC69F6" w:rsidRDefault="00CC69F6" w:rsidP="00386A00"/>
    <w:p w:rsidR="00CC69F6" w:rsidRDefault="00CC69F6" w:rsidP="00386A00"/>
    <w:p w:rsidR="00CC69F6" w:rsidRDefault="00CC69F6" w:rsidP="00386A00"/>
    <w:p w:rsidR="00CC69F6" w:rsidRDefault="00CC69F6" w:rsidP="00386A00"/>
    <w:p w:rsidR="00DF1D41" w:rsidRDefault="00DF1D41" w:rsidP="00CC69F6">
      <w:pPr>
        <w:ind w:firstLine="720"/>
      </w:pPr>
      <w:r>
        <w:lastRenderedPageBreak/>
        <w:t>The number of m</w:t>
      </w:r>
      <w:r w:rsidR="00651E3A">
        <w:t>edicare payments state-to-state, when normalized for population, does not appear to be entirely correlated with discharges:</w:t>
      </w:r>
    </w:p>
    <w:p w:rsidR="00257373" w:rsidRDefault="00CC69F6" w:rsidP="00386A00">
      <w:r>
        <w:rPr>
          <w:noProof/>
        </w:rPr>
        <w:drawing>
          <wp:inline distT="0" distB="0" distL="0" distR="0">
            <wp:extent cx="5943600" cy="372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2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26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F6" w:rsidRDefault="00257373" w:rsidP="00386A00">
      <w:r>
        <w:tab/>
      </w:r>
    </w:p>
    <w:p w:rsidR="00CC69F6" w:rsidRDefault="00CC69F6" w:rsidP="00386A00"/>
    <w:p w:rsidR="00CC69F6" w:rsidRDefault="00CC69F6" w:rsidP="00386A00"/>
    <w:p w:rsidR="00CC69F6" w:rsidRDefault="00CC69F6" w:rsidP="00386A00"/>
    <w:p w:rsidR="00CC69F6" w:rsidRDefault="00CC69F6" w:rsidP="00386A00"/>
    <w:p w:rsidR="00257373" w:rsidRDefault="00257373" w:rsidP="00CC69F6">
      <w:pPr>
        <w:ind w:firstLine="720"/>
      </w:pPr>
      <w:r>
        <w:lastRenderedPageBreak/>
        <w:t>The total payments by medicare to each state, when normalized, is variable, but several rural, low-population states consume a larger share:</w:t>
      </w:r>
    </w:p>
    <w:p w:rsidR="00651E3A" w:rsidRDefault="00651E3A" w:rsidP="00386A00"/>
    <w:p w:rsidR="00651E3A" w:rsidRDefault="00CC69F6" w:rsidP="00386A00">
      <w:r>
        <w:rPr>
          <w:noProof/>
        </w:rPr>
        <w:drawing>
          <wp:inline distT="0" distB="0" distL="0" distR="0">
            <wp:extent cx="3086100" cy="123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_33_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77"/>
                    <a:stretch/>
                  </pic:blipFill>
                  <pic:spPr bwMode="auto">
                    <a:xfrm>
                      <a:off x="0" y="0"/>
                      <a:ext cx="308610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9F6" w:rsidRDefault="00CC69F6" w:rsidP="00386A00"/>
    <w:p w:rsidR="00386A00" w:rsidRDefault="00257373" w:rsidP="00386A00">
      <w:r>
        <w:t>How have the</w:t>
      </w:r>
      <w:r w:rsidR="001F4968">
        <w:t xml:space="preserve"> total and</w:t>
      </w:r>
      <w:r>
        <w:t xml:space="preserve"> top DRG’s changed over time?</w:t>
      </w:r>
    </w:p>
    <w:p w:rsidR="00257373" w:rsidRDefault="00257373" w:rsidP="00386A00"/>
    <w:p w:rsidR="00257373" w:rsidRDefault="0092271E" w:rsidP="00386A00">
      <w:r>
        <w:tab/>
        <w:t>Discharges of the top 100 DRG’s were trending down, due to a modification of data, it is unclear if this trend has continued in 2014 &amp; 2015</w:t>
      </w:r>
      <w:r w:rsidR="005D63A3">
        <w:t>:</w:t>
      </w:r>
    </w:p>
    <w:p w:rsidR="0092271E" w:rsidRDefault="00B93E4A" w:rsidP="00386A00">
      <w:r>
        <w:rPr>
          <w:noProof/>
        </w:rPr>
        <w:drawing>
          <wp:inline distT="0" distB="0" distL="0" distR="0">
            <wp:extent cx="5524500" cy="332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17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1E" w:rsidRDefault="0092271E" w:rsidP="00386A00">
      <w:r>
        <w:tab/>
      </w:r>
      <w:r w:rsidR="005D63A3">
        <w:t>Medicare payments howe</w:t>
      </w:r>
      <w:r w:rsidR="00B93E4A">
        <w:t>ver, have largely remained flat</w:t>
      </w:r>
    </w:p>
    <w:p w:rsidR="001F4968" w:rsidRDefault="001F4968" w:rsidP="00386A00"/>
    <w:p w:rsidR="001F4968" w:rsidRPr="00D61614" w:rsidRDefault="001F4968" w:rsidP="00386A00">
      <w:r>
        <w:lastRenderedPageBreak/>
        <w:tab/>
      </w:r>
      <w:r w:rsidR="000C3A51">
        <w:t>The top 5 discharges nation-wide have not varied significantly, although sepsis peaked and fell</w:t>
      </w:r>
      <w:r w:rsidR="00B93E4A">
        <w:t xml:space="preserve"> in 2014, perhaps reflecting some larger commitment </w:t>
      </w:r>
      <w:bookmarkStart w:id="0" w:name="_GoBack"/>
      <w:bookmarkEnd w:id="0"/>
      <w:r w:rsidR="000C3A51">
        <w:t>:</w:t>
      </w:r>
      <w:r w:rsidR="00B93E4A">
        <w:rPr>
          <w:noProof/>
        </w:rPr>
        <w:drawing>
          <wp:inline distT="0" distB="0" distL="0" distR="0">
            <wp:extent cx="5054600" cy="344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_39_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968" w:rsidRPr="00D61614" w:rsidSect="00B47C7C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754" w:rsidRDefault="00354754" w:rsidP="00B47C7C">
      <w:r>
        <w:separator/>
      </w:r>
    </w:p>
  </w:endnote>
  <w:endnote w:type="continuationSeparator" w:id="0">
    <w:p w:rsidR="00354754" w:rsidRDefault="00354754" w:rsidP="00B4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754" w:rsidRDefault="00354754" w:rsidP="00B47C7C">
      <w:r>
        <w:separator/>
      </w:r>
    </w:p>
  </w:footnote>
  <w:footnote w:type="continuationSeparator" w:id="0">
    <w:p w:rsidR="00354754" w:rsidRDefault="00354754" w:rsidP="00B4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C7C" w:rsidRDefault="00B47C7C">
    <w:pPr>
      <w:pStyle w:val="Header"/>
    </w:pPr>
    <w:r>
      <w:t>DS Bootcamp T/R/Sat, Group 2, Project 1</w:t>
    </w:r>
  </w:p>
  <w:p w:rsidR="00B47C7C" w:rsidRPr="00B47C7C" w:rsidRDefault="00B47C7C">
    <w:pPr>
      <w:pStyle w:val="Header"/>
    </w:pPr>
    <w:r w:rsidRPr="00B47C7C">
      <w:rPr>
        <w:bCs/>
      </w:rPr>
      <w:t>By: Brian Connel, Jeff Rosal, Ashok Bidani, and Michael Stewart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C"/>
    <w:rsid w:val="000948B5"/>
    <w:rsid w:val="000C3A51"/>
    <w:rsid w:val="001B324E"/>
    <w:rsid w:val="001F4968"/>
    <w:rsid w:val="002446BC"/>
    <w:rsid w:val="00257373"/>
    <w:rsid w:val="00354754"/>
    <w:rsid w:val="00386A00"/>
    <w:rsid w:val="004D583F"/>
    <w:rsid w:val="005A0C41"/>
    <w:rsid w:val="005D63A3"/>
    <w:rsid w:val="00651E3A"/>
    <w:rsid w:val="0092271E"/>
    <w:rsid w:val="00B47C7C"/>
    <w:rsid w:val="00B93E4A"/>
    <w:rsid w:val="00CC69F6"/>
    <w:rsid w:val="00D04C9C"/>
    <w:rsid w:val="00D21CAF"/>
    <w:rsid w:val="00D61614"/>
    <w:rsid w:val="00D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168C"/>
  <w14:defaultImageDpi w14:val="32767"/>
  <w15:chartTrackingRefBased/>
  <w15:docId w15:val="{ABAF6754-EAE9-EE4A-82F6-240418A4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C7C"/>
  </w:style>
  <w:style w:type="paragraph" w:styleId="Footer">
    <w:name w:val="footer"/>
    <w:basedOn w:val="Normal"/>
    <w:link w:val="FooterChar"/>
    <w:uiPriority w:val="99"/>
    <w:unhideWhenUsed/>
    <w:rsid w:val="00B47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2018-06-14T23:20:00Z</dcterms:created>
  <dcterms:modified xsi:type="dcterms:W3CDTF">2018-06-15T20:46:00Z</dcterms:modified>
</cp:coreProperties>
</file>