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428E" w14:textId="6CB3B52B" w:rsidR="00F46AD9" w:rsidRDefault="00000000">
      <w:pPr>
        <w:spacing w:after="80"/>
      </w:pPr>
      <w:r>
        <w:rPr>
          <w:b/>
          <w:bCs/>
          <w:color w:val="1F3864"/>
          <w:sz w:val="36"/>
          <w:szCs w:val="36"/>
        </w:rPr>
        <w:t>Pan-Cancer Analysis</w:t>
      </w:r>
    </w:p>
    <w:p w14:paraId="43BD198F" w14:textId="77777777" w:rsidR="00F46AD9" w:rsidRDefault="00F46AD9">
      <w:pPr>
        <w:pBdr>
          <w:bottom w:val="single" w:sz="6" w:space="1" w:color="1F3864"/>
        </w:pBdr>
        <w:spacing w:before="60" w:after="60"/>
      </w:pPr>
    </w:p>
    <w:tbl>
      <w:tblPr>
        <w:tblW w:w="10080" w:type="dxa"/>
        <w:tblBorders>
          <w:top w:val="single" w:sz="2" w:space="0" w:color="B4BFD6"/>
          <w:left w:val="single" w:sz="2" w:space="0" w:color="B4BFD6"/>
          <w:bottom w:val="single" w:sz="2" w:space="0" w:color="B4BFD6"/>
          <w:right w:val="single" w:sz="2" w:space="0" w:color="B4BFD6"/>
          <w:insideH w:val="single" w:sz="2" w:space="0" w:color="D6DCE8"/>
          <w:insideV w:val="single" w:sz="2" w:space="0" w:color="D6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F46AD9" w14:paraId="217C5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622F" w14:textId="77777777" w:rsidR="00F46AD9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Parameter</w:t>
            </w:r>
          </w:p>
        </w:tc>
        <w:tc>
          <w:tcPr>
            <w:tcW w:w="708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79BD" w14:textId="77777777" w:rsidR="00F46AD9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Value</w:t>
            </w:r>
          </w:p>
        </w:tc>
      </w:tr>
      <w:tr w:rsidR="00F46AD9" w14:paraId="47ED6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6A38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Gene set</w:t>
            </w:r>
          </w:p>
        </w:tc>
        <w:tc>
          <w:tcPr>
            <w:tcW w:w="7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C80D" w14:textId="3B23529C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[</w:t>
            </w:r>
            <w:r w:rsidR="00910D7C">
              <w:rPr>
                <w:color w:val="000000"/>
                <w:sz w:val="19"/>
                <w:szCs w:val="19"/>
              </w:rPr>
              <w:t>family gene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F46AD9" w14:paraId="261A7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934B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Number of genes</w:t>
            </w:r>
          </w:p>
        </w:tc>
        <w:tc>
          <w:tcPr>
            <w:tcW w:w="70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99CF" w14:textId="66722B74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[</w:t>
            </w:r>
            <w:r w:rsidR="00910D7C">
              <w:rPr>
                <w:color w:val="000000"/>
                <w:sz w:val="19"/>
                <w:szCs w:val="19"/>
              </w:rPr>
              <w:t>21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</w:tbl>
    <w:p w14:paraId="2CCB6E62" w14:textId="77777777" w:rsidR="00F46AD9" w:rsidRDefault="00000000">
      <w:pPr>
        <w:spacing w:before="200" w:after="60"/>
      </w:pPr>
      <w:r>
        <w:rPr>
          <w:b/>
          <w:bCs/>
        </w:rPr>
        <w:t xml:space="preserve">Reference workflow: </w:t>
      </w:r>
      <w:proofErr w:type="spellStart"/>
      <w:r>
        <w:t>Czerwinska</w:t>
      </w:r>
      <w:proofErr w:type="spellEnd"/>
      <w:r>
        <w:t xml:space="preserve"> P, et al. </w:t>
      </w:r>
      <w:r>
        <w:rPr>
          <w:i/>
          <w:iCs/>
        </w:rPr>
        <w:t>Int J Cancer.</w:t>
      </w:r>
      <w:r>
        <w:t xml:space="preserve"> 2022;150(11):1838–1849. doi:10.1002/ijc.33937 (open access). Same tools, same tests — different gene set.</w:t>
      </w:r>
    </w:p>
    <w:p w14:paraId="1356631F" w14:textId="77777777" w:rsidR="00F46AD9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1. Analyses required</w:t>
      </w:r>
    </w:p>
    <w:tbl>
      <w:tblPr>
        <w:tblW w:w="10080" w:type="dxa"/>
        <w:tblBorders>
          <w:top w:val="single" w:sz="2" w:space="0" w:color="B4BFD6"/>
          <w:left w:val="single" w:sz="2" w:space="0" w:color="B4BFD6"/>
          <w:bottom w:val="single" w:sz="2" w:space="0" w:color="B4BFD6"/>
          <w:right w:val="single" w:sz="2" w:space="0" w:color="B4BFD6"/>
          <w:insideH w:val="single" w:sz="2" w:space="0" w:color="D6DCE8"/>
          <w:insideV w:val="single" w:sz="2" w:space="0" w:color="D6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80"/>
      </w:tblGrid>
      <w:tr w:rsidR="00F46AD9" w14:paraId="41E29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549B" w14:textId="77777777" w:rsidR="00F46AD9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#</w:t>
            </w:r>
          </w:p>
        </w:tc>
        <w:tc>
          <w:tcPr>
            <w:tcW w:w="938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AEED" w14:textId="77777777" w:rsidR="00F46AD9" w:rsidRDefault="00000000">
            <w:pPr>
              <w:spacing w:before="20"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Analysis</w:t>
            </w:r>
          </w:p>
        </w:tc>
      </w:tr>
      <w:tr w:rsidR="00F46AD9" w14:paraId="5F2EE0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AF58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8BE0" w14:textId="44F9F9C6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Cohort selection — TCGA + survival data available</w:t>
            </w:r>
          </w:p>
        </w:tc>
      </w:tr>
      <w:tr w:rsidR="00F46AD9" w14:paraId="3B297B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031D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3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35D1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 xml:space="preserve">Differential expression, </w:t>
            </w:r>
            <w:proofErr w:type="spellStart"/>
            <w:r>
              <w:rPr>
                <w:color w:val="000000"/>
                <w:sz w:val="19"/>
                <w:szCs w:val="19"/>
              </w:rPr>
              <w:t>tumor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vs normal adjacent tissue</w:t>
            </w:r>
          </w:p>
        </w:tc>
      </w:tr>
      <w:tr w:rsidR="00F46AD9" w14:paraId="30564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13C9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E58D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Overall survival / hazard ratio per gene</w:t>
            </w:r>
          </w:p>
        </w:tc>
      </w:tr>
      <w:tr w:rsidR="00F46AD9" w14:paraId="12CB85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2C4C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93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4A4F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Genomic alteration frequency (mutation, amplification, deletion)</w:t>
            </w:r>
          </w:p>
        </w:tc>
      </w:tr>
      <w:tr w:rsidR="00F46AD9" w14:paraId="39E9C4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A091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9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B079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Co-expression and DEG derivation (high vs low expressing groups, mean as cut-off)</w:t>
            </w:r>
          </w:p>
        </w:tc>
      </w:tr>
      <w:tr w:rsidR="00F46AD9" w14:paraId="64325C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666B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93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F73B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Correlation of gene expression with 6 stemness scores</w:t>
            </w:r>
          </w:p>
        </w:tc>
      </w:tr>
      <w:tr w:rsidR="00F46AD9" w14:paraId="00D83E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E642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9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60CB" w14:textId="44F00BB4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 xml:space="preserve">Molecular subtype stratification </w:t>
            </w:r>
          </w:p>
        </w:tc>
      </w:tr>
      <w:tr w:rsidR="00F46AD9" w14:paraId="6FA3A0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124F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93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0139" w14:textId="47FDCC03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 xml:space="preserve">Correlation with histologic </w:t>
            </w:r>
            <w:proofErr w:type="spellStart"/>
            <w:r>
              <w:rPr>
                <w:color w:val="000000"/>
                <w:sz w:val="19"/>
                <w:szCs w:val="19"/>
              </w:rPr>
              <w:t>tumor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grade </w:t>
            </w:r>
          </w:p>
        </w:tc>
      </w:tr>
      <w:tr w:rsidR="00F46AD9" w14:paraId="518B74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1C03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9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8B37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 xml:space="preserve">GSEA vs stemness signatures and vs </w:t>
            </w:r>
            <w:proofErr w:type="spellStart"/>
            <w:r>
              <w:rPr>
                <w:color w:val="000000"/>
                <w:sz w:val="19"/>
                <w:szCs w:val="19"/>
              </w:rPr>
              <w:t>MSigDB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Hallmark</w:t>
            </w:r>
          </w:p>
        </w:tc>
      </w:tr>
      <w:tr w:rsidR="00F46AD9" w14:paraId="42E261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02EE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93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639E" w14:textId="6E885DD6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Transcription factor follow-up — driven by Hallmark output</w:t>
            </w:r>
          </w:p>
        </w:tc>
      </w:tr>
      <w:tr w:rsidR="00F46AD9" w14:paraId="066F6C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2DC2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9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09F9" w14:textId="77777777" w:rsidR="00F46AD9" w:rsidRDefault="00000000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Independent validation in GEO datasets</w:t>
            </w:r>
          </w:p>
        </w:tc>
      </w:tr>
    </w:tbl>
    <w:p w14:paraId="7BA34411" w14:textId="77777777" w:rsidR="00F46AD9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2. Platforms and tools</w:t>
      </w:r>
    </w:p>
    <w:tbl>
      <w:tblPr>
        <w:tblW w:w="8680" w:type="dxa"/>
        <w:tblBorders>
          <w:top w:val="single" w:sz="2" w:space="0" w:color="B4BFD6"/>
          <w:left w:val="single" w:sz="2" w:space="0" w:color="B4BFD6"/>
          <w:bottom w:val="single" w:sz="2" w:space="0" w:color="B4BFD6"/>
          <w:right w:val="single" w:sz="2" w:space="0" w:color="B4BFD6"/>
          <w:insideH w:val="single" w:sz="2" w:space="0" w:color="D6DCE8"/>
          <w:insideV w:val="single" w:sz="2" w:space="0" w:color="D6DC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280"/>
      </w:tblGrid>
      <w:tr w:rsidR="00910D7C" w14:paraId="044AD301" w14:textId="77777777" w:rsidTr="00910D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35E3" w14:textId="77777777" w:rsidR="00910D7C" w:rsidRDefault="00910D7C">
            <w:pPr>
              <w:spacing w:before="20"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Tool</w:t>
            </w:r>
          </w:p>
        </w:tc>
        <w:tc>
          <w:tcPr>
            <w:tcW w:w="5280" w:type="dxa"/>
            <w:shd w:val="clear" w:color="auto" w:fill="DC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2D18" w14:textId="77777777" w:rsidR="00910D7C" w:rsidRDefault="00910D7C">
            <w:pPr>
              <w:spacing w:before="20"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Used for</w:t>
            </w:r>
          </w:p>
        </w:tc>
      </w:tr>
      <w:tr w:rsidR="00910D7C" w14:paraId="2D989349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6D6F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TIMER2.0 (</w:t>
            </w:r>
            <w:proofErr w:type="spellStart"/>
            <w:r>
              <w:rPr>
                <w:color w:val="000000"/>
                <w:sz w:val="19"/>
                <w:szCs w:val="19"/>
              </w:rPr>
              <w:t>Gene_DE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module)</w:t>
            </w:r>
          </w:p>
        </w:tc>
        <w:tc>
          <w:tcPr>
            <w:tcW w:w="5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0B45" w14:textId="77777777" w:rsidR="00910D7C" w:rsidRDefault="00910D7C">
            <w:pPr>
              <w:spacing w:before="20" w:after="20"/>
            </w:pPr>
            <w:proofErr w:type="spellStart"/>
            <w:r>
              <w:rPr>
                <w:color w:val="000000"/>
                <w:sz w:val="19"/>
                <w:szCs w:val="19"/>
              </w:rPr>
              <w:t>Tumor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vs normal differential expression</w:t>
            </w:r>
          </w:p>
        </w:tc>
      </w:tr>
      <w:tr w:rsidR="00910D7C" w14:paraId="22F224F6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1AA8" w14:textId="77777777" w:rsidR="00910D7C" w:rsidRDefault="00910D7C">
            <w:pPr>
              <w:spacing w:before="20" w:after="20"/>
            </w:pPr>
            <w:proofErr w:type="spellStart"/>
            <w:r>
              <w:rPr>
                <w:color w:val="000000"/>
                <w:sz w:val="19"/>
                <w:szCs w:val="19"/>
              </w:rPr>
              <w:t>TNMplot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GEPIA2 DE / R2 — applicant's choice</w:t>
            </w:r>
          </w:p>
        </w:tc>
        <w:tc>
          <w:tcPr>
            <w:tcW w:w="52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6F48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Independent DE validation (replaces retired Oncomine)</w:t>
            </w:r>
          </w:p>
        </w:tc>
      </w:tr>
      <w:tr w:rsidR="00910D7C" w14:paraId="00C4F268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B600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GEPIA2 (</w:t>
            </w:r>
            <w:proofErr w:type="spellStart"/>
            <w:r>
              <w:rPr>
                <w:color w:val="000000"/>
                <w:sz w:val="19"/>
                <w:szCs w:val="19"/>
              </w:rPr>
              <w:t>Survival_Map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panel)</w:t>
            </w:r>
          </w:p>
        </w:tc>
        <w:tc>
          <w:tcPr>
            <w:tcW w:w="5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0686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Overall survival, hazard ratios</w:t>
            </w:r>
          </w:p>
        </w:tc>
      </w:tr>
      <w:tr w:rsidR="00910D7C" w14:paraId="655CF55D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3249" w14:textId="77777777" w:rsidR="00910D7C" w:rsidRDefault="00910D7C">
            <w:pPr>
              <w:spacing w:before="20" w:after="20"/>
            </w:pPr>
            <w:proofErr w:type="spellStart"/>
            <w:r>
              <w:rPr>
                <w:color w:val="000000"/>
                <w:sz w:val="19"/>
                <w:szCs w:val="19"/>
              </w:rPr>
              <w:t>PrognoScan</w:t>
            </w:r>
            <w:proofErr w:type="spellEnd"/>
          </w:p>
        </w:tc>
        <w:tc>
          <w:tcPr>
            <w:tcW w:w="52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DE55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Prognostic meta-analysis in GEO cohorts</w:t>
            </w:r>
          </w:p>
        </w:tc>
      </w:tr>
      <w:tr w:rsidR="00910D7C" w14:paraId="611EAA59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D411" w14:textId="77777777" w:rsidR="00910D7C" w:rsidRDefault="00910D7C">
            <w:pPr>
              <w:spacing w:before="20" w:after="20"/>
            </w:pPr>
            <w:proofErr w:type="spellStart"/>
            <w:r>
              <w:rPr>
                <w:color w:val="000000"/>
                <w:sz w:val="19"/>
                <w:szCs w:val="19"/>
              </w:rPr>
              <w:t>cBioPortal</w:t>
            </w:r>
            <w:proofErr w:type="spellEnd"/>
          </w:p>
        </w:tc>
        <w:tc>
          <w:tcPr>
            <w:tcW w:w="5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5D80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Alteration frequencies + RSEM expression download</w:t>
            </w:r>
          </w:p>
        </w:tc>
      </w:tr>
      <w:tr w:rsidR="00910D7C" w14:paraId="1AE40016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FBAF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R2 Genomics Analysis and Visualization Platform</w:t>
            </w:r>
          </w:p>
        </w:tc>
        <w:tc>
          <w:tcPr>
            <w:tcW w:w="52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633C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Stemness signature scoring; GEO validation datasets</w:t>
            </w:r>
          </w:p>
        </w:tc>
      </w:tr>
      <w:tr w:rsidR="00910D7C" w14:paraId="5CD9AB28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FA60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TISIDB</w:t>
            </w:r>
          </w:p>
        </w:tc>
        <w:tc>
          <w:tcPr>
            <w:tcW w:w="5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90F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Expression vs histologic grade</w:t>
            </w:r>
          </w:p>
        </w:tc>
      </w:tr>
      <w:tr w:rsidR="00910D7C" w14:paraId="4F503B8E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F294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lastRenderedPageBreak/>
              <w:t>Human Protein Atlas</w:t>
            </w:r>
          </w:p>
        </w:tc>
        <w:tc>
          <w:tcPr>
            <w:tcW w:w="52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D175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IHC protein-level validation</w:t>
            </w:r>
          </w:p>
        </w:tc>
      </w:tr>
      <w:tr w:rsidR="00910D7C" w14:paraId="0CA3657E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8483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GSEA (Broad Institute)</w:t>
            </w:r>
          </w:p>
        </w:tc>
        <w:tc>
          <w:tcPr>
            <w:tcW w:w="5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6BD6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Enrichment analysis</w:t>
            </w:r>
          </w:p>
        </w:tc>
      </w:tr>
      <w:tr w:rsidR="00910D7C" w14:paraId="3F112272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4F03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Pathway Commons</w:t>
            </w:r>
          </w:p>
        </w:tc>
        <w:tc>
          <w:tcPr>
            <w:tcW w:w="5280" w:type="dxa"/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27CB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Protein–protein interaction check</w:t>
            </w:r>
          </w:p>
        </w:tc>
      </w:tr>
      <w:tr w:rsidR="00910D7C" w14:paraId="3620FBA4" w14:textId="77777777" w:rsidTr="00910D7C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4104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GraphPad Prism 8.0 (or R/ggplot2, state which)</w:t>
            </w:r>
          </w:p>
        </w:tc>
        <w:tc>
          <w:tcPr>
            <w:tcW w:w="5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E282" w14:textId="77777777" w:rsidR="00910D7C" w:rsidRDefault="00910D7C">
            <w:pPr>
              <w:spacing w:before="20" w:after="20"/>
            </w:pPr>
            <w:r>
              <w:rPr>
                <w:color w:val="000000"/>
                <w:sz w:val="19"/>
                <w:szCs w:val="19"/>
              </w:rPr>
              <w:t>Statistics and figures</w:t>
            </w:r>
          </w:p>
        </w:tc>
      </w:tr>
    </w:tbl>
    <w:p w14:paraId="2A62990C" w14:textId="77777777" w:rsidR="00F46AD9" w:rsidRDefault="00000000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3. Databases and reference datasets</w:t>
      </w:r>
    </w:p>
    <w:p w14:paraId="662E40C0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TCGA</w:t>
      </w:r>
    </w:p>
    <w:p w14:paraId="1776F120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GEO</w:t>
      </w:r>
    </w:p>
    <w:p w14:paraId="490D1744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proofErr w:type="spellStart"/>
      <w:r w:rsidRPr="00910D7C">
        <w:rPr>
          <w:sz w:val="24"/>
          <w:szCs w:val="24"/>
        </w:rPr>
        <w:t>MSigDB</w:t>
      </w:r>
      <w:proofErr w:type="spellEnd"/>
      <w:r w:rsidRPr="00910D7C">
        <w:rPr>
          <w:sz w:val="24"/>
          <w:szCs w:val="24"/>
        </w:rPr>
        <w:t xml:space="preserve"> — Hallmark collection</w:t>
      </w:r>
    </w:p>
    <w:p w14:paraId="16425FDA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PCBC</w:t>
      </w:r>
    </w:p>
    <w:p w14:paraId="0B63E100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Human Protein Atlas</w:t>
      </w:r>
    </w:p>
    <w:p w14:paraId="5AD7E1FF" w14:textId="11BB7653" w:rsidR="00910D7C" w:rsidRDefault="00910D7C" w:rsidP="00910D7C">
      <w:pPr>
        <w:pStyle w:val="Heading1"/>
        <w:spacing w:before="320" w:after="140"/>
      </w:pPr>
      <w:r w:rsidRPr="00910D7C">
        <w:rPr>
          <w:sz w:val="24"/>
          <w:szCs w:val="24"/>
        </w:rPr>
        <w:t>Pathway Commons</w:t>
      </w:r>
    </w:p>
    <w:p w14:paraId="2BA3BB4E" w14:textId="77777777" w:rsidR="00F46AD9" w:rsidRDefault="00000000">
      <w:pPr>
        <w:pStyle w:val="Heading1"/>
        <w:spacing w:before="320" w:after="14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4. Statistical tests</w:t>
      </w:r>
    </w:p>
    <w:p w14:paraId="37C7EA6F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Wilcoxon test</w:t>
      </w:r>
    </w:p>
    <w:p w14:paraId="0B7988F5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Mantel–Cox test, hazard ratio</w:t>
      </w:r>
    </w:p>
    <w:p w14:paraId="5087D04E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Spearman's rank correlation (r)</w:t>
      </w:r>
    </w:p>
    <w:p w14:paraId="054F2E1C" w14:textId="77777777" w:rsidR="00910D7C" w:rsidRPr="00910D7C" w:rsidRDefault="00910D7C" w:rsidP="00910D7C">
      <w:pPr>
        <w:pStyle w:val="Heading1"/>
        <w:spacing w:before="320" w:after="140"/>
        <w:rPr>
          <w:sz w:val="24"/>
          <w:szCs w:val="24"/>
        </w:rPr>
      </w:pPr>
      <w:r w:rsidRPr="00910D7C">
        <w:rPr>
          <w:sz w:val="24"/>
          <w:szCs w:val="24"/>
        </w:rPr>
        <w:t>Kruskal–Wallis + Dunn's post hoc</w:t>
      </w:r>
    </w:p>
    <w:p w14:paraId="57781CAF" w14:textId="49A89F9E" w:rsidR="00910D7C" w:rsidRDefault="00910D7C" w:rsidP="00910D7C">
      <w:pPr>
        <w:pStyle w:val="Heading1"/>
        <w:spacing w:before="320" w:after="140"/>
      </w:pPr>
      <w:r w:rsidRPr="00910D7C">
        <w:rPr>
          <w:sz w:val="24"/>
          <w:szCs w:val="24"/>
        </w:rPr>
        <w:t>ANOVA</w:t>
      </w:r>
    </w:p>
    <w:p w14:paraId="4C4EC8B9" w14:textId="77777777" w:rsidR="00F46AD9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5. Figure types required</w:t>
      </w:r>
    </w:p>
    <w:p w14:paraId="05773E1F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Heatmap with adjacent bar panel (gene × cohort)</w:t>
      </w:r>
    </w:p>
    <w:p w14:paraId="4A96E7BB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Heatmap (gene × cohort, no bar panel)</w:t>
      </w:r>
    </w:p>
    <w:p w14:paraId="1A44BAD1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Bar panels (cohort counts, positive vs negative)</w:t>
      </w:r>
    </w:p>
    <w:p w14:paraId="59BF9B26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Volcano-style scatter</w:t>
      </w:r>
    </w:p>
    <w:p w14:paraId="26AFD5A0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Scatter plots with r and P annotated</w:t>
      </w:r>
    </w:p>
    <w:p w14:paraId="42A32647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Grouped dot plots, mean ± SD</w:t>
      </w:r>
    </w:p>
    <w:p w14:paraId="080052C1" w14:textId="77777777" w:rsidR="00F46AD9" w:rsidRDefault="00000000">
      <w:pPr>
        <w:pStyle w:val="ListParagraph"/>
        <w:numPr>
          <w:ilvl w:val="0"/>
          <w:numId w:val="2"/>
        </w:numPr>
        <w:spacing w:before="30" w:after="30"/>
      </w:pPr>
      <w:r>
        <w:t>IHC image panel</w:t>
      </w:r>
    </w:p>
    <w:p w14:paraId="0F736B3E" w14:textId="77777777" w:rsidR="00F46AD9" w:rsidRDefault="00F46AD9">
      <w:pPr>
        <w:spacing w:before="120"/>
      </w:pPr>
    </w:p>
    <w:p w14:paraId="611D0906" w14:textId="77777777" w:rsidR="00F46AD9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6. Deliverables</w:t>
      </w:r>
    </w:p>
    <w:p w14:paraId="31F02803" w14:textId="02D814DE" w:rsidR="00F46AD9" w:rsidRDefault="00000000">
      <w:pPr>
        <w:pStyle w:val="ListParagraph"/>
        <w:numPr>
          <w:ilvl w:val="0"/>
          <w:numId w:val="3"/>
        </w:numPr>
        <w:spacing w:before="30" w:after="30"/>
      </w:pPr>
      <w:r>
        <w:t>All processed data files (Excel/CSV</w:t>
      </w:r>
      <w:r w:rsidR="00910D7C">
        <w:t>/supplementary</w:t>
      </w:r>
      <w:r>
        <w:t>)</w:t>
      </w:r>
    </w:p>
    <w:p w14:paraId="653BC617" w14:textId="77777777" w:rsidR="00F46AD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Publication-quality figures with </w:t>
      </w:r>
      <w:r>
        <w:rPr>
          <w:b/>
          <w:bCs/>
        </w:rPr>
        <w:t>editable source files</w:t>
      </w:r>
      <w:r>
        <w:t xml:space="preserve"> (Prism, or vector SVG/AI/PDF)</w:t>
      </w:r>
    </w:p>
    <w:p w14:paraId="412B59BD" w14:textId="77777777" w:rsidR="00F46AD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Written </w:t>
      </w:r>
      <w:r>
        <w:rPr>
          <w:b/>
          <w:bCs/>
        </w:rPr>
        <w:t>Materials and Methods</w:t>
      </w:r>
      <w:r>
        <w:t xml:space="preserve"> section — every URL, database version, access date, cut-off and parameter stated</w:t>
      </w:r>
    </w:p>
    <w:p w14:paraId="371E8B64" w14:textId="77777777" w:rsidR="00F46AD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Results summary: which genes correlate with stemness consistently across </w:t>
      </w:r>
      <w:proofErr w:type="spellStart"/>
      <w:r>
        <w:t>tumor</w:t>
      </w:r>
      <w:proofErr w:type="spellEnd"/>
      <w:r>
        <w:t xml:space="preserve"> types, which are </w:t>
      </w:r>
      <w:proofErr w:type="spellStart"/>
      <w:r>
        <w:t>tumor</w:t>
      </w:r>
      <w:proofErr w:type="spellEnd"/>
      <w:r>
        <w:t>-specific, which pathways the enrichment implicates</w:t>
      </w:r>
    </w:p>
    <w:p w14:paraId="602DC7F5" w14:textId="5097E6D1" w:rsidR="00F46AD9" w:rsidRDefault="00000000" w:rsidP="00910D7C">
      <w:pPr>
        <w:pStyle w:val="ListParagraph"/>
        <w:numPr>
          <w:ilvl w:val="0"/>
          <w:numId w:val="3"/>
        </w:numPr>
        <w:spacing w:before="30" w:after="30"/>
      </w:pPr>
      <w:r>
        <w:t>Reproducibility log — access dates, tool versions, scripts</w:t>
      </w:r>
    </w:p>
    <w:sectPr w:rsidR="00F46A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3E41"/>
    <w:multiLevelType w:val="hybridMultilevel"/>
    <w:tmpl w:val="29D43696"/>
    <w:lvl w:ilvl="0" w:tplc="60483862">
      <w:start w:val="1"/>
      <w:numFmt w:val="bullet"/>
      <w:lvlText w:val="●"/>
      <w:lvlJc w:val="left"/>
      <w:pPr>
        <w:ind w:left="720" w:hanging="360"/>
      </w:pPr>
    </w:lvl>
    <w:lvl w:ilvl="1" w:tplc="7F100522">
      <w:start w:val="1"/>
      <w:numFmt w:val="bullet"/>
      <w:lvlText w:val="○"/>
      <w:lvlJc w:val="left"/>
      <w:pPr>
        <w:ind w:left="1440" w:hanging="360"/>
      </w:pPr>
    </w:lvl>
    <w:lvl w:ilvl="2" w:tplc="6ABE5198">
      <w:start w:val="1"/>
      <w:numFmt w:val="bullet"/>
      <w:lvlText w:val="■"/>
      <w:lvlJc w:val="left"/>
      <w:pPr>
        <w:ind w:left="2160" w:hanging="360"/>
      </w:pPr>
    </w:lvl>
    <w:lvl w:ilvl="3" w:tplc="AACCFE7C">
      <w:start w:val="1"/>
      <w:numFmt w:val="bullet"/>
      <w:lvlText w:val="●"/>
      <w:lvlJc w:val="left"/>
      <w:pPr>
        <w:ind w:left="2880" w:hanging="360"/>
      </w:pPr>
    </w:lvl>
    <w:lvl w:ilvl="4" w:tplc="6622AFE6">
      <w:start w:val="1"/>
      <w:numFmt w:val="bullet"/>
      <w:lvlText w:val="○"/>
      <w:lvlJc w:val="left"/>
      <w:pPr>
        <w:ind w:left="3600" w:hanging="360"/>
      </w:pPr>
    </w:lvl>
    <w:lvl w:ilvl="5" w:tplc="828CA662">
      <w:start w:val="1"/>
      <w:numFmt w:val="bullet"/>
      <w:lvlText w:val="■"/>
      <w:lvlJc w:val="left"/>
      <w:pPr>
        <w:ind w:left="4320" w:hanging="360"/>
      </w:pPr>
    </w:lvl>
    <w:lvl w:ilvl="6" w:tplc="756AE394">
      <w:start w:val="1"/>
      <w:numFmt w:val="bullet"/>
      <w:lvlText w:val="●"/>
      <w:lvlJc w:val="left"/>
      <w:pPr>
        <w:ind w:left="5040" w:hanging="360"/>
      </w:pPr>
    </w:lvl>
    <w:lvl w:ilvl="7" w:tplc="25D6EEBE">
      <w:start w:val="1"/>
      <w:numFmt w:val="bullet"/>
      <w:lvlText w:val="●"/>
      <w:lvlJc w:val="left"/>
      <w:pPr>
        <w:ind w:left="5760" w:hanging="360"/>
      </w:pPr>
    </w:lvl>
    <w:lvl w:ilvl="8" w:tplc="B4F463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ED7AFE"/>
    <w:multiLevelType w:val="hybridMultilevel"/>
    <w:tmpl w:val="732A7B5E"/>
    <w:lvl w:ilvl="0" w:tplc="48E04356">
      <w:start w:val="1"/>
      <w:numFmt w:val="decimal"/>
      <w:lvlText w:val="%1."/>
      <w:lvlJc w:val="left"/>
      <w:pPr>
        <w:ind w:left="504" w:hanging="360"/>
      </w:pPr>
    </w:lvl>
    <w:lvl w:ilvl="1" w:tplc="C5A49CAC">
      <w:numFmt w:val="decimal"/>
      <w:lvlText w:val=""/>
      <w:lvlJc w:val="left"/>
    </w:lvl>
    <w:lvl w:ilvl="2" w:tplc="0F1C0750">
      <w:numFmt w:val="decimal"/>
      <w:lvlText w:val=""/>
      <w:lvlJc w:val="left"/>
    </w:lvl>
    <w:lvl w:ilvl="3" w:tplc="F8823206">
      <w:numFmt w:val="decimal"/>
      <w:lvlText w:val=""/>
      <w:lvlJc w:val="left"/>
    </w:lvl>
    <w:lvl w:ilvl="4" w:tplc="781E8112">
      <w:numFmt w:val="decimal"/>
      <w:lvlText w:val=""/>
      <w:lvlJc w:val="left"/>
    </w:lvl>
    <w:lvl w:ilvl="5" w:tplc="1786C378">
      <w:numFmt w:val="decimal"/>
      <w:lvlText w:val=""/>
      <w:lvlJc w:val="left"/>
    </w:lvl>
    <w:lvl w:ilvl="6" w:tplc="6B82C88A">
      <w:numFmt w:val="decimal"/>
      <w:lvlText w:val=""/>
      <w:lvlJc w:val="left"/>
    </w:lvl>
    <w:lvl w:ilvl="7" w:tplc="E9040394">
      <w:numFmt w:val="decimal"/>
      <w:lvlText w:val=""/>
      <w:lvlJc w:val="left"/>
    </w:lvl>
    <w:lvl w:ilvl="8" w:tplc="9F4E25E8">
      <w:numFmt w:val="decimal"/>
      <w:lvlText w:val=""/>
      <w:lvlJc w:val="left"/>
    </w:lvl>
  </w:abstractNum>
  <w:abstractNum w:abstractNumId="2" w15:restartNumberingAfterBreak="0">
    <w:nsid w:val="5D4E4789"/>
    <w:multiLevelType w:val="hybridMultilevel"/>
    <w:tmpl w:val="4A121336"/>
    <w:lvl w:ilvl="0" w:tplc="6778BF44">
      <w:start w:val="1"/>
      <w:numFmt w:val="bullet"/>
      <w:lvlText w:val="•"/>
      <w:lvlJc w:val="left"/>
      <w:pPr>
        <w:ind w:left="431" w:hanging="288"/>
      </w:pPr>
    </w:lvl>
    <w:lvl w:ilvl="1" w:tplc="219CC270">
      <w:numFmt w:val="decimal"/>
      <w:lvlText w:val=""/>
      <w:lvlJc w:val="left"/>
    </w:lvl>
    <w:lvl w:ilvl="2" w:tplc="D6E4887A">
      <w:numFmt w:val="decimal"/>
      <w:lvlText w:val=""/>
      <w:lvlJc w:val="left"/>
    </w:lvl>
    <w:lvl w:ilvl="3" w:tplc="597C5FAA">
      <w:numFmt w:val="decimal"/>
      <w:lvlText w:val=""/>
      <w:lvlJc w:val="left"/>
    </w:lvl>
    <w:lvl w:ilvl="4" w:tplc="90D4AD76">
      <w:numFmt w:val="decimal"/>
      <w:lvlText w:val=""/>
      <w:lvlJc w:val="left"/>
    </w:lvl>
    <w:lvl w:ilvl="5" w:tplc="27C03C44">
      <w:numFmt w:val="decimal"/>
      <w:lvlText w:val=""/>
      <w:lvlJc w:val="left"/>
    </w:lvl>
    <w:lvl w:ilvl="6" w:tplc="8B5E2E66">
      <w:numFmt w:val="decimal"/>
      <w:lvlText w:val=""/>
      <w:lvlJc w:val="left"/>
    </w:lvl>
    <w:lvl w:ilvl="7" w:tplc="484C0AA4">
      <w:numFmt w:val="decimal"/>
      <w:lvlText w:val=""/>
      <w:lvlJc w:val="left"/>
    </w:lvl>
    <w:lvl w:ilvl="8" w:tplc="A7CCD0BC">
      <w:numFmt w:val="decimal"/>
      <w:lvlText w:val=""/>
      <w:lvlJc w:val="left"/>
    </w:lvl>
  </w:abstractNum>
  <w:abstractNum w:abstractNumId="3" w15:restartNumberingAfterBreak="0">
    <w:nsid w:val="705548AB"/>
    <w:multiLevelType w:val="hybridMultilevel"/>
    <w:tmpl w:val="2C122068"/>
    <w:lvl w:ilvl="0" w:tplc="98A2F774">
      <w:start w:val="1"/>
      <w:numFmt w:val="decimal"/>
      <w:lvlText w:val="%1."/>
      <w:lvlJc w:val="left"/>
      <w:pPr>
        <w:ind w:left="504" w:hanging="360"/>
      </w:pPr>
    </w:lvl>
    <w:lvl w:ilvl="1" w:tplc="E25C93F8">
      <w:numFmt w:val="decimal"/>
      <w:lvlText w:val=""/>
      <w:lvlJc w:val="left"/>
    </w:lvl>
    <w:lvl w:ilvl="2" w:tplc="2ECC9200">
      <w:numFmt w:val="decimal"/>
      <w:lvlText w:val=""/>
      <w:lvlJc w:val="left"/>
    </w:lvl>
    <w:lvl w:ilvl="3" w:tplc="792876FA">
      <w:numFmt w:val="decimal"/>
      <w:lvlText w:val=""/>
      <w:lvlJc w:val="left"/>
    </w:lvl>
    <w:lvl w:ilvl="4" w:tplc="BF04A2BC">
      <w:numFmt w:val="decimal"/>
      <w:lvlText w:val=""/>
      <w:lvlJc w:val="left"/>
    </w:lvl>
    <w:lvl w:ilvl="5" w:tplc="6E74DE68">
      <w:numFmt w:val="decimal"/>
      <w:lvlText w:val=""/>
      <w:lvlJc w:val="left"/>
    </w:lvl>
    <w:lvl w:ilvl="6" w:tplc="ED322F26">
      <w:numFmt w:val="decimal"/>
      <w:lvlText w:val=""/>
      <w:lvlJc w:val="left"/>
    </w:lvl>
    <w:lvl w:ilvl="7" w:tplc="12023AB6">
      <w:numFmt w:val="decimal"/>
      <w:lvlText w:val=""/>
      <w:lvlJc w:val="left"/>
    </w:lvl>
    <w:lvl w:ilvl="8" w:tplc="CC8C9EAC">
      <w:numFmt w:val="decimal"/>
      <w:lvlText w:val=""/>
      <w:lvlJc w:val="left"/>
    </w:lvl>
  </w:abstractNum>
  <w:num w:numId="1" w16cid:durableId="762844544">
    <w:abstractNumId w:val="0"/>
    <w:lvlOverride w:ilvl="0">
      <w:startOverride w:val="1"/>
    </w:lvlOverride>
  </w:num>
  <w:num w:numId="2" w16cid:durableId="1740589094">
    <w:abstractNumId w:val="2"/>
    <w:lvlOverride w:ilvl="0">
      <w:startOverride w:val="1"/>
    </w:lvlOverride>
  </w:num>
  <w:num w:numId="3" w16cid:durableId="592395084">
    <w:abstractNumId w:val="3"/>
    <w:lvlOverride w:ilvl="0">
      <w:startOverride w:val="1"/>
    </w:lvlOverride>
  </w:num>
  <w:num w:numId="4" w16cid:durableId="8030370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AD9"/>
    <w:rsid w:val="001E3FF4"/>
    <w:rsid w:val="00910D7C"/>
    <w:rsid w:val="00F4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DEC3"/>
  <w15:docId w15:val="{6A93C8B6-E1F8-4549-8C87-2C2E8671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2239</Characters>
  <Application>Microsoft Office Word</Application>
  <DocSecurity>0</DocSecurity>
  <Lines>82</Lines>
  <Paragraphs>87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wala marzogi</cp:lastModifiedBy>
  <cp:revision>2</cp:revision>
  <dcterms:created xsi:type="dcterms:W3CDTF">2026-09-11T09:32:00Z</dcterms:created>
  <dcterms:modified xsi:type="dcterms:W3CDTF">2026-09-11T09:41:00Z</dcterms:modified>
</cp:coreProperties>
</file>