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00"/>
        <w:jc w:val="center"/>
        <w:rPr/>
      </w:pPr>
      <w:r>
        <w:rPr>
          <w:rFonts w:eastAsia="Times New Roman" w:cs="Times New Roman" w:ascii="Times New Roman" w:hAnsi="Times New Roman"/>
          <w:b w:val="false"/>
          <w:bCs w:val="false"/>
          <w:sz w:val="48"/>
          <w:szCs w:val="48"/>
        </w:rPr>
        <w:t xml:space="preserve">A Critical Analysis of Lazaridis’ </w:t>
      </w:r>
      <w:r>
        <w:rPr>
          <w:rFonts w:eastAsia="Times New Roman" w:cs="Times New Roman" w:ascii="Times New Roman" w:hAnsi="Times New Roman"/>
          <w:b w:val="false"/>
          <w:bCs w:val="false"/>
          <w:sz w:val="48"/>
          <w:szCs w:val="48"/>
        </w:rPr>
        <w:t>et al.</w:t>
      </w:r>
      <w:r>
        <w:rPr>
          <w:rFonts w:eastAsia="Times New Roman" w:cs="Times New Roman" w:ascii="Times New Roman" w:hAnsi="Times New Roman"/>
          <w:b w:val="false"/>
          <w:bCs w:val="false"/>
          <w:sz w:val="48"/>
          <w:szCs w:val="48"/>
        </w:rPr>
        <w:t xml:space="preserve"> Procedural Content Generation Algorithm for 2D Map Generation</w:t>
      </w:r>
    </w:p>
    <w:p>
      <w:pPr>
        <w:pStyle w:val="Normal"/>
        <w:bidi w:val="0"/>
        <w:spacing w:lineRule="auto" w:line="276" w:before="0" w:after="0"/>
        <w:jc w:val="center"/>
        <w:rPr/>
      </w:pPr>
      <w:r>
        <w:rPr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eastAsia="Times New Roman" w:cs="Times New Roman" w:ascii="Times New Roman" w:hAnsi="Times New Roman"/>
          <w:sz w:val="20"/>
          <w:szCs w:val="20"/>
        </w:rPr>
        <w:t>Connor Petri</w:t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eastAsia="Times New Roman" w:cs="Times New Roman" w:ascii="Times New Roman" w:hAnsi="Times New Roman"/>
          <w:sz w:val="20"/>
          <w:szCs w:val="20"/>
        </w:rPr>
        <w:t>San José State University</w:t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eastAsia="Times New Roman" w:cs="Times New Roman" w:ascii="Times New Roman" w:hAnsi="Times New Roman"/>
          <w:sz w:val="20"/>
          <w:szCs w:val="20"/>
        </w:rPr>
        <w:t>San José, California, United States</w:t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eastAsia="Times New Roman" w:cs="Times New Roman" w:ascii="Times New Roman" w:hAnsi="Times New Roman"/>
          <w:sz w:val="20"/>
          <w:szCs w:val="20"/>
        </w:rPr>
        <w:t>connor.petri@sjsu.edu</w:t>
      </w:r>
    </w:p>
    <w:p>
      <w:pPr>
        <w:pStyle w:val="Normal"/>
        <w:bidi w:val="0"/>
        <w:spacing w:lineRule="auto" w:line="276" w:before="0" w:after="0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10 April 2026</w:t>
      </w:r>
    </w:p>
    <w:p>
      <w:pPr>
        <w:pStyle w:val="Normal"/>
        <w:bidi w:val="0"/>
        <w:spacing w:lineRule="auto" w:line="276" w:before="0" w:after="0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"/>
        <w:bidi w:val="0"/>
        <w:spacing w:lineRule="auto" w:line="276" w:before="0" w:after="200"/>
        <w:jc w:val="start"/>
        <w:rPr/>
      </w:pPr>
      <w:r>
        <w:rPr>
          <w:rFonts w:eastAsia="Times New Roman" w:cs="Times New Roman" w:ascii="Times New Roman" w:hAnsi="Times New Roman"/>
          <w:sz w:val="20"/>
          <w:szCs w:val="20"/>
        </w:rPr>
        <w:tab/>
        <w:t>Lazaridis</w:t>
      </w:r>
      <w:r>
        <w:rPr>
          <w:rFonts w:eastAsia="Times New Roman" w:cs="Times New Roman" w:ascii="Times New Roman" w:hAnsi="Times New Roman"/>
          <w:i/>
          <w:iCs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i w:val="false"/>
          <w:iCs w:val="false"/>
          <w:sz w:val="20"/>
          <w:szCs w:val="20"/>
        </w:rPr>
        <w:t>and</w:t>
      </w:r>
      <w:r>
        <w:rPr>
          <w:rFonts w:eastAsia="Times New Roman" w:cs="Times New Roman" w:ascii="Times New Roman" w:hAnsi="Times New Roman"/>
          <w:i w:val="false"/>
          <w:iCs w:val="false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i w:val="false"/>
          <w:iCs w:val="false"/>
          <w:sz w:val="20"/>
          <w:szCs w:val="20"/>
        </w:rPr>
        <w:t>Fragulis</w:t>
      </w:r>
      <w:r>
        <w:rPr>
          <w:rFonts w:eastAsia="Times New Roman" w:cs="Times New Roman" w:ascii="Times New Roman" w:hAnsi="Times New Roman"/>
          <w:i/>
          <w:iCs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>[1]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present an constructive algorithm for procedural content generation (PCG) in two-dimensional video game environments </w:t>
      </w:r>
      <w:r>
        <w:rPr>
          <w:rFonts w:eastAsia="Times New Roman" w:cs="Times New Roman" w:ascii="Times New Roman" w:hAnsi="Times New Roman"/>
          <w:sz w:val="20"/>
          <w:szCs w:val="20"/>
        </w:rPr>
        <w:t>and was p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ublished in the MDPI journal </w:t>
      </w:r>
      <w:r>
        <w:rPr>
          <w:rFonts w:eastAsia="Times New Roman" w:cs="Times New Roman" w:ascii="Times New Roman" w:hAnsi="Times New Roman"/>
          <w:i/>
          <w:iCs/>
          <w:sz w:val="20"/>
          <w:szCs w:val="20"/>
        </w:rPr>
        <w:t>Computers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in November 2024. </w:t>
      </w:r>
      <w:r>
        <w:rPr>
          <w:rFonts w:eastAsia="Times New Roman" w:cs="Times New Roman" w:ascii="Times New Roman" w:hAnsi="Times New Roman"/>
          <w:sz w:val="20"/>
          <w:szCs w:val="20"/>
        </w:rPr>
        <w:t>T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he paper describes a cellular automata-based spawn algorithm that places rooms of varying sizes and a decorative fountain onto a 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2 dimensional 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grid-based map. </w:t>
      </w:r>
      <w:r>
        <w:rPr>
          <w:rFonts w:eastAsia="Times New Roman" w:cs="Times New Roman" w:ascii="Times New Roman" w:hAnsi="Times New Roman"/>
          <w:sz w:val="20"/>
          <w:szCs w:val="20"/>
        </w:rPr>
        <w:t>T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he authors claim the improved version yields over 213 million possible unique map combinations while remaining lightweight enough for real-time generation </w:t>
      </w:r>
      <w:r>
        <w:rPr>
          <w:rFonts w:eastAsia="Times New Roman" w:cs="Times New Roman" w:ascii="Times New Roman" w:hAnsi="Times New Roman"/>
          <w:sz w:val="20"/>
          <w:szCs w:val="20"/>
        </w:rPr>
        <w:t>running locally on the player’s computer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. The article </w:t>
      </w:r>
      <w:r>
        <w:rPr>
          <w:rFonts w:eastAsia="Times New Roman" w:cs="Times New Roman" w:ascii="Times New Roman" w:hAnsi="Times New Roman"/>
          <w:sz w:val="20"/>
          <w:szCs w:val="20"/>
        </w:rPr>
        <w:t>produces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a working implementation, but it suffers from a lack of rigorous evaluation, </w:t>
      </w:r>
      <w:r>
        <w:rPr>
          <w:rFonts w:eastAsia="Times New Roman" w:cs="Times New Roman" w:ascii="Times New Roman" w:hAnsi="Times New Roman"/>
          <w:sz w:val="20"/>
          <w:szCs w:val="20"/>
        </w:rPr>
        <w:t>limited innovation</w:t>
      </w:r>
      <w:r>
        <w:rPr>
          <w:rFonts w:eastAsia="Times New Roman" w:cs="Times New Roman" w:ascii="Times New Roman" w:hAnsi="Times New Roman"/>
          <w:sz w:val="20"/>
          <w:szCs w:val="20"/>
        </w:rPr>
        <w:t>, and uneven writing.</w:t>
      </w:r>
    </w:p>
    <w:p>
      <w:pPr>
        <w:pStyle w:val="Normal"/>
        <w:bidi w:val="0"/>
        <w:spacing w:lineRule="auto" w:line="276" w:before="0" w:after="200"/>
        <w:ind w:hanging="0" w:start="0"/>
        <w:jc w:val="start"/>
        <w:rPr/>
      </w:pPr>
      <w:r>
        <w:rPr>
          <w:rFonts w:eastAsia="Times New Roman" w:cs="Times New Roman" w:ascii="Times New Roman" w:hAnsi="Times New Roman"/>
          <w:sz w:val="20"/>
          <w:szCs w:val="20"/>
        </w:rPr>
        <w:tab/>
        <w:t xml:space="preserve">The paper is organized into seven sections. After an introduction </w:t>
      </w:r>
      <w:r>
        <w:rPr>
          <w:rFonts w:eastAsia="Times New Roman" w:cs="Times New Roman" w:ascii="Times New Roman" w:hAnsi="Times New Roman"/>
          <w:sz w:val="20"/>
          <w:szCs w:val="20"/>
        </w:rPr>
        <w:t>introducing the topic of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PCG within game development, Sections 2 and 3 provide a broad literature review covering Markov models, cellular automata, generative grammars, GANs, and reinforcement learning, </w:t>
      </w:r>
      <w:r>
        <w:rPr>
          <w:rFonts w:eastAsia="Times New Roman" w:cs="Times New Roman" w:ascii="Times New Roman" w:hAnsi="Times New Roman"/>
          <w:sz w:val="20"/>
          <w:szCs w:val="20"/>
        </w:rPr>
        <w:t>all of which are or were common methods of procedural generation.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>They also provide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commercial examples like Spelunky, Diablo, and The Binding of Isaac, </w:t>
      </w:r>
      <w:r>
        <w:rPr>
          <w:rFonts w:eastAsia="Times New Roman" w:cs="Times New Roman" w:ascii="Times New Roman" w:hAnsi="Times New Roman"/>
          <w:sz w:val="20"/>
          <w:szCs w:val="20"/>
        </w:rPr>
        <w:t>all of which use some sort of PCG algorithm when generating levels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. Section 4 introduces the algorithm, including its rules, complexity analysis, and pseudocode. The authors use a </w:t>
      </w:r>
      <w:r>
        <w:rPr>
          <w:rFonts w:eastAsia="Times New Roman" w:cs="Times New Roman" w:ascii="Times New Roman" w:hAnsi="Times New Roman"/>
          <w:sz w:val="20"/>
          <w:szCs w:val="20"/>
        </w:rPr>
        <w:t>statistics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formula to derive over 213 million unique configurations.</w:t>
      </w:r>
    </w:p>
    <w:p>
      <w:pPr>
        <w:pStyle w:val="Normal"/>
        <w:bidi w:val="0"/>
        <w:spacing w:lineRule="auto" w:line="276" w:before="0" w:after="200"/>
        <w:ind w:hanging="0" w:start="0"/>
        <w:jc w:val="start"/>
        <w:rPr/>
      </w:pPr>
      <w:r>
        <w:rPr>
          <w:rFonts w:eastAsia="Times New Roman" w:cs="Times New Roman" w:ascii="Times New Roman" w:hAnsi="Times New Roman"/>
          <w:sz w:val="20"/>
          <w:szCs w:val="20"/>
        </w:rPr>
        <w:tab/>
        <w:t xml:space="preserve">The most significant weakness is the 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almost 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total absence of </w:t>
      </w:r>
      <w:r>
        <w:rPr>
          <w:rFonts w:eastAsia="Times New Roman" w:cs="Times New Roman" w:ascii="Times New Roman" w:hAnsi="Times New Roman"/>
          <w:sz w:val="20"/>
          <w:szCs w:val="20"/>
        </w:rPr>
        <w:t>quantitative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evaluation. The authors </w:t>
      </w:r>
      <w:r>
        <w:rPr>
          <w:rFonts w:eastAsia="Times New Roman" w:cs="Times New Roman" w:ascii="Times New Roman" w:hAnsi="Times New Roman"/>
          <w:sz w:val="20"/>
          <w:szCs w:val="20"/>
        </w:rPr>
        <w:t>[1]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state that 500 maps were generated and all outputs were within defined limits, but they provide no quantitative metrics for quality, diversity, or playability. </w:t>
      </w:r>
      <w:r>
        <w:rPr>
          <w:rFonts w:eastAsia="Times New Roman" w:cs="Times New Roman" w:ascii="Times New Roman" w:hAnsi="Times New Roman"/>
          <w:sz w:val="20"/>
          <w:szCs w:val="20"/>
        </w:rPr>
        <w:t>Other papers on PCG have well established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evaluation frameworks. Hendrikx et al. [2] outline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s 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criteria including controllability and player engagement, all of which are absent from this </w:t>
      </w:r>
      <w:r>
        <w:rPr>
          <w:rFonts w:eastAsia="Times New Roman" w:cs="Times New Roman" w:ascii="Times New Roman" w:hAnsi="Times New Roman"/>
          <w:sz w:val="20"/>
          <w:szCs w:val="20"/>
        </w:rPr>
        <w:t>paper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. Summerville et al. [3] </w:t>
      </w:r>
      <w:r>
        <w:rPr>
          <w:rFonts w:eastAsia="Times New Roman" w:cs="Times New Roman" w:ascii="Times New Roman" w:hAnsi="Times New Roman"/>
          <w:sz w:val="20"/>
          <w:szCs w:val="20"/>
        </w:rPr>
        <w:t>states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that </w:t>
      </w:r>
      <w:r>
        <w:rPr>
          <w:rFonts w:eastAsia="Times New Roman" w:cs="Times New Roman" w:ascii="Times New Roman" w:hAnsi="Times New Roman"/>
          <w:sz w:val="20"/>
          <w:szCs w:val="20"/>
        </w:rPr>
        <w:t>algorithmic output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>should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be validated </w:t>
      </w:r>
      <w:r>
        <w:rPr>
          <w:rFonts w:eastAsia="Times New Roman" w:cs="Times New Roman" w:ascii="Times New Roman" w:hAnsi="Times New Roman"/>
          <w:sz w:val="20"/>
          <w:szCs w:val="20"/>
        </w:rPr>
        <w:t>for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playability and 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level 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diversity. Lazaridis </w:t>
      </w:r>
      <w:r>
        <w:rPr>
          <w:rFonts w:eastAsia="Times New Roman" w:cs="Times New Roman" w:ascii="Times New Roman" w:hAnsi="Times New Roman"/>
          <w:sz w:val="20"/>
          <w:szCs w:val="20"/>
        </w:rPr>
        <w:t>and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>Fragulis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>[1]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offer none of this. The 213 million figure is a theoretical maximum derived from a combinations formula not a measured indicator of experiential diversity. </w:t>
      </w:r>
      <w:r>
        <w:rPr>
          <w:rFonts w:eastAsia="Times New Roman" w:cs="Times New Roman" w:ascii="Times New Roman" w:hAnsi="Times New Roman"/>
          <w:sz w:val="20"/>
          <w:szCs w:val="20"/>
        </w:rPr>
        <w:t>This approach might be completely useless if 212.9 million of those maps are unplayable.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Lazaridis </w:t>
      </w:r>
      <w:r>
        <w:rPr>
          <w:rFonts w:eastAsia="Times New Roman" w:cs="Times New Roman" w:ascii="Times New Roman" w:hAnsi="Times New Roman"/>
          <w:sz w:val="20"/>
          <w:szCs w:val="20"/>
        </w:rPr>
        <w:t>and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>Fragulis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[1]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even admit that t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wo maps with slightly different room dimensions may be mathematically distinct yet visually identical, noting that only half the generated maps can be visually distinguished by the human eye. This admission 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alone </w:t>
      </w:r>
      <w:r>
        <w:rPr>
          <w:rFonts w:eastAsia="Times New Roman" w:cs="Times New Roman" w:ascii="Times New Roman" w:hAnsi="Times New Roman"/>
          <w:sz w:val="20"/>
          <w:szCs w:val="20"/>
        </w:rPr>
        <w:t>should have prompted a more careful analysis rather than being mentioned in passing within the discussion section.</w:t>
      </w:r>
    </w:p>
    <w:p>
      <w:pPr>
        <w:pStyle w:val="Normal"/>
        <w:bidi w:val="0"/>
        <w:spacing w:lineRule="auto" w:line="276" w:before="0" w:after="200"/>
        <w:ind w:hanging="0" w:start="0"/>
        <w:jc w:val="start"/>
        <w:rPr/>
      </w:pPr>
      <w:r>
        <w:rPr>
          <w:rFonts w:eastAsia="Times New Roman" w:cs="Times New Roman" w:ascii="Times New Roman" w:hAnsi="Times New Roman"/>
          <w:sz w:val="20"/>
          <w:szCs w:val="20"/>
        </w:rPr>
        <w:tab/>
        <w:t xml:space="preserve">The algorithm’s scope is also quite narrow. It generates a flat 2D grid populated with rectangular rooms and a single fountain, with no corridors, enemy placement, loot distribution, or terrain variation. The authors 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[1] </w:t>
      </w:r>
      <w:r>
        <w:rPr>
          <w:rFonts w:eastAsia="Times New Roman" w:cs="Times New Roman" w:ascii="Times New Roman" w:hAnsi="Times New Roman"/>
          <w:sz w:val="20"/>
          <w:szCs w:val="20"/>
        </w:rPr>
        <w:t>acknowledge these gaps in their future work section, noting that road</w:t>
      </w:r>
      <w:r>
        <w:rPr>
          <w:rFonts w:eastAsia="Times New Roman" w:cs="Times New Roman" w:ascii="Times New Roman" w:hAnsi="Times New Roman"/>
          <w:sz w:val="20"/>
          <w:szCs w:val="20"/>
        </w:rPr>
        <w:t>s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, room interiors, and multilevel maps remain unimplemented. While incremental work is acceptable in research, the gap between the current output </w:t>
      </w:r>
      <w:r>
        <w:rPr>
          <w:rFonts w:eastAsia="Times New Roman" w:cs="Times New Roman" w:ascii="Times New Roman" w:hAnsi="Times New Roman"/>
          <w:sz w:val="20"/>
          <w:szCs w:val="20"/>
        </w:rPr>
        <w:t>the industry standards for PCG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is substantial. Compared to Spelunky’s chunk-based generator, which incorporates room templates, obstacle placement, enemy spawning, and path validation all within a single pipeline, 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Lazardis </w:t>
      </w:r>
      <w:r>
        <w:rPr>
          <w:rFonts w:eastAsia="Times New Roman" w:cs="Times New Roman" w:ascii="Times New Roman" w:hAnsi="Times New Roman"/>
          <w:sz w:val="20"/>
          <w:szCs w:val="20"/>
        </w:rPr>
        <w:t>and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>Fragulis’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>[1]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algorithm seems like it isn’t proposing anything that isn’t already being done better in industry or other research endeavors.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Even the fountain is not always placed </w:t>
      </w:r>
      <w:r>
        <w:rPr>
          <w:rFonts w:eastAsia="Times New Roman" w:cs="Times New Roman" w:ascii="Times New Roman" w:hAnsi="Times New Roman"/>
          <w:sz w:val="20"/>
          <w:szCs w:val="20"/>
        </w:rPr>
        <w:t>in the level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, </w:t>
      </w:r>
      <w:r>
        <w:rPr>
          <w:rFonts w:eastAsia="Times New Roman" w:cs="Times New Roman" w:ascii="Times New Roman" w:hAnsi="Times New Roman"/>
          <w:sz w:val="20"/>
          <w:szCs w:val="20"/>
        </w:rPr>
        <w:t>which is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a behavior the authors </w:t>
      </w:r>
      <w:r>
        <w:rPr>
          <w:rFonts w:eastAsia="Times New Roman" w:cs="Times New Roman" w:ascii="Times New Roman" w:hAnsi="Times New Roman"/>
          <w:sz w:val="20"/>
          <w:szCs w:val="20"/>
        </w:rPr>
        <w:t>[1]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classify as a feature rather than a flaw, </w:t>
      </w:r>
      <w:r>
        <w:rPr>
          <w:rFonts w:eastAsia="Times New Roman" w:cs="Times New Roman" w:ascii="Times New Roman" w:hAnsi="Times New Roman"/>
          <w:sz w:val="20"/>
          <w:szCs w:val="20"/>
        </w:rPr>
        <w:t>despite that being one of the few things that makes this a game design problem rather than a themed graph algorithm.</w:t>
      </w:r>
    </w:p>
    <w:p>
      <w:pPr>
        <w:pStyle w:val="Normal"/>
        <w:bidi w:val="0"/>
        <w:spacing w:lineRule="auto" w:line="276" w:before="0" w:after="200"/>
        <w:ind w:hanging="0" w:start="0"/>
        <w:jc w:val="start"/>
        <w:rPr/>
      </w:pPr>
      <w:r>
        <w:rPr>
          <w:rFonts w:eastAsia="Times New Roman" w:cs="Times New Roman" w:ascii="Times New Roman" w:hAnsi="Times New Roman"/>
          <w:sz w:val="20"/>
          <w:szCs w:val="20"/>
        </w:rPr>
        <w:tab/>
        <w:t xml:space="preserve">The </w:t>
      </w:r>
      <w:r>
        <w:rPr>
          <w:rFonts w:eastAsia="Times New Roman" w:cs="Times New Roman" w:ascii="Times New Roman" w:hAnsi="Times New Roman"/>
          <w:sz w:val="20"/>
          <w:szCs w:val="20"/>
        </w:rPr>
        <w:t>length of each section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of the paper is uneven. Nearly half the article is devoted to Sections 2 and 3, which read more like a textbook summary of PCG than a focused 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presentation of the 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of the authors’ 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[1] </w:t>
      </w:r>
      <w:r>
        <w:rPr>
          <w:rFonts w:eastAsia="Times New Roman" w:cs="Times New Roman" w:ascii="Times New Roman" w:hAnsi="Times New Roman"/>
          <w:sz w:val="20"/>
          <w:szCs w:val="20"/>
        </w:rPr>
        <w:t>contribution. The discussion of reinforcement learning, GANs, entropy measures, and Markov decision processes is extensive but has no direct connection to the cellular automata approach actually used. This creates a disconnect between th</w:t>
      </w:r>
      <w:r>
        <w:rPr>
          <w:rFonts w:eastAsia="Times New Roman" w:cs="Times New Roman" w:ascii="Times New Roman" w:hAnsi="Times New Roman"/>
          <w:sz w:val="20"/>
          <w:szCs w:val="20"/>
        </w:rPr>
        <w:t>e length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of the background material and the simplicity of the proposed algorithm. The </w:t>
      </w:r>
      <w:r>
        <w:rPr>
          <w:rFonts w:eastAsia="Times New Roman" w:cs="Times New Roman" w:ascii="Times New Roman" w:hAnsi="Times New Roman"/>
          <w:sz w:val="20"/>
          <w:szCs w:val="20"/>
        </w:rPr>
        <w:t>tone of the paper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oscillates between formal academic language and informal tutorial-style explanations, which undermines the </w:t>
      </w:r>
      <w:r>
        <w:rPr>
          <w:rFonts w:eastAsia="Times New Roman" w:cs="Times New Roman" w:ascii="Times New Roman" w:hAnsi="Times New Roman"/>
          <w:sz w:val="20"/>
          <w:szCs w:val="20"/>
        </w:rPr>
        <w:t>academic tone that is expected from published works such as this</w:t>
      </w:r>
      <w:r>
        <w:rPr>
          <w:rFonts w:eastAsia="Times New Roman" w:cs="Times New Roman" w:ascii="Times New Roman" w:hAnsi="Times New Roman"/>
          <w:sz w:val="20"/>
          <w:szCs w:val="20"/>
        </w:rPr>
        <w:t>.</w:t>
      </w:r>
    </w:p>
    <w:p>
      <w:pPr>
        <w:pStyle w:val="Normal"/>
        <w:bidi w:val="0"/>
        <w:spacing w:lineRule="auto" w:line="276" w:before="0" w:after="200"/>
        <w:ind w:hanging="0" w:start="0"/>
        <w:jc w:val="start"/>
        <w:rPr/>
      </w:pPr>
      <w:r>
        <w:rPr>
          <w:rFonts w:eastAsia="Times New Roman" w:cs="Times New Roman" w:ascii="Times New Roman" w:hAnsi="Times New Roman"/>
          <w:sz w:val="20"/>
          <w:szCs w:val="20"/>
        </w:rPr>
        <w:tab/>
        <w:t xml:space="preserve">The paper succeeds at demonstrating that a lightweight constructive algorithm can rapidly generate varied 2D room layouts without an evaluation agent. The </w:t>
      </w:r>
      <w:r>
        <w:rPr>
          <w:rFonts w:eastAsia="Times New Roman" w:cs="Times New Roman" w:ascii="Times New Roman" w:hAnsi="Times New Roman"/>
          <w:sz w:val="20"/>
          <w:szCs w:val="20"/>
        </w:rPr>
        <w:t>time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complexity analysis is straightforward and execution times impressively small </w:t>
      </w:r>
      <w:r>
        <w:rPr>
          <w:rFonts w:eastAsia="Times New Roman" w:cs="Times New Roman" w:ascii="Times New Roman" w:hAnsi="Times New Roman"/>
          <w:sz w:val="20"/>
          <w:szCs w:val="20"/>
        </w:rPr>
        <w:t>at O(log n)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. For a </w:t>
      </w:r>
      <w:r>
        <w:rPr>
          <w:rFonts w:eastAsia="Times New Roman" w:cs="Times New Roman" w:ascii="Times New Roman" w:hAnsi="Times New Roman"/>
          <w:sz w:val="20"/>
          <w:szCs w:val="20"/>
        </w:rPr>
        <w:t>solo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developer </w:t>
      </w:r>
      <w:r>
        <w:rPr>
          <w:rFonts w:eastAsia="Times New Roman" w:cs="Times New Roman" w:ascii="Times New Roman" w:hAnsi="Times New Roman"/>
          <w:sz w:val="20"/>
          <w:szCs w:val="20"/>
        </w:rPr>
        <w:t>or small team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needing basic room placement logic, the pseudocode in the appendix could serve as a practical starting point, </w:t>
      </w:r>
      <w:r>
        <w:rPr>
          <w:rFonts w:eastAsia="Times New Roman" w:cs="Times New Roman" w:ascii="Times New Roman" w:hAnsi="Times New Roman"/>
          <w:sz w:val="20"/>
          <w:szCs w:val="20"/>
        </w:rPr>
        <w:t>but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for an academic </w:t>
      </w:r>
      <w:r>
        <w:rPr>
          <w:rFonts w:eastAsia="Times New Roman" w:cs="Times New Roman" w:ascii="Times New Roman" w:hAnsi="Times New Roman"/>
          <w:sz w:val="20"/>
          <w:szCs w:val="20"/>
        </w:rPr>
        <w:t>journal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the paper does not advance what is known about PCG. Cellular automata for grid-based generation is </w:t>
      </w:r>
      <w:r>
        <w:rPr>
          <w:rFonts w:eastAsia="Times New Roman" w:cs="Times New Roman" w:ascii="Times New Roman" w:hAnsi="Times New Roman"/>
          <w:sz w:val="20"/>
          <w:szCs w:val="20"/>
        </w:rPr>
        <w:t>a widely adopted method for PCG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[2], and scaling the number of room sizes is an engineering improvement, not a conceptual one. The paper would have been strengthened by a user study </w:t>
      </w:r>
      <w:r>
        <w:rPr>
          <w:rFonts w:eastAsia="Times New Roman" w:cs="Times New Roman" w:ascii="Times New Roman" w:hAnsi="Times New Roman"/>
          <w:sz w:val="20"/>
          <w:szCs w:val="20"/>
        </w:rPr>
        <w:t>and a proper, rigorous comparison to alternative methods of PCG.</w:t>
      </w:r>
    </w:p>
    <w:p>
      <w:pPr>
        <w:pStyle w:val="Normal"/>
        <w:bidi w:val="0"/>
        <w:spacing w:lineRule="auto" w:line="276" w:before="0" w:after="200"/>
        <w:ind w:hanging="0" w:start="0"/>
        <w:jc w:val="start"/>
        <w:rPr/>
      </w:pPr>
      <w:r>
        <w:rPr>
          <w:rFonts w:eastAsia="Times New Roman" w:cs="Times New Roman" w:ascii="Times New Roman" w:hAnsi="Times New Roman"/>
          <w:sz w:val="20"/>
          <w:szCs w:val="20"/>
        </w:rPr>
        <w:tab/>
        <w:t xml:space="preserve">The intended </w:t>
      </w:r>
      <w:r>
        <w:rPr>
          <w:rFonts w:eastAsia="Times New Roman" w:cs="Times New Roman" w:ascii="Times New Roman" w:hAnsi="Times New Roman"/>
          <w:sz w:val="20"/>
          <w:szCs w:val="20"/>
        </w:rPr>
        <w:t>audience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appears to be game developers and researchers interested in lightweight PCG </w:t>
      </w:r>
      <w:r>
        <w:rPr>
          <w:rFonts w:eastAsia="Times New Roman" w:cs="Times New Roman" w:ascii="Times New Roman" w:hAnsi="Times New Roman"/>
          <w:sz w:val="20"/>
          <w:szCs w:val="20"/>
        </w:rPr>
        <w:t>with low performance overhead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. </w:t>
      </w:r>
      <w:r>
        <w:rPr>
          <w:rFonts w:eastAsia="Times New Roman" w:cs="Times New Roman" w:ascii="Times New Roman" w:hAnsi="Times New Roman"/>
          <w:sz w:val="20"/>
          <w:szCs w:val="20"/>
        </w:rPr>
        <w:t>Readers without specialist knowledge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would find the background sections accessible, as the authors explain each method with examples from well-known games, </w:t>
      </w:r>
      <w:r>
        <w:rPr>
          <w:rFonts w:eastAsia="Times New Roman" w:cs="Times New Roman" w:ascii="Times New Roman" w:hAnsi="Times New Roman"/>
          <w:sz w:val="20"/>
          <w:szCs w:val="20"/>
        </w:rPr>
        <w:t>resulting in an effective explanation of each of them.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>However, a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specialist </w:t>
      </w:r>
      <w:r>
        <w:rPr>
          <w:rFonts w:eastAsia="Times New Roman" w:cs="Times New Roman" w:ascii="Times New Roman" w:hAnsi="Times New Roman"/>
          <w:sz w:val="20"/>
          <w:szCs w:val="20"/>
        </w:rPr>
        <w:t>in PCG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would find the contribution too incremental </w:t>
      </w:r>
      <w:r>
        <w:rPr>
          <w:rFonts w:eastAsia="Times New Roman" w:cs="Times New Roman" w:ascii="Times New Roman" w:hAnsi="Times New Roman"/>
          <w:sz w:val="20"/>
          <w:szCs w:val="20"/>
        </w:rPr>
        <w:t>to be useful in their line of work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. The conclusion that the algorithm is fast, lightweight, and varied are reasonable within the </w:t>
      </w:r>
      <w:r>
        <w:rPr>
          <w:rFonts w:eastAsia="Times New Roman" w:cs="Times New Roman" w:ascii="Times New Roman" w:hAnsi="Times New Roman"/>
          <w:sz w:val="20"/>
          <w:szCs w:val="20"/>
        </w:rPr>
        <w:t>narrow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scope </w:t>
      </w:r>
      <w:r>
        <w:rPr>
          <w:rFonts w:eastAsia="Times New Roman" w:cs="Times New Roman" w:ascii="Times New Roman" w:hAnsi="Times New Roman"/>
          <w:sz w:val="20"/>
          <w:szCs w:val="20"/>
        </w:rPr>
        <w:t>of this paper,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but unsupported by </w:t>
      </w:r>
      <w:r>
        <w:rPr>
          <w:rFonts w:eastAsia="Times New Roman" w:cs="Times New Roman" w:ascii="Times New Roman" w:hAnsi="Times New Roman"/>
          <w:sz w:val="20"/>
          <w:szCs w:val="20"/>
        </w:rPr>
        <w:t>any quantitative measure of the usefulness of its output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. The claim that this represents a significant step forward is </w:t>
      </w:r>
      <w:r>
        <w:rPr>
          <w:rFonts w:eastAsia="Times New Roman" w:cs="Times New Roman" w:ascii="Times New Roman" w:hAnsi="Times New Roman"/>
          <w:sz w:val="20"/>
          <w:szCs w:val="20"/>
        </w:rPr>
        <w:t>erroneous given that the industry standards for PCG are far more capable, complex, and have actually had quantitative user testing done on them.</w:t>
      </w:r>
    </w:p>
    <w:p>
      <w:pPr>
        <w:pStyle w:val="Normal"/>
        <w:bidi w:val="0"/>
        <w:spacing w:lineRule="auto" w:line="276" w:before="0" w:after="200"/>
        <w:ind w:hanging="0" w:start="0"/>
        <w:jc w:val="start"/>
        <w:rPr/>
      </w:pPr>
      <w:r>
        <w:rPr>
          <w:rFonts w:eastAsia="Times New Roman" w:cs="Times New Roman" w:ascii="Times New Roman" w:hAnsi="Times New Roman"/>
          <w:sz w:val="20"/>
          <w:szCs w:val="20"/>
        </w:rPr>
        <w:tab/>
        <w:t xml:space="preserve">Lazaridis </w:t>
      </w:r>
      <w:r>
        <w:rPr>
          <w:rFonts w:eastAsia="Times New Roman" w:cs="Times New Roman" w:ascii="Times New Roman" w:hAnsi="Times New Roman"/>
          <w:sz w:val="20"/>
          <w:szCs w:val="20"/>
        </w:rPr>
        <w:t>and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>Fragulis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</w:rPr>
        <w:t>[1]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have produced a functional tool for small-scale development, but the paper does not meet the rigor expected </w:t>
      </w:r>
      <w:r>
        <w:rPr>
          <w:rFonts w:eastAsia="Times New Roman" w:cs="Times New Roman" w:ascii="Times New Roman" w:hAnsi="Times New Roman"/>
          <w:sz w:val="20"/>
          <w:szCs w:val="20"/>
        </w:rPr>
        <w:t>for research.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The diversity calculations </w:t>
      </w:r>
      <w:r>
        <w:rPr>
          <w:rFonts w:eastAsia="Times New Roman" w:cs="Times New Roman" w:ascii="Times New Roman" w:hAnsi="Times New Roman"/>
          <w:sz w:val="20"/>
          <w:szCs w:val="20"/>
        </w:rPr>
        <w:t>use a theoretical formula rather than player data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, the evaluation is anecdotal, and the </w:t>
      </w:r>
      <w:r>
        <w:rPr>
          <w:rFonts w:eastAsia="Times New Roman" w:cs="Times New Roman" w:ascii="Times New Roman" w:hAnsi="Times New Roman"/>
          <w:sz w:val="20"/>
          <w:szCs w:val="20"/>
        </w:rPr>
        <w:t>difference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between the </w:t>
      </w:r>
      <w:r>
        <w:rPr>
          <w:rFonts w:eastAsia="Times New Roman" w:cs="Times New Roman" w:ascii="Times New Roman" w:hAnsi="Times New Roman"/>
          <w:sz w:val="20"/>
          <w:szCs w:val="20"/>
        </w:rPr>
        <w:t>large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literature review 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section 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and the </w:t>
      </w:r>
      <w:r>
        <w:rPr>
          <w:rFonts w:eastAsia="Times New Roman" w:cs="Times New Roman" w:ascii="Times New Roman" w:hAnsi="Times New Roman"/>
          <w:sz w:val="20"/>
          <w:szCs w:val="20"/>
        </w:rPr>
        <w:t>relatively small section on the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algorithm </w:t>
      </w:r>
      <w:r>
        <w:rPr>
          <w:rFonts w:eastAsia="Times New Roman" w:cs="Times New Roman" w:ascii="Times New Roman" w:hAnsi="Times New Roman"/>
          <w:sz w:val="20"/>
          <w:szCs w:val="20"/>
        </w:rPr>
        <w:t>makes it more difficult to read</w:t>
      </w:r>
      <w:r>
        <w:rPr>
          <w:rFonts w:eastAsia="Times New Roman" w:cs="Times New Roman" w:ascii="Times New Roman" w:hAnsi="Times New Roman"/>
          <w:sz w:val="20"/>
          <w:szCs w:val="20"/>
        </w:rPr>
        <w:t>.</w:t>
      </w:r>
    </w:p>
    <w:p>
      <w:pPr>
        <w:pStyle w:val="Normal"/>
        <w:bidi w:val="0"/>
        <w:spacing w:before="300" w:after="20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0"/>
          <w:szCs w:val="20"/>
        </w:rPr>
        <w:t>REFERENCES</w:t>
      </w:r>
    </w:p>
    <w:p>
      <w:pPr>
        <w:pStyle w:val="Normal"/>
        <w:bidi w:val="0"/>
        <w:spacing w:lineRule="auto" w:line="276" w:before="0" w:after="120"/>
        <w:ind w:hanging="360" w:start="360"/>
        <w:jc w:val="start"/>
        <w:rPr/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[1] </w:t>
        <w:tab/>
        <w:t xml:space="preserve">L. Lazaridis and G. F. Fragulis, “Auto Generating Maps in a 2D Environment,” in </w:t>
      </w:r>
      <w:r>
        <w:rPr>
          <w:rFonts w:eastAsia="Times New Roman" w:cs="Times New Roman" w:ascii="Times New Roman" w:hAnsi="Times New Roman"/>
          <w:sz w:val="20"/>
          <w:szCs w:val="20"/>
        </w:rPr>
        <w:t>HCI Games 2022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, Virtual Event, Jun.-Jul. 2022, p. 40–50. </w:t>
      </w:r>
      <w:r>
        <w:rPr>
          <w:rFonts w:eastAsia="Times New Roman" w:cs="Times New Roman" w:ascii="Times New Roman" w:hAnsi="Times New Roman"/>
          <w:sz w:val="20"/>
          <w:szCs w:val="20"/>
        </w:rPr>
        <w:t>[Accessed 7 April, 2026]</w:t>
      </w:r>
    </w:p>
    <w:p>
      <w:pPr>
        <w:pStyle w:val="Normal"/>
        <w:bidi w:val="0"/>
        <w:spacing w:lineRule="auto" w:line="276" w:before="0" w:after="120"/>
        <w:ind w:hanging="360" w:start="360"/>
        <w:jc w:val="start"/>
        <w:rPr/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[2] </w:t>
        <w:tab/>
        <w:t>M. Hendrikx, S. Meijer, J. Van Der Velden, and A. Iosup, “Procedural content generation for games: A survey,” ACM Trans</w:t>
      </w:r>
      <w:r>
        <w:rPr>
          <w:rFonts w:eastAsia="Times New Roman" w:cs="Times New Roman" w:ascii="Times New Roman" w:hAnsi="Times New Roman"/>
          <w:sz w:val="20"/>
          <w:szCs w:val="20"/>
        </w:rPr>
        <w:t>actions on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Multimedia Compu</w:t>
      </w:r>
      <w:r>
        <w:rPr>
          <w:rFonts w:eastAsia="Times New Roman" w:cs="Times New Roman" w:ascii="Times New Roman" w:hAnsi="Times New Roman"/>
          <w:sz w:val="20"/>
          <w:szCs w:val="20"/>
        </w:rPr>
        <w:t>ting</w:t>
      </w:r>
      <w:r>
        <w:rPr>
          <w:rFonts w:eastAsia="Times New Roman" w:cs="Times New Roman" w:ascii="Times New Roman" w:hAnsi="Times New Roman"/>
          <w:sz w:val="20"/>
          <w:szCs w:val="20"/>
        </w:rPr>
        <w:t>, Commun</w:t>
      </w:r>
      <w:r>
        <w:rPr>
          <w:rFonts w:eastAsia="Times New Roman" w:cs="Times New Roman" w:ascii="Times New Roman" w:hAnsi="Times New Roman"/>
          <w:sz w:val="20"/>
          <w:szCs w:val="20"/>
        </w:rPr>
        <w:t>ications</w:t>
      </w:r>
      <w:r>
        <w:rPr>
          <w:rFonts w:eastAsia="Times New Roman" w:cs="Times New Roman" w:ascii="Times New Roman" w:hAnsi="Times New Roman"/>
          <w:sz w:val="20"/>
          <w:szCs w:val="20"/>
        </w:rPr>
        <w:t>, Appl</w:t>
      </w:r>
      <w:r>
        <w:rPr>
          <w:rFonts w:eastAsia="Times New Roman" w:cs="Times New Roman" w:ascii="Times New Roman" w:hAnsi="Times New Roman"/>
          <w:sz w:val="20"/>
          <w:szCs w:val="20"/>
        </w:rPr>
        <w:t>ications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, vol. 9, no. 1, art. 1, p. 1-22, Feb. 2013. </w:t>
      </w:r>
      <w:r>
        <w:rPr>
          <w:rFonts w:eastAsia="Times New Roman" w:cs="Times New Roman" w:ascii="Times New Roman" w:hAnsi="Times New Roman"/>
          <w:sz w:val="20"/>
          <w:szCs w:val="20"/>
        </w:rPr>
        <w:t>[Accessed 7 April, 2026]</w:t>
      </w:r>
    </w:p>
    <w:p>
      <w:pPr>
        <w:pStyle w:val="Normal"/>
        <w:bidi w:val="0"/>
        <w:spacing w:lineRule="auto" w:line="276" w:before="0" w:after="120"/>
        <w:ind w:hanging="360" w:start="360"/>
        <w:jc w:val="start"/>
        <w:rPr/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[3] </w:t>
        <w:tab/>
        <w:t>A. Summerville, S. Snodgrass, M. Guzdial, C. Holmgård, A. K. Hoover, A. Isaksen, A. Nealen, and J. Togelius, “Procedural content generation via machine learning (PCGML),” IEEE Trans</w:t>
      </w:r>
      <w:r>
        <w:rPr>
          <w:rFonts w:eastAsia="Times New Roman" w:cs="Times New Roman" w:ascii="Times New Roman" w:hAnsi="Times New Roman"/>
          <w:sz w:val="20"/>
          <w:szCs w:val="20"/>
        </w:rPr>
        <w:t>actions on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Games, vol. 10, no. 3, p. 257-270, Sep. 2018. </w:t>
      </w:r>
      <w:r>
        <w:rPr>
          <w:rFonts w:eastAsia="Times New Roman" w:cs="Times New Roman" w:ascii="Times New Roman" w:hAnsi="Times New Roman"/>
          <w:sz w:val="20"/>
          <w:szCs w:val="20"/>
        </w:rPr>
        <w:t>[Accessed 7 April, 2026]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21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120</TotalTime>
  <Application>LibreOffice/25.8.5.2$Linux_X86_64 LibreOffice_project/580$Build-2</Application>
  <AppVersion>15.0000</AppVersion>
  <Pages>2</Pages>
  <Words>1111</Words>
  <Characters>6189</Characters>
  <CharactersWithSpaces>7294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2026-04-10T12:53:50Z</dcterms:created>
  <dc:creator/>
  <dc:description/>
  <dc:language>en-US</dc:language>
  <cp:lastModifiedBy/>
  <dcterms:modified xsi:type="dcterms:W3CDTF">2026-04-10T22:03:31Z</dcterms:modified>
  <cp:revision>12</cp:revision>
  <dc:subject/>
  <dc:title/>
</cp:coreProperties>
</file>