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B278A" w14:textId="580359A8" w:rsidR="00784EE0" w:rsidRDefault="00784EE0" w:rsidP="00784EE0">
      <w:pPr>
        <w:pStyle w:val="Title"/>
      </w:pPr>
      <w:r>
        <w:t>EC</w:t>
      </w:r>
      <w:r w:rsidR="009A7F59">
        <w:t>E 521 Assignment 2</w:t>
      </w:r>
    </w:p>
    <w:p w14:paraId="6847B4A4" w14:textId="3F5E2AA6" w:rsidR="0069620A" w:rsidRDefault="0069620A" w:rsidP="00A50207">
      <w:pPr>
        <w:pStyle w:val="Heading1"/>
        <w:spacing w:after="240"/>
      </w:pPr>
      <w:r>
        <w:t>Work Breakdown</w:t>
      </w:r>
    </w:p>
    <w:tbl>
      <w:tblPr>
        <w:tblStyle w:val="GridTable1Light-Accent3"/>
        <w:tblW w:w="0" w:type="auto"/>
        <w:jc w:val="center"/>
        <w:tblLook w:val="04A0" w:firstRow="1" w:lastRow="0" w:firstColumn="1" w:lastColumn="0" w:noHBand="0" w:noVBand="1"/>
      </w:tblPr>
      <w:tblGrid>
        <w:gridCol w:w="3714"/>
        <w:gridCol w:w="3714"/>
      </w:tblGrid>
      <w:tr w:rsidR="0069620A" w14:paraId="78FF1592" w14:textId="77777777" w:rsidTr="00A502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</w:tcPr>
          <w:p w14:paraId="7D6B9693" w14:textId="75741B6F" w:rsidR="0069620A" w:rsidRDefault="0069620A" w:rsidP="0069620A">
            <w:r>
              <w:t>Group Member Name</w:t>
            </w:r>
          </w:p>
        </w:tc>
        <w:tc>
          <w:tcPr>
            <w:tcW w:w="3714" w:type="dxa"/>
          </w:tcPr>
          <w:p w14:paraId="237C7772" w14:textId="2D17036A" w:rsidR="0069620A" w:rsidRDefault="0069620A" w:rsidP="006962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Contribution Percentage</w:t>
            </w:r>
          </w:p>
        </w:tc>
      </w:tr>
      <w:tr w:rsidR="0069620A" w14:paraId="5D7E1EB9" w14:textId="77777777" w:rsidTr="00A50207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</w:tcPr>
          <w:p w14:paraId="6CEB74FA" w14:textId="3A2ABFE0" w:rsidR="0069620A" w:rsidRDefault="009A7F59" w:rsidP="0069620A">
            <w:proofErr w:type="spellStart"/>
            <w:r>
              <w:t>Jixong</w:t>
            </w:r>
            <w:proofErr w:type="spellEnd"/>
            <w:r>
              <w:t xml:space="preserve"> Deng</w:t>
            </w:r>
          </w:p>
        </w:tc>
        <w:tc>
          <w:tcPr>
            <w:tcW w:w="3714" w:type="dxa"/>
          </w:tcPr>
          <w:p w14:paraId="1FF38D3D" w14:textId="4C2872D6" w:rsidR="0069620A" w:rsidRDefault="001C4DD5" w:rsidP="00696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</w:t>
            </w:r>
            <w:r w:rsidR="0069620A">
              <w:t>%</w:t>
            </w:r>
          </w:p>
        </w:tc>
      </w:tr>
      <w:tr w:rsidR="0069620A" w14:paraId="6D06CCE7" w14:textId="77777777" w:rsidTr="00A50207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</w:tcPr>
          <w:p w14:paraId="4A6D7693" w14:textId="73FDACC9" w:rsidR="0069620A" w:rsidRDefault="0069620A" w:rsidP="0069620A">
            <w:r>
              <w:t>Jeffrey Kirman</w:t>
            </w:r>
          </w:p>
        </w:tc>
        <w:tc>
          <w:tcPr>
            <w:tcW w:w="3714" w:type="dxa"/>
          </w:tcPr>
          <w:p w14:paraId="646AB74C" w14:textId="5E792F0D" w:rsidR="0069620A" w:rsidRDefault="001C4DD5" w:rsidP="00696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</w:t>
            </w:r>
            <w:r w:rsidR="0069620A">
              <w:t>%</w:t>
            </w:r>
          </w:p>
        </w:tc>
      </w:tr>
      <w:tr w:rsidR="0069620A" w14:paraId="26961513" w14:textId="77777777" w:rsidTr="00A50207">
        <w:trPr>
          <w:trHeight w:val="2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</w:tcPr>
          <w:p w14:paraId="38EFA225" w14:textId="54A016AB" w:rsidR="0069620A" w:rsidRDefault="0069620A" w:rsidP="0069620A">
            <w:r>
              <w:t>Connor Smith</w:t>
            </w:r>
          </w:p>
        </w:tc>
        <w:tc>
          <w:tcPr>
            <w:tcW w:w="3714" w:type="dxa"/>
          </w:tcPr>
          <w:p w14:paraId="5C2C3264" w14:textId="03D1ABA5" w:rsidR="0069620A" w:rsidRDefault="001C4DD5" w:rsidP="00696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</w:t>
            </w:r>
            <w:r w:rsidR="0069620A">
              <w:t>%</w:t>
            </w:r>
          </w:p>
        </w:tc>
      </w:tr>
    </w:tbl>
    <w:p w14:paraId="21D8BB11" w14:textId="66C7DC59" w:rsidR="00D61C90" w:rsidRDefault="006C01B3" w:rsidP="00D61C90">
      <w:pPr>
        <w:pStyle w:val="Heading1"/>
      </w:pPr>
      <w:r>
        <w:t>Part</w:t>
      </w:r>
      <w:r w:rsidR="00D61C90">
        <w:t xml:space="preserve"> </w:t>
      </w:r>
      <w:r w:rsidR="00E06237">
        <w:t>1</w:t>
      </w:r>
      <w:r>
        <w:t xml:space="preserve">: </w:t>
      </w:r>
      <w:r w:rsidR="00E06237">
        <w:t>Linear regression</w:t>
      </w:r>
    </w:p>
    <w:p w14:paraId="17B6842E" w14:textId="2208173C" w:rsidR="00E06237" w:rsidRPr="009319E6" w:rsidRDefault="00E06237" w:rsidP="00E06237">
      <w:pPr>
        <w:jc w:val="both"/>
      </w:pPr>
      <w:r>
        <w:t xml:space="preserve">Linear regression is performed using the following minibatch stochastic gradient descent (SGD) algorithm: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6237" w14:paraId="719BEDF4" w14:textId="77777777" w:rsidTr="00BC4594">
        <w:tc>
          <w:tcPr>
            <w:tcW w:w="9350" w:type="dxa"/>
            <w:shd w:val="clear" w:color="auto" w:fill="FFFFFF" w:themeFill="background1"/>
          </w:tcPr>
          <w:p w14:paraId="4FF9A4FD" w14:textId="550892BB" w:rsidR="00E06237" w:rsidRPr="0001699E" w:rsidRDefault="00E06237" w:rsidP="00BC4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highlight w:val="white"/>
              </w:rPr>
              <w:t>Init: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color w:val="000000"/>
                <w:sz w:val="20"/>
                <w:szCs w:val="20"/>
                <w:highlight w:val="white"/>
              </w:rPr>
              <w:t>w</w:t>
            </w:r>
            <w:r w:rsidRPr="00E06237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= </w:t>
            </w:r>
            <w:r w:rsidRPr="0001699E">
              <w:rPr>
                <w:rFonts w:ascii="Consolas" w:hAnsi="Consolas" w:cs="Consolas"/>
                <w:b/>
                <w:color w:val="000000"/>
                <w:sz w:val="20"/>
                <w:szCs w:val="20"/>
                <w:highlight w:val="white"/>
              </w:rPr>
              <w:t>0</w:t>
            </w:r>
            <w:r w:rsidR="0001699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         </w:t>
            </w:r>
            <w:r w:rsidR="00756E0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01699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01699E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# Weights vector</w:t>
            </w:r>
          </w:p>
          <w:p w14:paraId="7EB071AB" w14:textId="314408A2" w:rsidR="00E06237" w:rsidRPr="0001699E" w:rsidRDefault="00E06237" w:rsidP="00BC4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20"/>
                <w:highlight w:val="white"/>
              </w:rPr>
              <w:t xml:space="preserve">      </w:t>
            </w:r>
            <w:r w:rsidR="0001699E">
              <w:rPr>
                <w:rFonts w:ascii="Consolas" w:hAnsi="Consolas" w:cs="Consolas"/>
                <w:b/>
                <w:color w:val="000000"/>
                <w:sz w:val="20"/>
                <w:szCs w:val="20"/>
                <w:highlight w:val="white"/>
              </w:rPr>
              <w:t>x</w:t>
            </w:r>
            <w:r w:rsidR="0001699E">
              <w:rPr>
                <w:rFonts w:ascii="Consolas" w:hAnsi="Consolas" w:cs="Consolas"/>
                <w:b/>
                <w:color w:val="000000"/>
                <w:sz w:val="20"/>
                <w:szCs w:val="20"/>
                <w:highlight w:val="white"/>
                <w:vertAlign w:val="subscript"/>
              </w:rPr>
              <w:t>j</w:t>
            </w:r>
            <w:r>
              <w:rPr>
                <w:rFonts w:ascii="Consolas" w:hAnsi="Consolas" w:cs="Consolas"/>
                <w:b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= </w:t>
            </w:r>
            <w:r w:rsidR="0001699E">
              <w:rPr>
                <w:rFonts w:ascii="Calibri" w:hAnsi="Calibri" w:cs="Consolas"/>
                <w:color w:val="000000"/>
                <w:sz w:val="20"/>
                <w:szCs w:val="20"/>
                <w:highlight w:val="white"/>
              </w:rPr>
              <w:t>[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1 x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softHyphen/>
            </w:r>
            <w:r w:rsidR="0001699E" w:rsidRPr="0001699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vertAlign w:val="subscript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vertAlign w:val="subscript"/>
              </w:rPr>
              <w:t>1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x</w:t>
            </w:r>
            <w:r w:rsidR="0001699E" w:rsidRPr="0001699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vertAlign w:val="subscript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vertAlign w:val="subscript"/>
              </w:rPr>
              <w:t>2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...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x</w:t>
            </w:r>
            <w:r w:rsidR="0001699E" w:rsidRPr="0001699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vertAlign w:val="subscript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vertAlign w:val="subscript"/>
              </w:rPr>
              <w:t>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]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vertAlign w:val="superscript"/>
              </w:rPr>
              <w:t>T</w:t>
            </w:r>
            <w:proofErr w:type="gramEnd"/>
            <w:r w:rsidR="0001699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756E0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01699E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# Single in feature</w:t>
            </w:r>
          </w:p>
          <w:p w14:paraId="53152DFA" w14:textId="67467798" w:rsidR="00E06237" w:rsidRDefault="0001699E" w:rsidP="00BC4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</w:t>
            </w:r>
            <w:r w:rsidR="00D04BC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b/>
                <w:color w:val="000000"/>
                <w:sz w:val="20"/>
                <w:szCs w:val="20"/>
                <w:highlight w:val="white"/>
              </w:rPr>
              <w:t xml:space="preserve">X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= [</w:t>
            </w:r>
            <w:r>
              <w:rPr>
                <w:rFonts w:ascii="Consolas" w:hAnsi="Consolas" w:cs="Consolas"/>
                <w:b/>
                <w:color w:val="000000"/>
                <w:sz w:val="20"/>
                <w:szCs w:val="20"/>
                <w:highlight w:val="white"/>
              </w:rPr>
              <w:t>x</w:t>
            </w:r>
            <w:r>
              <w:rPr>
                <w:rFonts w:ascii="Consolas" w:hAnsi="Consolas" w:cs="Consolas"/>
                <w:b/>
                <w:color w:val="000000"/>
                <w:sz w:val="20"/>
                <w:szCs w:val="20"/>
                <w:highlight w:val="white"/>
                <w:vertAlign w:val="subscript"/>
              </w:rPr>
              <w:t xml:space="preserve">1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... </w:t>
            </w:r>
            <w:proofErr w:type="gramStart"/>
            <w:r>
              <w:rPr>
                <w:rFonts w:ascii="Consolas" w:hAnsi="Consolas" w:cs="Consolas"/>
                <w:b/>
                <w:color w:val="000000"/>
                <w:sz w:val="20"/>
                <w:szCs w:val="20"/>
                <w:highlight w:val="white"/>
              </w:rPr>
              <w:t>x</w:t>
            </w:r>
            <w:r>
              <w:rPr>
                <w:rFonts w:ascii="Consolas" w:hAnsi="Consolas" w:cs="Consolas"/>
                <w:b/>
                <w:color w:val="000000"/>
                <w:sz w:val="20"/>
                <w:szCs w:val="20"/>
                <w:highlight w:val="white"/>
                <w:vertAlign w:val="subscript"/>
              </w:rPr>
              <w:t>n</w:t>
            </w:r>
            <w:r w:rsidRPr="0001699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]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</w:t>
            </w:r>
            <w:r w:rsidR="00756E0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# Matrix of all in-features</w:t>
            </w:r>
          </w:p>
          <w:p w14:paraId="0044ED7B" w14:textId="1CE2A5B4" w:rsidR="0001699E" w:rsidRPr="0001699E" w:rsidRDefault="0001699E" w:rsidP="00BC4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</w:t>
            </w:r>
            <w:r w:rsidR="00D04BC1">
              <w:rPr>
                <w:rFonts w:ascii="Consolas" w:hAnsi="Consolas" w:cs="Consolas"/>
                <w:b/>
                <w:color w:val="000000"/>
                <w:sz w:val="20"/>
                <w:szCs w:val="20"/>
                <w:highlight w:val="white"/>
              </w:rPr>
              <w:t>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= [</w:t>
            </w:r>
            <w:r>
              <w:rPr>
                <w:rFonts w:ascii="Consolas" w:hAnsi="Consolas" w:cs="Consolas"/>
                <w:b/>
                <w:color w:val="000000"/>
                <w:sz w:val="20"/>
                <w:szCs w:val="20"/>
                <w:highlight w:val="white"/>
              </w:rPr>
              <w:t>y</w:t>
            </w:r>
            <w:r>
              <w:rPr>
                <w:rFonts w:ascii="Consolas" w:hAnsi="Consolas" w:cs="Consolas"/>
                <w:b/>
                <w:color w:val="000000"/>
                <w:sz w:val="20"/>
                <w:szCs w:val="20"/>
                <w:highlight w:val="white"/>
                <w:vertAlign w:val="subscript"/>
              </w:rPr>
              <w:t xml:space="preserve">1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... </w:t>
            </w:r>
            <w:proofErr w:type="gramStart"/>
            <w:r>
              <w:rPr>
                <w:rFonts w:ascii="Consolas" w:hAnsi="Consolas" w:cs="Consolas"/>
                <w:b/>
                <w:color w:val="000000"/>
                <w:sz w:val="20"/>
                <w:szCs w:val="20"/>
                <w:highlight w:val="white"/>
              </w:rPr>
              <w:t>y</w:t>
            </w:r>
            <w:r>
              <w:rPr>
                <w:rFonts w:ascii="Consolas" w:hAnsi="Consolas" w:cs="Consolas"/>
                <w:b/>
                <w:color w:val="000000"/>
                <w:sz w:val="20"/>
                <w:szCs w:val="20"/>
                <w:highlight w:val="white"/>
                <w:vertAlign w:val="subscript"/>
              </w:rPr>
              <w:t>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]   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</w:t>
            </w:r>
            <w:r w:rsidR="00756E0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# Vector of all targets</w:t>
            </w:r>
          </w:p>
          <w:p w14:paraId="13572F92" w14:textId="02D9F4ED" w:rsidR="00E06237" w:rsidRDefault="00D04BC1" w:rsidP="00BC4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highlight w:val="white"/>
              </w:rPr>
              <w:t>Step</w:t>
            </w:r>
            <w:r w:rsidR="008C3A7F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highlight w:val="white"/>
              </w:rPr>
              <w:t>: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for each epoch</w:t>
            </w:r>
          </w:p>
          <w:p w14:paraId="7E95CEAF" w14:textId="675432D4" w:rsidR="00D04BC1" w:rsidRPr="005C620C" w:rsidRDefault="00D04BC1" w:rsidP="00BC459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 Shuffle </w:t>
            </w:r>
            <w:r>
              <w:rPr>
                <w:rFonts w:ascii="Consolas" w:hAnsi="Consolas" w:cs="Consolas"/>
                <w:b/>
                <w:color w:val="000000"/>
                <w:sz w:val="20"/>
                <w:szCs w:val="20"/>
                <w:highlight w:val="white"/>
              </w:rPr>
              <w:t>X</w:t>
            </w:r>
            <w:r w:rsidR="005C620C">
              <w:rPr>
                <w:rFonts w:ascii="Consolas" w:hAnsi="Consolas" w:cs="Consolas"/>
                <w:b/>
                <w:color w:val="000000"/>
                <w:sz w:val="20"/>
                <w:szCs w:val="20"/>
                <w:highlight w:val="white"/>
              </w:rPr>
              <w:t xml:space="preserve"> -&gt; X’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</w:t>
            </w:r>
            <w:r w:rsidR="00756E0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 xml:space="preserve"># Randomly shuffle the vectors in </w:t>
            </w:r>
            <w:r>
              <w:rPr>
                <w:rFonts w:ascii="Consolas" w:hAnsi="Consolas" w:cs="Consolas"/>
                <w:b/>
                <w:color w:val="008000"/>
                <w:sz w:val="20"/>
                <w:szCs w:val="20"/>
                <w:highlight w:val="white"/>
              </w:rPr>
              <w:t>X</w:t>
            </w:r>
            <w:r w:rsidR="005C620C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 xml:space="preserve"> into </w:t>
            </w:r>
            <w:r w:rsidR="005C620C">
              <w:rPr>
                <w:rFonts w:ascii="Consolas" w:hAnsi="Consolas" w:cs="Consolas"/>
                <w:b/>
                <w:color w:val="008000"/>
                <w:sz w:val="20"/>
                <w:szCs w:val="20"/>
                <w:highlight w:val="white"/>
              </w:rPr>
              <w:t>X’</w:t>
            </w:r>
          </w:p>
          <w:p w14:paraId="643B9AFB" w14:textId="156CCACE" w:rsidR="00D04BC1" w:rsidRPr="005C620C" w:rsidRDefault="00D04BC1" w:rsidP="00BC4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20"/>
                <w:highlight w:val="white"/>
              </w:rPr>
              <w:t xml:space="preserve">         </w:t>
            </w:r>
            <w:r w:rsidR="00317E5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for each mini-batch</w:t>
            </w:r>
            <w:r w:rsidR="005C620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5C620C">
              <w:rPr>
                <w:rFonts w:ascii="Consolas" w:hAnsi="Consolas" w:cs="Consolas"/>
                <w:b/>
                <w:color w:val="000000"/>
                <w:sz w:val="20"/>
                <w:szCs w:val="20"/>
                <w:highlight w:val="white"/>
              </w:rPr>
              <w:t>X’</w:t>
            </w:r>
            <w:r w:rsidR="005C620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= [</w:t>
            </w:r>
            <w:r w:rsidR="005C620C">
              <w:rPr>
                <w:rFonts w:ascii="Consolas" w:hAnsi="Consolas" w:cs="Consolas"/>
                <w:b/>
                <w:color w:val="000000"/>
                <w:sz w:val="20"/>
                <w:szCs w:val="20"/>
                <w:highlight w:val="white"/>
              </w:rPr>
              <w:t>x’</w:t>
            </w:r>
            <w:r w:rsidR="005C620C">
              <w:rPr>
                <w:rFonts w:ascii="Consolas" w:hAnsi="Consolas" w:cs="Consolas"/>
                <w:b/>
                <w:color w:val="000000"/>
                <w:sz w:val="20"/>
                <w:szCs w:val="20"/>
                <w:highlight w:val="white"/>
                <w:vertAlign w:val="subscript"/>
              </w:rPr>
              <w:t>(mini-batch_</w:t>
            </w:r>
            <w:proofErr w:type="gramStart"/>
            <w:r w:rsidR="005C620C">
              <w:rPr>
                <w:rFonts w:ascii="Consolas" w:hAnsi="Consolas" w:cs="Consolas"/>
                <w:b/>
                <w:color w:val="000000"/>
                <w:sz w:val="20"/>
                <w:szCs w:val="20"/>
                <w:highlight w:val="white"/>
                <w:vertAlign w:val="subscript"/>
              </w:rPr>
              <w:t>size)*</w:t>
            </w:r>
            <w:proofErr w:type="gramEnd"/>
            <w:r w:rsidR="005C620C">
              <w:rPr>
                <w:rFonts w:ascii="Consolas" w:hAnsi="Consolas" w:cs="Consolas"/>
                <w:b/>
                <w:color w:val="000000"/>
                <w:sz w:val="20"/>
                <w:szCs w:val="20"/>
                <w:highlight w:val="white"/>
                <w:vertAlign w:val="subscript"/>
              </w:rPr>
              <w:t>i</w:t>
            </w:r>
            <w:r w:rsidR="005C620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... </w:t>
            </w:r>
            <w:r w:rsidR="005C620C">
              <w:rPr>
                <w:rFonts w:ascii="Consolas" w:hAnsi="Consolas" w:cs="Consolas"/>
                <w:b/>
                <w:color w:val="000000"/>
                <w:sz w:val="20"/>
                <w:szCs w:val="20"/>
                <w:highlight w:val="white"/>
              </w:rPr>
              <w:t>x’</w:t>
            </w:r>
            <w:r w:rsidR="005C620C">
              <w:rPr>
                <w:rFonts w:ascii="Consolas" w:hAnsi="Consolas" w:cs="Consolas"/>
                <w:b/>
                <w:color w:val="000000"/>
                <w:sz w:val="20"/>
                <w:szCs w:val="20"/>
                <w:highlight w:val="white"/>
                <w:vertAlign w:val="subscript"/>
              </w:rPr>
              <w:t>(mini-batch_size)*(i+1)</w:t>
            </w:r>
            <w:r w:rsidR="005C620C" w:rsidRPr="0001699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]</w:t>
            </w:r>
          </w:p>
          <w:p w14:paraId="64F85C4A" w14:textId="128E1CB6" w:rsidR="005C620C" w:rsidRDefault="00317E50" w:rsidP="005C62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b/>
                <w:color w:val="000000"/>
                <w:sz w:val="20"/>
                <w:szCs w:val="20"/>
                <w:highlight w:val="white"/>
              </w:rPr>
              <w:t>g</w:t>
            </w:r>
            <w:r>
              <w:rPr>
                <w:rFonts w:ascii="Consolas" w:hAnsi="Consolas" w:cs="Consolas"/>
                <w:b/>
                <w:color w:val="000000"/>
                <w:sz w:val="20"/>
                <w:szCs w:val="20"/>
                <w:highlight w:val="white"/>
                <w:vertAlign w:val="subscript"/>
              </w:rPr>
              <w:t>t</w:t>
            </w:r>
            <w:r>
              <w:rPr>
                <w:rFonts w:ascii="Consolas" w:hAnsi="Consolas" w:cs="Consolas"/>
                <w:b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C620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= </w:t>
            </w:r>
            <w:r w:rsidR="005C620C" w:rsidRPr="005C620C">
              <w:rPr>
                <w:rFonts w:ascii="Cambria Math" w:hAnsi="Cambria Math" w:cs="Cambria Math"/>
                <w:color w:val="000000"/>
                <w:sz w:val="20"/>
                <w:szCs w:val="20"/>
              </w:rPr>
              <w:t>∇</w:t>
            </w:r>
            <w:r w:rsidR="005C620C">
              <w:rPr>
                <w:rFonts w:ascii="Consolas" w:hAnsi="Consolas" w:cs="Consolas"/>
                <w:color w:val="000000"/>
                <w:sz w:val="20"/>
                <w:szCs w:val="20"/>
              </w:rPr>
              <w:t>E</w:t>
            </w:r>
            <w:r w:rsidR="005C620C">
              <w:rPr>
                <w:rFonts w:ascii="Consolas" w:hAnsi="Consolas" w:cs="Consolas"/>
                <w:color w:val="000000"/>
                <w:sz w:val="20"/>
                <w:szCs w:val="20"/>
                <w:vertAlign w:val="subscript"/>
              </w:rPr>
              <w:t>in</w:t>
            </w:r>
            <w:r w:rsidR="005C620C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="005C620C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w</w:t>
            </w:r>
            <w:r w:rsidR="005C620C">
              <w:rPr>
                <w:rFonts w:ascii="Consolas" w:hAnsi="Consolas" w:cs="Consolas"/>
                <w:b/>
                <w:color w:val="000000"/>
                <w:sz w:val="20"/>
                <w:szCs w:val="20"/>
                <w:vertAlign w:val="superscript"/>
              </w:rPr>
              <w:t>(t</w:t>
            </w:r>
            <w:proofErr w:type="gramStart"/>
            <w:r w:rsidR="005C620C">
              <w:rPr>
                <w:rFonts w:ascii="Consolas" w:hAnsi="Consolas" w:cs="Consolas"/>
                <w:b/>
                <w:color w:val="000000"/>
                <w:sz w:val="20"/>
                <w:szCs w:val="20"/>
                <w:vertAlign w:val="superscript"/>
              </w:rPr>
              <w:t>)</w:t>
            </w:r>
            <w:r w:rsidR="005C620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  </w:t>
            </w:r>
            <w:proofErr w:type="gramEnd"/>
            <w:r w:rsidR="005C620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756E0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5C620C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# Calculate the gradient</w:t>
            </w:r>
            <w:r w:rsidR="00BF1FF7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 xml:space="preserve"> of the loss</w:t>
            </w:r>
          </w:p>
          <w:p w14:paraId="112B9629" w14:textId="26E0C7FF" w:rsidR="00756E01" w:rsidRDefault="00756E01" w:rsidP="005C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8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w</w:t>
            </w:r>
            <w:r>
              <w:rPr>
                <w:rFonts w:ascii="Consolas" w:hAnsi="Consolas" w:cs="Consolas"/>
                <w:b/>
                <w:color w:val="000000"/>
                <w:sz w:val="20"/>
                <w:szCs w:val="20"/>
                <w:vertAlign w:val="superscript"/>
              </w:rPr>
              <w:t>(t+1)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w</w:t>
            </w:r>
            <w:r>
              <w:rPr>
                <w:rFonts w:ascii="Consolas" w:hAnsi="Consolas" w:cs="Consolas"/>
                <w:b/>
                <w:color w:val="000000"/>
                <w:sz w:val="20"/>
                <w:szCs w:val="20"/>
                <w:vertAlign w:val="superscript"/>
              </w:rPr>
              <w:t>(t)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– </w:t>
            </w:r>
            <w:r w:rsidRPr="00756E01">
              <w:rPr>
                <w:rFonts w:ascii="Calibri" w:hAnsi="Calibri" w:cs="Consolas"/>
                <w:color w:val="000000"/>
                <w:sz w:val="20"/>
                <w:szCs w:val="20"/>
              </w:rPr>
              <w:t>η</w:t>
            </w:r>
            <w:proofErr w:type="gramStart"/>
            <w:r w:rsidRPr="00756E01">
              <w:rPr>
                <w:rFonts w:ascii="Consolas" w:hAnsi="Consolas" w:cs="Consolas"/>
                <w:b/>
                <w:color w:val="000000"/>
                <w:sz w:val="20"/>
                <w:szCs w:val="20"/>
                <w:highlight w:val="white"/>
              </w:rPr>
              <w:t>g</w:t>
            </w:r>
            <w:r w:rsidRPr="00756E01">
              <w:rPr>
                <w:rFonts w:ascii="Consolas" w:hAnsi="Consolas" w:cs="Consolas"/>
                <w:b/>
                <w:color w:val="000000"/>
                <w:sz w:val="20"/>
                <w:szCs w:val="20"/>
                <w:highlight w:val="white"/>
                <w:vertAlign w:val="subscript"/>
              </w:rPr>
              <w:t>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#</w:t>
            </w:r>
            <w:proofErr w:type="gramEnd"/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 xml:space="preserve"> Update the weights, where </w:t>
            </w:r>
            <w:r w:rsidRPr="00756E01">
              <w:rPr>
                <w:rFonts w:ascii="Consolas" w:hAnsi="Consolas" w:cs="Consolas"/>
                <w:color w:val="008000"/>
                <w:sz w:val="20"/>
                <w:szCs w:val="20"/>
              </w:rPr>
              <w:t>η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is the learning factor</w:t>
            </w:r>
          </w:p>
          <w:p w14:paraId="4C40EB9E" w14:textId="1B2FF4DA" w:rsidR="00D04BC1" w:rsidRPr="00756E01" w:rsidRDefault="00756E01" w:rsidP="00BC4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highlight w:val="white"/>
              </w:rPr>
              <w:t xml:space="preserve">Result: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return </w:t>
            </w:r>
            <w:r>
              <w:rPr>
                <w:rFonts w:ascii="Consolas" w:hAnsi="Consolas" w:cs="Consolas"/>
                <w:b/>
                <w:color w:val="000000"/>
                <w:sz w:val="20"/>
                <w:szCs w:val="20"/>
                <w:highlight w:val="white"/>
              </w:rPr>
              <w:t>w</w:t>
            </w:r>
            <w:r w:rsidR="00D04BC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</w:t>
            </w:r>
          </w:p>
        </w:tc>
      </w:tr>
    </w:tbl>
    <w:p w14:paraId="06049684" w14:textId="044008C9" w:rsidR="00E06237" w:rsidRDefault="00E06237" w:rsidP="007B4ADC">
      <w:pPr>
        <w:jc w:val="both"/>
      </w:pPr>
    </w:p>
    <w:p w14:paraId="279DCB81" w14:textId="64BF4FE0" w:rsidR="003E510F" w:rsidRDefault="003E510F" w:rsidP="007B4ADC">
      <w:pPr>
        <w:jc w:val="both"/>
      </w:pPr>
      <w:r>
        <w:t xml:space="preserve">The </w:t>
      </w:r>
      <w:r w:rsidRPr="003E510F">
        <w:rPr>
          <w:b/>
        </w:rPr>
        <w:t>SGD</w:t>
      </w:r>
      <w:r>
        <w:t xml:space="preserve"> function (</w:t>
      </w:r>
      <w:r w:rsidRPr="003E510F">
        <w:rPr>
          <w:b/>
        </w:rPr>
        <w:t>linear_regression</w:t>
      </w:r>
      <w:r w:rsidR="009C0A5F">
        <w:rPr>
          <w:b/>
        </w:rPr>
        <w:t>2</w:t>
      </w:r>
      <w:r w:rsidRPr="003E510F">
        <w:rPr>
          <w:b/>
        </w:rPr>
        <w:t>.py</w:t>
      </w:r>
      <w:r>
        <w:t xml:space="preserve"> in </w:t>
      </w:r>
      <w:r w:rsidRPr="003E510F">
        <w:rPr>
          <w:i/>
        </w:rPr>
        <w:t>Appendix A</w:t>
      </w:r>
      <w:r>
        <w:t>) implements this.</w:t>
      </w:r>
      <w:r w:rsidR="00E74E8C">
        <w:t xml:space="preserve"> </w:t>
      </w:r>
      <w:r w:rsidR="00F74151">
        <w:t>This function creates a graph in which</w:t>
      </w:r>
      <w:r w:rsidR="00932D3F">
        <w:t xml:space="preserve"> </w:t>
      </w:r>
      <w:r w:rsidR="00BC4594">
        <w:t xml:space="preserve">with placeholders for input matrix </w:t>
      </w:r>
      <w:r w:rsidR="00BC4594">
        <w:rPr>
          <w:b/>
        </w:rPr>
        <w:t>X</w:t>
      </w:r>
      <w:r w:rsidR="00BC4594">
        <w:t xml:space="preserve"> and target vector </w:t>
      </w:r>
      <w:r w:rsidR="00BC4594">
        <w:rPr>
          <w:b/>
        </w:rPr>
        <w:t>y</w:t>
      </w:r>
      <w:r w:rsidR="00BC4594">
        <w:t>. It then calculates the MSE loss according to the following equation:</w:t>
      </w:r>
    </w:p>
    <w:p w14:paraId="0B6EA8DC" w14:textId="72705D61" w:rsidR="00BC4594" w:rsidRPr="00BC4594" w:rsidRDefault="00BC4594" w:rsidP="007B4ADC">
      <w:pPr>
        <w:jc w:val="both"/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L=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2N</m:t>
                  </m:r>
                </m:den>
              </m:f>
            </m:e>
          </m:nary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790EF694" w14:textId="2926A7E8" w:rsidR="00E06237" w:rsidRDefault="00BC4594" w:rsidP="007B4ADC">
      <w:pPr>
        <w:jc w:val="both"/>
      </w:pPr>
      <w:r>
        <w:t xml:space="preserve">Where </w:t>
      </w:r>
      <w:r w:rsidR="000440FA">
        <w:t xml:space="preserve">λ is the decay constant. The gradients are then calculated using a function in the </w:t>
      </w:r>
      <w:proofErr w:type="spellStart"/>
      <w:r w:rsidR="000440FA">
        <w:t>tensorflow</w:t>
      </w:r>
      <w:proofErr w:type="spellEnd"/>
      <w:r w:rsidR="000440FA">
        <w:t xml:space="preserve"> API, </w:t>
      </w:r>
      <w:proofErr w:type="spellStart"/>
      <w:proofErr w:type="gramStart"/>
      <w:r w:rsidR="000440FA">
        <w:t>tf.gradients</w:t>
      </w:r>
      <w:proofErr w:type="spellEnd"/>
      <w:proofErr w:type="gramEnd"/>
      <w:r w:rsidR="000440FA">
        <w:t>. Finally, the weights are updated.</w:t>
      </w:r>
    </w:p>
    <w:p w14:paraId="4B043C88" w14:textId="38297340" w:rsidR="007B4ADC" w:rsidRDefault="007B4ADC" w:rsidP="007B4ADC">
      <w:pPr>
        <w:jc w:val="both"/>
      </w:pPr>
      <w:r>
        <w:t xml:space="preserve">After the graph is created the function calculates the number of epochs based on the iterations and mini-batch size. It then shuffles an array of indices and then uses them to index the matrix of in-features into a mini-batch. </w:t>
      </w:r>
      <w:proofErr w:type="spellStart"/>
      <w:r>
        <w:t>feed_dict</w:t>
      </w:r>
      <w:proofErr w:type="spellEnd"/>
      <w:r>
        <w:t xml:space="preserve"> is then used to feed the inputs into the placeholders and run the graph for one iteration.</w:t>
      </w:r>
    </w:p>
    <w:p w14:paraId="0DDB450D" w14:textId="0A2B6BBE" w:rsidR="00E06237" w:rsidRDefault="007B4ADC" w:rsidP="007B4ADC">
      <w:pPr>
        <w:pStyle w:val="Heading2"/>
      </w:pPr>
      <w:r>
        <w:t>Part 1 – 1</w:t>
      </w:r>
    </w:p>
    <w:p w14:paraId="3ED10176" w14:textId="5E1FE357" w:rsidR="009C33B0" w:rsidRPr="009C33B0" w:rsidRDefault="009C33B0" w:rsidP="009C33B0">
      <w:pPr>
        <w:jc w:val="both"/>
      </w:pPr>
      <w:r>
        <w:t>The results of changing the learning rate (η) can be seen in the f</w:t>
      </w:r>
      <w:r w:rsidR="005B5B32">
        <w:t xml:space="preserve">igure below. Here we can see that as the learning rate is increased the quicker it converges and </w:t>
      </w:r>
      <w:r w:rsidR="00BD6A24">
        <w:t>the lower final value it</w:t>
      </w:r>
      <w:r w:rsidR="005B5B32">
        <w:t xml:space="preserve"> converges to.</w:t>
      </w:r>
      <w:r>
        <w:t xml:space="preserve"> Therefore, </w:t>
      </w:r>
      <w:r w:rsidRPr="00C6668B">
        <w:rPr>
          <w:b/>
        </w:rPr>
        <w:t>the</w:t>
      </w:r>
      <w:r w:rsidR="005B5B32" w:rsidRPr="00C6668B">
        <w:rPr>
          <w:b/>
        </w:rPr>
        <w:t xml:space="preserve"> best η in this case is 0.005</w:t>
      </w:r>
      <w:r w:rsidRPr="00C6668B">
        <w:rPr>
          <w:b/>
        </w:rPr>
        <w:t>.</w:t>
      </w:r>
    </w:p>
    <w:p w14:paraId="7D8429FB" w14:textId="18D44160" w:rsidR="007B4ADC" w:rsidRPr="007B4ADC" w:rsidRDefault="005B5B32" w:rsidP="009C33B0">
      <w:pPr>
        <w:jc w:val="center"/>
      </w:pPr>
      <w:r>
        <w:rPr>
          <w:noProof/>
        </w:rPr>
        <w:lastRenderedPageBreak/>
        <w:drawing>
          <wp:inline distT="0" distB="0" distL="0" distR="0" wp14:anchorId="21DCD020" wp14:editId="0B2EFEDF">
            <wp:extent cx="5943600" cy="45967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37F1D" w14:textId="1ADFB3AC" w:rsidR="009C33B0" w:rsidRDefault="009C33B0" w:rsidP="009C33B0">
      <w:pPr>
        <w:pStyle w:val="Heading2"/>
      </w:pPr>
      <w:r>
        <w:t>Part 1 – 2</w:t>
      </w:r>
      <w:r w:rsidR="00A02D48">
        <w:t>: Effect of the mini-batch size</w:t>
      </w:r>
    </w:p>
    <w:p w14:paraId="6A404844" w14:textId="1ABF86CC" w:rsidR="00D3310A" w:rsidRDefault="00D3310A" w:rsidP="00BD6A24">
      <w:pPr>
        <w:jc w:val="both"/>
      </w:pPr>
      <w:r>
        <w:t>The final values of the MSE loss</w:t>
      </w:r>
      <w:r w:rsidR="00113BED">
        <w:t xml:space="preserve"> as well as computation time</w:t>
      </w:r>
      <w:r>
        <w:t xml:space="preserve"> are summarized in the table below: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21"/>
        <w:gridCol w:w="1018"/>
        <w:gridCol w:w="2807"/>
      </w:tblGrid>
      <w:tr w:rsidR="00113BED" w14:paraId="2EE6A360" w14:textId="77777777" w:rsidTr="00BD6A24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0EF56D1B" w14:textId="21FB07C6" w:rsidR="00113BED" w:rsidRPr="00BD6A24" w:rsidRDefault="00113BED" w:rsidP="009C33B0">
            <w:pPr>
              <w:rPr>
                <w:b/>
              </w:rPr>
            </w:pPr>
            <w:r w:rsidRPr="00BD6A24">
              <w:rPr>
                <w:b/>
              </w:rPr>
              <w:t>Mini-batch Size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5152587" w14:textId="37183C8F" w:rsidR="00113BED" w:rsidRPr="00BD6A24" w:rsidRDefault="00113BED" w:rsidP="009C33B0">
            <w:pPr>
              <w:rPr>
                <w:b/>
              </w:rPr>
            </w:pPr>
            <w:r w:rsidRPr="00BD6A24">
              <w:rPr>
                <w:b/>
              </w:rPr>
              <w:t>MSE loss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86752F6" w14:textId="33DDD296" w:rsidR="00113BED" w:rsidRPr="00BD6A24" w:rsidRDefault="00113BED" w:rsidP="009C33B0">
            <w:pPr>
              <w:rPr>
                <w:b/>
              </w:rPr>
            </w:pPr>
            <w:r w:rsidRPr="00BD6A24">
              <w:rPr>
                <w:b/>
              </w:rPr>
              <w:t>Computation time (seconds)</w:t>
            </w:r>
          </w:p>
        </w:tc>
      </w:tr>
      <w:tr w:rsidR="00113BED" w14:paraId="1E836FFD" w14:textId="77777777" w:rsidTr="00BD6A24">
        <w:trPr>
          <w:jc w:val="center"/>
        </w:trPr>
        <w:tc>
          <w:tcPr>
            <w:tcW w:w="0" w:type="auto"/>
          </w:tcPr>
          <w:p w14:paraId="61166507" w14:textId="34FBFC8D" w:rsidR="00113BED" w:rsidRDefault="00113BED" w:rsidP="009C33B0">
            <w:r>
              <w:t>500</w:t>
            </w:r>
          </w:p>
        </w:tc>
        <w:tc>
          <w:tcPr>
            <w:tcW w:w="0" w:type="auto"/>
          </w:tcPr>
          <w:p w14:paraId="528C327E" w14:textId="4F47CC9F" w:rsidR="00113BED" w:rsidRDefault="00BA1711" w:rsidP="009C33B0">
            <w:r>
              <w:t>0.0149</w:t>
            </w:r>
          </w:p>
        </w:tc>
        <w:tc>
          <w:tcPr>
            <w:tcW w:w="0" w:type="auto"/>
          </w:tcPr>
          <w:p w14:paraId="332E9E80" w14:textId="51A915C4" w:rsidR="00113BED" w:rsidRDefault="007775DB" w:rsidP="009C33B0">
            <w:r w:rsidRPr="007775DB">
              <w:t>206</w:t>
            </w:r>
          </w:p>
        </w:tc>
      </w:tr>
      <w:tr w:rsidR="00113BED" w14:paraId="6B363FC2" w14:textId="77777777" w:rsidTr="00BD6A24">
        <w:trPr>
          <w:jc w:val="center"/>
        </w:trPr>
        <w:tc>
          <w:tcPr>
            <w:tcW w:w="0" w:type="auto"/>
          </w:tcPr>
          <w:p w14:paraId="336C0E6F" w14:textId="43D398A8" w:rsidR="00113BED" w:rsidRDefault="00113BED" w:rsidP="009C33B0">
            <w:r>
              <w:t>1500</w:t>
            </w:r>
          </w:p>
        </w:tc>
        <w:tc>
          <w:tcPr>
            <w:tcW w:w="0" w:type="auto"/>
          </w:tcPr>
          <w:p w14:paraId="48B87D3C" w14:textId="64956B51" w:rsidR="00113BED" w:rsidRDefault="00BA1711" w:rsidP="009C33B0">
            <w:r>
              <w:t>0.0176</w:t>
            </w:r>
          </w:p>
        </w:tc>
        <w:tc>
          <w:tcPr>
            <w:tcW w:w="0" w:type="auto"/>
          </w:tcPr>
          <w:p w14:paraId="537283C7" w14:textId="36B04D56" w:rsidR="00113BED" w:rsidRDefault="007775DB" w:rsidP="009C33B0">
            <w:r w:rsidRPr="007775DB">
              <w:t>433</w:t>
            </w:r>
          </w:p>
        </w:tc>
      </w:tr>
      <w:tr w:rsidR="00113BED" w14:paraId="2B4DE203" w14:textId="77777777" w:rsidTr="00BD6A24">
        <w:trPr>
          <w:jc w:val="center"/>
        </w:trPr>
        <w:tc>
          <w:tcPr>
            <w:tcW w:w="0" w:type="auto"/>
          </w:tcPr>
          <w:p w14:paraId="1B38E6D8" w14:textId="624F310C" w:rsidR="00113BED" w:rsidRDefault="00113BED" w:rsidP="009C33B0">
            <w:r>
              <w:t>3500</w:t>
            </w:r>
          </w:p>
        </w:tc>
        <w:tc>
          <w:tcPr>
            <w:tcW w:w="0" w:type="auto"/>
          </w:tcPr>
          <w:p w14:paraId="4155110D" w14:textId="37ADFB70" w:rsidR="00113BED" w:rsidRDefault="00BA1711" w:rsidP="009C33B0">
            <w:r w:rsidRPr="00BA1711">
              <w:t>0.017</w:t>
            </w:r>
            <w:r>
              <w:t>1</w:t>
            </w:r>
          </w:p>
        </w:tc>
        <w:tc>
          <w:tcPr>
            <w:tcW w:w="0" w:type="auto"/>
          </w:tcPr>
          <w:p w14:paraId="70FCBF90" w14:textId="78EDCEC4" w:rsidR="00113BED" w:rsidRDefault="007775DB" w:rsidP="009C33B0">
            <w:r>
              <w:t>1243</w:t>
            </w:r>
          </w:p>
        </w:tc>
      </w:tr>
    </w:tbl>
    <w:p w14:paraId="1A7F7AB8" w14:textId="77777777" w:rsidR="00D3310A" w:rsidRDefault="00D3310A" w:rsidP="009C33B0"/>
    <w:p w14:paraId="5114874C" w14:textId="618AB528" w:rsidR="009C33B0" w:rsidRDefault="00F346D7" w:rsidP="00BD6A24">
      <w:pPr>
        <w:jc w:val="both"/>
      </w:pPr>
      <w:r>
        <w:t>The best mini-batch size in terms of training time is 500. This makes sense s</w:t>
      </w:r>
      <w:r w:rsidR="00113BED">
        <w:t>ince each iteration contains less operations (i.e. less MSE loss and less gradients to compute), hence each update will happen faster.</w:t>
      </w:r>
    </w:p>
    <w:p w14:paraId="2154A0CA" w14:textId="11846774" w:rsidR="00BD6A24" w:rsidRPr="00BD6A24" w:rsidRDefault="00BD6A24" w:rsidP="00BD6A24">
      <w:pPr>
        <w:jc w:val="both"/>
        <w:rPr>
          <w:i/>
        </w:rPr>
      </w:pPr>
      <w:r>
        <w:rPr>
          <w:i/>
        </w:rPr>
        <w:t>Note: for mini-batches that do not equally divide the number of training examples, the remainder of unused examples are used in a shortened mini-batch at the end of each epoch.</w:t>
      </w:r>
    </w:p>
    <w:p w14:paraId="17A715B3" w14:textId="2739F094" w:rsidR="00A02D48" w:rsidRDefault="00A02D48" w:rsidP="00A02D48">
      <w:pPr>
        <w:pStyle w:val="Heading2"/>
      </w:pPr>
      <w:r>
        <w:t>Part 1 – 3: Generalization</w:t>
      </w:r>
    </w:p>
    <w:p w14:paraId="7597F896" w14:textId="737126EC" w:rsidR="00730996" w:rsidRPr="00730996" w:rsidRDefault="00730996" w:rsidP="00730996">
      <w:pPr>
        <w:jc w:val="both"/>
      </w:pPr>
      <w:r>
        <w:t>The final values of the accuracy on the validation and test set, as well as computation time are summarized in the table below. When calculating accuracy, if a prediction was above 0.5 it was said to be classified as 1, and below 0.5, classified as 0.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8"/>
        <w:gridCol w:w="2025"/>
        <w:gridCol w:w="1469"/>
        <w:gridCol w:w="2807"/>
      </w:tblGrid>
      <w:tr w:rsidR="00730996" w14:paraId="5F5429AE" w14:textId="77777777" w:rsidTr="00730996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684D7228" w14:textId="168D79C7" w:rsidR="00730996" w:rsidRPr="00BD6A24" w:rsidRDefault="00730996" w:rsidP="00730996">
            <w:pPr>
              <w:rPr>
                <w:b/>
              </w:rPr>
            </w:pPr>
            <w:r>
              <w:rPr>
                <w:b/>
              </w:rPr>
              <w:lastRenderedPageBreak/>
              <w:t>λ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E2149DC" w14:textId="463FFF8E" w:rsidR="00730996" w:rsidRPr="00BD6A24" w:rsidRDefault="00730996" w:rsidP="00730996">
            <w:pPr>
              <w:rPr>
                <w:b/>
              </w:rPr>
            </w:pPr>
            <w:r>
              <w:rPr>
                <w:b/>
              </w:rPr>
              <w:t>Validation Accuracy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AF13A38" w14:textId="307D6CE6" w:rsidR="00730996" w:rsidRPr="00BD6A24" w:rsidRDefault="00730996" w:rsidP="00730996">
            <w:pPr>
              <w:rPr>
                <w:b/>
              </w:rPr>
            </w:pPr>
            <w:r>
              <w:rPr>
                <w:b/>
              </w:rPr>
              <w:t>Test Accuracy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E1B7B40" w14:textId="18E907C4" w:rsidR="00730996" w:rsidRPr="00BD6A24" w:rsidRDefault="00730996" w:rsidP="00730996">
            <w:pPr>
              <w:rPr>
                <w:b/>
              </w:rPr>
            </w:pPr>
            <w:r w:rsidRPr="00BD6A24">
              <w:rPr>
                <w:b/>
              </w:rPr>
              <w:t>Computation time (seconds)</w:t>
            </w:r>
          </w:p>
        </w:tc>
      </w:tr>
      <w:tr w:rsidR="00730996" w14:paraId="53B771B5" w14:textId="77777777" w:rsidTr="00730996">
        <w:trPr>
          <w:jc w:val="center"/>
        </w:trPr>
        <w:tc>
          <w:tcPr>
            <w:tcW w:w="0" w:type="auto"/>
          </w:tcPr>
          <w:p w14:paraId="3ACFD379" w14:textId="57078631" w:rsidR="00730996" w:rsidRPr="00730996" w:rsidRDefault="00730996" w:rsidP="00730996">
            <w:pPr>
              <w:rPr>
                <w:b/>
              </w:rPr>
            </w:pPr>
            <w:r w:rsidRPr="00730996">
              <w:rPr>
                <w:b/>
              </w:rPr>
              <w:t>0</w:t>
            </w:r>
          </w:p>
        </w:tc>
        <w:tc>
          <w:tcPr>
            <w:tcW w:w="0" w:type="auto"/>
          </w:tcPr>
          <w:p w14:paraId="51F0ABF0" w14:textId="52F7FF19" w:rsidR="00730996" w:rsidRPr="00730996" w:rsidRDefault="00730996" w:rsidP="00730996">
            <w:pPr>
              <w:rPr>
                <w:b/>
              </w:rPr>
            </w:pPr>
            <w:r w:rsidRPr="00730996">
              <w:rPr>
                <w:b/>
              </w:rPr>
              <w:t>0.972</w:t>
            </w:r>
          </w:p>
        </w:tc>
        <w:tc>
          <w:tcPr>
            <w:tcW w:w="0" w:type="auto"/>
          </w:tcPr>
          <w:p w14:paraId="5F76FE64" w14:textId="37913663" w:rsidR="00730996" w:rsidRPr="00730996" w:rsidRDefault="00730996" w:rsidP="00730996">
            <w:pPr>
              <w:rPr>
                <w:b/>
              </w:rPr>
            </w:pPr>
            <w:r w:rsidRPr="00730996">
              <w:rPr>
                <w:b/>
              </w:rPr>
              <w:t>0.99</w:t>
            </w:r>
          </w:p>
        </w:tc>
        <w:tc>
          <w:tcPr>
            <w:tcW w:w="0" w:type="auto"/>
          </w:tcPr>
          <w:p w14:paraId="1900EE02" w14:textId="2AD75C9E" w:rsidR="00730996" w:rsidRPr="00730996" w:rsidRDefault="00730996" w:rsidP="00730996">
            <w:pPr>
              <w:rPr>
                <w:b/>
              </w:rPr>
            </w:pPr>
            <w:r>
              <w:rPr>
                <w:b/>
              </w:rPr>
              <w:t>209</w:t>
            </w:r>
          </w:p>
        </w:tc>
      </w:tr>
      <w:tr w:rsidR="00730996" w14:paraId="7C784102" w14:textId="77777777" w:rsidTr="00730996">
        <w:trPr>
          <w:jc w:val="center"/>
        </w:trPr>
        <w:tc>
          <w:tcPr>
            <w:tcW w:w="0" w:type="auto"/>
          </w:tcPr>
          <w:p w14:paraId="3F920253" w14:textId="3C83E889" w:rsidR="00730996" w:rsidRDefault="00730996" w:rsidP="00730996">
            <w:r>
              <w:t>0.001</w:t>
            </w:r>
          </w:p>
        </w:tc>
        <w:tc>
          <w:tcPr>
            <w:tcW w:w="0" w:type="auto"/>
          </w:tcPr>
          <w:p w14:paraId="5F6FEE43" w14:textId="6E685670" w:rsidR="00730996" w:rsidRDefault="00730996" w:rsidP="00730996">
            <w:r w:rsidRPr="007C6C08">
              <w:t>0.95</w:t>
            </w:r>
            <w:r>
              <w:t>9</w:t>
            </w:r>
          </w:p>
        </w:tc>
        <w:tc>
          <w:tcPr>
            <w:tcW w:w="0" w:type="auto"/>
          </w:tcPr>
          <w:p w14:paraId="66492AE5" w14:textId="30ED3FCF" w:rsidR="00730996" w:rsidRPr="007775DB" w:rsidRDefault="00730996" w:rsidP="00730996">
            <w:r w:rsidRPr="00685F7C">
              <w:t>0.99</w:t>
            </w:r>
          </w:p>
        </w:tc>
        <w:tc>
          <w:tcPr>
            <w:tcW w:w="0" w:type="auto"/>
          </w:tcPr>
          <w:p w14:paraId="64145E73" w14:textId="348EBCE5" w:rsidR="00730996" w:rsidRDefault="00730996" w:rsidP="00730996">
            <w:r>
              <w:t>210</w:t>
            </w:r>
          </w:p>
        </w:tc>
      </w:tr>
      <w:tr w:rsidR="00730996" w14:paraId="6B02F309" w14:textId="77777777" w:rsidTr="00730996">
        <w:trPr>
          <w:jc w:val="center"/>
        </w:trPr>
        <w:tc>
          <w:tcPr>
            <w:tcW w:w="0" w:type="auto"/>
          </w:tcPr>
          <w:p w14:paraId="2C62E4C3" w14:textId="29E4093B" w:rsidR="00730996" w:rsidRDefault="00730996" w:rsidP="00730996">
            <w:r>
              <w:t>0.1</w:t>
            </w:r>
          </w:p>
        </w:tc>
        <w:tc>
          <w:tcPr>
            <w:tcW w:w="0" w:type="auto"/>
          </w:tcPr>
          <w:p w14:paraId="68EECA34" w14:textId="49CF04DD" w:rsidR="00730996" w:rsidRDefault="00730996" w:rsidP="00730996">
            <w:r w:rsidRPr="007C6C08">
              <w:t>0.95</w:t>
            </w:r>
            <w:r>
              <w:t>2</w:t>
            </w:r>
          </w:p>
        </w:tc>
        <w:tc>
          <w:tcPr>
            <w:tcW w:w="0" w:type="auto"/>
          </w:tcPr>
          <w:p w14:paraId="26F50756" w14:textId="0F7D2FD6" w:rsidR="00730996" w:rsidRDefault="00730996" w:rsidP="00730996">
            <w:r w:rsidRPr="00685F7C">
              <w:t>0.95</w:t>
            </w:r>
          </w:p>
        </w:tc>
        <w:tc>
          <w:tcPr>
            <w:tcW w:w="0" w:type="auto"/>
          </w:tcPr>
          <w:p w14:paraId="2BD02407" w14:textId="6D8C3435" w:rsidR="00730996" w:rsidRDefault="00730996" w:rsidP="00730996">
            <w:r>
              <w:t>211</w:t>
            </w:r>
          </w:p>
        </w:tc>
      </w:tr>
      <w:tr w:rsidR="00730996" w14:paraId="6CD00C12" w14:textId="77777777" w:rsidTr="00730996">
        <w:trPr>
          <w:jc w:val="center"/>
        </w:trPr>
        <w:tc>
          <w:tcPr>
            <w:tcW w:w="0" w:type="auto"/>
          </w:tcPr>
          <w:p w14:paraId="5F29FDD4" w14:textId="3578D74C" w:rsidR="00730996" w:rsidRDefault="00730996" w:rsidP="00730996">
            <w:r>
              <w:t>1</w:t>
            </w:r>
          </w:p>
        </w:tc>
        <w:tc>
          <w:tcPr>
            <w:tcW w:w="0" w:type="auto"/>
          </w:tcPr>
          <w:p w14:paraId="68FB8442" w14:textId="4178A114" w:rsidR="00730996" w:rsidRPr="00BA1711" w:rsidRDefault="00730996" w:rsidP="00730996">
            <w:r w:rsidRPr="007C6C08">
              <w:t>0.93</w:t>
            </w:r>
            <w:r>
              <w:t>8</w:t>
            </w:r>
          </w:p>
        </w:tc>
        <w:tc>
          <w:tcPr>
            <w:tcW w:w="0" w:type="auto"/>
          </w:tcPr>
          <w:p w14:paraId="78367FA1" w14:textId="4420DEB3" w:rsidR="00730996" w:rsidRDefault="00730996" w:rsidP="00730996">
            <w:r w:rsidRPr="00685F7C">
              <w:t>0.94</w:t>
            </w:r>
          </w:p>
        </w:tc>
        <w:tc>
          <w:tcPr>
            <w:tcW w:w="0" w:type="auto"/>
          </w:tcPr>
          <w:p w14:paraId="140DB471" w14:textId="688DA4FB" w:rsidR="00730996" w:rsidRDefault="00730996" w:rsidP="00730996">
            <w:r>
              <w:t>211</w:t>
            </w:r>
          </w:p>
        </w:tc>
      </w:tr>
    </w:tbl>
    <w:p w14:paraId="5D38C7F5" w14:textId="77777777" w:rsidR="00A02D48" w:rsidRPr="009C33B0" w:rsidRDefault="00A02D48" w:rsidP="009C33B0"/>
    <w:p w14:paraId="02034110" w14:textId="77777777" w:rsidR="009272D0" w:rsidRDefault="00730996" w:rsidP="00730996">
      <w:pPr>
        <w:jc w:val="both"/>
      </w:pPr>
      <w:r>
        <w:t>The best decay coefficient in terms of validation accuracy is λ = 0. Here the validation accuracy is 0.972 and the test accuracy is 0.99. Using weight decay can help the model by regularizing the data</w:t>
      </w:r>
      <w:r w:rsidR="009272D0">
        <w:t>. In our case, however, the model was quite accurate with 0 decay coefficient that it did not help much. We need to choose the hyper-parameter λ using t</w:t>
      </w:r>
      <w:bookmarkStart w:id="0" w:name="_GoBack"/>
      <w:bookmarkEnd w:id="0"/>
      <w:r w:rsidR="009272D0">
        <w:t>he validation set instead of the training set as to not overfit the data. It gives a tunable parameter to change how the model predicts values outside of the training set.</w:t>
      </w:r>
    </w:p>
    <w:p w14:paraId="323016B5" w14:textId="77777777" w:rsidR="009272D0" w:rsidRDefault="009272D0" w:rsidP="009272D0">
      <w:pPr>
        <w:pStyle w:val="Heading2"/>
      </w:pPr>
      <w:r>
        <w:t>Part 1 – 4</w:t>
      </w:r>
      <w:r>
        <w:t xml:space="preserve">: </w:t>
      </w:r>
      <w:r w:rsidRPr="009272D0">
        <w:t>Comparing SGD with</w:t>
      </w:r>
      <w:r>
        <w:t xml:space="preserve"> the</w:t>
      </w:r>
      <w:r w:rsidRPr="009272D0">
        <w:t xml:space="preserve"> normal equatio</w:t>
      </w:r>
      <w:r>
        <w:t>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68"/>
        <w:gridCol w:w="1018"/>
        <w:gridCol w:w="2025"/>
        <w:gridCol w:w="1469"/>
        <w:gridCol w:w="1920"/>
      </w:tblGrid>
      <w:tr w:rsidR="00272234" w14:paraId="0D74C292" w14:textId="0B834E98" w:rsidTr="006D1D77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0FDE9A03" w14:textId="77777777" w:rsidR="00272234" w:rsidRPr="00272234" w:rsidRDefault="00272234" w:rsidP="001F02F0">
            <w:pPr>
              <w:rPr>
                <w:b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36077E29" w14:textId="300A114F" w:rsidR="00272234" w:rsidRDefault="00272234" w:rsidP="001F02F0">
            <w:pPr>
              <w:rPr>
                <w:b/>
              </w:rPr>
            </w:pPr>
            <w:r>
              <w:rPr>
                <w:b/>
              </w:rPr>
              <w:t>MSE loss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8578E41" w14:textId="63CC773E" w:rsidR="00272234" w:rsidRPr="00BD6A24" w:rsidRDefault="00272234" w:rsidP="001F02F0">
            <w:pPr>
              <w:rPr>
                <w:b/>
              </w:rPr>
            </w:pPr>
            <w:r>
              <w:rPr>
                <w:b/>
              </w:rPr>
              <w:t>Validation Accuracy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1F95578" w14:textId="77777777" w:rsidR="00272234" w:rsidRPr="00BD6A24" w:rsidRDefault="00272234" w:rsidP="001F02F0">
            <w:pPr>
              <w:rPr>
                <w:b/>
              </w:rPr>
            </w:pPr>
            <w:r>
              <w:rPr>
                <w:b/>
              </w:rPr>
              <w:t>Test Accuracy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76ADCE8" w14:textId="593618C9" w:rsidR="00272234" w:rsidRDefault="00272234" w:rsidP="001F02F0">
            <w:pPr>
              <w:rPr>
                <w:b/>
              </w:rPr>
            </w:pPr>
            <w:r>
              <w:rPr>
                <w:b/>
              </w:rPr>
              <w:t>Computation Time</w:t>
            </w:r>
          </w:p>
        </w:tc>
      </w:tr>
      <w:tr w:rsidR="00272234" w14:paraId="3BFCAF24" w14:textId="69A99941" w:rsidTr="006D1D77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179E71FC" w14:textId="0479D411" w:rsidR="00272234" w:rsidRPr="00272234" w:rsidRDefault="00272234" w:rsidP="00272234">
            <w:pPr>
              <w:jc w:val="right"/>
              <w:rPr>
                <w:b/>
              </w:rPr>
            </w:pPr>
            <w:r w:rsidRPr="00272234">
              <w:rPr>
                <w:b/>
              </w:rPr>
              <w:t>SGD</w:t>
            </w:r>
          </w:p>
        </w:tc>
        <w:tc>
          <w:tcPr>
            <w:tcW w:w="0" w:type="auto"/>
          </w:tcPr>
          <w:p w14:paraId="357516F5" w14:textId="24CC741D" w:rsidR="00272234" w:rsidRPr="00272234" w:rsidRDefault="00272234" w:rsidP="001F02F0">
            <w:r w:rsidRPr="00272234">
              <w:t>0.012</w:t>
            </w:r>
            <w:r>
              <w:t>1</w:t>
            </w:r>
          </w:p>
        </w:tc>
        <w:tc>
          <w:tcPr>
            <w:tcW w:w="0" w:type="auto"/>
          </w:tcPr>
          <w:p w14:paraId="1D7FCDBE" w14:textId="4AF544FA" w:rsidR="00272234" w:rsidRPr="00272234" w:rsidRDefault="00272234" w:rsidP="001F02F0">
            <w:r w:rsidRPr="00272234">
              <w:t>0.96</w:t>
            </w:r>
            <w:r>
              <w:t>6</w:t>
            </w:r>
          </w:p>
        </w:tc>
        <w:tc>
          <w:tcPr>
            <w:tcW w:w="0" w:type="auto"/>
          </w:tcPr>
          <w:p w14:paraId="4B04C5DE" w14:textId="696164A8" w:rsidR="00272234" w:rsidRPr="00272234" w:rsidRDefault="00272234" w:rsidP="001F02F0">
            <w:r w:rsidRPr="00272234">
              <w:t>1.0</w:t>
            </w:r>
          </w:p>
        </w:tc>
        <w:tc>
          <w:tcPr>
            <w:tcW w:w="0" w:type="auto"/>
          </w:tcPr>
          <w:p w14:paraId="2A693ED0" w14:textId="77777777" w:rsidR="00272234" w:rsidRPr="00272234" w:rsidRDefault="00272234" w:rsidP="001F02F0"/>
        </w:tc>
      </w:tr>
      <w:tr w:rsidR="00272234" w14:paraId="5AD80FAF" w14:textId="229B7021" w:rsidTr="006D1D77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52197B39" w14:textId="16D1E35E" w:rsidR="00272234" w:rsidRPr="00272234" w:rsidRDefault="00272234" w:rsidP="00272234">
            <w:pPr>
              <w:jc w:val="right"/>
              <w:rPr>
                <w:b/>
              </w:rPr>
            </w:pPr>
            <w:r w:rsidRPr="00272234">
              <w:rPr>
                <w:b/>
              </w:rPr>
              <w:t>Normal Equation</w:t>
            </w:r>
          </w:p>
        </w:tc>
        <w:tc>
          <w:tcPr>
            <w:tcW w:w="0" w:type="auto"/>
          </w:tcPr>
          <w:p w14:paraId="2A115948" w14:textId="4E601FBD" w:rsidR="00272234" w:rsidRPr="007C6C08" w:rsidRDefault="00272234" w:rsidP="001F02F0">
            <w:r w:rsidRPr="00272234">
              <w:t>0.010</w:t>
            </w:r>
            <w:r>
              <w:t>4</w:t>
            </w:r>
          </w:p>
        </w:tc>
        <w:tc>
          <w:tcPr>
            <w:tcW w:w="0" w:type="auto"/>
          </w:tcPr>
          <w:p w14:paraId="5D215B9A" w14:textId="25B38F49" w:rsidR="00272234" w:rsidRDefault="00272234" w:rsidP="001F02F0">
            <w:r w:rsidRPr="00272234">
              <w:t>0.95</w:t>
            </w:r>
            <w:r>
              <w:t>9</w:t>
            </w:r>
          </w:p>
        </w:tc>
        <w:tc>
          <w:tcPr>
            <w:tcW w:w="0" w:type="auto"/>
          </w:tcPr>
          <w:p w14:paraId="63C41416" w14:textId="38638F47" w:rsidR="00272234" w:rsidRPr="007775DB" w:rsidRDefault="00272234" w:rsidP="001F02F0">
            <w:r w:rsidRPr="00272234">
              <w:t>0.98</w:t>
            </w:r>
          </w:p>
        </w:tc>
        <w:tc>
          <w:tcPr>
            <w:tcW w:w="0" w:type="auto"/>
          </w:tcPr>
          <w:p w14:paraId="40296F2A" w14:textId="77777777" w:rsidR="00272234" w:rsidRPr="00272234" w:rsidRDefault="00272234" w:rsidP="001F02F0"/>
        </w:tc>
      </w:tr>
    </w:tbl>
    <w:p w14:paraId="6674B9A8" w14:textId="66219A7A" w:rsidR="00AB198B" w:rsidRDefault="00AB198B" w:rsidP="00272234">
      <w:pPr>
        <w:rPr>
          <w:sz w:val="32"/>
          <w:szCs w:val="32"/>
        </w:rPr>
      </w:pPr>
      <w:r>
        <w:br w:type="page"/>
      </w:r>
    </w:p>
    <w:p w14:paraId="6A024FCF" w14:textId="58A253C6" w:rsidR="002B6292" w:rsidRDefault="00355F0A" w:rsidP="002B6292">
      <w:pPr>
        <w:pStyle w:val="Heading1"/>
      </w:pPr>
      <w:r>
        <w:lastRenderedPageBreak/>
        <w:t>Appendix A – Python c</w:t>
      </w:r>
      <w:r w:rsidR="002B6292">
        <w:t>ode</w:t>
      </w:r>
    </w:p>
    <w:p w14:paraId="75BCB16E" w14:textId="07E2C2F1" w:rsidR="002B6292" w:rsidRPr="009319E6" w:rsidRDefault="00F346D7" w:rsidP="002B6292">
      <w:pPr>
        <w:pStyle w:val="Heading2"/>
      </w:pPr>
      <w:r>
        <w:t>Linear_regression2</w:t>
      </w:r>
      <w:r w:rsidR="002B6292">
        <w:t>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6292" w14:paraId="356EFB27" w14:textId="77777777" w:rsidTr="00314FB1">
        <w:tc>
          <w:tcPr>
            <w:tcW w:w="9350" w:type="dxa"/>
            <w:shd w:val="clear" w:color="auto" w:fill="FFFFFF" w:themeFill="background1"/>
          </w:tcPr>
          <w:p w14:paraId="0B7FB121" w14:textId="77777777" w:rsidR="002B6292" w:rsidRDefault="002B6292" w:rsidP="00314F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highlight w:val="white"/>
              </w:rPr>
            </w:pPr>
            <w:bookmarkStart w:id="1" w:name="_Hlk508718869"/>
          </w:p>
          <w:p w14:paraId="41996971" w14:textId="2C3BC19F" w:rsidR="00AB198B" w:rsidRPr="00A207B8" w:rsidRDefault="00AB198B" w:rsidP="00314F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</w:tc>
      </w:tr>
      <w:bookmarkEnd w:id="1"/>
    </w:tbl>
    <w:p w14:paraId="7DA5DE9B" w14:textId="77777777" w:rsidR="002B6292" w:rsidRDefault="002B6292" w:rsidP="002B6292">
      <w:pPr>
        <w:pStyle w:val="Heading2"/>
      </w:pPr>
    </w:p>
    <w:p w14:paraId="4A816A99" w14:textId="26D9C878" w:rsidR="002B6292" w:rsidRDefault="002B6292">
      <w:pPr>
        <w:rPr>
          <w:rFonts w:asciiTheme="majorHAnsi" w:eastAsiaTheme="majorEastAsia" w:hAnsiTheme="majorHAnsi" w:cstheme="majorBidi"/>
          <w:color w:val="6E85C0" w:themeColor="accent1" w:themeShade="BF"/>
          <w:sz w:val="26"/>
          <w:szCs w:val="26"/>
        </w:rPr>
      </w:pPr>
    </w:p>
    <w:sectPr w:rsidR="002B6292" w:rsidSect="00D159A2">
      <w:headerReference w:type="default" r:id="rId8"/>
      <w:footerReference w:type="default" r:id="rId9"/>
      <w:pgSz w:w="12240" w:h="15840"/>
      <w:pgMar w:top="1591" w:right="1440" w:bottom="1440" w:left="1440" w:header="567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4A6D7F" w14:textId="77777777" w:rsidR="001E44DE" w:rsidRDefault="001E44DE" w:rsidP="00D159A2">
      <w:pPr>
        <w:spacing w:after="0" w:line="240" w:lineRule="auto"/>
      </w:pPr>
      <w:r>
        <w:separator/>
      </w:r>
    </w:p>
  </w:endnote>
  <w:endnote w:type="continuationSeparator" w:id="0">
    <w:p w14:paraId="3D1F13A8" w14:textId="77777777" w:rsidR="001E44DE" w:rsidRDefault="001E44DE" w:rsidP="00D15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4995729"/>
      <w:docPartObj>
        <w:docPartGallery w:val="Page Numbers (Bottom of Page)"/>
        <w:docPartUnique/>
      </w:docPartObj>
    </w:sdtPr>
    <w:sdtContent>
      <w:sdt>
        <w:sdtPr>
          <w:id w:val="-755984259"/>
          <w:docPartObj>
            <w:docPartGallery w:val="Page Numbers (Top of Page)"/>
            <w:docPartUnique/>
          </w:docPartObj>
        </w:sdtPr>
        <w:sdtContent>
          <w:p w14:paraId="09813F2A" w14:textId="494E6373" w:rsidR="00730996" w:rsidRDefault="00730996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72234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72234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E60DE10" w14:textId="77777777" w:rsidR="00730996" w:rsidRDefault="007309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3C46CB" w14:textId="77777777" w:rsidR="001E44DE" w:rsidRDefault="001E44DE" w:rsidP="00D159A2">
      <w:pPr>
        <w:spacing w:after="0" w:line="240" w:lineRule="auto"/>
      </w:pPr>
      <w:r>
        <w:separator/>
      </w:r>
    </w:p>
  </w:footnote>
  <w:footnote w:type="continuationSeparator" w:id="0">
    <w:p w14:paraId="0F54279A" w14:textId="77777777" w:rsidR="001E44DE" w:rsidRDefault="001E44DE" w:rsidP="00D159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30996" w14:paraId="189B3071" w14:textId="77777777" w:rsidTr="00D159A2">
      <w:tc>
        <w:tcPr>
          <w:tcW w:w="4675" w:type="dxa"/>
        </w:tcPr>
        <w:p w14:paraId="0EA91487" w14:textId="7CB05765" w:rsidR="00730996" w:rsidRDefault="00730996">
          <w:pPr>
            <w:pStyle w:val="Header"/>
          </w:pPr>
          <w:r>
            <w:t>ECE 521 – Assignment 2</w:t>
          </w:r>
        </w:p>
        <w:p w14:paraId="07852BDB" w14:textId="7700C14C" w:rsidR="00730996" w:rsidRDefault="00730996">
          <w:pPr>
            <w:pStyle w:val="Header"/>
          </w:pPr>
          <w:r>
            <w:t>16-03-2018</w:t>
          </w:r>
        </w:p>
      </w:tc>
      <w:tc>
        <w:tcPr>
          <w:tcW w:w="4675" w:type="dxa"/>
        </w:tcPr>
        <w:p w14:paraId="1AF01580" w14:textId="70363B0B" w:rsidR="00730996" w:rsidRDefault="00730996" w:rsidP="00D159A2">
          <w:pPr>
            <w:pStyle w:val="Header"/>
            <w:jc w:val="right"/>
          </w:pPr>
          <w:proofErr w:type="spellStart"/>
          <w:r>
            <w:t>Jixong</w:t>
          </w:r>
          <w:proofErr w:type="spellEnd"/>
          <w:r>
            <w:t xml:space="preserve"> Deng (1001304741)</w:t>
          </w:r>
        </w:p>
        <w:p w14:paraId="07759809" w14:textId="77777777" w:rsidR="00730996" w:rsidRDefault="00730996" w:rsidP="00D159A2">
          <w:pPr>
            <w:pStyle w:val="Header"/>
            <w:jc w:val="right"/>
          </w:pPr>
          <w:r>
            <w:t>Jeffrey Kirman (1004387424)</w:t>
          </w:r>
        </w:p>
        <w:p w14:paraId="45563E27" w14:textId="77777777" w:rsidR="00730996" w:rsidRDefault="00730996" w:rsidP="00D159A2">
          <w:pPr>
            <w:pStyle w:val="Header"/>
            <w:jc w:val="right"/>
          </w:pPr>
          <w:r>
            <w:t>Connor Smith (</w:t>
          </w:r>
          <w:r w:rsidRPr="00D159A2">
            <w:t>1000421411</w:t>
          </w:r>
          <w:r>
            <w:t>)</w:t>
          </w:r>
        </w:p>
      </w:tc>
    </w:tr>
  </w:tbl>
  <w:p w14:paraId="149E2377" w14:textId="77777777" w:rsidR="00730996" w:rsidRDefault="007309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C90"/>
    <w:rsid w:val="000006F6"/>
    <w:rsid w:val="00006FC9"/>
    <w:rsid w:val="000154C2"/>
    <w:rsid w:val="0001699E"/>
    <w:rsid w:val="00036DF6"/>
    <w:rsid w:val="0003706C"/>
    <w:rsid w:val="00041151"/>
    <w:rsid w:val="000440FA"/>
    <w:rsid w:val="00044FB2"/>
    <w:rsid w:val="0006297E"/>
    <w:rsid w:val="00070A58"/>
    <w:rsid w:val="0007680E"/>
    <w:rsid w:val="000769E6"/>
    <w:rsid w:val="0008634C"/>
    <w:rsid w:val="000A450F"/>
    <w:rsid w:val="000A4A8E"/>
    <w:rsid w:val="000C177F"/>
    <w:rsid w:val="000D642A"/>
    <w:rsid w:val="000E46FB"/>
    <w:rsid w:val="00106CE9"/>
    <w:rsid w:val="00107374"/>
    <w:rsid w:val="00112CFC"/>
    <w:rsid w:val="00113BED"/>
    <w:rsid w:val="00116889"/>
    <w:rsid w:val="00182A40"/>
    <w:rsid w:val="001C4DD5"/>
    <w:rsid w:val="001E44DE"/>
    <w:rsid w:val="0021443D"/>
    <w:rsid w:val="00216BD8"/>
    <w:rsid w:val="00243DF6"/>
    <w:rsid w:val="00266661"/>
    <w:rsid w:val="00272234"/>
    <w:rsid w:val="00274DB6"/>
    <w:rsid w:val="00285ACA"/>
    <w:rsid w:val="002A65F6"/>
    <w:rsid w:val="002B6292"/>
    <w:rsid w:val="002E461B"/>
    <w:rsid w:val="002E4AB5"/>
    <w:rsid w:val="002F56A4"/>
    <w:rsid w:val="00305A53"/>
    <w:rsid w:val="00314FB1"/>
    <w:rsid w:val="00316A41"/>
    <w:rsid w:val="00317E50"/>
    <w:rsid w:val="00355F0A"/>
    <w:rsid w:val="003851C9"/>
    <w:rsid w:val="00387C76"/>
    <w:rsid w:val="00391A62"/>
    <w:rsid w:val="00395A49"/>
    <w:rsid w:val="003A064B"/>
    <w:rsid w:val="003B1250"/>
    <w:rsid w:val="003E0058"/>
    <w:rsid w:val="003E1858"/>
    <w:rsid w:val="003E3934"/>
    <w:rsid w:val="003E4B8E"/>
    <w:rsid w:val="003E510F"/>
    <w:rsid w:val="0040168B"/>
    <w:rsid w:val="004156D5"/>
    <w:rsid w:val="00416068"/>
    <w:rsid w:val="0042244C"/>
    <w:rsid w:val="004335E5"/>
    <w:rsid w:val="0047098B"/>
    <w:rsid w:val="00473E92"/>
    <w:rsid w:val="0047407B"/>
    <w:rsid w:val="00481E9A"/>
    <w:rsid w:val="004A3BCC"/>
    <w:rsid w:val="004A761C"/>
    <w:rsid w:val="00502889"/>
    <w:rsid w:val="005277FA"/>
    <w:rsid w:val="005402E6"/>
    <w:rsid w:val="0054201D"/>
    <w:rsid w:val="00542A6D"/>
    <w:rsid w:val="00544C06"/>
    <w:rsid w:val="00553067"/>
    <w:rsid w:val="005630BB"/>
    <w:rsid w:val="0056395E"/>
    <w:rsid w:val="00565521"/>
    <w:rsid w:val="00566F5E"/>
    <w:rsid w:val="005B5B32"/>
    <w:rsid w:val="005C2776"/>
    <w:rsid w:val="005C620C"/>
    <w:rsid w:val="005E0142"/>
    <w:rsid w:val="00601D83"/>
    <w:rsid w:val="00604B7E"/>
    <w:rsid w:val="00607782"/>
    <w:rsid w:val="006120EA"/>
    <w:rsid w:val="00640E83"/>
    <w:rsid w:val="00650A7D"/>
    <w:rsid w:val="00653828"/>
    <w:rsid w:val="00654FBF"/>
    <w:rsid w:val="00655858"/>
    <w:rsid w:val="00674D6B"/>
    <w:rsid w:val="00682C6A"/>
    <w:rsid w:val="0069620A"/>
    <w:rsid w:val="006B5252"/>
    <w:rsid w:val="006C01B3"/>
    <w:rsid w:val="0071476A"/>
    <w:rsid w:val="00724EBB"/>
    <w:rsid w:val="00730996"/>
    <w:rsid w:val="0074630F"/>
    <w:rsid w:val="007548F8"/>
    <w:rsid w:val="00756E01"/>
    <w:rsid w:val="00757326"/>
    <w:rsid w:val="007633E6"/>
    <w:rsid w:val="00773BEA"/>
    <w:rsid w:val="0077718D"/>
    <w:rsid w:val="007775DB"/>
    <w:rsid w:val="00782164"/>
    <w:rsid w:val="00784EE0"/>
    <w:rsid w:val="007B4ADC"/>
    <w:rsid w:val="007D1E51"/>
    <w:rsid w:val="007D742D"/>
    <w:rsid w:val="007E14BA"/>
    <w:rsid w:val="007F7D89"/>
    <w:rsid w:val="008351BD"/>
    <w:rsid w:val="00853EDD"/>
    <w:rsid w:val="008638D7"/>
    <w:rsid w:val="00870B6C"/>
    <w:rsid w:val="0087502C"/>
    <w:rsid w:val="008A7546"/>
    <w:rsid w:val="008C3A7F"/>
    <w:rsid w:val="008C5001"/>
    <w:rsid w:val="008C5E32"/>
    <w:rsid w:val="008C78F0"/>
    <w:rsid w:val="00907899"/>
    <w:rsid w:val="00917E66"/>
    <w:rsid w:val="009272D0"/>
    <w:rsid w:val="009319E6"/>
    <w:rsid w:val="00932D3F"/>
    <w:rsid w:val="0093397E"/>
    <w:rsid w:val="00937BA2"/>
    <w:rsid w:val="009579AA"/>
    <w:rsid w:val="00983F5A"/>
    <w:rsid w:val="0099416D"/>
    <w:rsid w:val="009A7F59"/>
    <w:rsid w:val="009C0A5F"/>
    <w:rsid w:val="009C33B0"/>
    <w:rsid w:val="009D58AE"/>
    <w:rsid w:val="00A02D48"/>
    <w:rsid w:val="00A3349C"/>
    <w:rsid w:val="00A40032"/>
    <w:rsid w:val="00A50207"/>
    <w:rsid w:val="00A52E7F"/>
    <w:rsid w:val="00A62056"/>
    <w:rsid w:val="00A85D7D"/>
    <w:rsid w:val="00AA01AC"/>
    <w:rsid w:val="00AA0919"/>
    <w:rsid w:val="00AB198B"/>
    <w:rsid w:val="00AB2B79"/>
    <w:rsid w:val="00AE64A0"/>
    <w:rsid w:val="00B347A9"/>
    <w:rsid w:val="00B4659D"/>
    <w:rsid w:val="00B560E1"/>
    <w:rsid w:val="00B81D19"/>
    <w:rsid w:val="00B840A7"/>
    <w:rsid w:val="00B93460"/>
    <w:rsid w:val="00B97A4F"/>
    <w:rsid w:val="00BA1711"/>
    <w:rsid w:val="00BA749C"/>
    <w:rsid w:val="00BC1C3C"/>
    <w:rsid w:val="00BC4594"/>
    <w:rsid w:val="00BD6A24"/>
    <w:rsid w:val="00BE428B"/>
    <w:rsid w:val="00BE7381"/>
    <w:rsid w:val="00BF1FF7"/>
    <w:rsid w:val="00C2037B"/>
    <w:rsid w:val="00C3440A"/>
    <w:rsid w:val="00C47420"/>
    <w:rsid w:val="00C52EA1"/>
    <w:rsid w:val="00C65FE5"/>
    <w:rsid w:val="00C6668B"/>
    <w:rsid w:val="00C75876"/>
    <w:rsid w:val="00C76E63"/>
    <w:rsid w:val="00C817B2"/>
    <w:rsid w:val="00CA52A4"/>
    <w:rsid w:val="00CB77B5"/>
    <w:rsid w:val="00CC4B60"/>
    <w:rsid w:val="00CC7A02"/>
    <w:rsid w:val="00CD5E0C"/>
    <w:rsid w:val="00CE5491"/>
    <w:rsid w:val="00CF1376"/>
    <w:rsid w:val="00CF1C40"/>
    <w:rsid w:val="00D0042C"/>
    <w:rsid w:val="00D04BC1"/>
    <w:rsid w:val="00D101FB"/>
    <w:rsid w:val="00D108B5"/>
    <w:rsid w:val="00D123A9"/>
    <w:rsid w:val="00D1255C"/>
    <w:rsid w:val="00D1567E"/>
    <w:rsid w:val="00D159A2"/>
    <w:rsid w:val="00D3310A"/>
    <w:rsid w:val="00D45112"/>
    <w:rsid w:val="00D468D2"/>
    <w:rsid w:val="00D477E0"/>
    <w:rsid w:val="00D6057A"/>
    <w:rsid w:val="00D61316"/>
    <w:rsid w:val="00D61C90"/>
    <w:rsid w:val="00DB7385"/>
    <w:rsid w:val="00DC6FAF"/>
    <w:rsid w:val="00DE5DAA"/>
    <w:rsid w:val="00DE606F"/>
    <w:rsid w:val="00DF01D3"/>
    <w:rsid w:val="00DF1229"/>
    <w:rsid w:val="00E06237"/>
    <w:rsid w:val="00E1161E"/>
    <w:rsid w:val="00E137C1"/>
    <w:rsid w:val="00E42C45"/>
    <w:rsid w:val="00E50450"/>
    <w:rsid w:val="00E56937"/>
    <w:rsid w:val="00E74E8C"/>
    <w:rsid w:val="00E75843"/>
    <w:rsid w:val="00E936AC"/>
    <w:rsid w:val="00E95B96"/>
    <w:rsid w:val="00EC5034"/>
    <w:rsid w:val="00EE1947"/>
    <w:rsid w:val="00EE5F22"/>
    <w:rsid w:val="00F02E5C"/>
    <w:rsid w:val="00F03CE1"/>
    <w:rsid w:val="00F16CB4"/>
    <w:rsid w:val="00F2520C"/>
    <w:rsid w:val="00F25D22"/>
    <w:rsid w:val="00F27700"/>
    <w:rsid w:val="00F30F5F"/>
    <w:rsid w:val="00F346D7"/>
    <w:rsid w:val="00F5758E"/>
    <w:rsid w:val="00F62BEE"/>
    <w:rsid w:val="00F74151"/>
    <w:rsid w:val="00FB5971"/>
    <w:rsid w:val="00FD0FD1"/>
    <w:rsid w:val="00FE7566"/>
    <w:rsid w:val="00FF32C3"/>
    <w:rsid w:val="00FF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F60419"/>
  <w15:chartTrackingRefBased/>
  <w15:docId w15:val="{465FA3C7-3823-4159-9467-5777D4DB5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5F0A"/>
  </w:style>
  <w:style w:type="paragraph" w:styleId="Heading1">
    <w:name w:val="heading 1"/>
    <w:basedOn w:val="Normal"/>
    <w:next w:val="Normal"/>
    <w:link w:val="Heading1Char"/>
    <w:uiPriority w:val="9"/>
    <w:qFormat/>
    <w:rsid w:val="00D61C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E85C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1C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E85C0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61C90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D61C90"/>
    <w:rPr>
      <w:rFonts w:asciiTheme="majorHAnsi" w:eastAsiaTheme="majorEastAsia" w:hAnsiTheme="majorHAnsi" w:cstheme="majorBidi"/>
      <w:color w:val="6E85C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1C90"/>
    <w:rPr>
      <w:rFonts w:asciiTheme="majorHAnsi" w:eastAsiaTheme="majorEastAsia" w:hAnsiTheme="majorHAnsi" w:cstheme="majorBidi"/>
      <w:color w:val="6E85C0" w:themeColor="accent1" w:themeShade="BF"/>
      <w:sz w:val="26"/>
      <w:szCs w:val="26"/>
    </w:rPr>
  </w:style>
  <w:style w:type="table" w:styleId="GridTable1Light">
    <w:name w:val="Grid Table 1 Light"/>
    <w:basedOn w:val="TableNormal"/>
    <w:uiPriority w:val="46"/>
    <w:rsid w:val="004A761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931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84E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E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4EE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84EE0"/>
    <w:rPr>
      <w:rFonts w:eastAsiaTheme="minorEastAsia"/>
      <w:color w:val="5A5A5A" w:themeColor="text1" w:themeTint="A5"/>
      <w:spacing w:val="15"/>
    </w:rPr>
  </w:style>
  <w:style w:type="character" w:customStyle="1" w:styleId="sc51">
    <w:name w:val="sc51"/>
    <w:basedOn w:val="DefaultParagraphFont"/>
    <w:rsid w:val="00FF32C3"/>
    <w:rPr>
      <w:rFonts w:ascii="Courier New" w:hAnsi="Courier New" w:cs="Courier New" w:hint="default"/>
      <w:b/>
      <w:bCs/>
      <w:color w:val="93C763"/>
      <w:sz w:val="20"/>
      <w:szCs w:val="20"/>
    </w:rPr>
  </w:style>
  <w:style w:type="character" w:customStyle="1" w:styleId="sc0">
    <w:name w:val="sc0"/>
    <w:basedOn w:val="DefaultParagraphFont"/>
    <w:rsid w:val="00FF32C3"/>
    <w:rPr>
      <w:rFonts w:ascii="Courier New" w:hAnsi="Courier New" w:cs="Courier New" w:hint="default"/>
      <w:color w:val="E0E2E4"/>
      <w:sz w:val="20"/>
      <w:szCs w:val="20"/>
    </w:rPr>
  </w:style>
  <w:style w:type="character" w:customStyle="1" w:styleId="sc11">
    <w:name w:val="sc11"/>
    <w:basedOn w:val="DefaultParagraphFont"/>
    <w:rsid w:val="00FF32C3"/>
    <w:rPr>
      <w:rFonts w:ascii="Courier New" w:hAnsi="Courier New" w:cs="Courier New" w:hint="default"/>
      <w:color w:val="E0E2E4"/>
      <w:sz w:val="20"/>
      <w:szCs w:val="20"/>
    </w:rPr>
  </w:style>
  <w:style w:type="character" w:customStyle="1" w:styleId="sc91">
    <w:name w:val="sc91"/>
    <w:basedOn w:val="DefaultParagraphFont"/>
    <w:rsid w:val="00FF32C3"/>
    <w:rPr>
      <w:rFonts w:ascii="Courier New" w:hAnsi="Courier New" w:cs="Courier New" w:hint="default"/>
      <w:b/>
      <w:bCs/>
      <w:color w:val="678CB1"/>
      <w:sz w:val="20"/>
      <w:szCs w:val="20"/>
    </w:rPr>
  </w:style>
  <w:style w:type="character" w:customStyle="1" w:styleId="sc101">
    <w:name w:val="sc101"/>
    <w:basedOn w:val="DefaultParagraphFont"/>
    <w:rsid w:val="00FF32C3"/>
    <w:rPr>
      <w:rFonts w:ascii="Courier New" w:hAnsi="Courier New" w:cs="Courier New" w:hint="default"/>
      <w:color w:val="E8E2B7"/>
      <w:sz w:val="20"/>
      <w:szCs w:val="20"/>
    </w:rPr>
  </w:style>
  <w:style w:type="character" w:customStyle="1" w:styleId="sc21">
    <w:name w:val="sc21"/>
    <w:basedOn w:val="DefaultParagraphFont"/>
    <w:rsid w:val="00FF32C3"/>
    <w:rPr>
      <w:rFonts w:ascii="Courier New" w:hAnsi="Courier New" w:cs="Courier New" w:hint="default"/>
      <w:color w:val="FFCD22"/>
      <w:sz w:val="20"/>
      <w:szCs w:val="20"/>
    </w:rPr>
  </w:style>
  <w:style w:type="character" w:customStyle="1" w:styleId="sc31">
    <w:name w:val="sc31"/>
    <w:basedOn w:val="DefaultParagraphFont"/>
    <w:rsid w:val="00FF32C3"/>
    <w:rPr>
      <w:rFonts w:ascii="Courier New" w:hAnsi="Courier New" w:cs="Courier New" w:hint="default"/>
      <w:color w:val="EC7600"/>
      <w:sz w:val="20"/>
      <w:szCs w:val="20"/>
    </w:rPr>
  </w:style>
  <w:style w:type="character" w:customStyle="1" w:styleId="sc41">
    <w:name w:val="sc41"/>
    <w:basedOn w:val="DefaultParagraphFont"/>
    <w:rsid w:val="00FF32C3"/>
    <w:rPr>
      <w:rFonts w:ascii="Courier New" w:hAnsi="Courier New" w:cs="Courier New" w:hint="default"/>
      <w:color w:val="FF8409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159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9A2"/>
  </w:style>
  <w:style w:type="paragraph" w:styleId="Footer">
    <w:name w:val="footer"/>
    <w:basedOn w:val="Normal"/>
    <w:link w:val="FooterChar"/>
    <w:uiPriority w:val="99"/>
    <w:unhideWhenUsed/>
    <w:rsid w:val="00D159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9A2"/>
  </w:style>
  <w:style w:type="character" w:styleId="CommentReference">
    <w:name w:val="annotation reference"/>
    <w:basedOn w:val="DefaultParagraphFont"/>
    <w:uiPriority w:val="99"/>
    <w:semiHidden/>
    <w:unhideWhenUsed/>
    <w:rsid w:val="00D156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56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56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56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567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56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67E"/>
    <w:rPr>
      <w:rFonts w:ascii="Segoe UI" w:hAnsi="Segoe UI" w:cs="Segoe UI"/>
      <w:sz w:val="18"/>
      <w:szCs w:val="18"/>
    </w:rPr>
  </w:style>
  <w:style w:type="table" w:styleId="GridTable1Light-Accent3">
    <w:name w:val="Grid Table 1 Light Accent 3"/>
    <w:basedOn w:val="TableNormal"/>
    <w:uiPriority w:val="46"/>
    <w:rsid w:val="0069620A"/>
    <w:pPr>
      <w:spacing w:after="0" w:line="240" w:lineRule="auto"/>
    </w:pPr>
    <w:tblPr>
      <w:tblStyleRowBandSize w:val="1"/>
      <w:tblStyleColBandSize w:val="1"/>
      <w:tblBorders>
        <w:top w:val="single" w:sz="4" w:space="0" w:color="A8CBEE" w:themeColor="accent3" w:themeTint="66"/>
        <w:left w:val="single" w:sz="4" w:space="0" w:color="A8CBEE" w:themeColor="accent3" w:themeTint="66"/>
        <w:bottom w:val="single" w:sz="4" w:space="0" w:color="A8CBEE" w:themeColor="accent3" w:themeTint="66"/>
        <w:right w:val="single" w:sz="4" w:space="0" w:color="A8CBEE" w:themeColor="accent3" w:themeTint="66"/>
        <w:insideH w:val="single" w:sz="4" w:space="0" w:color="A8CBEE" w:themeColor="accent3" w:themeTint="66"/>
        <w:insideV w:val="single" w:sz="4" w:space="0" w:color="A8CBE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15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B5C1DF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3C642C-E383-4FD6-8D7F-D73747A48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2169</TotalTime>
  <Pages>4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Kirman</dc:creator>
  <cp:keywords/>
  <dc:description/>
  <cp:lastModifiedBy>Jeffrey Kirman</cp:lastModifiedBy>
  <cp:revision>101</cp:revision>
  <cp:lastPrinted>2018-02-02T20:18:00Z</cp:lastPrinted>
  <dcterms:created xsi:type="dcterms:W3CDTF">2018-01-25T19:43:00Z</dcterms:created>
  <dcterms:modified xsi:type="dcterms:W3CDTF">2018-03-15T23:57:00Z</dcterms:modified>
</cp:coreProperties>
</file>