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8A" w14:textId="580359A8" w:rsidR="00784EE0" w:rsidRDefault="00784EE0" w:rsidP="00784EE0">
      <w:pPr>
        <w:pStyle w:val="Title"/>
      </w:pPr>
      <w:r>
        <w:t>EC</w:t>
      </w:r>
      <w:r w:rsidR="009A7F59">
        <w:t>E 521 Assignment 2</w:t>
      </w:r>
    </w:p>
    <w:p w14:paraId="6847B4A4" w14:textId="3F5E2AA6" w:rsidR="0069620A" w:rsidRDefault="0069620A" w:rsidP="00A50207">
      <w:pPr>
        <w:pStyle w:val="Heading1"/>
        <w:spacing w:after="240"/>
      </w:pPr>
      <w:r>
        <w:t>Work Breakdown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714"/>
      </w:tblGrid>
      <w:tr w:rsidR="0069620A" w14:paraId="78FF1592" w14:textId="77777777" w:rsidTr="00A5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7D6B9693" w14:textId="75741B6F" w:rsidR="0069620A" w:rsidRDefault="0069620A" w:rsidP="0069620A">
            <w:r>
              <w:t>Group Member Name</w:t>
            </w:r>
          </w:p>
        </w:tc>
        <w:tc>
          <w:tcPr>
            <w:tcW w:w="3714" w:type="dxa"/>
          </w:tcPr>
          <w:p w14:paraId="237C7772" w14:textId="2D17036A" w:rsidR="0069620A" w:rsidRDefault="0069620A" w:rsidP="0069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69620A" w14:paraId="5D7E1EB9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6CEB74FA" w14:textId="3A2ABFE0" w:rsidR="0069620A" w:rsidRDefault="009A7F59" w:rsidP="0069620A">
            <w:r>
              <w:t>Jixong Deng</w:t>
            </w:r>
          </w:p>
        </w:tc>
        <w:tc>
          <w:tcPr>
            <w:tcW w:w="3714" w:type="dxa"/>
          </w:tcPr>
          <w:p w14:paraId="1FF38D3D" w14:textId="4C2872D6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6D06CCE7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4A6D7693" w14:textId="73FDACC9" w:rsidR="0069620A" w:rsidRDefault="0069620A" w:rsidP="0069620A">
            <w:r>
              <w:t>Jeffrey Kirman</w:t>
            </w:r>
          </w:p>
        </w:tc>
        <w:tc>
          <w:tcPr>
            <w:tcW w:w="3714" w:type="dxa"/>
          </w:tcPr>
          <w:p w14:paraId="646AB74C" w14:textId="5E792F0D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26961513" w14:textId="77777777" w:rsidTr="00A50207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38EFA225" w14:textId="54A016AB" w:rsidR="0069620A" w:rsidRDefault="0069620A" w:rsidP="0069620A">
            <w:r>
              <w:t>Connor Smith</w:t>
            </w:r>
          </w:p>
        </w:tc>
        <w:tc>
          <w:tcPr>
            <w:tcW w:w="3714" w:type="dxa"/>
          </w:tcPr>
          <w:p w14:paraId="5C2C3264" w14:textId="03D1ABA5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</w:tbl>
    <w:p w14:paraId="21D8BB11" w14:textId="5FC4E2F2" w:rsidR="00D61C90" w:rsidRDefault="004B6222" w:rsidP="00D61C90">
      <w:pPr>
        <w:pStyle w:val="Heading1"/>
      </w:pPr>
      <w:r>
        <w:t>1.2 – Effect of hyperparameters</w:t>
      </w:r>
    </w:p>
    <w:p w14:paraId="1B9A7B9E" w14:textId="10E7921D" w:rsidR="004B6222" w:rsidRPr="004B6222" w:rsidRDefault="004B6222" w:rsidP="004B6222">
      <w:pPr>
        <w:pStyle w:val="Heading2"/>
      </w:pPr>
      <w:r>
        <w:t>Part 1 – Number of hidden units</w:t>
      </w:r>
    </w:p>
    <w:p w14:paraId="2C2F5A29" w14:textId="52EF591B" w:rsidR="00046837" w:rsidRDefault="004B6222" w:rsidP="00E06237">
      <w:pPr>
        <w:jc w:val="both"/>
      </w:pPr>
      <w:r>
        <w:t xml:space="preserve">The code used to see the difference in performance for different number of hidden units can be seen in </w:t>
      </w:r>
      <w:r w:rsidRPr="004B6222">
        <w:rPr>
          <w:b/>
        </w:rPr>
        <w:t>hyperparameters.py</w:t>
      </w:r>
      <w:r>
        <w:t xml:space="preserve"> specifically in the function </w:t>
      </w:r>
      <w:r w:rsidRPr="004B6222">
        <w:rPr>
          <w:i/>
        </w:rPr>
        <w:t>number_of_hidden_</w:t>
      </w:r>
      <w:proofErr w:type="gramStart"/>
      <w:r w:rsidRPr="004B6222">
        <w:rPr>
          <w:i/>
        </w:rPr>
        <w:t>units(</w:t>
      </w:r>
      <w:proofErr w:type="gramEnd"/>
      <w:r w:rsidRPr="004B6222">
        <w:rPr>
          <w:i/>
        </w:rPr>
        <w:t>)</w:t>
      </w:r>
      <w:r>
        <w:t>.</w:t>
      </w:r>
      <w:r w:rsidR="008151C7">
        <w:t xml:space="preserve"> No weight decay was used in this model.</w:t>
      </w:r>
      <w:r>
        <w:t xml:space="preserve"> The plots showing the training error and accuracies vs iterations (per epoch) can be seen in Appendix </w:t>
      </w:r>
      <w:r w:rsidR="00046837">
        <w:t>A</w:t>
      </w:r>
      <w:r>
        <w:t>.</w:t>
      </w:r>
      <w:r w:rsidR="00046837">
        <w:t xml:space="preserve"> The following table summarizes the</w:t>
      </w:r>
      <w:r w:rsidR="00A02F26">
        <w:t xml:space="preserve"> final values</w:t>
      </w:r>
      <w:r w:rsidR="0057344C">
        <w:t xml:space="preserve"> (best results bolded)</w:t>
      </w:r>
      <w:r w:rsidR="00A02F26">
        <w:t xml:space="preserve"> for</w:t>
      </w:r>
      <w:r w:rsidR="00046837">
        <w:t xml:space="preserve"> tuning the hyperparameters</w:t>
      </w:r>
      <w:r w:rsidR="00A02F26">
        <w:t xml:space="preserve"> (where </w:t>
      </w:r>
      <m:oMath>
        <m:r>
          <m:rPr>
            <m:sty m:val="p"/>
          </m:rPr>
          <w:rPr>
            <w:rFonts w:ascii="Cambria Math" w:hAnsi="Cambria Math"/>
          </w:rPr>
          <m:t>error=1-accuracy</m:t>
        </m:r>
      </m:oMath>
      <w:r w:rsidR="00A02F26">
        <w:rPr>
          <w:rFonts w:eastAsiaTheme="minorEastAsia"/>
        </w:rPr>
        <w:t>)</w:t>
      </w:r>
      <w:r w:rsidR="0004683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830"/>
        <w:gridCol w:w="830"/>
        <w:gridCol w:w="833"/>
        <w:gridCol w:w="830"/>
        <w:gridCol w:w="830"/>
        <w:gridCol w:w="833"/>
        <w:gridCol w:w="830"/>
        <w:gridCol w:w="830"/>
        <w:gridCol w:w="833"/>
      </w:tblGrid>
      <w:tr w:rsidR="0057344C" w14:paraId="5E2CFD6A" w14:textId="77777777" w:rsidTr="0057344C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7FD652" w14:textId="0ACFDA11" w:rsidR="0057344C" w:rsidRDefault="0057344C" w:rsidP="00A02F26">
            <w:pPr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# of nodes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27FA63" w14:textId="12D8B5A8" w:rsidR="0057344C" w:rsidRPr="0057344C" w:rsidRDefault="0057344C" w:rsidP="0057344C">
            <w:pPr>
              <w:jc w:val="center"/>
            </w:pPr>
            <w:r w:rsidRPr="0057344C">
              <w:t>100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3E06AC" w14:textId="580DDFD3" w:rsidR="0057344C" w:rsidRPr="0057344C" w:rsidRDefault="0057344C" w:rsidP="0057344C">
            <w:pPr>
              <w:jc w:val="center"/>
            </w:pPr>
            <w:r w:rsidRPr="0057344C">
              <w:t>500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D3A34F" w14:textId="22348455" w:rsidR="0057344C" w:rsidRPr="0057344C" w:rsidRDefault="0057344C" w:rsidP="0057344C">
            <w:pPr>
              <w:jc w:val="center"/>
            </w:pPr>
            <w:r w:rsidRPr="0057344C">
              <w:t>1000</w:t>
            </w:r>
          </w:p>
        </w:tc>
      </w:tr>
      <w:tr w:rsidR="0057344C" w14:paraId="0CC328C5" w14:textId="0FCF094C" w:rsidTr="00FC6945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1D4B3" w14:textId="4F64E91D" w:rsidR="0057344C" w:rsidRPr="00046837" w:rsidRDefault="0057344C" w:rsidP="0057344C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5699691" w14:textId="6E81448D" w:rsidR="0057344C" w:rsidRPr="0057344C" w:rsidRDefault="0057344C" w:rsidP="0057344C">
            <w:pPr>
              <w:jc w:val="both"/>
            </w:pPr>
            <w:r w:rsidRPr="0057344C">
              <w:t>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C213B7" w14:textId="6C612B8B" w:rsidR="0057344C" w:rsidRPr="0057344C" w:rsidRDefault="0057344C" w:rsidP="0057344C">
            <w:pPr>
              <w:jc w:val="both"/>
            </w:pPr>
            <w:r w:rsidRPr="0057344C">
              <w:t>0.005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67B218F" w14:textId="00340090" w:rsidR="0057344C" w:rsidRPr="0057344C" w:rsidRDefault="0057344C" w:rsidP="0057344C">
            <w:pPr>
              <w:jc w:val="both"/>
              <w:rPr>
                <w:b/>
              </w:rPr>
            </w:pPr>
            <w:r w:rsidRPr="0057344C">
              <w:rPr>
                <w:b/>
              </w:rPr>
              <w:t>0.001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B9F75FF" w14:textId="267150EE" w:rsidR="0057344C" w:rsidRPr="0057344C" w:rsidRDefault="0057344C" w:rsidP="0057344C">
            <w:pPr>
              <w:jc w:val="both"/>
            </w:pPr>
            <w:r w:rsidRPr="0057344C">
              <w:t>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F29F13" w14:textId="3383C03C" w:rsidR="0057344C" w:rsidRPr="0057344C" w:rsidRDefault="0057344C" w:rsidP="0057344C">
            <w:pPr>
              <w:jc w:val="both"/>
            </w:pPr>
            <w:r w:rsidRPr="0057344C">
              <w:t>0.005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29970F2" w14:textId="27865602" w:rsidR="0057344C" w:rsidRPr="0057344C" w:rsidRDefault="0057344C" w:rsidP="0057344C">
            <w:pPr>
              <w:jc w:val="both"/>
              <w:rPr>
                <w:b/>
              </w:rPr>
            </w:pPr>
            <w:r w:rsidRPr="0057344C">
              <w:rPr>
                <w:b/>
              </w:rPr>
              <w:t>0.001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4D529E9" w14:textId="23C1358B" w:rsidR="0057344C" w:rsidRPr="0057344C" w:rsidRDefault="0057344C" w:rsidP="0057344C">
            <w:pPr>
              <w:jc w:val="both"/>
            </w:pPr>
            <w:r w:rsidRPr="0057344C">
              <w:t>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2EDAD60A" w14:textId="324C297C" w:rsidR="0057344C" w:rsidRPr="0057344C" w:rsidRDefault="0057344C" w:rsidP="0057344C">
            <w:pPr>
              <w:jc w:val="both"/>
            </w:pPr>
            <w:r w:rsidRPr="0057344C">
              <w:t>0.005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A4630E" w14:textId="6BD7417A" w:rsidR="0057344C" w:rsidRPr="0057344C" w:rsidRDefault="0057344C" w:rsidP="0057344C">
            <w:pPr>
              <w:jc w:val="both"/>
              <w:rPr>
                <w:b/>
              </w:rPr>
            </w:pPr>
            <w:r w:rsidRPr="0057344C">
              <w:rPr>
                <w:b/>
              </w:rPr>
              <w:t>0.001</w:t>
            </w:r>
          </w:p>
        </w:tc>
      </w:tr>
      <w:tr w:rsidR="0057344C" w14:paraId="5A8D3D14" w14:textId="0178DDA4" w:rsidTr="00FC6945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FFBB6C" w14:textId="2353D865" w:rsidR="00A02F26" w:rsidRPr="00046837" w:rsidRDefault="00A02F26" w:rsidP="00E06237">
            <w:pPr>
              <w:jc w:val="both"/>
              <w:rPr>
                <w:b/>
              </w:rPr>
            </w:pPr>
            <w:r w:rsidRPr="00046837">
              <w:rPr>
                <w:b/>
              </w:rPr>
              <w:t>Val. error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EC5FE5E" w14:textId="6B0D599B" w:rsidR="00A02F26" w:rsidRDefault="0057344C" w:rsidP="00E06237">
            <w:pPr>
              <w:jc w:val="both"/>
            </w:pPr>
            <w:r>
              <w:t>0.0800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CBC37B5" w14:textId="0FB56EB3" w:rsidR="00A02F26" w:rsidRDefault="0057344C" w:rsidP="00E06237">
            <w:pPr>
              <w:jc w:val="both"/>
            </w:pPr>
            <w:r>
              <w:t>0.0790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B2199B" w14:textId="4B632A5C" w:rsidR="00A02F26" w:rsidRPr="0057344C" w:rsidRDefault="0057344C" w:rsidP="00E06237">
            <w:pPr>
              <w:jc w:val="both"/>
              <w:rPr>
                <w:b/>
              </w:rPr>
            </w:pPr>
            <w:r w:rsidRPr="0057344C">
              <w:rPr>
                <w:b/>
              </w:rPr>
              <w:t>0.0710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5242C8D" w14:textId="731B7C57" w:rsidR="00A02F26" w:rsidRDefault="0057344C" w:rsidP="00E06237">
            <w:pPr>
              <w:jc w:val="both"/>
            </w:pPr>
            <w:r>
              <w:t>0.0701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198C79" w14:textId="745CC1DD" w:rsidR="00A02F26" w:rsidRDefault="0057344C" w:rsidP="00E06237">
            <w:pPr>
              <w:jc w:val="both"/>
            </w:pPr>
            <w:r>
              <w:t>0.0670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00977EA" w14:textId="6F0899EF" w:rsidR="00A02F26" w:rsidRPr="0057344C" w:rsidRDefault="0057344C" w:rsidP="00E06237">
            <w:pPr>
              <w:jc w:val="both"/>
              <w:rPr>
                <w:b/>
              </w:rPr>
            </w:pPr>
            <w:r w:rsidRPr="0057344C">
              <w:rPr>
                <w:b/>
              </w:rPr>
              <w:t>0.0670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8C5B715" w14:textId="23D6346D" w:rsidR="00A02F26" w:rsidRDefault="0057344C" w:rsidP="00E06237">
            <w:pPr>
              <w:jc w:val="both"/>
            </w:pPr>
            <w:r>
              <w:t>0.0760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14:paraId="141388DE" w14:textId="66ED7D23" w:rsidR="00A02F26" w:rsidRDefault="0057344C" w:rsidP="00E06237">
            <w:pPr>
              <w:jc w:val="both"/>
            </w:pPr>
            <w:r>
              <w:t>0.0710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DB8FFB" w14:textId="33C3600A" w:rsidR="00A02F26" w:rsidRPr="0057344C" w:rsidRDefault="0057344C" w:rsidP="00E06237">
            <w:pPr>
              <w:jc w:val="both"/>
              <w:rPr>
                <w:b/>
              </w:rPr>
            </w:pPr>
            <w:r w:rsidRPr="0057344C">
              <w:rPr>
                <w:b/>
              </w:rPr>
              <w:t>0.0560</w:t>
            </w:r>
          </w:p>
        </w:tc>
      </w:tr>
      <w:tr w:rsidR="0057344C" w14:paraId="229EE431" w14:textId="462F5AE3" w:rsidTr="00FC6945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D0613" w14:textId="7FDDBBEA" w:rsidR="0057344C" w:rsidRPr="00046837" w:rsidRDefault="0057344C" w:rsidP="0057344C">
            <w:pPr>
              <w:jc w:val="both"/>
              <w:rPr>
                <w:b/>
              </w:rPr>
            </w:pPr>
            <w:r w:rsidRPr="00046837">
              <w:rPr>
                <w:b/>
              </w:rPr>
              <w:t xml:space="preserve">Test error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C8EF0A1" w14:textId="732014AA" w:rsidR="0057344C" w:rsidRDefault="0057344C" w:rsidP="0057344C">
            <w:pPr>
              <w:jc w:val="both"/>
            </w:pPr>
            <w:r>
              <w:t>0.0932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2B20F5B" w14:textId="30C5A815" w:rsidR="0057344C" w:rsidRDefault="0057344C" w:rsidP="0057344C">
            <w:pPr>
              <w:jc w:val="both"/>
            </w:pPr>
            <w:r>
              <w:t>0.0870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403D8C0" w14:textId="29CDFDE1" w:rsidR="0057344C" w:rsidRPr="0057344C" w:rsidRDefault="0057344C" w:rsidP="0057344C">
            <w:pPr>
              <w:jc w:val="both"/>
              <w:rPr>
                <w:b/>
              </w:rPr>
            </w:pPr>
            <w:r w:rsidRPr="0057344C">
              <w:rPr>
                <w:b/>
              </w:rPr>
              <w:t>0.0896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70CCA22" w14:textId="378A055A" w:rsidR="0057344C" w:rsidRDefault="0057344C" w:rsidP="0057344C">
            <w:pPr>
              <w:jc w:val="both"/>
            </w:pPr>
            <w:r>
              <w:t>0.0808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FD1719" w14:textId="44C2055B" w:rsidR="0057344C" w:rsidRDefault="0057344C" w:rsidP="0057344C">
            <w:pPr>
              <w:jc w:val="both"/>
            </w:pPr>
            <w:r>
              <w:t>0.0775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15C3865" w14:textId="59AF09EC" w:rsidR="0057344C" w:rsidRPr="0057344C" w:rsidRDefault="0057344C" w:rsidP="0057344C">
            <w:pPr>
              <w:jc w:val="both"/>
              <w:rPr>
                <w:b/>
              </w:rPr>
            </w:pPr>
            <w:r w:rsidRPr="0057344C">
              <w:rPr>
                <w:b/>
              </w:rPr>
              <w:t>0.0756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5A9ED8C" w14:textId="1DD0C021" w:rsidR="0057344C" w:rsidRDefault="0057344C" w:rsidP="0057344C">
            <w:pPr>
              <w:jc w:val="both"/>
            </w:pPr>
            <w:r>
              <w:t>0.0914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76D66053" w14:textId="29B8BCC5" w:rsidR="0057344C" w:rsidRDefault="0057344C" w:rsidP="0057344C">
            <w:pPr>
              <w:jc w:val="both"/>
            </w:pPr>
            <w:r>
              <w:t>0.0793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1BE9F7B" w14:textId="4DB0AE52" w:rsidR="0057344C" w:rsidRPr="0057344C" w:rsidRDefault="0057344C" w:rsidP="0057344C">
            <w:pPr>
              <w:jc w:val="both"/>
              <w:rPr>
                <w:b/>
              </w:rPr>
            </w:pPr>
            <w:r w:rsidRPr="0057344C">
              <w:rPr>
                <w:b/>
              </w:rPr>
              <w:t>0.0727</w:t>
            </w:r>
          </w:p>
        </w:tc>
      </w:tr>
    </w:tbl>
    <w:p w14:paraId="2369C163" w14:textId="7C8FC729" w:rsidR="00046837" w:rsidRDefault="00046837" w:rsidP="00E06237">
      <w:pPr>
        <w:jc w:val="both"/>
      </w:pPr>
    </w:p>
    <w:p w14:paraId="32D877E4" w14:textId="58AEB14D" w:rsidR="00046837" w:rsidRDefault="00046837" w:rsidP="00E06237">
      <w:pPr>
        <w:jc w:val="both"/>
      </w:pPr>
      <w:r>
        <w:t xml:space="preserve">In summary, </w:t>
      </w:r>
      <w:r w:rsidR="0057344C">
        <w:t>increasing</w:t>
      </w:r>
      <w:r>
        <w:t xml:space="preserve"> the number of hidden </w:t>
      </w:r>
      <w:r w:rsidR="00A02F26">
        <w:t>units</w:t>
      </w:r>
      <w:r>
        <w:t xml:space="preserve"> </w:t>
      </w:r>
      <w:r w:rsidR="0057344C">
        <w:t xml:space="preserve">slightly reduces </w:t>
      </w:r>
      <w:r>
        <w:t>the validation error</w:t>
      </w:r>
      <w:r w:rsidR="0057344C">
        <w:t xml:space="preserve"> (by ~1%)</w:t>
      </w:r>
      <w:r>
        <w:t xml:space="preserve"> for a single layer neural network for this dataset, but</w:t>
      </w:r>
      <w:r w:rsidR="007E73F8">
        <w:t xml:space="preserve"> a</w:t>
      </w:r>
      <w:r>
        <w:t xml:space="preserve"> lower </w:t>
      </w:r>
      <w:r w:rsidR="007E73F8">
        <w:t>number</w:t>
      </w:r>
      <w:r w:rsidR="00F138D5">
        <w:t xml:space="preserve"> of nodes reduces computation time significantly</w:t>
      </w:r>
      <w:r w:rsidR="0057344C">
        <w:t>.</w:t>
      </w:r>
    </w:p>
    <w:p w14:paraId="76E4529F" w14:textId="0AFE89DD" w:rsidR="004B6222" w:rsidRDefault="00046837" w:rsidP="00046837">
      <w:pPr>
        <w:pStyle w:val="Heading2"/>
      </w:pPr>
      <w:r>
        <w:lastRenderedPageBreak/>
        <w:t>Part 2 – Number of layers</w:t>
      </w:r>
    </w:p>
    <w:p w14:paraId="61FBAB5D" w14:textId="7BF378D6" w:rsidR="00046837" w:rsidRPr="00046837" w:rsidRDefault="00FC6945" w:rsidP="00046837">
      <w:pPr>
        <w:jc w:val="center"/>
      </w:pPr>
      <w:r>
        <w:rPr>
          <w:noProof/>
        </w:rPr>
        <w:drawing>
          <wp:inline distT="0" distB="0" distL="0" distR="0" wp14:anchorId="466FA8AC" wp14:editId="76DF4B70">
            <wp:extent cx="4905375" cy="38362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329" cy="38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6F9" w14:textId="59D0AE8C" w:rsidR="00046837" w:rsidRDefault="00FC6945" w:rsidP="00046837">
      <w:pPr>
        <w:jc w:val="center"/>
      </w:pPr>
      <w:r>
        <w:rPr>
          <w:noProof/>
        </w:rPr>
        <w:drawing>
          <wp:inline distT="0" distB="0" distL="0" distR="0" wp14:anchorId="6625ECDB" wp14:editId="6EF6C74F">
            <wp:extent cx="4810125" cy="37643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685" cy="37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F0C" w14:textId="1F948F01" w:rsidR="008151C7" w:rsidRPr="00046837" w:rsidRDefault="008151C7" w:rsidP="008151C7">
      <w:pPr>
        <w:jc w:val="both"/>
      </w:pPr>
      <w:r>
        <w:lastRenderedPageBreak/>
        <w:t>We can see in the graphs steep steps in decrease of error taking place at different epochs indicative of a multi-layer neural network. The following table summarizes the validation and test classification error final values for all learning rates. No weight decay was used in this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718"/>
        <w:gridCol w:w="833"/>
        <w:gridCol w:w="718"/>
        <w:gridCol w:w="830"/>
        <w:gridCol w:w="830"/>
      </w:tblGrid>
      <w:tr w:rsidR="00FC6945" w14:paraId="5BEDBBDB" w14:textId="77777777" w:rsidTr="00FC694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1839" w14:textId="1FB3ED97" w:rsidR="00FC6945" w:rsidRPr="00FC6945" w:rsidRDefault="00FC6945" w:rsidP="00FC6945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42025" w14:textId="77777777" w:rsidR="00FC6945" w:rsidRPr="00FC6945" w:rsidRDefault="00FC6945" w:rsidP="00FC6945">
            <w:pPr>
              <w:jc w:val="both"/>
            </w:pPr>
            <w:r w:rsidRPr="00FC6945">
              <w:t>0.01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8851D" w14:textId="2127EB9A" w:rsidR="00FC6945" w:rsidRPr="00FC6945" w:rsidRDefault="00FC6945" w:rsidP="00FC6945">
            <w:pPr>
              <w:jc w:val="both"/>
              <w:rPr>
                <w:b/>
              </w:rPr>
            </w:pPr>
            <w:r w:rsidRPr="00FC6945">
              <w:rPr>
                <w:b/>
              </w:rPr>
              <w:t>0.005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43A108E" w14:textId="376F61AA" w:rsidR="00FC6945" w:rsidRPr="00FC6945" w:rsidRDefault="00FC6945" w:rsidP="00FC6945">
            <w:pPr>
              <w:jc w:val="both"/>
            </w:pPr>
            <w:r w:rsidRPr="00FC6945">
              <w:t>0.001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7F1F253" w14:textId="0B585189" w:rsidR="00FC6945" w:rsidRPr="00FC6945" w:rsidRDefault="00FC6945" w:rsidP="00FC6945">
            <w:pPr>
              <w:jc w:val="both"/>
            </w:pPr>
            <w:r w:rsidRPr="00FC6945">
              <w:t>0.0005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EA2D8D" w14:textId="26A9F5FF" w:rsidR="00FC6945" w:rsidRPr="00FC6945" w:rsidRDefault="00FC6945" w:rsidP="00FC6945">
            <w:pPr>
              <w:jc w:val="both"/>
            </w:pPr>
            <w:r w:rsidRPr="00FC6945">
              <w:t>0.0001</w:t>
            </w:r>
          </w:p>
        </w:tc>
      </w:tr>
      <w:tr w:rsidR="00FC6945" w14:paraId="4AFEB121" w14:textId="77777777" w:rsidTr="00FC6945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C94B4" w14:textId="77777777" w:rsidR="00FC6945" w:rsidRPr="00FC6945" w:rsidRDefault="00FC6945" w:rsidP="00FC6945">
            <w:pPr>
              <w:jc w:val="both"/>
              <w:rPr>
                <w:b/>
              </w:rPr>
            </w:pPr>
            <w:r w:rsidRPr="00FC6945">
              <w:rPr>
                <w:b/>
              </w:rPr>
              <w:t>Val. error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6F1968D" w14:textId="1AB4116C" w:rsidR="00FC6945" w:rsidRPr="00FC6945" w:rsidRDefault="00FC6945" w:rsidP="00FC6945">
            <w:pPr>
              <w:jc w:val="both"/>
            </w:pPr>
            <w:r w:rsidRPr="00FC6945">
              <w:t>0.373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AB6AD6E" w14:textId="1153331D" w:rsidR="00FC6945" w:rsidRPr="00FC6945" w:rsidRDefault="00FC6945" w:rsidP="00FC6945">
            <w:pPr>
              <w:jc w:val="both"/>
              <w:rPr>
                <w:b/>
              </w:rPr>
            </w:pPr>
            <w:r w:rsidRPr="00FC6945">
              <w:rPr>
                <w:b/>
              </w:rPr>
              <w:t>0.0800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11FCCE" w14:textId="74F5586D" w:rsidR="00FC6945" w:rsidRPr="00FC6945" w:rsidRDefault="00FC6945" w:rsidP="00FC6945">
            <w:pPr>
              <w:jc w:val="both"/>
            </w:pPr>
            <w:r w:rsidRPr="00FC6945">
              <w:t>0.27</w:t>
            </w: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29A545" w14:textId="13C8755A" w:rsidR="00FC6945" w:rsidRPr="00FC6945" w:rsidRDefault="00FC6945" w:rsidP="00FC6945">
            <w:pPr>
              <w:jc w:val="both"/>
            </w:pPr>
            <w:r w:rsidRPr="00FC6945">
              <w:t>0.445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1B62042" w14:textId="60E4A467" w:rsidR="00FC6945" w:rsidRPr="00FC6945" w:rsidRDefault="00FC6945" w:rsidP="00FC6945">
            <w:pPr>
              <w:jc w:val="both"/>
            </w:pPr>
            <w:r w:rsidRPr="00FC6945">
              <w:t>0.354</w:t>
            </w:r>
          </w:p>
        </w:tc>
      </w:tr>
      <w:tr w:rsidR="00FC6945" w14:paraId="7BC4A0B7" w14:textId="77777777" w:rsidTr="00FC6945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E17EE" w14:textId="77777777" w:rsidR="00FC6945" w:rsidRPr="00FC6945" w:rsidRDefault="00FC6945" w:rsidP="00FC6945">
            <w:pPr>
              <w:jc w:val="both"/>
              <w:rPr>
                <w:b/>
              </w:rPr>
            </w:pPr>
            <w:r w:rsidRPr="00FC6945">
              <w:rPr>
                <w:b/>
              </w:rPr>
              <w:t xml:space="preserve">Test error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0E48D03E" w14:textId="0E92E4CF" w:rsidR="00FC6945" w:rsidRPr="00FC6945" w:rsidRDefault="00FC6945" w:rsidP="00FC6945">
            <w:pPr>
              <w:jc w:val="both"/>
            </w:pPr>
            <w:r>
              <w:t>0.358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5BB759" w14:textId="50142298" w:rsidR="00FC6945" w:rsidRPr="00FC6945" w:rsidRDefault="00FC6945" w:rsidP="00FC6945">
            <w:pPr>
              <w:jc w:val="both"/>
              <w:rPr>
                <w:b/>
              </w:rPr>
            </w:pPr>
            <w:r w:rsidRPr="00FC6945">
              <w:rPr>
                <w:b/>
              </w:rPr>
              <w:t>0.0830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6F68459" w14:textId="493C6DA4" w:rsidR="00FC6945" w:rsidRPr="00FC6945" w:rsidRDefault="00FC6945" w:rsidP="00FC6945">
            <w:pPr>
              <w:jc w:val="both"/>
            </w:pPr>
            <w:r>
              <w:t>0.262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6998A4" w14:textId="260C18AA" w:rsidR="00FC6945" w:rsidRPr="00FC6945" w:rsidRDefault="00FC6945" w:rsidP="00FC6945">
            <w:pPr>
              <w:jc w:val="both"/>
            </w:pPr>
            <w:r>
              <w:t>0.452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11954E" w14:textId="477915FB" w:rsidR="00FC6945" w:rsidRPr="00FC6945" w:rsidRDefault="00FC6945" w:rsidP="00FC6945">
            <w:pPr>
              <w:jc w:val="both"/>
            </w:pPr>
            <w:r>
              <w:t>0.356</w:t>
            </w:r>
          </w:p>
        </w:tc>
      </w:tr>
    </w:tbl>
    <w:p w14:paraId="07A5D353" w14:textId="77777777" w:rsidR="004B6222" w:rsidRDefault="004B6222" w:rsidP="00E06237">
      <w:pPr>
        <w:jc w:val="both"/>
      </w:pPr>
    </w:p>
    <w:p w14:paraId="089CC07A" w14:textId="5265E968" w:rsidR="004B6222" w:rsidRDefault="008151C7" w:rsidP="00E06237">
      <w:pPr>
        <w:jc w:val="both"/>
      </w:pPr>
      <w:r>
        <w:t xml:space="preserve">Comparing results the results of the test set for </w:t>
      </w:r>
      <m:oMath>
        <m:r>
          <w:rPr>
            <w:rFonts w:ascii="Cambria Math" w:hAnsi="Cambria Math"/>
          </w:rPr>
          <m:t>η=0.005</m:t>
        </m:r>
      </m:oMath>
      <w:r>
        <w:rPr>
          <w:rFonts w:eastAsiaTheme="minorEastAsia"/>
        </w:rPr>
        <w:t xml:space="preserve"> in the 2 layer neural network, we see that the error is on par, if not a bit worse than the single layer neural network.</w:t>
      </w:r>
      <w:bookmarkStart w:id="0" w:name="_GoBack"/>
      <w:bookmarkEnd w:id="0"/>
    </w:p>
    <w:p w14:paraId="108080FD" w14:textId="77777777" w:rsidR="0015548B" w:rsidRPr="00346F79" w:rsidRDefault="0015548B" w:rsidP="00F80730"/>
    <w:p w14:paraId="6FFE060A" w14:textId="77777777" w:rsidR="00140EF5" w:rsidRPr="00140EF5" w:rsidRDefault="00140EF5" w:rsidP="00140EF5"/>
    <w:p w14:paraId="5E352ADE" w14:textId="602825FA" w:rsidR="004B6222" w:rsidRDefault="004B6222" w:rsidP="004B6222">
      <w:pPr>
        <w:pStyle w:val="Heading1"/>
      </w:pPr>
      <w:r>
        <w:t>Appendix A – Graphs</w:t>
      </w:r>
    </w:p>
    <w:p w14:paraId="7F45C9C0" w14:textId="458B74E5" w:rsidR="004B6222" w:rsidRPr="004B6222" w:rsidRDefault="004B6222" w:rsidP="004B6222">
      <w:pPr>
        <w:pStyle w:val="Heading2"/>
      </w:pPr>
      <w:r>
        <w:t>1.2.1:</w:t>
      </w:r>
    </w:p>
    <w:p w14:paraId="3D7B7EDC" w14:textId="77777777" w:rsidR="004B6222" w:rsidRDefault="004B6222" w:rsidP="004B6222">
      <w:pPr>
        <w:jc w:val="center"/>
      </w:pPr>
      <w:r>
        <w:rPr>
          <w:noProof/>
        </w:rPr>
        <w:drawing>
          <wp:inline distT="0" distB="0" distL="0" distR="0" wp14:anchorId="122792C6" wp14:editId="590EED0C">
            <wp:extent cx="4457700" cy="3440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557" cy="34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13A" w14:textId="77777777" w:rsidR="004B6222" w:rsidRDefault="004B6222" w:rsidP="004B6222">
      <w:pPr>
        <w:jc w:val="center"/>
      </w:pPr>
      <w:r>
        <w:rPr>
          <w:noProof/>
        </w:rPr>
        <w:lastRenderedPageBreak/>
        <w:drawing>
          <wp:inline distT="0" distB="0" distL="0" distR="0" wp14:anchorId="7860D908" wp14:editId="70D5A768">
            <wp:extent cx="4304579" cy="33337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229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D5EB" w14:textId="77777777" w:rsidR="004B6222" w:rsidRDefault="004B6222" w:rsidP="004B6222">
      <w:pPr>
        <w:jc w:val="center"/>
      </w:pPr>
      <w:r>
        <w:rPr>
          <w:noProof/>
        </w:rPr>
        <w:drawing>
          <wp:inline distT="0" distB="0" distL="0" distR="0" wp14:anchorId="5644AFBA" wp14:editId="3FFE8468">
            <wp:extent cx="4429182" cy="34766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447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798E" w14:textId="77777777" w:rsidR="004B6222" w:rsidRDefault="004B6222" w:rsidP="004B6222">
      <w:pPr>
        <w:jc w:val="center"/>
      </w:pPr>
      <w:r>
        <w:rPr>
          <w:noProof/>
        </w:rPr>
        <w:lastRenderedPageBreak/>
        <w:drawing>
          <wp:inline distT="0" distB="0" distL="0" distR="0" wp14:anchorId="6F8197D0" wp14:editId="3BC220C9">
            <wp:extent cx="4575630" cy="3695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301" cy="36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F51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33B18116" wp14:editId="3BF1BE90">
            <wp:extent cx="4686300" cy="36644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103" cy="36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136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5B7A00CC" wp14:editId="4A0F0049">
            <wp:extent cx="4686300" cy="361335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593" cy="36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020A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688E1F2F" wp14:editId="7C15DE74">
            <wp:extent cx="4895850" cy="38110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287" cy="38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85A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6C171764" wp14:editId="32373B2C">
            <wp:extent cx="4914900" cy="3746036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709" cy="37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76D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04B77881" wp14:editId="0E17AD24">
            <wp:extent cx="4933950" cy="379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9240" cy="38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D4E9" w14:textId="77777777" w:rsidR="00046837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63D10A05" wp14:editId="344DAA1C">
            <wp:extent cx="4622252" cy="357187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580" cy="35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CEE7" w14:textId="77777777" w:rsidR="00046837" w:rsidRDefault="00046837" w:rsidP="00046837">
      <w:pPr>
        <w:jc w:val="center"/>
      </w:pPr>
      <w:r>
        <w:rPr>
          <w:noProof/>
        </w:rPr>
        <w:drawing>
          <wp:inline distT="0" distB="0" distL="0" distR="0" wp14:anchorId="44DEE1D3" wp14:editId="68F0C92D">
            <wp:extent cx="4933950" cy="38122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729" cy="38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3D0" w14:textId="6459F0BB" w:rsidR="004B6222" w:rsidRDefault="00046837" w:rsidP="00046837">
      <w:pPr>
        <w:jc w:val="center"/>
      </w:pPr>
      <w:r>
        <w:rPr>
          <w:noProof/>
        </w:rPr>
        <w:lastRenderedPageBreak/>
        <w:drawing>
          <wp:inline distT="0" distB="0" distL="0" distR="0" wp14:anchorId="69751C0F" wp14:editId="5083E2DF">
            <wp:extent cx="4848225" cy="3693146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137" cy="36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222">
        <w:br w:type="page"/>
      </w:r>
    </w:p>
    <w:p w14:paraId="6A024FCF" w14:textId="7DDF2791" w:rsidR="002B6292" w:rsidRDefault="004B6222" w:rsidP="002B6292">
      <w:pPr>
        <w:pStyle w:val="Heading1"/>
      </w:pPr>
      <w:r>
        <w:lastRenderedPageBreak/>
        <w:t>Appendix B</w:t>
      </w:r>
      <w:r w:rsidR="00355F0A">
        <w:t xml:space="preserve"> – Python c</w:t>
      </w:r>
      <w:r w:rsidR="002B6292">
        <w:t>ode</w:t>
      </w:r>
    </w:p>
    <w:p w14:paraId="75BCB16E" w14:textId="33A3D151" w:rsidR="002B6292" w:rsidRPr="009319E6" w:rsidRDefault="004B6222" w:rsidP="002B6292">
      <w:pPr>
        <w:pStyle w:val="Heading2"/>
      </w:pPr>
      <w:r>
        <w:t>hyperparameters</w:t>
      </w:r>
      <w:r w:rsidR="002B6292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292" w14:paraId="356EFB27" w14:textId="77777777" w:rsidTr="00314FB1">
        <w:tc>
          <w:tcPr>
            <w:tcW w:w="9350" w:type="dxa"/>
            <w:shd w:val="clear" w:color="auto" w:fill="FFFFFF" w:themeFill="background1"/>
          </w:tcPr>
          <w:p w14:paraId="7D7D658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bookmarkStart w:id="1" w:name="_Hlk508718869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import numpy as np</w:t>
            </w:r>
          </w:p>
          <w:p w14:paraId="4EAC4E1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import tensorflow as tf</w:t>
            </w:r>
          </w:p>
          <w:p w14:paraId="433BEF9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6D625E2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load_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notMNIST(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</w:t>
            </w:r>
          </w:p>
          <w:p w14:paraId="71C2B4C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np.load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("notMNIST.npz") as data:</w:t>
            </w:r>
          </w:p>
          <w:p w14:paraId="559E934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Data, Target = data["images"], data["labels"]</w:t>
            </w:r>
          </w:p>
          <w:p w14:paraId="3F8417C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.seed(521)</w:t>
            </w:r>
          </w:p>
          <w:p w14:paraId="49910E1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randIndx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(len(Data))</w:t>
            </w:r>
          </w:p>
          <w:p w14:paraId="5CD6C8F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.shuffle(randIndx)</w:t>
            </w:r>
          </w:p>
          <w:p w14:paraId="36E9B86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Data = Data[randIndx]/255</w:t>
            </w:r>
          </w:p>
          <w:p w14:paraId="3F54121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Target = Target[randIndx]</w:t>
            </w:r>
          </w:p>
          <w:p w14:paraId="17480CC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trainData, trainTarget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Data[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:15000], Target[:15000]</w:t>
            </w:r>
          </w:p>
          <w:p w14:paraId="421ED5C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np.zeros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((trainTarget.shape[0], 10))</w:t>
            </w:r>
          </w:p>
          <w:p w14:paraId="33FC28E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(trainTarget.shape[0]), trainTarget] = 1</w:t>
            </w:r>
          </w:p>
          <w:p w14:paraId="6BBB130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trainTarget = t</w:t>
            </w:r>
          </w:p>
          <w:p w14:paraId="02D66C0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validData, validTarget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Data[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15000:16000], Target[15000:16000]</w:t>
            </w:r>
          </w:p>
          <w:p w14:paraId="76FA487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np.zeros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((validTarget.shape[0], 10))</w:t>
            </w:r>
          </w:p>
          <w:p w14:paraId="7ABBD35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(validTarget.shape[0]), validTarget] = 1</w:t>
            </w:r>
          </w:p>
          <w:p w14:paraId="12A822D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validTarget = t</w:t>
            </w:r>
          </w:p>
          <w:p w14:paraId="574DC21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testData, testTarget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Data[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16000:], Target[16000:]</w:t>
            </w:r>
          </w:p>
          <w:p w14:paraId="5D1C9FD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np.zeros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((testTarget.shape[0], 10))</w:t>
            </w:r>
          </w:p>
          <w:p w14:paraId="2E2DA62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(testTarget.shape[0]), testTarget] = 1</w:t>
            </w:r>
          </w:p>
          <w:p w14:paraId="284BB08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testTarget = t</w:t>
            </w:r>
          </w:p>
          <w:p w14:paraId="7ABF479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return (trainData.reshape(trainData.shape[0], -1), trainTarget, validData.reshape(validData.shape[0], -1), validTarget, testData.reshape(testData.shape[0], -1), testTarget)</w:t>
            </w:r>
          </w:p>
          <w:p w14:paraId="172B2A7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6E08648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input_tensor, num_hidden_units):</w:t>
            </w:r>
          </w:p>
          <w:p w14:paraId="530483D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'''</w:t>
            </w:r>
          </w:p>
          <w:p w14:paraId="6F4223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@param input_tensor - outputs of the previous layer in the neural network, without the bias term.</w:t>
            </w:r>
          </w:p>
          <w:p w14:paraId="5750044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@param num_hidden_units - number of hidden units to use for this new layer</w:t>
            </w:r>
          </w:p>
          <w:p w14:paraId="33C1F01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'''</w:t>
            </w:r>
          </w:p>
          <w:p w14:paraId="32246E5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Create the new layer weight matrix using Xavier initialization</w:t>
            </w:r>
          </w:p>
          <w:p w14:paraId="3AA993C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input_dim = int(input_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tensor.shape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[-1])</w:t>
            </w:r>
          </w:p>
          <w:p w14:paraId="1696745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initializer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tf.contrib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.layers.xavier_initializer()</w:t>
            </w:r>
          </w:p>
          <w:p w14:paraId="24FAC31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W_shape = [input_dim, num_hidden_units]</w:t>
            </w:r>
          </w:p>
          <w:p w14:paraId="431A2E4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W = tf.get_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variable(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"W", initializer=initializer(W_shape), dtype=tf.float32)</w:t>
            </w:r>
          </w:p>
          <w:p w14:paraId="5E6D4D9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todo: zero initializer?</w:t>
            </w:r>
          </w:p>
          <w:p w14:paraId="2246EC8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b = tf.get_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variable(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"b", shape=[1, num_hidden_units], dtype=tf.float32)</w:t>
            </w:r>
          </w:p>
          <w:p w14:paraId="15EDD4B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6006FF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MatMul the extended input tensor by the new weight matrix and add the biases</w:t>
            </w:r>
          </w:p>
          <w:p w14:paraId="077BE52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output_tensor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tf.matmul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(input_tensor, W) + b</w:t>
            </w:r>
          </w:p>
          <w:p w14:paraId="37125F3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56DB58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Return this operation</w:t>
            </w:r>
          </w:p>
          <w:p w14:paraId="37EDADC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return output_tensor</w:t>
            </w:r>
          </w:p>
          <w:p w14:paraId="343025F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362D9F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number_of_hidden_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units(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</w:t>
            </w:r>
          </w:p>
          <w:p w14:paraId="0F43DD6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Constants</w:t>
            </w:r>
          </w:p>
          <w:p w14:paraId="399283C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B = 500</w:t>
            </w:r>
          </w:p>
          <w:p w14:paraId="44D53ED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iters = 5000</w:t>
            </w:r>
          </w:p>
          <w:p w14:paraId="43D8424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learning_rates = [0.01, 0.005, 0.001]</w:t>
            </w:r>
          </w:p>
          <w:p w14:paraId="5A74646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hidden_units = [100,500,1000]</w:t>
            </w:r>
          </w:p>
          <w:p w14:paraId="3E3CBAD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output_data = [[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],[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],[]]</w:t>
            </w:r>
          </w:p>
          <w:p w14:paraId="3AD92B9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3869228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Load data</w:t>
            </w:r>
          </w:p>
          <w:p w14:paraId="345D9DF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(trainData, trainTarget, validData, validTarget,</w:t>
            </w:r>
          </w:p>
          <w:p w14:paraId="06828E5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testData, testTarget) = load_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notMNIST(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  <w:p w14:paraId="599B3F2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33D280B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Precalculations</w:t>
            </w:r>
          </w:p>
          <w:p w14:paraId="2DA0427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num_iters_per_epoch = len(trainData)//B # number of iterations we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have to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do for one epoch</w:t>
            </w:r>
          </w:p>
          <w:p w14:paraId="7821ED1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 epochs = ",iters/num_iters_per_epoch)</w:t>
            </w:r>
          </w:p>
          <w:p w14:paraId="4890CDB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(trainData.shape[0])</w:t>
            </w:r>
          </w:p>
          <w:p w14:paraId="762FC66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21DB6C1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Set place-holders &amp; variables</w:t>
            </w:r>
          </w:p>
          <w:p w14:paraId="79CE357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X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trainData.shape[-1]), name='X')</w:t>
            </w:r>
          </w:p>
          <w:p w14:paraId="76E6469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10), name='Y')</w:t>
            </w:r>
          </w:p>
          <w:p w14:paraId="7B2FBEF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name='learning-rate')</w:t>
            </w:r>
          </w:p>
          <w:p w14:paraId="71BED48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40EC89E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for h in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range(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0, len(hidden_units)):</w:t>
            </w:r>
          </w:p>
          <w:p w14:paraId="4D7224D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for lr in range(len(learning_rates)):</w:t>
            </w:r>
          </w:p>
          <w:p w14:paraId="2EFB935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Build graph</w:t>
            </w:r>
          </w:p>
          <w:p w14:paraId="044F23A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_scope("layer1_"+str(hidden_units[h])+"_"+str(lr), reuse=tf.AUTO_REUSE):</w:t>
            </w:r>
          </w:p>
          <w:p w14:paraId="6B1885D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s_1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X, hidden_units[h])</w:t>
            </w:r>
          </w:p>
          <w:p w14:paraId="26D3EC8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lastRenderedPageBreak/>
              <w:t xml:space="preserve">            x_1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nn.relu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(s_1)</w:t>
            </w:r>
          </w:p>
          <w:p w14:paraId="2B25423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_scope("layer2_"+str(hidden_units[h])+"_"+str(lr), reuse=tf.AUTO_REUSE):</w:t>
            </w:r>
          </w:p>
          <w:p w14:paraId="4F6A360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s_2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x_1, 10)</w:t>
            </w:r>
          </w:p>
          <w:p w14:paraId="38A6D87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x_2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nn.softmax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(s_2)</w:t>
            </w:r>
          </w:p>
          <w:p w14:paraId="73CC5DF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023CF6A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Calculate loss &amp; accuracy</w:t>
            </w:r>
          </w:p>
          <w:p w14:paraId="77CEB07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loss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_mean(tf.nn.softmax_cross_entropy_with_logits(logits=s_2, labels=Y))</w:t>
            </w:r>
          </w:p>
          <w:p w14:paraId="4F53C81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accuracy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_mean(tf.cast(tf.equal(tf.argmax(x_2, 1), tf.argmax(Y, 1)), tf.float32))</w:t>
            </w:r>
          </w:p>
          <w:p w14:paraId="5C30715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</w:t>
            </w:r>
          </w:p>
          <w:p w14:paraId="49785BD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"Number of hidden units", hidden_units[h])</w:t>
            </w:r>
          </w:p>
          <w:p w14:paraId="2968F78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3AED433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tf.Session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() as sess:</w:t>
            </w:r>
          </w:p>
          <w:p w14:paraId="3B37BBB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_scope("default", reuse=tf.AUTO_REUSE):</w:t>
            </w:r>
          </w:p>
          <w:p w14:paraId="642A350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optimizer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.AdamOptimizer(learning_rate).minimize(loss)</w:t>
            </w:r>
          </w:p>
          <w:p w14:paraId="4242031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coord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.Coordinator()</w:t>
            </w:r>
          </w:p>
          <w:p w14:paraId="797CB11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threads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.start_queue_runners(sess=sess, coord=coord)</w:t>
            </w:r>
          </w:p>
          <w:p w14:paraId="3FA29A3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tf.global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5C04231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tf.local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25C3697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"Learning rate = ",learning_rates[lr])</w:t>
            </w:r>
          </w:p>
          <w:p w14:paraId="54B2164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temp_output = []</w:t>
            </w:r>
          </w:p>
          <w:p w14:paraId="4F0E95E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for i in range(iters):</w:t>
            </w:r>
          </w:p>
          <w:p w14:paraId="7D99005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71AF633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.shuffle(inds)</w:t>
            </w:r>
          </w:p>
          <w:p w14:paraId="707D619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sess.run([optimizer], feed_dict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={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learning_rate: learning_rates[lr], </w:t>
            </w:r>
          </w:p>
          <w:p w14:paraId="15158B0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X: trainData[inds[B*(i%num_iters_per_epoch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*((i+1)%num_iters_per_epoch)]], </w:t>
            </w:r>
          </w:p>
          <w:p w14:paraId="7683C67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Y: trainTarget[inds[B*(i%num_iters_per_epoch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*((i+1)%num_iters_per_epoch)]]})</w:t>
            </w:r>
          </w:p>
          <w:p w14:paraId="38628AA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376E934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t_loss, 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trainData, Y: trainTarget})</w:t>
            </w:r>
          </w:p>
          <w:p w14:paraId="28148D0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v_loss, v_acc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validData, Y: validTarget})</w:t>
            </w:r>
          </w:p>
          <w:p w14:paraId="3773A3B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test_loss, test_acc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testData, Y: testTarget})</w:t>
            </w:r>
          </w:p>
          <w:p w14:paraId="6A5C1F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"Epoch: {}, Training Loss: {}, Accuracies: [{}, {}, {}]".format(i//num_iters_per_epoch, t_loss, t_acc, v_acc, test_acc))</w:t>
            </w:r>
          </w:p>
          <w:p w14:paraId="6B4005B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temp_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output.append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([t_loss, t_acc, v_acc, test_acc])</w:t>
            </w:r>
          </w:p>
          <w:p w14:paraId="1228AE9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output_data[h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(temp_output)</w:t>
            </w:r>
          </w:p>
          <w:p w14:paraId="3DBF118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660F473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np.save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('Q1-2-1.npy', output_data)   </w:t>
            </w:r>
          </w:p>
          <w:p w14:paraId="732D1D5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return output_data</w:t>
            </w:r>
          </w:p>
          <w:p w14:paraId="24CC850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</w:p>
          <w:p w14:paraId="55191EC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def number_of_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</w:t>
            </w:r>
          </w:p>
          <w:p w14:paraId="3FBDECE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Constants</w:t>
            </w:r>
          </w:p>
          <w:p w14:paraId="7436B12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B = 250</w:t>
            </w:r>
          </w:p>
          <w:p w14:paraId="713852A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iters = 5000</w:t>
            </w:r>
          </w:p>
          <w:p w14:paraId="18C7D72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learning_rates = [0.01, 0.005, 0.001, 0.0005, 0.0001]</w:t>
            </w:r>
          </w:p>
          <w:p w14:paraId="459641E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hidden_units = [500]</w:t>
            </w:r>
          </w:p>
          <w:p w14:paraId="306ACDA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output_data = [[]]</w:t>
            </w:r>
          </w:p>
          <w:p w14:paraId="0C6042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63F288F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Load data</w:t>
            </w:r>
          </w:p>
          <w:p w14:paraId="6A7CE2F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(trainData, trainTarget, validData, validTarget,</w:t>
            </w:r>
          </w:p>
          <w:p w14:paraId="541BEDE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testData, testTarget) = load_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notMNIST(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  <w:p w14:paraId="4E829E6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04035C9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Precalculations</w:t>
            </w:r>
          </w:p>
          <w:p w14:paraId="1004B74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num_iters_per_epoch = len(trainData)//B # number of iterations we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have to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do for one epoch</w:t>
            </w:r>
          </w:p>
          <w:p w14:paraId="1FF8A44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 epochs = ",iters/num_iters_per_epoch)</w:t>
            </w:r>
          </w:p>
          <w:p w14:paraId="20C3A83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inds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np.arange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(trainData.shape[0])</w:t>
            </w:r>
          </w:p>
          <w:p w14:paraId="0D1A019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39BB674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# Set place-holders &amp; variables</w:t>
            </w:r>
          </w:p>
          <w:p w14:paraId="6576DB5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X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trainData.shape[-1]), name='X')</w:t>
            </w:r>
          </w:p>
          <w:p w14:paraId="1BC8DDA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shape=(None, 10), name='Y')</w:t>
            </w:r>
          </w:p>
          <w:p w14:paraId="03EB91E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learning_rate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tf.placeholder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(tf.float32, name='learning-rate')</w:t>
            </w:r>
          </w:p>
          <w:p w14:paraId="7F4A178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5875552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for h in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range(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0, len(hidden_units)):</w:t>
            </w:r>
          </w:p>
          <w:p w14:paraId="284FD11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for lr in range(len(learning_rates)):</w:t>
            </w:r>
          </w:p>
          <w:p w14:paraId="1915541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Build graph</w:t>
            </w:r>
          </w:p>
          <w:p w14:paraId="6247F66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_scope("layer1_"+str(hidden_units[h])+"_"+str(lr), reuse=tf.AUTO_REUSE):</w:t>
            </w:r>
          </w:p>
          <w:p w14:paraId="7DC4DDE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s_1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X, hidden_units[h])</w:t>
            </w:r>
          </w:p>
          <w:p w14:paraId="0480E26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x_1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nn.relu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(s_1)</w:t>
            </w:r>
          </w:p>
          <w:p w14:paraId="5F79241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_scope("layer2_"+str(hidden_units[h])+"_"+str(lr), reuse=tf.AUTO_REUSE):</w:t>
            </w:r>
          </w:p>
          <w:p w14:paraId="4569539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s_2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x_1, hidden_units[h])</w:t>
            </w:r>
          </w:p>
          <w:p w14:paraId="74B81F7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x_2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nn.softmax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(s_2)</w:t>
            </w:r>
          </w:p>
          <w:p w14:paraId="569C1C1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_scope("layer3_"+str(hidden_units[h])+"_"+str(lr), reuse=tf.AUTO_REUSE):</w:t>
            </w:r>
          </w:p>
          <w:p w14:paraId="3DEF05A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s_3 = create_new_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x_2, 10)</w:t>
            </w:r>
          </w:p>
          <w:p w14:paraId="15B8F3A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x_3 = tf.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nn.softmax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(s_3)</w:t>
            </w:r>
          </w:p>
          <w:p w14:paraId="7368C7B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15C2236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# Calculate loss &amp; accuracy</w:t>
            </w:r>
          </w:p>
          <w:p w14:paraId="53D4E62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loss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_mean(tf.nn.softmax_cross_entropy_with_logits(logits=s_3, labels=Y))</w:t>
            </w:r>
          </w:p>
          <w:p w14:paraId="298F62A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accuracy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tf.reduce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_mean(tf.cast(tf.equal(tf.argmax(x_3, 1), tf.argmax(Y, 1)), tf.float32))</w:t>
            </w:r>
          </w:p>
          <w:p w14:paraId="7CC888BD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</w:t>
            </w:r>
          </w:p>
          <w:p w14:paraId="3432C65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lastRenderedPageBreak/>
              <w:t xml:space="preserve">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"Number of hidden layers: 2, Number of hidden units", hidden_units[h])</w:t>
            </w:r>
          </w:p>
          <w:p w14:paraId="1AEF4E2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</w:p>
          <w:p w14:paraId="6996B6A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tf.Session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() as sess:</w:t>
            </w:r>
          </w:p>
          <w:p w14:paraId="55EA78F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with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tf.variable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_scope("default", reuse=tf.AUTO_REUSE):</w:t>
            </w:r>
          </w:p>
          <w:p w14:paraId="1F2E7F9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optimizer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.AdamOptimizer(learning_rate).minimize(loss)</w:t>
            </w:r>
          </w:p>
          <w:p w14:paraId="55E13C4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coord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.Coordinator()</w:t>
            </w:r>
          </w:p>
          <w:p w14:paraId="3CD2AF7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threads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tf.train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.start_queue_runners(sess=sess, coord=coord)</w:t>
            </w:r>
          </w:p>
          <w:p w14:paraId="79A20DC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tf.global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58F7187B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sess.run(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tf.local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_variables_initializer())</w:t>
            </w:r>
          </w:p>
          <w:p w14:paraId="1A72FF54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"Learning rate = ",learning_rates[lr])</w:t>
            </w:r>
          </w:p>
          <w:p w14:paraId="48B9E86C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temp_output = []</w:t>
            </w:r>
          </w:p>
          <w:p w14:paraId="1F1645D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for i in range(iters):</w:t>
            </w:r>
          </w:p>
          <w:p w14:paraId="3481EAF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7720303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np.random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.shuffle(inds)</w:t>
            </w:r>
          </w:p>
          <w:p w14:paraId="28E5AA8F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sess.run([optimizer], feed_dict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={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learning_rate: learning_rates[lr], </w:t>
            </w:r>
          </w:p>
          <w:p w14:paraId="0DCCF303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X: trainData[inds[B*(i%num_iters_per_epoch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*((i+1)%num_iters_per_epoch)]], </w:t>
            </w:r>
          </w:p>
          <w:p w14:paraId="0A938360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     Y: trainTarget[inds[B*(i%num_iters_per_epoch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):B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*((i+1)%num_iters_per_epoch)]]})</w:t>
            </w:r>
          </w:p>
          <w:p w14:paraId="58239FB6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if (i % num_iters_per_epoch == 0):</w:t>
            </w:r>
          </w:p>
          <w:p w14:paraId="69B2FEE7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t_loss, 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trainData, Y: trainTarget})</w:t>
            </w:r>
          </w:p>
          <w:p w14:paraId="12E9D271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v_loss, v_acc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validData, Y: validTarget})</w:t>
            </w:r>
          </w:p>
          <w:p w14:paraId="2F3AE97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test_loss, test_acc =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sess.run(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[loss, accuracy], feed_dict={X: testData, Y: testTarget})</w:t>
            </w:r>
          </w:p>
          <w:p w14:paraId="021AEE0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print(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"Epoch: {}, Training Loss: {}, Accuracies: [{}, {}, {}]".format(i//num_iters_per_epoch, t_loss, t_acc, v_acc, test_acc))</w:t>
            </w:r>
          </w:p>
          <w:p w14:paraId="5E29F85A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        temp_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output.append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([t_loss, t_acc, v_acc, test_acc])</w:t>
            </w:r>
          </w:p>
          <w:p w14:paraId="0B2979E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            output_data[h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].append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(temp_output)</w:t>
            </w:r>
          </w:p>
          <w:p w14:paraId="513752C9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526FD31E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np.save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('Q1-2-2.npy', output_data)   </w:t>
            </w:r>
          </w:p>
          <w:p w14:paraId="27030788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return output_data</w:t>
            </w: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3A44B9E2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ab/>
            </w:r>
          </w:p>
          <w:p w14:paraId="799BE5E5" w14:textId="77777777" w:rsidR="004B6222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#output = number_of_hidden_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units(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  <w:p w14:paraId="41996971" w14:textId="6CCF7760" w:rsidR="00AB198B" w:rsidRPr="004B6222" w:rsidRDefault="004B6222" w:rsidP="004B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20"/>
                <w:highlight w:val="white"/>
              </w:rPr>
            </w:pPr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output = number_of_</w:t>
            </w:r>
            <w:proofErr w:type="gramStart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layers(</w:t>
            </w:r>
            <w:proofErr w:type="gramEnd"/>
            <w:r w:rsidRPr="004B6222">
              <w:rPr>
                <w:rFonts w:ascii="Consolas" w:hAnsi="Consolas" w:cs="Consolas"/>
                <w:color w:val="000000"/>
                <w:sz w:val="14"/>
                <w:szCs w:val="20"/>
              </w:rPr>
              <w:t>)</w:t>
            </w:r>
          </w:p>
        </w:tc>
      </w:tr>
      <w:bookmarkEnd w:id="1"/>
    </w:tbl>
    <w:p w14:paraId="7DA5DE9B" w14:textId="77777777" w:rsidR="002B6292" w:rsidRDefault="002B6292" w:rsidP="002B6292">
      <w:pPr>
        <w:pStyle w:val="Heading2"/>
      </w:pPr>
    </w:p>
    <w:sectPr w:rsidR="002B6292" w:rsidSect="00D159A2">
      <w:headerReference w:type="default" r:id="rId21"/>
      <w:footerReference w:type="default" r:id="rId22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6E303" w14:textId="77777777" w:rsidR="00341545" w:rsidRDefault="00341545" w:rsidP="00D159A2">
      <w:pPr>
        <w:spacing w:after="0" w:line="240" w:lineRule="auto"/>
      </w:pPr>
      <w:r>
        <w:separator/>
      </w:r>
    </w:p>
  </w:endnote>
  <w:endnote w:type="continuationSeparator" w:id="0">
    <w:p w14:paraId="2E149BBA" w14:textId="77777777" w:rsidR="00341545" w:rsidRDefault="00341545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Content>
      <w:sdt>
        <w:sdtPr>
          <w:id w:val="-755984259"/>
          <w:docPartObj>
            <w:docPartGallery w:val="Page Numbers (Top of Page)"/>
            <w:docPartUnique/>
          </w:docPartObj>
        </w:sdtPr>
        <w:sdtContent>
          <w:p w14:paraId="09813F2A" w14:textId="5C878C49" w:rsidR="0057344C" w:rsidRDefault="005734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51C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51C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0DE10" w14:textId="77777777" w:rsidR="0057344C" w:rsidRDefault="00573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5125A" w14:textId="77777777" w:rsidR="00341545" w:rsidRDefault="00341545" w:rsidP="00D159A2">
      <w:pPr>
        <w:spacing w:after="0" w:line="240" w:lineRule="auto"/>
      </w:pPr>
      <w:r>
        <w:separator/>
      </w:r>
    </w:p>
  </w:footnote>
  <w:footnote w:type="continuationSeparator" w:id="0">
    <w:p w14:paraId="102AA5BB" w14:textId="77777777" w:rsidR="00341545" w:rsidRDefault="00341545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7344C" w14:paraId="189B3071" w14:textId="77777777" w:rsidTr="00D159A2">
      <w:tc>
        <w:tcPr>
          <w:tcW w:w="4675" w:type="dxa"/>
        </w:tcPr>
        <w:p w14:paraId="0EA91487" w14:textId="7CB05765" w:rsidR="0057344C" w:rsidRDefault="0057344C">
          <w:pPr>
            <w:pStyle w:val="Header"/>
          </w:pPr>
          <w:r>
            <w:t>ECE 521 – Assignment 2</w:t>
          </w:r>
        </w:p>
        <w:p w14:paraId="07852BDB" w14:textId="6CC9EE54" w:rsidR="0057344C" w:rsidRDefault="0057344C">
          <w:pPr>
            <w:pStyle w:val="Header"/>
          </w:pPr>
          <w:r>
            <w:t>06-04-2018</w:t>
          </w:r>
        </w:p>
      </w:tc>
      <w:tc>
        <w:tcPr>
          <w:tcW w:w="4675" w:type="dxa"/>
        </w:tcPr>
        <w:p w14:paraId="1AF01580" w14:textId="70363B0B" w:rsidR="0057344C" w:rsidRDefault="0057344C" w:rsidP="00D159A2">
          <w:pPr>
            <w:pStyle w:val="Header"/>
            <w:jc w:val="right"/>
          </w:pPr>
          <w:r>
            <w:t>Jixong Deng (1001304741)</w:t>
          </w:r>
        </w:p>
        <w:p w14:paraId="07759809" w14:textId="77777777" w:rsidR="0057344C" w:rsidRDefault="0057344C" w:rsidP="00D159A2">
          <w:pPr>
            <w:pStyle w:val="Header"/>
            <w:jc w:val="right"/>
          </w:pPr>
          <w:r>
            <w:t>Jeffrey Kirman (1004387424)</w:t>
          </w:r>
        </w:p>
        <w:p w14:paraId="45563E27" w14:textId="77777777" w:rsidR="0057344C" w:rsidRDefault="0057344C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14:paraId="149E2377" w14:textId="77777777" w:rsidR="0057344C" w:rsidRDefault="0057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06F6"/>
    <w:rsid w:val="00006FC9"/>
    <w:rsid w:val="000154C2"/>
    <w:rsid w:val="0001699E"/>
    <w:rsid w:val="00036DF6"/>
    <w:rsid w:val="0003706C"/>
    <w:rsid w:val="00041151"/>
    <w:rsid w:val="0004263C"/>
    <w:rsid w:val="000440FA"/>
    <w:rsid w:val="00044FB2"/>
    <w:rsid w:val="00046837"/>
    <w:rsid w:val="0006297E"/>
    <w:rsid w:val="00070A58"/>
    <w:rsid w:val="0007680E"/>
    <w:rsid w:val="000769E6"/>
    <w:rsid w:val="00085A5C"/>
    <w:rsid w:val="0008634C"/>
    <w:rsid w:val="000A450F"/>
    <w:rsid w:val="000A4A8E"/>
    <w:rsid w:val="000A71F6"/>
    <w:rsid w:val="000C177F"/>
    <w:rsid w:val="000D18A5"/>
    <w:rsid w:val="000D642A"/>
    <w:rsid w:val="000E46FB"/>
    <w:rsid w:val="00106CE9"/>
    <w:rsid w:val="00107374"/>
    <w:rsid w:val="00112CFC"/>
    <w:rsid w:val="00113BED"/>
    <w:rsid w:val="001144A7"/>
    <w:rsid w:val="00116889"/>
    <w:rsid w:val="0013187C"/>
    <w:rsid w:val="001330BD"/>
    <w:rsid w:val="00140EF5"/>
    <w:rsid w:val="0015548B"/>
    <w:rsid w:val="00182A40"/>
    <w:rsid w:val="001C4DD5"/>
    <w:rsid w:val="001C7BB9"/>
    <w:rsid w:val="002050DE"/>
    <w:rsid w:val="0021443D"/>
    <w:rsid w:val="00216BD8"/>
    <w:rsid w:val="00243C40"/>
    <w:rsid w:val="00243DF6"/>
    <w:rsid w:val="0024488D"/>
    <w:rsid w:val="00266661"/>
    <w:rsid w:val="00272234"/>
    <w:rsid w:val="00274DB6"/>
    <w:rsid w:val="00285ACA"/>
    <w:rsid w:val="002A450A"/>
    <w:rsid w:val="002A65F6"/>
    <w:rsid w:val="002B6292"/>
    <w:rsid w:val="002D38CF"/>
    <w:rsid w:val="002E461B"/>
    <w:rsid w:val="002E4AB5"/>
    <w:rsid w:val="002E6EF9"/>
    <w:rsid w:val="002F56A4"/>
    <w:rsid w:val="002F69D7"/>
    <w:rsid w:val="00305A53"/>
    <w:rsid w:val="00314FB1"/>
    <w:rsid w:val="00316A41"/>
    <w:rsid w:val="00317E50"/>
    <w:rsid w:val="00341545"/>
    <w:rsid w:val="00346F79"/>
    <w:rsid w:val="00355F0A"/>
    <w:rsid w:val="00375A18"/>
    <w:rsid w:val="00382A9C"/>
    <w:rsid w:val="003851C9"/>
    <w:rsid w:val="00387C76"/>
    <w:rsid w:val="00391A62"/>
    <w:rsid w:val="00395A49"/>
    <w:rsid w:val="003A064B"/>
    <w:rsid w:val="003B1250"/>
    <w:rsid w:val="003E0058"/>
    <w:rsid w:val="003E1858"/>
    <w:rsid w:val="003E3934"/>
    <w:rsid w:val="003E4B8E"/>
    <w:rsid w:val="003E510F"/>
    <w:rsid w:val="0040168B"/>
    <w:rsid w:val="00413541"/>
    <w:rsid w:val="004156D5"/>
    <w:rsid w:val="00416068"/>
    <w:rsid w:val="0042244C"/>
    <w:rsid w:val="004335E5"/>
    <w:rsid w:val="004355CD"/>
    <w:rsid w:val="0045323F"/>
    <w:rsid w:val="0047098B"/>
    <w:rsid w:val="00473E92"/>
    <w:rsid w:val="0047407B"/>
    <w:rsid w:val="00481E9A"/>
    <w:rsid w:val="00484A36"/>
    <w:rsid w:val="004A3BCC"/>
    <w:rsid w:val="004A761C"/>
    <w:rsid w:val="004B6222"/>
    <w:rsid w:val="004C73A3"/>
    <w:rsid w:val="00502889"/>
    <w:rsid w:val="00504AC8"/>
    <w:rsid w:val="00517D8D"/>
    <w:rsid w:val="005277FA"/>
    <w:rsid w:val="005402E6"/>
    <w:rsid w:val="0054201D"/>
    <w:rsid w:val="00542A6D"/>
    <w:rsid w:val="00544C06"/>
    <w:rsid w:val="00553067"/>
    <w:rsid w:val="005630BB"/>
    <w:rsid w:val="0056395E"/>
    <w:rsid w:val="00565521"/>
    <w:rsid w:val="00566F5E"/>
    <w:rsid w:val="0057344C"/>
    <w:rsid w:val="00583EDE"/>
    <w:rsid w:val="00597E7A"/>
    <w:rsid w:val="005B5B32"/>
    <w:rsid w:val="005C2776"/>
    <w:rsid w:val="005C620C"/>
    <w:rsid w:val="005D37E8"/>
    <w:rsid w:val="005E0142"/>
    <w:rsid w:val="00601D83"/>
    <w:rsid w:val="00604B7E"/>
    <w:rsid w:val="00607782"/>
    <w:rsid w:val="006120EA"/>
    <w:rsid w:val="00640E83"/>
    <w:rsid w:val="00650A7D"/>
    <w:rsid w:val="00653828"/>
    <w:rsid w:val="00654FBF"/>
    <w:rsid w:val="00655858"/>
    <w:rsid w:val="00674D6B"/>
    <w:rsid w:val="00682C6A"/>
    <w:rsid w:val="0069620A"/>
    <w:rsid w:val="006B5252"/>
    <w:rsid w:val="006C01B3"/>
    <w:rsid w:val="006E205D"/>
    <w:rsid w:val="0071476A"/>
    <w:rsid w:val="00724EBB"/>
    <w:rsid w:val="00730996"/>
    <w:rsid w:val="0074630F"/>
    <w:rsid w:val="007548F8"/>
    <w:rsid w:val="00756E01"/>
    <w:rsid w:val="00757326"/>
    <w:rsid w:val="007633E6"/>
    <w:rsid w:val="00773BEA"/>
    <w:rsid w:val="0077718D"/>
    <w:rsid w:val="007775DB"/>
    <w:rsid w:val="007808F9"/>
    <w:rsid w:val="00782164"/>
    <w:rsid w:val="00784EE0"/>
    <w:rsid w:val="007B4ADC"/>
    <w:rsid w:val="007C1C26"/>
    <w:rsid w:val="007D1E51"/>
    <w:rsid w:val="007D742D"/>
    <w:rsid w:val="007E14BA"/>
    <w:rsid w:val="007E73F8"/>
    <w:rsid w:val="007F3C76"/>
    <w:rsid w:val="007F7D89"/>
    <w:rsid w:val="008151C7"/>
    <w:rsid w:val="008351BD"/>
    <w:rsid w:val="00853EDD"/>
    <w:rsid w:val="008638D7"/>
    <w:rsid w:val="00870B6C"/>
    <w:rsid w:val="0087502C"/>
    <w:rsid w:val="00876571"/>
    <w:rsid w:val="008A7546"/>
    <w:rsid w:val="008A7EAB"/>
    <w:rsid w:val="008C3A7F"/>
    <w:rsid w:val="008C5001"/>
    <w:rsid w:val="008C5E32"/>
    <w:rsid w:val="008C78F0"/>
    <w:rsid w:val="008F6382"/>
    <w:rsid w:val="00907899"/>
    <w:rsid w:val="00917E66"/>
    <w:rsid w:val="009272D0"/>
    <w:rsid w:val="009319E6"/>
    <w:rsid w:val="00932D3F"/>
    <w:rsid w:val="0093397E"/>
    <w:rsid w:val="00937BA2"/>
    <w:rsid w:val="0094460A"/>
    <w:rsid w:val="009579AA"/>
    <w:rsid w:val="00983F5A"/>
    <w:rsid w:val="0099416D"/>
    <w:rsid w:val="009A7F59"/>
    <w:rsid w:val="009C0A5F"/>
    <w:rsid w:val="009C33B0"/>
    <w:rsid w:val="009D58AE"/>
    <w:rsid w:val="00A00A85"/>
    <w:rsid w:val="00A02D48"/>
    <w:rsid w:val="00A02F26"/>
    <w:rsid w:val="00A04DA0"/>
    <w:rsid w:val="00A3349C"/>
    <w:rsid w:val="00A40032"/>
    <w:rsid w:val="00A50207"/>
    <w:rsid w:val="00A52E7F"/>
    <w:rsid w:val="00A614F5"/>
    <w:rsid w:val="00A62056"/>
    <w:rsid w:val="00A85D7D"/>
    <w:rsid w:val="00AA01AC"/>
    <w:rsid w:val="00AA0919"/>
    <w:rsid w:val="00AB198B"/>
    <w:rsid w:val="00AB2B79"/>
    <w:rsid w:val="00AD2DF1"/>
    <w:rsid w:val="00AD38B6"/>
    <w:rsid w:val="00AD4CD5"/>
    <w:rsid w:val="00AE64A0"/>
    <w:rsid w:val="00AF4F77"/>
    <w:rsid w:val="00B174F3"/>
    <w:rsid w:val="00B347A9"/>
    <w:rsid w:val="00B4659D"/>
    <w:rsid w:val="00B560E1"/>
    <w:rsid w:val="00B6482E"/>
    <w:rsid w:val="00B81D19"/>
    <w:rsid w:val="00B840A7"/>
    <w:rsid w:val="00B93460"/>
    <w:rsid w:val="00B97A4F"/>
    <w:rsid w:val="00BA1711"/>
    <w:rsid w:val="00BA40EA"/>
    <w:rsid w:val="00BA749C"/>
    <w:rsid w:val="00BC1C3C"/>
    <w:rsid w:val="00BC2F15"/>
    <w:rsid w:val="00BC4594"/>
    <w:rsid w:val="00BC6A78"/>
    <w:rsid w:val="00BD6A24"/>
    <w:rsid w:val="00BE428B"/>
    <w:rsid w:val="00BE7381"/>
    <w:rsid w:val="00BF1FF7"/>
    <w:rsid w:val="00C046B5"/>
    <w:rsid w:val="00C11EDF"/>
    <w:rsid w:val="00C14C4F"/>
    <w:rsid w:val="00C2037B"/>
    <w:rsid w:val="00C32A31"/>
    <w:rsid w:val="00C3440A"/>
    <w:rsid w:val="00C47420"/>
    <w:rsid w:val="00C52EA1"/>
    <w:rsid w:val="00C65FE5"/>
    <w:rsid w:val="00C6668B"/>
    <w:rsid w:val="00C75876"/>
    <w:rsid w:val="00C76E63"/>
    <w:rsid w:val="00C817B2"/>
    <w:rsid w:val="00CA52A4"/>
    <w:rsid w:val="00CB77B5"/>
    <w:rsid w:val="00CC2602"/>
    <w:rsid w:val="00CC4B60"/>
    <w:rsid w:val="00CC7A02"/>
    <w:rsid w:val="00CD5E0C"/>
    <w:rsid w:val="00CE5491"/>
    <w:rsid w:val="00CF1376"/>
    <w:rsid w:val="00CF1C40"/>
    <w:rsid w:val="00D0042C"/>
    <w:rsid w:val="00D04BC1"/>
    <w:rsid w:val="00D101FB"/>
    <w:rsid w:val="00D108B5"/>
    <w:rsid w:val="00D123A9"/>
    <w:rsid w:val="00D1255C"/>
    <w:rsid w:val="00D1567E"/>
    <w:rsid w:val="00D159A2"/>
    <w:rsid w:val="00D3310A"/>
    <w:rsid w:val="00D45112"/>
    <w:rsid w:val="00D468D2"/>
    <w:rsid w:val="00D477E0"/>
    <w:rsid w:val="00D6057A"/>
    <w:rsid w:val="00D61316"/>
    <w:rsid w:val="00D61C90"/>
    <w:rsid w:val="00DB7385"/>
    <w:rsid w:val="00DC6FAF"/>
    <w:rsid w:val="00DE5DAA"/>
    <w:rsid w:val="00DE606F"/>
    <w:rsid w:val="00DF01D3"/>
    <w:rsid w:val="00DF1229"/>
    <w:rsid w:val="00E06237"/>
    <w:rsid w:val="00E064A2"/>
    <w:rsid w:val="00E1161E"/>
    <w:rsid w:val="00E137C1"/>
    <w:rsid w:val="00E2598A"/>
    <w:rsid w:val="00E42C45"/>
    <w:rsid w:val="00E50450"/>
    <w:rsid w:val="00E51B56"/>
    <w:rsid w:val="00E56937"/>
    <w:rsid w:val="00E74E8C"/>
    <w:rsid w:val="00E75843"/>
    <w:rsid w:val="00E82AF7"/>
    <w:rsid w:val="00E936AC"/>
    <w:rsid w:val="00E95B96"/>
    <w:rsid w:val="00EA549D"/>
    <w:rsid w:val="00EC5034"/>
    <w:rsid w:val="00EE1947"/>
    <w:rsid w:val="00EE1EC9"/>
    <w:rsid w:val="00EE5F22"/>
    <w:rsid w:val="00F02E5C"/>
    <w:rsid w:val="00F03CE1"/>
    <w:rsid w:val="00F138D5"/>
    <w:rsid w:val="00F16CB4"/>
    <w:rsid w:val="00F2520C"/>
    <w:rsid w:val="00F25D22"/>
    <w:rsid w:val="00F27700"/>
    <w:rsid w:val="00F30F5F"/>
    <w:rsid w:val="00F346D7"/>
    <w:rsid w:val="00F5758E"/>
    <w:rsid w:val="00F62BEE"/>
    <w:rsid w:val="00F74151"/>
    <w:rsid w:val="00F80730"/>
    <w:rsid w:val="00FA4D90"/>
    <w:rsid w:val="00FB5971"/>
    <w:rsid w:val="00FC6945"/>
    <w:rsid w:val="00FC701C"/>
    <w:rsid w:val="00FD0FD1"/>
    <w:rsid w:val="00FE7566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0419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0A"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  <w:style w:type="character" w:styleId="CommentReference">
    <w:name w:val="annotation reference"/>
    <w:basedOn w:val="DefaultParagraphFont"/>
    <w:uiPriority w:val="99"/>
    <w:semiHidden/>
    <w:unhideWhenUsed/>
    <w:rsid w:val="00D15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6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E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69620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27"/>
    <w:rsid w:val="00A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0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30DF-446A-49E4-8FC8-01744125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12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150</cp:revision>
  <cp:lastPrinted>2018-03-16T19:44:00Z</cp:lastPrinted>
  <dcterms:created xsi:type="dcterms:W3CDTF">2018-01-25T19:43:00Z</dcterms:created>
  <dcterms:modified xsi:type="dcterms:W3CDTF">2018-04-06T16:08:00Z</dcterms:modified>
</cp:coreProperties>
</file>