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6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Arial" w:cs="Arial" w:eastAsia="Arial" w:hAnsi="Arial"/>
          <w:b w:val="1"/>
          <w:bCs w:val="1"/>
          <w:color w:val="1b3a5c"/>
          <w:sz w:val="56"/>
          <w:szCs w:val="56"/>
          <w:rtl w:val="0"/>
        </w:rPr>
        <w:t xml:space="preserve">CURSIVEOS</w:t>
      </w:r>
      <w:r w:rsidDel="00000000" w:rsidR="00000000" w:rsidRPr="00000000">
        <w:rPr>
          <w:rtl w:val="0"/>
        </w:rPr>
      </w:r>
    </w:p>
    <w:p w:rsidR="00000000" w:rsidDel="00000000" w:rsidP="00000000" w:rsidRDefault="00000000" w:rsidRPr="00000000" w14:paraId="00000003">
      <w:pPr>
        <w:pBdr>
          <w:bottom w:color="1b3a5c" w:space="8" w:sz="6" w:val="single"/>
        </w:pBdr>
        <w:spacing w:after="100" w:lineRule="auto"/>
        <w:jc w:val="center"/>
        <w:rPr/>
      </w:pPr>
      <w:r w:rsidDel="00000000" w:rsidR="00000000" w:rsidRPr="00000000">
        <w:rPr>
          <w:rFonts w:ascii="Arial" w:cs="Arial" w:eastAsia="Arial" w:hAnsi="Arial"/>
          <w:color w:val="2e5d8a"/>
          <w:sz w:val="36"/>
          <w:szCs w:val="36"/>
          <w:rtl w:val="0"/>
        </w:rPr>
        <w:t xml:space="preserve">First Principles Analysis</w:t>
      </w:r>
      <w:r w:rsidDel="00000000" w:rsidR="00000000" w:rsidRPr="00000000">
        <w:rPr>
          <w:rtl w:val="0"/>
        </w:rPr>
      </w:r>
    </w:p>
    <w:p w:rsidR="00000000" w:rsidDel="00000000" w:rsidP="00000000" w:rsidRDefault="00000000" w:rsidRPr="00000000" w14:paraId="00000004">
      <w:pPr>
        <w:spacing w:before="600" w:lineRule="auto"/>
        <w:rPr/>
      </w:pP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rFonts w:ascii="Arial" w:cs="Arial" w:eastAsia="Arial" w:hAnsi="Arial"/>
          <w:color w:val="666666"/>
          <w:sz w:val="24"/>
          <w:szCs w:val="24"/>
          <w:rtl w:val="0"/>
        </w:rPr>
        <w:t xml:space="preserve">Strategic Foundations, Moat Analysis &amp; Roadmap Implications</w:t>
      </w: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Arial" w:cs="Arial" w:eastAsia="Arial" w:hAnsi="Arial"/>
          <w:color w:val="666666"/>
          <w:sz w:val="22"/>
          <w:szCs w:val="22"/>
          <w:rtl w:val="0"/>
        </w:rPr>
        <w:t xml:space="preserve">March 2026</w:t>
      </w:r>
      <w:r w:rsidDel="00000000" w:rsidR="00000000" w:rsidRPr="00000000">
        <w:rPr>
          <w:rtl w:val="0"/>
        </w:rPr>
      </w:r>
    </w:p>
    <w:p w:rsidR="00000000" w:rsidDel="00000000" w:rsidP="00000000" w:rsidRDefault="00000000" w:rsidRPr="00000000" w14:paraId="00000007">
      <w:pPr>
        <w:spacing w:after="100" w:lineRule="auto"/>
        <w:jc w:val="center"/>
        <w:rPr/>
        <w:sectPr>
          <w:pgSz w:h="15840" w:w="12240" w:orient="portrait"/>
          <w:pgMar w:bottom="1440" w:top="1440" w:left="1440" w:right="1440" w:header="708" w:footer="708"/>
          <w:pgNumType w:start="1"/>
        </w:sectPr>
      </w:pPr>
      <w:r w:rsidDel="00000000" w:rsidR="00000000" w:rsidRPr="00000000">
        <w:rPr>
          <w:rFonts w:ascii="Arial" w:cs="Arial" w:eastAsia="Arial" w:hAnsi="Arial"/>
          <w:i w:val="1"/>
          <w:iCs w:val="1"/>
          <w:color w:val="999999"/>
          <w:sz w:val="20"/>
          <w:szCs w:val="20"/>
          <w:rtl w:val="0"/>
        </w:rPr>
        <w:t xml:space="preserve">Confidential Working Document</w:t>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Fonts w:ascii="Arial" w:cs="Arial" w:eastAsia="Arial" w:hAnsi="Arial"/>
          <w:rtl w:val="0"/>
        </w:rPr>
        <w:t xml:space="preserve">1. Executive Summary</w:t>
      </w:r>
      <w:r w:rsidDel="00000000" w:rsidR="00000000" w:rsidRPr="00000000">
        <w:rPr>
          <w:rtl w:val="0"/>
        </w:rPr>
      </w:r>
    </w:p>
    <w:p w:rsidR="00000000" w:rsidDel="00000000" w:rsidP="00000000" w:rsidRDefault="00000000" w:rsidRPr="00000000" w14:paraId="00000009">
      <w:pPr>
        <w:spacing w:after="200" w:line="276" w:lineRule="auto"/>
        <w:rPr/>
      </w:pPr>
      <w:r w:rsidDel="00000000" w:rsidR="00000000" w:rsidRPr="00000000">
        <w:rPr>
          <w:rFonts w:ascii="Arial" w:cs="Arial" w:eastAsia="Arial" w:hAnsi="Arial"/>
          <w:sz w:val="22"/>
          <w:szCs w:val="22"/>
          <w:rtl w:val="0"/>
        </w:rPr>
        <w:t xml:space="preserve">This document distills the CursiveOS project to its irreducible foundational truths and examines the strategic assumptions that underpin the project’s viability. The analysis was conducted by decomposing the white paper (v0.4.1, March 2026) into first principles, then stress-testing each assumption — particularly around defensibility, competitive moats, and roadmap sequencing.</w:t>
      </w:r>
      <w:r w:rsidDel="00000000" w:rsidR="00000000" w:rsidRPr="00000000">
        <w:rPr>
          <w:rtl w:val="0"/>
        </w:rPr>
      </w:r>
    </w:p>
    <w:p w:rsidR="00000000" w:rsidDel="00000000" w:rsidP="00000000" w:rsidRDefault="00000000" w:rsidRPr="00000000" w14:paraId="0000000A">
      <w:pPr>
        <w:spacing w:after="200" w:line="276" w:lineRule="auto"/>
        <w:rPr/>
      </w:pPr>
      <w:r w:rsidDel="00000000" w:rsidR="00000000" w:rsidRPr="00000000">
        <w:rPr>
          <w:rFonts w:ascii="Arial" w:cs="Arial" w:eastAsia="Arial" w:hAnsi="Arial"/>
          <w:sz w:val="22"/>
          <w:szCs w:val="22"/>
          <w:rtl w:val="0"/>
        </w:rPr>
        <w:t xml:space="preserve">The core finding: CursiveOS’s product (the optimization scripts, the benchmark database, the AI loop) is valuable but replicable. The true moat is not the dataset itself, but the ecosystem dynamics that keep contributors feeding this dataset faster than any competitor can replicate it. That moat rests on three pillars: speed of execution, financial alignment of contributors, and brand recognition.</w:t>
      </w:r>
      <w:r w:rsidDel="00000000" w:rsidR="00000000" w:rsidRPr="00000000">
        <w:rPr>
          <w:rtl w:val="0"/>
        </w:rPr>
      </w:r>
    </w:p>
    <w:p w:rsidR="00000000" w:rsidDel="00000000" w:rsidP="00000000" w:rsidRDefault="00000000" w:rsidRPr="00000000" w14:paraId="0000000B">
      <w:pPr>
        <w:pBdr>
          <w:bottom w:color="1b3a5c" w:space="1" w:sz="4" w:val="single"/>
        </w:pBdr>
        <w:spacing w:after="200" w:before="200" w:lineRule="auto"/>
        <w:rPr/>
      </w:pP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Fonts w:ascii="Arial" w:cs="Arial" w:eastAsia="Arial" w:hAnsi="Arial"/>
          <w:rtl w:val="0"/>
        </w:rPr>
        <w:t xml:space="preserve">2. First Principles of CursiveOS</w:t>
      </w:r>
      <w:r w:rsidDel="00000000" w:rsidR="00000000" w:rsidRPr="00000000">
        <w:rPr>
          <w:rtl w:val="0"/>
        </w:rPr>
      </w:r>
    </w:p>
    <w:p w:rsidR="00000000" w:rsidDel="00000000" w:rsidP="00000000" w:rsidRDefault="00000000" w:rsidRPr="00000000" w14:paraId="0000000D">
      <w:pPr>
        <w:spacing w:after="200" w:line="276" w:lineRule="auto"/>
        <w:rPr/>
      </w:pPr>
      <w:r w:rsidDel="00000000" w:rsidR="00000000" w:rsidRPr="00000000">
        <w:rPr>
          <w:rFonts w:ascii="Arial" w:cs="Arial" w:eastAsia="Arial" w:hAnsi="Arial"/>
          <w:sz w:val="22"/>
          <w:szCs w:val="22"/>
          <w:rtl w:val="0"/>
        </w:rPr>
        <w:t xml:space="preserve">The following five foundational truths were identified by decomposing the project to its most basic, irreducible assertions — claims that cannot be reduced further and upon which everything else depends.</w:t>
      </w:r>
      <w:r w:rsidDel="00000000" w:rsidR="00000000" w:rsidRPr="00000000">
        <w:rPr>
          <w:rtl w:val="0"/>
        </w:rPr>
      </w:r>
    </w:p>
    <w:p w:rsidR="00000000" w:rsidDel="00000000" w:rsidP="00000000" w:rsidRDefault="00000000" w:rsidRPr="00000000" w14:paraId="0000000E">
      <w:pPr>
        <w:pStyle w:val="Heading2"/>
        <w:rPr/>
      </w:pPr>
      <w:r w:rsidDel="00000000" w:rsidR="00000000" w:rsidRPr="00000000">
        <w:rPr>
          <w:rFonts w:ascii="Arial" w:cs="Arial" w:eastAsia="Arial" w:hAnsi="Arial"/>
          <w:rtl w:val="0"/>
        </w:rPr>
        <w:t xml:space="preserve">2.1 Linux Defaults Are Optimized for Compatibility, Not Performance</w:t>
      </w:r>
      <w:r w:rsidDel="00000000" w:rsidR="00000000" w:rsidRPr="00000000">
        <w:rPr>
          <w:rtl w:val="0"/>
        </w:rPr>
      </w:r>
    </w:p>
    <w:p w:rsidR="00000000" w:rsidDel="00000000" w:rsidP="00000000" w:rsidRDefault="00000000" w:rsidRPr="00000000" w14:paraId="0000000F">
      <w:pPr>
        <w:spacing w:after="200" w:line="276" w:lineRule="auto"/>
        <w:rPr/>
      </w:pPr>
      <w:r w:rsidDel="00000000" w:rsidR="00000000" w:rsidRPr="00000000">
        <w:rPr>
          <w:rFonts w:ascii="Arial" w:cs="Arial" w:eastAsia="Arial" w:hAnsi="Arial"/>
          <w:sz w:val="22"/>
          <w:szCs w:val="22"/>
          <w:rtl w:val="0"/>
        </w:rPr>
        <w:t xml:space="preserve">Every Linux distribution ships with kernel parameters tuned for the broadest possible hardware compatibility, not for compute-intensive workloads. TCP socket buffers default to 212KB (appropriate for 1990s modem speeds). CPU governors default to power-saving modes. GPU frequencies idle to minimum between requests. These defaults create a measurable, quantifiable gap between what hardware can deliver and what the OS permits. This gap is the foundational opportunity CursiveOS exploits.</w:t>
      </w:r>
      <w:r w:rsidDel="00000000" w:rsidR="00000000" w:rsidRPr="00000000">
        <w:rPr>
          <w:rtl w:val="0"/>
        </w:rPr>
      </w:r>
    </w:p>
    <w:p w:rsidR="00000000" w:rsidDel="00000000" w:rsidP="00000000" w:rsidRDefault="00000000" w:rsidRPr="00000000" w14:paraId="00000010">
      <w:pPr>
        <w:pStyle w:val="Heading2"/>
        <w:rPr/>
      </w:pPr>
      <w:r w:rsidDel="00000000" w:rsidR="00000000" w:rsidRPr="00000000">
        <w:rPr>
          <w:rFonts w:ascii="Arial" w:cs="Arial" w:eastAsia="Arial" w:hAnsi="Arial"/>
          <w:rtl w:val="0"/>
        </w:rPr>
        <w:t xml:space="preserve">2.2 The Bottlenecks Are OS-Level, Not Workload-Specific</w:t>
      </w:r>
      <w:r w:rsidDel="00000000" w:rsidR="00000000" w:rsidRPr="00000000">
        <w:rPr>
          <w:rtl w:val="0"/>
        </w:rPr>
      </w:r>
    </w:p>
    <w:p w:rsidR="00000000" w:rsidDel="00000000" w:rsidP="00000000" w:rsidRDefault="00000000" w:rsidRPr="00000000" w14:paraId="00000011">
      <w:pPr>
        <w:spacing w:after="200" w:line="276" w:lineRule="auto"/>
        <w:rPr/>
      </w:pPr>
      <w:r w:rsidDel="00000000" w:rsidR="00000000" w:rsidRPr="00000000">
        <w:rPr>
          <w:rFonts w:ascii="Arial" w:cs="Arial" w:eastAsia="Arial" w:hAnsi="Arial"/>
          <w:sz w:val="22"/>
          <w:szCs w:val="22"/>
          <w:rtl w:val="0"/>
        </w:rPr>
        <w:t xml:space="preserve">A TCP buffer ceiling throttles Ollama API traffic identically to how it throttles Bittensor validator gossip. A GPU frequency floor adds the same cold-start latency to an inference request as it does to a mining job. Because CursiveOS operates at the OS layer, its fixes apply universally across any compute workload on Linux. This workload-agnosticism is structurally inherent — not a marketing decision, but a consequence of where the bottlenecks exist.</w:t>
      </w: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Fonts w:ascii="Arial" w:cs="Arial" w:eastAsia="Arial" w:hAnsi="Arial"/>
          <w:rtl w:val="0"/>
        </w:rPr>
        <w:t xml:space="preserve">2.3 Optimization Without Measurement Is Guesswork</w:t>
      </w:r>
      <w:r w:rsidDel="00000000" w:rsidR="00000000" w:rsidRPr="00000000">
        <w:rPr>
          <w:rtl w:val="0"/>
        </w:rPr>
      </w:r>
    </w:p>
    <w:p w:rsidR="00000000" w:rsidDel="00000000" w:rsidP="00000000" w:rsidRDefault="00000000" w:rsidRPr="00000000" w14:paraId="00000013">
      <w:pPr>
        <w:spacing w:after="200" w:line="276" w:lineRule="auto"/>
        <w:rPr/>
      </w:pPr>
      <w:r w:rsidDel="00000000" w:rsidR="00000000" w:rsidRPr="00000000">
        <w:rPr>
          <w:rFonts w:ascii="Arial" w:cs="Arial" w:eastAsia="Arial" w:hAnsi="Arial"/>
          <w:sz w:val="22"/>
          <w:szCs w:val="22"/>
          <w:rtl w:val="0"/>
        </w:rPr>
        <w:t xml:space="preserve">The project’s credibility depends on paired before/after benchmarking across multiple hardware configurations. Every tweak must prove its impact with a measured delta. This principle separates CursiveOS from the scattered Linux tuning advice found in forum posts and GitHub gists. Without rigorous measurement, optimization claims are unfalsifiable.</w:t>
      </w: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rFonts w:ascii="Arial" w:cs="Arial" w:eastAsia="Arial" w:hAnsi="Arial"/>
          <w:rtl w:val="0"/>
        </w:rPr>
        <w:t xml:space="preserve">2.4 Hardware-Specific Performance Data Does Not Exist in Structured Form</w:t>
      </w:r>
      <w:r w:rsidDel="00000000" w:rsidR="00000000" w:rsidRPr="00000000">
        <w:rPr>
          <w:rtl w:val="0"/>
        </w:rPr>
      </w:r>
    </w:p>
    <w:p w:rsidR="00000000" w:rsidDel="00000000" w:rsidP="00000000" w:rsidRDefault="00000000" w:rsidRPr="00000000" w14:paraId="00000015">
      <w:pPr>
        <w:spacing w:after="200" w:line="276" w:lineRule="auto"/>
        <w:rPr/>
      </w:pPr>
      <w:r w:rsidDel="00000000" w:rsidR="00000000" w:rsidRPr="00000000">
        <w:rPr>
          <w:rFonts w:ascii="Arial" w:cs="Arial" w:eastAsia="Arial" w:hAnsi="Arial"/>
          <w:sz w:val="22"/>
          <w:szCs w:val="22"/>
          <w:rtl w:val="0"/>
        </w:rPr>
        <w:t xml:space="preserve">No centralized, queryable database maps hardware fingerprints to measured optimization outcomes. Tools like WhatToMine track hashrate; inference benchmarks track model speed — but the OS layer is invisible to all of them. Every operator independently rediscovers the same optimizations (or doesn’t). This data gap is real and represents the core asset CursiveOS aims to build with CursiveRoot.</w:t>
      </w:r>
      <w:r w:rsidDel="00000000" w:rsidR="00000000" w:rsidRPr="00000000">
        <w:rPr>
          <w:rtl w:val="0"/>
        </w:rPr>
      </w:r>
    </w:p>
    <w:p w:rsidR="00000000" w:rsidDel="00000000" w:rsidP="00000000" w:rsidRDefault="00000000" w:rsidRPr="00000000" w14:paraId="00000016">
      <w:pPr>
        <w:pStyle w:val="Heading2"/>
        <w:rPr/>
      </w:pPr>
      <w:r w:rsidDel="00000000" w:rsidR="00000000" w:rsidRPr="00000000">
        <w:rPr>
          <w:rFonts w:ascii="Arial" w:cs="Arial" w:eastAsia="Arial" w:hAnsi="Arial"/>
          <w:rtl w:val="0"/>
        </w:rPr>
        <w:t xml:space="preserve">2.5 A Self-Improving System Requires a Feedback Loop With Incentive</w:t>
      </w:r>
      <w:r w:rsidDel="00000000" w:rsidR="00000000" w:rsidRPr="00000000">
        <w:rPr>
          <w:rtl w:val="0"/>
        </w:rPr>
      </w:r>
    </w:p>
    <w:p w:rsidR="00000000" w:rsidDel="00000000" w:rsidP="00000000" w:rsidRDefault="00000000" w:rsidRPr="00000000" w14:paraId="00000017">
      <w:pPr>
        <w:spacing w:after="200" w:line="276" w:lineRule="auto"/>
        <w:rPr/>
      </w:pPr>
      <w:r w:rsidDel="00000000" w:rsidR="00000000" w:rsidRPr="00000000">
        <w:rPr>
          <w:rFonts w:ascii="Arial" w:cs="Arial" w:eastAsia="Arial" w:hAnsi="Arial"/>
          <w:sz w:val="22"/>
          <w:szCs w:val="22"/>
          <w:rtl w:val="0"/>
        </w:rPr>
        <w:t xml:space="preserve">The CursiveOS flywheel — benchmark data in, AI-generated optimizations out, better performance attracts more contributors — only sustains itself if contributors are rewarded. The incentive layer is architecturally necessary for the loop to compound at scale. Without it, the contribution pipeline relies on goodwill, which is real but narrow and temporary.</w:t>
      </w:r>
      <w:r w:rsidDel="00000000" w:rsidR="00000000" w:rsidRPr="00000000">
        <w:rPr>
          <w:rtl w:val="0"/>
        </w:rPr>
      </w:r>
    </w:p>
    <w:p w:rsidR="00000000" w:rsidDel="00000000" w:rsidP="00000000" w:rsidRDefault="00000000" w:rsidRPr="00000000" w14:paraId="00000018">
      <w:pPr>
        <w:pBdr>
          <w:bottom w:color="1b3a5c" w:space="1" w:sz="4" w:val="single"/>
        </w:pBdr>
        <w:spacing w:after="200" w:before="200" w:lineRule="auto"/>
        <w:rPr/>
      </w:pP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Fonts w:ascii="Arial" w:cs="Arial" w:eastAsia="Arial" w:hAnsi="Arial"/>
          <w:rtl w:val="0"/>
        </w:rPr>
        <w:t xml:space="preserve">3. The Core Bet</w:t>
      </w:r>
      <w:r w:rsidDel="00000000" w:rsidR="00000000" w:rsidRPr="00000000">
        <w:rPr>
          <w:rtl w:val="0"/>
        </w:rPr>
      </w:r>
    </w:p>
    <w:p w:rsidR="00000000" w:rsidDel="00000000" w:rsidP="00000000" w:rsidRDefault="00000000" w:rsidRPr="00000000" w14:paraId="0000001A">
      <w:pPr>
        <w:spacing w:after="200" w:line="276" w:lineRule="auto"/>
        <w:rPr/>
      </w:pPr>
      <w:r w:rsidDel="00000000" w:rsidR="00000000" w:rsidRPr="00000000">
        <w:rPr>
          <w:rFonts w:ascii="Arial" w:cs="Arial" w:eastAsia="Arial" w:hAnsi="Arial"/>
          <w:sz w:val="22"/>
          <w:szCs w:val="22"/>
          <w:rtl w:val="0"/>
        </w:rPr>
        <w:t xml:space="preserve">Reduced to a single assertion, CursiveOS bets on the following:</w:t>
      </w:r>
      <w:r w:rsidDel="00000000" w:rsidR="00000000" w:rsidRPr="00000000">
        <w:rPr>
          <w:rtl w:val="0"/>
        </w:rPr>
      </w:r>
    </w:p>
    <w:p w:rsidR="00000000" w:rsidDel="00000000" w:rsidP="00000000" w:rsidRDefault="00000000" w:rsidRPr="00000000" w14:paraId="0000001B">
      <w:pPr>
        <w:pBdr>
          <w:left w:color="1b3a5c" w:space="4" w:sz="12" w:val="single"/>
        </w:pBdr>
        <w:spacing w:after="200" w:before="200" w:line="276" w:lineRule="auto"/>
        <w:ind w:left="720" w:right="720" w:firstLine="0"/>
        <w:rPr/>
      </w:pPr>
      <w:r w:rsidDel="00000000" w:rsidR="00000000" w:rsidRPr="00000000">
        <w:rPr>
          <w:rFonts w:ascii="Arial" w:cs="Arial" w:eastAsia="Arial" w:hAnsi="Arial"/>
          <w:i w:val="1"/>
          <w:iCs w:val="1"/>
          <w:sz w:val="22"/>
          <w:szCs w:val="22"/>
          <w:rtl w:val="0"/>
        </w:rPr>
        <w:t xml:space="preserve">If you systematically collect hardware-verified optimization data that nobody else has, and you collect it faster than anyone else can replicate it, you can eventually let AI generate performance configurations automatically — and the combination of speed, financial incentives, and brand makes the ecosystem increasingly difficult to displace.</w:t>
      </w:r>
      <w:r w:rsidDel="00000000" w:rsidR="00000000" w:rsidRPr="00000000">
        <w:rPr>
          <w:rtl w:val="0"/>
        </w:rPr>
      </w:r>
    </w:p>
    <w:p w:rsidR="00000000" w:rsidDel="00000000" w:rsidP="00000000" w:rsidRDefault="00000000" w:rsidRPr="00000000" w14:paraId="0000001C">
      <w:pPr>
        <w:pBdr>
          <w:bottom w:color="1b3a5c" w:space="1" w:sz="4" w:val="single"/>
        </w:pBdr>
        <w:spacing w:after="200" w:before="200" w:lineRule="auto"/>
        <w:rPr/>
      </w:pP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Fonts w:ascii="Arial" w:cs="Arial" w:eastAsia="Arial" w:hAnsi="Arial"/>
          <w:rtl w:val="0"/>
        </w:rPr>
        <w:t xml:space="preserve">4. Moat Analysis</w:t>
      </w: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Fonts w:ascii="Arial" w:cs="Arial" w:eastAsia="Arial" w:hAnsi="Arial"/>
          <w:rtl w:val="0"/>
        </w:rPr>
        <w:t xml:space="preserve">4.1 What the White Paper Claims as the Moat</w:t>
      </w:r>
      <w:r w:rsidDel="00000000" w:rsidR="00000000" w:rsidRPr="00000000">
        <w:rPr>
          <w:rtl w:val="0"/>
        </w:rPr>
      </w:r>
    </w:p>
    <w:p w:rsidR="00000000" w:rsidDel="00000000" w:rsidP="00000000" w:rsidRDefault="00000000" w:rsidRPr="00000000" w14:paraId="0000001F">
      <w:pPr>
        <w:spacing w:after="200" w:line="276" w:lineRule="auto"/>
        <w:rPr/>
      </w:pPr>
      <w:r w:rsidDel="00000000" w:rsidR="00000000" w:rsidRPr="00000000">
        <w:rPr>
          <w:rFonts w:ascii="Arial" w:cs="Arial" w:eastAsia="Arial" w:hAnsi="Arial"/>
          <w:sz w:val="22"/>
          <w:szCs w:val="22"/>
          <w:rtl w:val="0"/>
        </w:rPr>
        <w:t xml:space="preserve">The white paper (v0.4.1) positions the CursiveRoot database as the primary moat: “The database is the moat. A structured, hardware-verified, AI-ready dataset of OS performance deltas across diverse compute hardware does not exist anywhere.”</w:t>
      </w: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Fonts w:ascii="Arial" w:cs="Arial" w:eastAsia="Arial" w:hAnsi="Arial"/>
          <w:rtl w:val="0"/>
        </w:rPr>
        <w:t xml:space="preserve">4.2 The Vulnerability</w:t>
      </w:r>
      <w:r w:rsidDel="00000000" w:rsidR="00000000" w:rsidRPr="00000000">
        <w:rPr>
          <w:rtl w:val="0"/>
        </w:rPr>
      </w:r>
    </w:p>
    <w:p w:rsidR="00000000" w:rsidDel="00000000" w:rsidP="00000000" w:rsidRDefault="00000000" w:rsidRPr="00000000" w14:paraId="00000021">
      <w:pPr>
        <w:spacing w:after="200" w:line="276" w:lineRule="auto"/>
        <w:rPr/>
      </w:pPr>
      <w:r w:rsidDel="00000000" w:rsidR="00000000" w:rsidRPr="00000000">
        <w:rPr>
          <w:rFonts w:ascii="Arial" w:cs="Arial" w:eastAsia="Arial" w:hAnsi="Arial"/>
          <w:sz w:val="22"/>
          <w:szCs w:val="22"/>
          <w:rtl w:val="0"/>
        </w:rPr>
        <w:t xml:space="preserve">Under first-principles scrutiny, the database alone is not a durable moat. If CursiveRoot data is public (consistent with the open-source ethos), any competitor can fork the repository, copy the accumulated dataset, and implement their own flywheel from a standing start. The head-start advantage evaporates with a single git clone. If the data is private, it undermines the open-source trust that motivates contributors in the first place.</w:t>
      </w:r>
      <w:r w:rsidDel="00000000" w:rsidR="00000000" w:rsidRPr="00000000">
        <w:rPr>
          <w:rtl w:val="0"/>
        </w:rPr>
      </w:r>
    </w:p>
    <w:p w:rsidR="00000000" w:rsidDel="00000000" w:rsidP="00000000" w:rsidRDefault="00000000" w:rsidRPr="00000000" w14:paraId="00000022">
      <w:pPr>
        <w:pStyle w:val="Heading2"/>
        <w:rPr/>
      </w:pPr>
      <w:r w:rsidDel="00000000" w:rsidR="00000000" w:rsidRPr="00000000">
        <w:rPr>
          <w:rFonts w:ascii="Arial" w:cs="Arial" w:eastAsia="Arial" w:hAnsi="Arial"/>
          <w:rtl w:val="0"/>
        </w:rPr>
        <w:t xml:space="preserve">4.3 The Revised Moat: Three Pillars</w:t>
      </w:r>
      <w:r w:rsidDel="00000000" w:rsidR="00000000" w:rsidRPr="00000000">
        <w:rPr>
          <w:rtl w:val="0"/>
        </w:rPr>
      </w:r>
    </w:p>
    <w:p w:rsidR="00000000" w:rsidDel="00000000" w:rsidP="00000000" w:rsidRDefault="00000000" w:rsidRPr="00000000" w14:paraId="00000023">
      <w:pPr>
        <w:spacing w:after="200" w:line="276" w:lineRule="auto"/>
        <w:rPr/>
      </w:pPr>
      <w:r w:rsidDel="00000000" w:rsidR="00000000" w:rsidRPr="00000000">
        <w:rPr>
          <w:rFonts w:ascii="Arial" w:cs="Arial" w:eastAsia="Arial" w:hAnsi="Arial"/>
          <w:sz w:val="22"/>
          <w:szCs w:val="22"/>
          <w:rtl w:val="0"/>
        </w:rPr>
        <w:t xml:space="preserve">First-principles analysis reveals that the defensible moat is not the dataset itself, but the ecosystem dynamics that sustain and grow it. The moat rests on three reinforcing pillars: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24">
            <w:pPr>
              <w:rPr/>
            </w:pPr>
            <w:r w:rsidDel="00000000" w:rsidR="00000000" w:rsidRPr="00000000">
              <w:rPr>
                <w:rFonts w:ascii="Arial" w:cs="Arial" w:eastAsia="Arial" w:hAnsi="Arial"/>
                <w:b w:val="1"/>
                <w:bCs w:val="1"/>
                <w:color w:val="ffffff"/>
                <w:sz w:val="20"/>
                <w:szCs w:val="20"/>
                <w:rtl w:val="0"/>
              </w:rPr>
              <w:t xml:space="preserve">Pillar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25">
            <w:pPr>
              <w:rPr/>
            </w:pPr>
            <w:r w:rsidDel="00000000" w:rsidR="00000000" w:rsidRPr="00000000">
              <w:rPr>
                <w:rFonts w:ascii="Arial" w:cs="Arial" w:eastAsia="Arial" w:hAnsi="Arial"/>
                <w:b w:val="1"/>
                <w:bCs w:val="1"/>
                <w:color w:val="ffffff"/>
                <w:sz w:val="20"/>
                <w:szCs w:val="20"/>
                <w:rtl w:val="0"/>
              </w:rPr>
              <w:t xml:space="preserve">Mechanism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26">
            <w:pPr>
              <w:rPr/>
            </w:pPr>
            <w:r w:rsidDel="00000000" w:rsidR="00000000" w:rsidRPr="00000000">
              <w:rPr>
                <w:rFonts w:ascii="Arial" w:cs="Arial" w:eastAsia="Arial" w:hAnsi="Arial"/>
                <w:b w:val="1"/>
                <w:bCs w:val="1"/>
                <w:color w:val="ffffff"/>
                <w:sz w:val="20"/>
                <w:szCs w:val="20"/>
                <w:rtl w:val="0"/>
              </w:rPr>
              <w:t xml:space="preserve">Why It Resists Copying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Speed of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The flywheel must ingest data and ship recursive optimizations faster than any competitor, permanently. This is not a launch advantage — it is an ongoing operational principle.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A competitor copying today’s dataset gets a snapshot. By the time they ship optimizations from it, CursiveOS has already shipped the next iteration trained on newer data they don’t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Financial Alignment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Early contributors hold a financial stake in the CursiveOS ecosystem. Their incentive is to evangelize, contribute, and defend the network because their reward grows with adoption.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A fork gets the data but not the stakeholders. Early contributors with vested positions have a real switching cost — leaving means abandoning their stake. This creates economic gravity.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Brand Recognition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CursiveOS becomes the recognized, trusted default for Linux compute optimization. The brand signals legitimacy, methodology rigor, and community momentum.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Brand is earned over time and cannot be forked. A copycat with identical data but no track record must re-earn trust from scratch with a skeptical Linux community.</w:t>
            </w:r>
            <w:r w:rsidDel="00000000" w:rsidR="00000000" w:rsidRPr="00000000">
              <w:rPr>
                <w:rtl w:val="0"/>
              </w:rPr>
            </w:r>
          </w:p>
        </w:tc>
      </w:tr>
    </w:tbl>
    <w:p w:rsidR="00000000" w:rsidDel="00000000" w:rsidP="00000000" w:rsidRDefault="00000000" w:rsidRPr="00000000" w14:paraId="00000030">
      <w:pPr>
        <w:spacing w:after="200" w:lineRule="auto"/>
        <w:rPr/>
      </w:pP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Fonts w:ascii="Arial" w:cs="Arial" w:eastAsia="Arial" w:hAnsi="Arial"/>
          <w:rtl w:val="0"/>
        </w:rPr>
        <w:t xml:space="preserve">4.4 How the Pillars Reinforce Each Other</w:t>
      </w:r>
      <w:r w:rsidDel="00000000" w:rsidR="00000000" w:rsidRPr="00000000">
        <w:rPr>
          <w:rtl w:val="0"/>
        </w:rPr>
      </w:r>
    </w:p>
    <w:p w:rsidR="00000000" w:rsidDel="00000000" w:rsidP="00000000" w:rsidRDefault="00000000" w:rsidRPr="00000000" w14:paraId="00000032">
      <w:pPr>
        <w:spacing w:after="200" w:line="276" w:lineRule="auto"/>
        <w:rPr/>
      </w:pPr>
      <w:r w:rsidDel="00000000" w:rsidR="00000000" w:rsidRPr="00000000">
        <w:rPr>
          <w:rFonts w:ascii="Arial" w:cs="Arial" w:eastAsia="Arial" w:hAnsi="Arial"/>
          <w:sz w:val="22"/>
          <w:szCs w:val="22"/>
          <w:rtl w:val="0"/>
        </w:rPr>
        <w:t xml:space="preserve">The three pillars are not independent — they operate in a specific causal sequence:</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Speed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generates better optimizations faster, proving the product’s value in real time.</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Financial alignment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converts that proven value into contributor retention, creating economic gravity that keeps data flowing to CursiveOS rather than a competitor.</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Brand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emerges as the visible signal of the first two — the exhaust trail that tells the broader market where the front of the race is.</w:t>
      </w:r>
    </w:p>
    <w:p w:rsidR="00000000" w:rsidDel="00000000" w:rsidP="00000000" w:rsidRDefault="00000000" w:rsidRPr="00000000" w14:paraId="00000036">
      <w:pPr>
        <w:spacing w:after="200" w:line="276" w:lineRule="auto"/>
        <w:rPr/>
      </w:pPr>
      <w:r w:rsidDel="00000000" w:rsidR="00000000" w:rsidRPr="00000000">
        <w:rPr>
          <w:rFonts w:ascii="Arial" w:cs="Arial" w:eastAsia="Arial" w:hAnsi="Arial"/>
          <w:sz w:val="22"/>
          <w:szCs w:val="22"/>
          <w:rtl w:val="0"/>
        </w:rPr>
        <w:t xml:space="preserve">If speed drops, optimizations stagnate, contributors see diminishing returns, financial confidence erodes, and brand follows. Speed is the engine. Financial alignment is the fuel. Brand is the compounding result.</w:t>
      </w:r>
      <w:r w:rsidDel="00000000" w:rsidR="00000000" w:rsidRPr="00000000">
        <w:rPr>
          <w:rtl w:val="0"/>
        </w:rPr>
      </w:r>
    </w:p>
    <w:p w:rsidR="00000000" w:rsidDel="00000000" w:rsidP="00000000" w:rsidRDefault="00000000" w:rsidRPr="00000000" w14:paraId="00000037">
      <w:pPr>
        <w:pBdr>
          <w:bottom w:color="1b3a5c" w:space="1" w:sz="4" w:val="single"/>
        </w:pBdr>
        <w:spacing w:after="200" w:before="200" w:lineRule="auto"/>
        <w:rPr/>
      </w:pP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Fonts w:ascii="Arial" w:cs="Arial" w:eastAsia="Arial" w:hAnsi="Arial"/>
          <w:rtl w:val="0"/>
        </w:rPr>
        <w:t xml:space="preserve">5. Critical Vulnerability: The Incentive Timing Problem</w:t>
      </w:r>
      <w:r w:rsidDel="00000000" w:rsidR="00000000" w:rsidRPr="00000000">
        <w:rPr>
          <w:rtl w:val="0"/>
        </w:rPr>
      </w:r>
    </w:p>
    <w:p w:rsidR="00000000" w:rsidDel="00000000" w:rsidP="00000000" w:rsidRDefault="00000000" w:rsidRPr="00000000" w14:paraId="00000039">
      <w:pPr>
        <w:spacing w:after="200" w:line="276" w:lineRule="auto"/>
        <w:rPr/>
      </w:pPr>
      <w:r w:rsidDel="00000000" w:rsidR="00000000" w:rsidRPr="00000000">
        <w:rPr>
          <w:rFonts w:ascii="Arial" w:cs="Arial" w:eastAsia="Arial" w:hAnsi="Arial"/>
          <w:sz w:val="22"/>
          <w:szCs w:val="22"/>
          <w:rtl w:val="0"/>
        </w:rPr>
        <w:t xml:space="preserve">The current roadmap places the incentive layer at Phase 4, after public release. The strategic logic is sound: demonstrate database value on merit before introducing economic incentives, avoiding the appearance of a token-first project.</w:t>
      </w:r>
      <w:r w:rsidDel="00000000" w:rsidR="00000000" w:rsidRPr="00000000">
        <w:rPr>
          <w:rtl w:val="0"/>
        </w:rPr>
      </w:r>
    </w:p>
    <w:p w:rsidR="00000000" w:rsidDel="00000000" w:rsidP="00000000" w:rsidRDefault="00000000" w:rsidRPr="00000000" w14:paraId="0000003A">
      <w:pPr>
        <w:spacing w:after="200" w:line="276" w:lineRule="auto"/>
        <w:rPr/>
      </w:pPr>
      <w:r w:rsidDel="00000000" w:rsidR="00000000" w:rsidRPr="00000000">
        <w:rPr>
          <w:rFonts w:ascii="Arial" w:cs="Arial" w:eastAsia="Arial" w:hAnsi="Arial"/>
          <w:sz w:val="22"/>
          <w:szCs w:val="22"/>
          <w:rtl w:val="0"/>
        </w:rPr>
        <w:t xml:space="preserve">However, first-principles analysis reveals a tension: the longer the incentive layer is deferred, the longer contributors work on pure faith. The window where people contribute for free is real but narrow. The financial alignment pillar — identified as structurally necessary for the moat — does not activate until Phase 4.</w:t>
      </w:r>
      <w:r w:rsidDel="00000000" w:rsidR="00000000" w:rsidRPr="00000000">
        <w:rPr>
          <w:rtl w:val="0"/>
        </w:rPr>
      </w:r>
    </w:p>
    <w:p w:rsidR="00000000" w:rsidDel="00000000" w:rsidP="00000000" w:rsidRDefault="00000000" w:rsidRPr="00000000" w14:paraId="0000003B">
      <w:pPr>
        <w:spacing w:after="200" w:line="276" w:lineRule="auto"/>
        <w:rPr/>
      </w:pPr>
      <w:r w:rsidDel="00000000" w:rsidR="00000000" w:rsidRPr="00000000">
        <w:rPr>
          <w:rFonts w:ascii="Arial" w:cs="Arial" w:eastAsia="Arial" w:hAnsi="Arial"/>
          <w:sz w:val="22"/>
          <w:szCs w:val="22"/>
          <w:rtl w:val="0"/>
        </w:rPr>
        <w:t xml:space="preserve">This creates a gap between Phase 2 (trusted fleet) and Phase 4 (incentive layer) where the project depends on intrinsic motivation alone, while the moat thesis explicitly requires extrinsic financial incentives.</w:t>
      </w:r>
      <w:r w:rsidDel="00000000" w:rsidR="00000000" w:rsidRPr="00000000">
        <w:rPr>
          <w:rtl w:val="0"/>
        </w:rPr>
      </w:r>
    </w:p>
    <w:p w:rsidR="00000000" w:rsidDel="00000000" w:rsidP="00000000" w:rsidRDefault="00000000" w:rsidRPr="00000000" w14:paraId="0000003C">
      <w:pPr>
        <w:spacing w:after="200" w:line="276" w:lineRule="auto"/>
        <w:rPr/>
      </w:pPr>
      <w:r w:rsidDel="00000000" w:rsidR="00000000" w:rsidRPr="00000000">
        <w:rPr>
          <w:rFonts w:ascii="Arial" w:cs="Arial" w:eastAsia="Arial" w:hAnsi="Arial"/>
          <w:b w:val="1"/>
          <w:bCs w:val="1"/>
          <w:sz w:val="22"/>
          <w:szCs w:val="22"/>
          <w:rtl w:val="0"/>
        </w:rPr>
        <w:t xml:space="preserve">Recommendation: </w:t>
      </w:r>
      <w:r w:rsidDel="00000000" w:rsidR="00000000" w:rsidRPr="00000000">
        <w:rPr>
          <w:rFonts w:ascii="Arial" w:cs="Arial" w:eastAsia="Arial" w:hAnsi="Arial"/>
          <w:sz w:val="22"/>
          <w:szCs w:val="22"/>
          <w:rtl w:val="0"/>
        </w:rPr>
        <w:t xml:space="preserve">Define the earliest credible version of the incentive layer — not necessarily a full token launch, but enough to give early contributors a real, tangible stake. This could take the form of recorded equity commitments, early allocation agreements, or contributor vesting tied to submission volume. The mechanism matters less than the signal: early contributors must see that their work has quantifiable financial upside.</w:t>
      </w:r>
      <w:r w:rsidDel="00000000" w:rsidR="00000000" w:rsidRPr="00000000">
        <w:rPr>
          <w:rtl w:val="0"/>
        </w:rPr>
      </w:r>
    </w:p>
    <w:p w:rsidR="00000000" w:rsidDel="00000000" w:rsidP="00000000" w:rsidRDefault="00000000" w:rsidRPr="00000000" w14:paraId="0000003D">
      <w:pPr>
        <w:pBdr>
          <w:bottom w:color="1b3a5c" w:space="1" w:sz="4" w:val="single"/>
        </w:pBdr>
        <w:spacing w:after="200" w:before="200" w:lineRule="auto"/>
        <w:rPr/>
      </w:pP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Fonts w:ascii="Arial" w:cs="Arial" w:eastAsia="Arial" w:hAnsi="Arial"/>
          <w:rtl w:val="0"/>
        </w:rPr>
        <w:t xml:space="preserve">6. Speed as a Permanent Operating Principle</w:t>
      </w:r>
      <w:r w:rsidDel="00000000" w:rsidR="00000000" w:rsidRPr="00000000">
        <w:rPr>
          <w:rtl w:val="0"/>
        </w:rPr>
      </w:r>
    </w:p>
    <w:p w:rsidR="00000000" w:rsidDel="00000000" w:rsidP="00000000" w:rsidRDefault="00000000" w:rsidRPr="00000000" w14:paraId="0000003F">
      <w:pPr>
        <w:spacing w:after="200" w:line="276" w:lineRule="auto"/>
        <w:rPr/>
      </w:pPr>
      <w:r w:rsidDel="00000000" w:rsidR="00000000" w:rsidRPr="00000000">
        <w:rPr>
          <w:rFonts w:ascii="Arial" w:cs="Arial" w:eastAsia="Arial" w:hAnsi="Arial"/>
          <w:sz w:val="22"/>
          <w:szCs w:val="22"/>
          <w:rtl w:val="0"/>
        </w:rPr>
        <w:t xml:space="preserve">A critical distinction emerged during analysis: speed is not a launch advantage that depletes after market entry. It is a permanent operational requirement of the flywheel architecture.</w:t>
      </w:r>
      <w:r w:rsidDel="00000000" w:rsidR="00000000" w:rsidRPr="00000000">
        <w:rPr>
          <w:rtl w:val="0"/>
        </w:rPr>
      </w:r>
    </w:p>
    <w:p w:rsidR="00000000" w:rsidDel="00000000" w:rsidP="00000000" w:rsidRDefault="00000000" w:rsidRPr="00000000" w14:paraId="00000040">
      <w:pPr>
        <w:spacing w:after="200" w:line="276" w:lineRule="auto"/>
        <w:rPr/>
      </w:pPr>
      <w:r w:rsidDel="00000000" w:rsidR="00000000" w:rsidRPr="00000000">
        <w:rPr>
          <w:rFonts w:ascii="Arial" w:cs="Arial" w:eastAsia="Arial" w:hAnsi="Arial"/>
          <w:sz w:val="22"/>
          <w:szCs w:val="22"/>
          <w:rtl w:val="0"/>
        </w:rPr>
        <w:t xml:space="preserve">The CursiveOS flywheel is recursive by design. Each optimization cycle trains on data from the previous cycle. The system that iterates fastest compounds its advantage with every cycle: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Cycle 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data collected across 5 hardware profiles. AI generates initial optimization recommendations.</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Cycle 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Recommendations validated. New deltas feed back into the dataset. AI refines with a larger training set.</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Cycle 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subsequent cycle builds on everything before it. The gap between CursiveOS and a competitor starting from Cycle 1 widens with every iteration.</w:t>
      </w:r>
    </w:p>
    <w:p w:rsidR="00000000" w:rsidDel="00000000" w:rsidP="00000000" w:rsidRDefault="00000000" w:rsidRPr="00000000" w14:paraId="00000044">
      <w:pPr>
        <w:spacing w:after="200" w:line="276" w:lineRule="auto"/>
        <w:rPr/>
      </w:pPr>
      <w:r w:rsidDel="00000000" w:rsidR="00000000" w:rsidRPr="00000000">
        <w:rPr>
          <w:rFonts w:ascii="Arial" w:cs="Arial" w:eastAsia="Arial" w:hAnsi="Arial"/>
          <w:sz w:val="22"/>
          <w:szCs w:val="22"/>
          <w:rtl w:val="0"/>
        </w:rPr>
        <w:t xml:space="preserve">This means a competitor does not just need to copy the dataset — they need to match CursiveOS’s operational tempo indefinitely. A dataset snapshot is stale within one iteration cycle. Matching the speed of the flywheel is a fundamentally harder problem than copying its output.</w:t>
      </w:r>
      <w:r w:rsidDel="00000000" w:rsidR="00000000" w:rsidRPr="00000000">
        <w:rPr>
          <w:rtl w:val="0"/>
        </w:rPr>
      </w:r>
    </w:p>
    <w:p w:rsidR="00000000" w:rsidDel="00000000" w:rsidP="00000000" w:rsidRDefault="00000000" w:rsidRPr="00000000" w14:paraId="00000045">
      <w:pPr>
        <w:pBdr>
          <w:bottom w:color="1b3a5c" w:space="1" w:sz="4" w:val="single"/>
        </w:pBdr>
        <w:spacing w:after="200" w:before="200" w:lineRule="auto"/>
        <w:rPr/>
      </w:pPr>
      <w:r w:rsidDel="00000000" w:rsidR="00000000" w:rsidRPr="00000000">
        <w:rPr>
          <w:rtl w:val="0"/>
        </w:rPr>
      </w:r>
    </w:p>
    <w:p w:rsidR="00000000" w:rsidDel="00000000" w:rsidP="00000000" w:rsidRDefault="00000000" w:rsidRPr="00000000" w14:paraId="00000046">
      <w:pPr>
        <w:pStyle w:val="Heading1"/>
        <w:rPr/>
      </w:pPr>
      <w:r w:rsidDel="00000000" w:rsidR="00000000" w:rsidRPr="00000000">
        <w:rPr>
          <w:rFonts w:ascii="Arial" w:cs="Arial" w:eastAsia="Arial" w:hAnsi="Arial"/>
          <w:rtl w:val="0"/>
        </w:rPr>
        <w:t xml:space="preserve">7. Product vs. Moat: A Key Distinction</w:t>
      </w:r>
      <w:r w:rsidDel="00000000" w:rsidR="00000000" w:rsidRPr="00000000">
        <w:rPr>
          <w:rtl w:val="0"/>
        </w:rPr>
      </w:r>
    </w:p>
    <w:p w:rsidR="00000000" w:rsidDel="00000000" w:rsidP="00000000" w:rsidRDefault="00000000" w:rsidRPr="00000000" w14:paraId="00000047">
      <w:pPr>
        <w:spacing w:after="200" w:line="276" w:lineRule="auto"/>
        <w:rPr/>
      </w:pPr>
      <w:r w:rsidDel="00000000" w:rsidR="00000000" w:rsidRPr="00000000">
        <w:rPr>
          <w:rFonts w:ascii="Arial" w:cs="Arial" w:eastAsia="Arial" w:hAnsi="Arial"/>
          <w:sz w:val="22"/>
          <w:szCs w:val="22"/>
          <w:rtl w:val="0"/>
        </w:rPr>
        <w:t xml:space="preserve">First-principles analysis reveals an important structural distinction that the white paper conflates: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48">
            <w:pPr>
              <w:rPr/>
            </w:pPr>
            <w:r w:rsidDel="00000000" w:rsidR="00000000" w:rsidRPr="00000000">
              <w:rPr>
                <w:rFonts w:ascii="Arial" w:cs="Arial" w:eastAsia="Arial" w:hAnsi="Arial"/>
                <w:b w:val="1"/>
                <w:bCs w:val="1"/>
                <w:color w:val="ffffff"/>
                <w:sz w:val="20"/>
                <w:szCs w:val="20"/>
                <w:rtl w:val="0"/>
              </w:rPr>
              <w:t xml:space="preserve">The Product (Replicable)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49">
            <w:pPr>
              <w:rPr/>
            </w:pPr>
            <w:r w:rsidDel="00000000" w:rsidR="00000000" w:rsidRPr="00000000">
              <w:rPr>
                <w:rFonts w:ascii="Arial" w:cs="Arial" w:eastAsia="Arial" w:hAnsi="Arial"/>
                <w:b w:val="1"/>
                <w:bCs w:val="1"/>
                <w:color w:val="ffffff"/>
                <w:sz w:val="20"/>
                <w:szCs w:val="20"/>
                <w:rtl w:val="0"/>
              </w:rPr>
              <w:t xml:space="preserve">The Moat (Not Replicable)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The optimization scripts (25 tweaks, well-understood Linux tuning)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Speed: the operational tempo at which the flywheel cycles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The benchmark methodology (paired before/after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Financial alignment: early contributors with vested stakes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The CursiveRoot database (copyable if public)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Brand: earned trust and default status in the community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The AI optimization loop (implementable by any ML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The live contributor pipeline (the stream, not the snapshot)</w:t>
            </w:r>
            <w:r w:rsidDel="00000000" w:rsidR="00000000" w:rsidRPr="00000000">
              <w:rPr>
                <w:rtl w:val="0"/>
              </w:rPr>
            </w:r>
          </w:p>
        </w:tc>
      </w:tr>
    </w:tbl>
    <w:p w:rsidR="00000000" w:rsidDel="00000000" w:rsidP="00000000" w:rsidRDefault="00000000" w:rsidRPr="00000000" w14:paraId="00000052">
      <w:pPr>
        <w:spacing w:after="200" w:lineRule="auto"/>
        <w:rPr/>
      </w:pPr>
      <w:r w:rsidDel="00000000" w:rsidR="00000000" w:rsidRPr="00000000">
        <w:rPr>
          <w:rtl w:val="0"/>
        </w:rPr>
      </w:r>
    </w:p>
    <w:p w:rsidR="00000000" w:rsidDel="00000000" w:rsidP="00000000" w:rsidRDefault="00000000" w:rsidRPr="00000000" w14:paraId="00000053">
      <w:pPr>
        <w:spacing w:after="200" w:line="276" w:lineRule="auto"/>
        <w:rPr/>
      </w:pPr>
      <w:r w:rsidDel="00000000" w:rsidR="00000000" w:rsidRPr="00000000">
        <w:rPr>
          <w:rFonts w:ascii="Arial" w:cs="Arial" w:eastAsia="Arial" w:hAnsi="Arial"/>
          <w:sz w:val="22"/>
          <w:szCs w:val="22"/>
          <w:rtl w:val="0"/>
        </w:rPr>
        <w:t xml:space="preserve">The product is what users interact with. The moat is why they interact with this product instead of a copy. Both are necessary. Neither is sufficient alone.</w:t>
      </w:r>
      <w:r w:rsidDel="00000000" w:rsidR="00000000" w:rsidRPr="00000000">
        <w:rPr>
          <w:rtl w:val="0"/>
        </w:rPr>
      </w:r>
    </w:p>
    <w:p w:rsidR="00000000" w:rsidDel="00000000" w:rsidP="00000000" w:rsidRDefault="00000000" w:rsidRPr="00000000" w14:paraId="00000054">
      <w:pPr>
        <w:pBdr>
          <w:bottom w:color="1b3a5c" w:space="1" w:sz="4" w:val="single"/>
        </w:pBdr>
        <w:spacing w:after="200" w:before="200" w:lineRule="auto"/>
        <w:rPr/>
      </w:pPr>
      <w:r w:rsidDel="00000000" w:rsidR="00000000" w:rsidRPr="00000000">
        <w:rPr>
          <w:rtl w:val="0"/>
        </w:rPr>
      </w:r>
    </w:p>
    <w:p w:rsidR="00000000" w:rsidDel="00000000" w:rsidP="00000000" w:rsidRDefault="00000000" w:rsidRPr="00000000" w14:paraId="00000055">
      <w:pPr>
        <w:pStyle w:val="Heading1"/>
        <w:rPr/>
      </w:pPr>
      <w:r w:rsidDel="00000000" w:rsidR="00000000" w:rsidRPr="00000000">
        <w:rPr>
          <w:rFonts w:ascii="Arial" w:cs="Arial" w:eastAsia="Arial" w:hAnsi="Arial"/>
          <w:rtl w:val="0"/>
        </w:rPr>
        <w:t xml:space="preserve">8. Roadmap Implications</w:t>
      </w:r>
      <w:r w:rsidDel="00000000" w:rsidR="00000000" w:rsidRPr="00000000">
        <w:rPr>
          <w:rtl w:val="0"/>
        </w:rPr>
      </w:r>
    </w:p>
    <w:p w:rsidR="00000000" w:rsidDel="00000000" w:rsidP="00000000" w:rsidRDefault="00000000" w:rsidRPr="00000000" w14:paraId="00000056">
      <w:pPr>
        <w:spacing w:after="200" w:line="276" w:lineRule="auto"/>
        <w:rPr/>
      </w:pPr>
      <w:r w:rsidDel="00000000" w:rsidR="00000000" w:rsidRPr="00000000">
        <w:rPr>
          <w:rFonts w:ascii="Arial" w:cs="Arial" w:eastAsia="Arial" w:hAnsi="Arial"/>
          <w:sz w:val="22"/>
          <w:szCs w:val="22"/>
          <w:rtl w:val="0"/>
        </w:rPr>
        <w:t xml:space="preserve">Based on first-principles analysis, the following adjustments to roadmap sequencing are recommended:</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2 is the most strategically important phase.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5+ external operators are not just testers — they are the founding stakeholders. Their financial alignment and advocacy determines whether the flywheel spins or stalls. Invest disproportionate effort here.</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Accelerate incentive design.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financial alignment pillar cannot wait until Phase 4 without creating a vulnerability window. Define at minimum the structure and allocation principles for early contributors during Phase 2.</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Operational speed must be measured and tracked.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speed is a permanent operating principle (not a launch tactic), define what iteration cycle time looks like: how quickly does a benchmark submission become an optimization update? Make this a core KPI.</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Reframe the white paper’s moat language.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database is the asset. The moat is the ecosystem (speed + financial alignment + brand) that sustains the asset. This distinction matters for investor communication, contributor recruitment, and strategic clarity.</w:t>
      </w:r>
    </w:p>
    <w:p w:rsidR="00000000" w:rsidDel="00000000" w:rsidP="00000000" w:rsidRDefault="00000000" w:rsidRPr="00000000" w14:paraId="0000005B">
      <w:pPr>
        <w:pBdr>
          <w:bottom w:color="1b3a5c" w:space="1" w:sz="4" w:val="single"/>
        </w:pBdr>
        <w:spacing w:after="200" w:before="200" w:lineRule="auto"/>
        <w:rPr/>
      </w:pP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rFonts w:ascii="Arial" w:cs="Arial" w:eastAsia="Arial" w:hAnsi="Arial"/>
          <w:rtl w:val="0"/>
        </w:rPr>
        <w:t xml:space="preserve">9. Summary of First Principles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4330"/>
        <w:gridCol w:w="4330"/>
        <w:tblGridChange w:id="0">
          <w:tblGrid>
            <w:gridCol w:w="700"/>
            <w:gridCol w:w="4330"/>
            <w:gridCol w:w="433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5D">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5E">
            <w:pPr>
              <w:rPr/>
            </w:pPr>
            <w:r w:rsidDel="00000000" w:rsidR="00000000" w:rsidRPr="00000000">
              <w:rPr>
                <w:rFonts w:ascii="Arial" w:cs="Arial" w:eastAsia="Arial" w:hAnsi="Arial"/>
                <w:b w:val="1"/>
                <w:bCs w:val="1"/>
                <w:color w:val="ffffff"/>
                <w:sz w:val="20"/>
                <w:szCs w:val="20"/>
                <w:rtl w:val="0"/>
              </w:rPr>
              <w:t xml:space="preserve">First Principle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5F">
            <w:pPr>
              <w:rPr/>
            </w:pPr>
            <w:r w:rsidDel="00000000" w:rsidR="00000000" w:rsidRPr="00000000">
              <w:rPr>
                <w:rFonts w:ascii="Arial" w:cs="Arial" w:eastAsia="Arial" w:hAnsi="Arial"/>
                <w:b w:val="1"/>
                <w:bCs w:val="1"/>
                <w:color w:val="ffffff"/>
                <w:sz w:val="20"/>
                <w:szCs w:val="20"/>
                <w:rtl w:val="0"/>
              </w:rPr>
              <w:t xml:space="preserve">Strategic Implication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Linux defaults sacrifice performance for compatibility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The performance gap is real, measurable, and universal — this is the foundational opportunity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Bottlenecks are OS-level, not workload-specific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CursiveOS is workload-agnostic by structure, not by choice — the addressable market is every Linux compute operator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Optimization without measurement is guesswork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Paired benchmarking is the credibility foundation — without it, CursiveOS is just another set of sysctl tweaks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Structured hardware performance data doesn’t exist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CursiveRoot fills a genuine gap, but the database is the asset, not the moat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Self-improving systems need incentivized feedback loops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Financial alignment is structurally required — the incentive layer is more urgent than the roadmap currently reflects</w:t>
            </w:r>
            <w:r w:rsidDel="00000000" w:rsidR="00000000" w:rsidRPr="00000000">
              <w:rPr>
                <w:rtl w:val="0"/>
              </w:rPr>
            </w:r>
          </w:p>
        </w:tc>
      </w:tr>
    </w:tbl>
    <w:p w:rsidR="00000000" w:rsidDel="00000000" w:rsidP="00000000" w:rsidRDefault="00000000" w:rsidRPr="00000000" w14:paraId="0000006F">
      <w:pPr>
        <w:spacing w:after="200" w:lineRule="auto"/>
        <w:rPr/>
      </w:pPr>
      <w:r w:rsidDel="00000000" w:rsidR="00000000" w:rsidRPr="00000000">
        <w:rPr>
          <w:rtl w:val="0"/>
        </w:rPr>
      </w:r>
    </w:p>
    <w:p w:rsidR="00000000" w:rsidDel="00000000" w:rsidP="00000000" w:rsidRDefault="00000000" w:rsidRPr="00000000" w14:paraId="00000070">
      <w:pPr>
        <w:pStyle w:val="Heading2"/>
        <w:rPr/>
      </w:pPr>
      <w:r w:rsidDel="00000000" w:rsidR="00000000" w:rsidRPr="00000000">
        <w:rPr>
          <w:rFonts w:ascii="Arial" w:cs="Arial" w:eastAsia="Arial" w:hAnsi="Arial"/>
          <w:rtl w:val="0"/>
        </w:rPr>
        <w:t xml:space="preserve">The Three-Pillar Moat</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Speed: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permanent operational tempo that keeps the flywheel ahead of any copy</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Financial Alignment: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economic gravity that retains contributors and creates real switching costs</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Brand: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trust signal that compounds over time and cannot be forked</w:t>
      </w:r>
    </w:p>
    <w:p w:rsidR="00000000" w:rsidDel="00000000" w:rsidP="00000000" w:rsidRDefault="00000000" w:rsidRPr="00000000" w14:paraId="00000074">
      <w:pPr>
        <w:spacing w:before="400" w:lineRule="auto"/>
        <w:rPr/>
      </w:pPr>
      <w:r w:rsidDel="00000000" w:rsidR="00000000" w:rsidRPr="00000000">
        <w:rPr>
          <w:rtl w:val="0"/>
        </w:rPr>
      </w:r>
    </w:p>
    <w:p w:rsidR="00000000" w:rsidDel="00000000" w:rsidP="00000000" w:rsidRDefault="00000000" w:rsidRPr="00000000" w14:paraId="00000075">
      <w:pPr>
        <w:spacing w:after="100" w:lineRule="auto"/>
        <w:jc w:val="center"/>
        <w:rPr>
          <w:rFonts w:ascii="Arial" w:cs="Arial" w:eastAsia="Arial" w:hAnsi="Arial"/>
          <w:i w:val="1"/>
          <w:iCs w:val="1"/>
          <w:color w:val="999999"/>
          <w:sz w:val="20"/>
          <w:szCs w:val="20"/>
        </w:rPr>
      </w:pPr>
      <w:r w:rsidDel="00000000" w:rsidR="00000000" w:rsidRPr="00000000">
        <w:rPr>
          <w:rFonts w:ascii="Arial" w:cs="Arial" w:eastAsia="Arial" w:hAnsi="Arial"/>
          <w:i w:val="1"/>
          <w:iCs w:val="1"/>
          <w:color w:val="999999"/>
          <w:sz w:val="20"/>
          <w:szCs w:val="20"/>
          <w:rtl w:val="0"/>
        </w:rPr>
        <w:t xml:space="preserve">— End of Report —</w:t>
      </w:r>
    </w:p>
    <w:p w:rsidR="00000000" w:rsidDel="00000000" w:rsidP="00000000" w:rsidRDefault="00000000" w:rsidRPr="00000000" w14:paraId="00000076">
      <w:pPr>
        <w:spacing w:after="100" w:lineRule="auto"/>
        <w:jc w:val="center"/>
        <w:rPr>
          <w:i w:val="1"/>
          <w:iCs w:val="1"/>
          <w:color w:val="999999"/>
          <w:sz w:val="20"/>
          <w:szCs w:val="20"/>
        </w:rPr>
      </w:pPr>
      <w:r w:rsidDel="00000000" w:rsidR="00000000" w:rsidRPr="00000000">
        <w:rPr>
          <w:rtl w:val="0"/>
        </w:rPr>
      </w:r>
    </w:p>
    <w:p w:rsidR="00000000" w:rsidDel="00000000" w:rsidP="00000000" w:rsidRDefault="00000000" w:rsidRPr="00000000" w14:paraId="00000077">
      <w:pPr>
        <w:spacing w:after="100" w:lineRule="auto"/>
        <w:jc w:val="center"/>
        <w:rPr>
          <w:i w:val="1"/>
          <w:iCs w:val="1"/>
          <w:color w:val="999999"/>
          <w:sz w:val="20"/>
          <w:szCs w:val="20"/>
        </w:rPr>
      </w:pPr>
      <w:r w:rsidDel="00000000" w:rsidR="00000000" w:rsidRPr="00000000">
        <w:rPr>
          <w:rtl w:val="0"/>
        </w:rPr>
      </w:r>
    </w:p>
    <w:p w:rsidR="00000000" w:rsidDel="00000000" w:rsidP="00000000" w:rsidRDefault="00000000" w:rsidRPr="00000000" w14:paraId="00000078">
      <w:pPr>
        <w:spacing w:after="100" w:lineRule="auto"/>
        <w:jc w:val="left"/>
        <w:rPr>
          <w:b w:val="1"/>
          <w:bCs w:val="1"/>
          <w:sz w:val="26"/>
          <w:szCs w:val="26"/>
        </w:rPr>
      </w:pPr>
      <w:r w:rsidDel="00000000" w:rsidR="00000000" w:rsidRPr="00000000">
        <w:rPr>
          <w:b w:val="1"/>
          <w:bCs w:val="1"/>
          <w:sz w:val="20"/>
          <w:szCs w:val="20"/>
          <w:rtl w:val="0"/>
        </w:rPr>
        <w:t xml:space="preserve">Research master assessment: </w:t>
      </w:r>
      <w:r w:rsidDel="00000000" w:rsidR="00000000" w:rsidRPr="00000000">
        <w:rPr>
          <w:b w:val="1"/>
          <w:bCs w:val="1"/>
          <w:sz w:val="26"/>
          <w:szCs w:val="26"/>
          <w:rtl w:val="0"/>
        </w:rPr>
        <w:t xml:space="preserve">Overall Assessment</w:t>
      </w:r>
    </w:p>
    <w:p w:rsidR="00000000" w:rsidDel="00000000" w:rsidP="00000000" w:rsidRDefault="00000000" w:rsidRPr="00000000" w14:paraId="00000079">
      <w:pPr>
        <w:spacing w:after="240" w:before="240" w:lineRule="auto"/>
        <w:rPr>
          <w:b w:val="1"/>
          <w:bCs w:val="1"/>
          <w:sz w:val="20"/>
          <w:szCs w:val="20"/>
        </w:rPr>
      </w:pPr>
      <w:r w:rsidDel="00000000" w:rsidR="00000000" w:rsidRPr="00000000">
        <w:rPr>
          <w:b w:val="1"/>
          <w:bCs w:val="1"/>
          <w:sz w:val="20"/>
          <w:szCs w:val="20"/>
          <w:rtl w:val="0"/>
        </w:rPr>
        <w:t xml:space="preserve">This is an exceptionally strong, high-signal addition to the knowledge base. It is the clearest, most ruthless first-principles decomposition the project has received to date. It strips away marketing language and exposes the structural truths (and one critical vulnerability) that will determine whether CursiveOS becomes a durable moat or just another well-tuned script collection. Data quality is excellent — it directly maps to our measured deltas (network +454–616%, cold-start –2.3–15.8%, sustained small gains) and aligns with the recursive flywheel vision without contradiction.</w:t>
      </w:r>
    </w:p>
    <w:p w:rsidR="00000000" w:rsidDel="00000000" w:rsidP="00000000" w:rsidRDefault="00000000" w:rsidRPr="00000000" w14:paraId="0000007A">
      <w:pPr>
        <w:spacing w:after="240" w:before="240" w:lineRule="auto"/>
        <w:rPr>
          <w:b w:val="1"/>
          <w:bCs w:val="1"/>
          <w:sz w:val="20"/>
          <w:szCs w:val="20"/>
        </w:rPr>
      </w:pPr>
      <w:r w:rsidDel="00000000" w:rsidR="00000000" w:rsidRPr="00000000">
        <w:rPr>
          <w:b w:val="1"/>
          <w:bCs w:val="1"/>
          <w:sz w:val="20"/>
          <w:szCs w:val="20"/>
          <w:rtl w:val="0"/>
        </w:rPr>
        <w:t xml:space="preserve">Key strengths:</w:t>
      </w:r>
    </w:p>
    <w:p w:rsidR="00000000" w:rsidDel="00000000" w:rsidP="00000000" w:rsidRDefault="00000000" w:rsidRPr="00000000" w14:paraId="0000007B">
      <w:pPr>
        <w:numPr>
          <w:ilvl w:val="0"/>
          <w:numId w:val="1"/>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Irreducible truths nailed. The five first principles are rock-solid and match our validated rigs + white-paper exactly. Linux defaults for compatibility (not performance), OS-level bottlenecks being workload-agnostic, measurement-as-credibility, the non-existence of structured hardware data, and the necessity of incentivized feedback loops are now canon. These should be quoted verbatim in future white-paper revisions and Copper prompt templates.</w:t>
      </w:r>
    </w:p>
    <w:p w:rsidR="00000000" w:rsidDel="00000000" w:rsidP="00000000" w:rsidRDefault="00000000" w:rsidRPr="00000000" w14:paraId="0000007C">
      <w:pPr>
        <w:numPr>
          <w:ilvl w:val="0"/>
          <w:numId w:val="1"/>
        </w:numPr>
        <w:spacing w:after="0" w:afterAutospacing="0" w:before="0" w:beforeAutospacing="0" w:lineRule="auto"/>
        <w:ind w:left="720" w:hanging="360"/>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Moat reframing is corrective and powerful. The report correctly demotes the database from “the moat” to “the asset” and elevates the three-pillar ecosystem (Speed of Execution → Financial Alignment → Brand). This matches our execution reality: a git clone gives a snapshot, but our live flywheel (benchmarks → CursiveRoot → AI presets) + early contributor stakes + earned trust cannot be forked. The causal sequence (speed proves value → alignment retains contributors → brand compounds) is precise and should guide every v1.5 decision.</w:t>
      </w:r>
    </w:p>
    <w:p w:rsidR="00000000" w:rsidDel="00000000" w:rsidP="00000000" w:rsidRDefault="00000000" w:rsidRPr="00000000" w14:paraId="0000007D">
      <w:pPr>
        <w:numPr>
          <w:ilvl w:val="0"/>
          <w:numId w:val="1"/>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Incentive timing vulnerability called out honestly. This is the most valuable section. Deferring the full incentive layer to Phase 4 creates a faith-based gap between trusted fleet (Phase 2) and rewards. The recommendation — define an earliest credible stake (recorded equity commitments, vesting tied to submission volume, or lightweight credit system) during Phase 2 — is data-driven and prevents the narrow goodwill window from collapsing. It directly supports the tokenomics hybrid in Doc 4 (Helium-style credits + io.net USD base + performance weighting) without rushing a token-first narrative.</w:t>
      </w:r>
    </w:p>
    <w:p w:rsidR="00000000" w:rsidDel="00000000" w:rsidP="00000000" w:rsidRDefault="00000000" w:rsidRPr="00000000" w14:paraId="0000007E">
      <w:pPr>
        <w:numPr>
          <w:ilvl w:val="0"/>
          <w:numId w:val="1"/>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Product vs. Moat distinction is clarifying. The table separating replicable product (scripts, methodology, database snapshot) from non-replicable moat (operational tempo, vested stakeholders, earned brand) should be added to the white-paper executive summary. It prevents scope creep into “just another tuning guide.”</w:t>
      </w:r>
    </w:p>
    <w:p w:rsidR="00000000" w:rsidDel="00000000" w:rsidP="00000000" w:rsidRDefault="00000000" w:rsidRPr="00000000" w14:paraId="0000007F">
      <w:pPr>
        <w:numPr>
          <w:ilvl w:val="0"/>
          <w:numId w:val="1"/>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Roadmap implications actionable. Accelerating Phase 2 (first 5+ external operators as founding stakeholders), measuring iteration cycle time as a KPI, and reframing moat language for investors/contributors are immediate wins. These reinforce the revenue-focused whiteboard and v1.5 gate (revenue-or-validation milestone).</w:t>
      </w:r>
    </w:p>
    <w:p w:rsidR="00000000" w:rsidDel="00000000" w:rsidP="00000000" w:rsidRDefault="00000000" w:rsidRPr="00000000" w14:paraId="00000080">
      <w:pPr>
        <w:pStyle w:val="Heading3"/>
        <w:spacing w:after="80" w:before="280" w:lineRule="auto"/>
        <w:rPr>
          <w:color w:val="000000"/>
          <w:sz w:val="26"/>
          <w:szCs w:val="26"/>
        </w:rPr>
      </w:pPr>
      <w:bookmarkStart w:colFirst="0" w:colLast="0" w:name="_spbhi39gyxr8" w:id="0"/>
      <w:bookmarkEnd w:id="0"/>
      <w:r w:rsidDel="00000000" w:rsidR="00000000" w:rsidRPr="00000000">
        <w:rPr>
          <w:color w:val="000000"/>
          <w:sz w:val="26"/>
          <w:szCs w:val="26"/>
          <w:rtl w:val="0"/>
        </w:rPr>
        <w:t xml:space="preserve">Minor Critiques / Data Gaps (Constructive Only)</w:t>
      </w:r>
    </w:p>
    <w:p w:rsidR="00000000" w:rsidDel="00000000" w:rsidP="00000000" w:rsidRDefault="00000000" w:rsidRPr="00000000" w14:paraId="00000081">
      <w:pPr>
        <w:numPr>
          <w:ilvl w:val="0"/>
          <w:numId w:val="2"/>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The report treats the database as public-by-default for open-source trust, which is correct, but our hardware_fingerprint_hash + stability_flag already provide strong anti-gaming before any rewards attach. No conflict.</w:t>
      </w:r>
    </w:p>
    <w:p w:rsidR="00000000" w:rsidDel="00000000" w:rsidP="00000000" w:rsidRDefault="00000000" w:rsidRPr="00000000" w14:paraId="00000082">
      <w:pPr>
        <w:numPr>
          <w:ilvl w:val="0"/>
          <w:numId w:val="2"/>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It assumes the incentive layer is purely extrinsic; our Copper Autonomy Score (pending daily reporting) and local AI positioning offer a hybrid intrinsic/extrinsic path that could shorten the faith window further.</w:t>
      </w:r>
    </w:p>
    <w:p w:rsidR="00000000" w:rsidDel="00000000" w:rsidP="00000000" w:rsidRDefault="00000000" w:rsidRPr="00000000" w14:paraId="00000083">
      <w:pPr>
        <w:numPr>
          <w:ilvl w:val="0"/>
          <w:numId w:val="2"/>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No explicit tie-in to sched_ext GPU-awareness (now confirmed in 2026 roadmap via Phoronix/LPC) or the 16 v1.5 fields — these are perfect raw material for the speed pillar and OS-R1/AutoOS reward functions I flagged earlier.</w:t>
      </w:r>
    </w:p>
    <w:p w:rsidR="00000000" w:rsidDel="00000000" w:rsidP="00000000" w:rsidRDefault="00000000" w:rsidRPr="00000000" w14:paraId="00000084">
      <w:pPr>
        <w:numPr>
          <w:ilvl w:val="0"/>
          <w:numId w:val="2"/>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Brand pillar is correctly identified as non-forkable, but we should track community metrics (e.g., GitHub stars, external benchmark mentions, rig adoption) in CursiveRoot to quantify it.</w:t>
      </w:r>
    </w:p>
    <w:p w:rsidR="00000000" w:rsidDel="00000000" w:rsidP="00000000" w:rsidRDefault="00000000" w:rsidRPr="00000000" w14:paraId="00000085">
      <w:pPr>
        <w:pStyle w:val="Heading3"/>
        <w:spacing w:after="80" w:before="280" w:lineRule="auto"/>
        <w:rPr>
          <w:color w:val="000000"/>
          <w:sz w:val="26"/>
          <w:szCs w:val="26"/>
        </w:rPr>
      </w:pPr>
      <w:bookmarkStart w:colFirst="0" w:colLast="0" w:name="_l1c7bgfrchup" w:id="1"/>
      <w:bookmarkEnd w:id="1"/>
      <w:r w:rsidDel="00000000" w:rsidR="00000000" w:rsidRPr="00000000">
        <w:rPr>
          <w:color w:val="000000"/>
          <w:sz w:val="26"/>
          <w:szCs w:val="26"/>
          <w:rtl w:val="0"/>
        </w:rPr>
        <w:t xml:space="preserve">Strategic Implications for the Flywheel</w:t>
      </w:r>
    </w:p>
    <w:p w:rsidR="00000000" w:rsidDel="00000000" w:rsidP="00000000" w:rsidRDefault="00000000" w:rsidRPr="00000000" w14:paraId="00000086">
      <w:pPr>
        <w:spacing w:after="240" w:before="240" w:lineRule="auto"/>
        <w:rPr>
          <w:b w:val="1"/>
          <w:bCs w:val="1"/>
          <w:sz w:val="20"/>
          <w:szCs w:val="20"/>
        </w:rPr>
      </w:pPr>
      <w:r w:rsidDel="00000000" w:rsidR="00000000" w:rsidRPr="00000000">
        <w:rPr>
          <w:b w:val="1"/>
          <w:bCs w:val="1"/>
          <w:sz w:val="20"/>
          <w:szCs w:val="20"/>
          <w:rtl w:val="0"/>
        </w:rPr>
        <w:t xml:space="preserve">This report strengthens the north star without dimming it. The performance gap is real and universal (our two rigs already prove it across Ryzen/Arc and old FX/RX hardware). The self-improving loop only compounds if we maintain permanent operational speed (not launch speed). Financial alignment must activate earlier than Phase 4 to close the vulnerability window — exactly as the tokenomics hybrid recommends (stable credits for base rewards, performance-weighted upside, net-emission caps).</w:t>
      </w:r>
    </w:p>
    <w:p w:rsidR="00000000" w:rsidDel="00000000" w:rsidP="00000000" w:rsidRDefault="00000000" w:rsidRPr="00000000" w14:paraId="00000087">
      <w:pPr>
        <w:spacing w:after="240" w:before="240" w:lineRule="auto"/>
        <w:rPr>
          <w:b w:val="1"/>
          <w:bCs w:val="1"/>
          <w:sz w:val="20"/>
          <w:szCs w:val="20"/>
        </w:rPr>
      </w:pPr>
      <w:r w:rsidDel="00000000" w:rsidR="00000000" w:rsidRPr="00000000">
        <w:rPr>
          <w:b w:val="1"/>
          <w:bCs w:val="1"/>
          <w:sz w:val="20"/>
          <w:szCs w:val="20"/>
          <w:rtl w:val="0"/>
        </w:rPr>
        <w:t xml:space="preserve">The three-pillar moat is now our guardrail: every decision must be scored on whether it accelerates execution tempo, creates vested contributors, or builds earned trust.</w:t>
      </w:r>
    </w:p>
    <w:p w:rsidR="00000000" w:rsidDel="00000000" w:rsidP="00000000" w:rsidRDefault="00000000" w:rsidRPr="00000000" w14:paraId="00000088">
      <w:pPr>
        <w:spacing w:after="100" w:lineRule="auto"/>
        <w:jc w:val="left"/>
        <w:rPr>
          <w:b w:val="1"/>
          <w:bCs w:val="1"/>
          <w:sz w:val="20"/>
          <w:szCs w:val="20"/>
        </w:rPr>
      </w:pPr>
      <w:r w:rsidDel="00000000" w:rsidR="00000000" w:rsidRPr="00000000">
        <w:rPr>
          <w:b w:val="1"/>
          <w:bCs w:val="1"/>
          <w:sz w:val="20"/>
          <w:szCs w:val="20"/>
          <w:rtl w:val="0"/>
        </w:rPr>
        <w:t xml:space="preserve">Recommended immediate additions to project files (for future quick access):</w:t>
      </w:r>
    </w:p>
    <w:p w:rsidR="00000000" w:rsidDel="00000000" w:rsidP="00000000" w:rsidRDefault="00000000" w:rsidRPr="00000000" w14:paraId="00000089">
      <w:pPr>
        <w:spacing w:after="240" w:before="240" w:lineRule="auto"/>
        <w:rPr>
          <w:b w:val="1"/>
          <w:bCs w:val="1"/>
          <w:sz w:val="20"/>
          <w:szCs w:val="20"/>
        </w:rPr>
      </w:pPr>
      <w:r w:rsidDel="00000000" w:rsidR="00000000" w:rsidRPr="00000000">
        <w:rPr>
          <w:b w:val="1"/>
          <w:bCs w:val="1"/>
          <w:sz w:val="20"/>
          <w:szCs w:val="20"/>
          <w:rtl w:val="0"/>
        </w:rPr>
        <w:t xml:space="preserve">Add a new appendix titled research-master-first-principles-analysis-2026-03.md containing the full report + this synthesis (especially the Product vs. Moat table and incentive timing recommendation). Also cross-link it in white-paper.md under Section 6 (Strategic Context) with a note: “First-principles moat validated March 2026 — database = asset; ecosystem dynamics = moat.”</w:t>
      </w:r>
    </w:p>
    <w:p w:rsidR="00000000" w:rsidDel="00000000" w:rsidP="00000000" w:rsidRDefault="00000000" w:rsidRPr="00000000" w14:paraId="0000008A">
      <w:pPr>
        <w:spacing w:after="240" w:before="240" w:lineRule="auto"/>
        <w:rPr>
          <w:b w:val="1"/>
          <w:bCs w:val="1"/>
          <w:sz w:val="20"/>
          <w:szCs w:val="20"/>
        </w:rPr>
      </w:pPr>
      <w:r w:rsidDel="00000000" w:rsidR="00000000" w:rsidRPr="00000000">
        <w:rPr>
          <w:b w:val="1"/>
          <w:bCs w:val="1"/>
          <w:sz w:val="20"/>
          <w:szCs w:val="20"/>
          <w:rtl w:val="0"/>
        </w:rPr>
        <w:t xml:space="preserve">Research Master assessment: High-confidence, high-utility document. It is now core canon. It sharpens execution discipline while protecting the recursive vision. No factual contradictions with GitHub state (rebrand complete, v0.8 ROCm auto-enable live, v1.5 data collection active, trusted fleet still pending).</w:t>
      </w:r>
    </w:p>
    <w:p w:rsidR="00000000" w:rsidDel="00000000" w:rsidP="00000000" w:rsidRDefault="00000000" w:rsidRPr="00000000" w14:paraId="0000008B">
      <w:pPr>
        <w:spacing w:after="100" w:lineRule="auto"/>
        <w:jc w:val="left"/>
        <w:rPr>
          <w:sz w:val="20"/>
          <w:szCs w:val="20"/>
        </w:rPr>
      </w:pPr>
      <w:r w:rsidDel="00000000" w:rsidR="00000000" w:rsidRPr="00000000">
        <w:rPr>
          <w:rtl w:val="0"/>
        </w:rPr>
      </w:r>
    </w:p>
    <w:sectPr>
      <w:headerReference r:id="rId6"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jc w:val="right"/>
      <w:rPr/>
    </w:pPr>
    <w:r w:rsidDel="00000000" w:rsidR="00000000" w:rsidRPr="00000000">
      <w:rPr>
        <w:rFonts w:ascii="Arial" w:cs="Arial" w:eastAsia="Arial" w:hAnsi="Arial"/>
        <w:i w:val="1"/>
        <w:iCs w:val="1"/>
        <w:color w:val="999999"/>
        <w:sz w:val="16"/>
        <w:szCs w:val="16"/>
        <w:rtl w:val="0"/>
      </w:rPr>
      <w:t xml:space="preserve">CursiveOS — First Principles Analysis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3a5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5d8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3a7bb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