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6D4BE" w14:textId="77777777" w:rsidR="002D0E71" w:rsidRDefault="002D0E71">
      <w:pPr>
        <w:pStyle w:val="Normal0"/>
        <w:sectPr w:rsidR="002D0E71">
          <w:headerReference w:type="even" r:id="rId6"/>
          <w:headerReference w:type="default" r:id="rId7"/>
          <w:footerReference w:type="even" r:id="rId8"/>
          <w:footerReference w:type="default" r:id="rId9"/>
          <w:headerReference w:type="first" r:id="rId10"/>
          <w:footerReference w:type="first" r:id="rId11"/>
          <w:pgSz w:w="12240" w:h="15840"/>
          <w:pgMar w:top="840" w:right="1000" w:bottom="840" w:left="1000" w:header="400" w:footer="400" w:gutter="0"/>
          <w:cols w:space="720"/>
          <w:titlePg/>
        </w:sectPr>
      </w:pPr>
    </w:p>
    <w:p w14:paraId="4E1C2FF9" w14:textId="77777777" w:rsidR="002D0E71" w:rsidRDefault="002D0E71">
      <w:pPr>
        <w:pStyle w:val="Normal0"/>
      </w:pPr>
    </w:p>
    <w:p w14:paraId="2A695114" w14:textId="77777777" w:rsidR="002D0E71" w:rsidRDefault="00000000">
      <w:pPr>
        <w:pStyle w:val="Heading1"/>
        <w:keepNext w:val="0"/>
        <w:widowControl w:val="0"/>
        <w:spacing w:after="200" w:line="340" w:lineRule="atLeast"/>
        <w:jc w:val="center"/>
      </w:pPr>
      <w:r>
        <w:rPr>
          <w:rFonts w:eastAsia="Arial"/>
          <w:color w:val="000000"/>
          <w:sz w:val="28"/>
        </w:rPr>
        <w:t>Thomas v. Salvation Army S. Terr.</w:t>
      </w:r>
    </w:p>
    <w:p w14:paraId="25583C24" w14:textId="77777777" w:rsidR="002D0E71" w:rsidRDefault="00000000">
      <w:pPr>
        <w:pStyle w:val="Normal0"/>
        <w:widowControl w:val="0"/>
        <w:spacing w:before="120" w:line="260" w:lineRule="atLeast"/>
        <w:jc w:val="center"/>
      </w:pPr>
      <w:r>
        <w:rPr>
          <w:rFonts w:ascii="Arial" w:eastAsia="Arial" w:hAnsi="Arial" w:cs="Arial"/>
          <w:color w:val="000000"/>
          <w:sz w:val="20"/>
        </w:rPr>
        <w:t>United States Court of Appeals for the Fourth Circuit</w:t>
      </w:r>
    </w:p>
    <w:p w14:paraId="4507FCAE" w14:textId="77777777" w:rsidR="002D0E71" w:rsidRDefault="00000000">
      <w:pPr>
        <w:pStyle w:val="Normal0"/>
        <w:widowControl w:val="0"/>
        <w:spacing w:before="120" w:line="260" w:lineRule="atLeast"/>
        <w:jc w:val="center"/>
      </w:pPr>
      <w:r>
        <w:rPr>
          <w:rFonts w:ascii="Arial" w:eastAsia="Arial" w:hAnsi="Arial" w:cs="Arial"/>
          <w:color w:val="000000"/>
          <w:sz w:val="20"/>
        </w:rPr>
        <w:t>September 21, 2016, Argued; November 8, 2016, Decided</w:t>
      </w:r>
    </w:p>
    <w:p w14:paraId="5E75839D" w14:textId="77777777" w:rsidR="002D0E71" w:rsidRDefault="00000000">
      <w:pPr>
        <w:pStyle w:val="Normal0"/>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14-2214</w:t>
      </w:r>
    </w:p>
    <w:p w14:paraId="5D470728" w14:textId="77777777" w:rsidR="002D0E71" w:rsidRDefault="002D0E71">
      <w:pPr>
        <w:pStyle w:val="Normal0"/>
        <w:widowControl w:val="0"/>
        <w:spacing w:line="240" w:lineRule="atLeast"/>
        <w:jc w:val="both"/>
      </w:pPr>
      <w:bookmarkStart w:id="0" w:name="Bookmark_1"/>
      <w:bookmarkEnd w:id="0"/>
    </w:p>
    <w:p w14:paraId="08EA83AB" w14:textId="77777777" w:rsidR="002D0E71" w:rsidRDefault="00000000">
      <w:pPr>
        <w:pStyle w:val="Normal0"/>
        <w:widowControl w:val="0"/>
        <w:spacing w:before="200" w:line="240" w:lineRule="atLeast"/>
      </w:pPr>
      <w:bookmarkStart w:id="1" w:name="Reporter"/>
      <w:bookmarkEnd w:id="1"/>
      <w:r>
        <w:rPr>
          <w:rFonts w:ascii="Arial" w:eastAsia="Arial" w:hAnsi="Arial" w:cs="Arial"/>
          <w:b/>
          <w:color w:val="000000"/>
          <w:sz w:val="18"/>
        </w:rPr>
        <w:t>Reporter</w:t>
      </w:r>
    </w:p>
    <w:p w14:paraId="27C9ED72" w14:textId="77777777" w:rsidR="002D0E71" w:rsidRDefault="00000000">
      <w:pPr>
        <w:pStyle w:val="Normal0"/>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841 F.3d 632 *; 2016 U.S. App. LEXIS 20149 **</w:t>
      </w:r>
    </w:p>
    <w:p w14:paraId="08A6FC58" w14:textId="77777777" w:rsidR="002D0E71" w:rsidRDefault="00000000">
      <w:pPr>
        <w:pStyle w:val="Normal0"/>
        <w:widowControl w:val="0"/>
        <w:spacing w:before="120" w:line="260" w:lineRule="atLeast"/>
      </w:pPr>
      <w:r>
        <w:rPr>
          <w:rFonts w:ascii="Arial" w:eastAsia="Arial" w:hAnsi="Arial" w:cs="Arial"/>
          <w:color w:val="000000"/>
          <w:sz w:val="20"/>
        </w:rPr>
        <w:t>SHARON T. THOMAS, Plaintiff - Appellant, v. THE SALVATION ARMY SOUTHERN TERRITORY; F. BRADFORD BAILEY; THE SALVATION ARMY; BOBBY LANCASTER; DERONDA METZ; BARBARA GREEN; VICTORY CHRISTIAN CENTER, INCORPORATED; CHURCH IN THE CITY MINISTRIES; CATHY DOE; FRIENDSHIP COMMUNITY DEVELOPMENT CORPORATION, My Sister's House Transitional Living Center; IRIS HUBBARD, Defendants - Appellees.</w:t>
      </w:r>
    </w:p>
    <w:p w14:paraId="092B6BDA" w14:textId="77777777" w:rsidR="002D0E71" w:rsidRDefault="00000000">
      <w:pPr>
        <w:pStyle w:val="Normal0"/>
        <w:widowControl w:val="0"/>
        <w:spacing w:before="240" w:line="260" w:lineRule="atLeast"/>
      </w:pPr>
      <w:bookmarkStart w:id="2" w:name="Subsequent_History"/>
      <w:bookmarkEnd w:id="2"/>
      <w:r>
        <w:rPr>
          <w:rFonts w:ascii="Arial" w:eastAsia="Arial" w:hAnsi="Arial" w:cs="Arial"/>
          <w:b/>
          <w:color w:val="000000"/>
          <w:sz w:val="20"/>
        </w:rPr>
        <w:t>Subsequent History:</w:t>
      </w:r>
      <w:r>
        <w:rPr>
          <w:rFonts w:ascii="Arial" w:eastAsia="Arial" w:hAnsi="Arial" w:cs="Arial"/>
          <w:color w:val="000000"/>
          <w:sz w:val="20"/>
        </w:rPr>
        <w:t> Related proceeding at Thomas v. Salvation Army S. Terr., 2019 U.S. Dist. LEXIS 26807 (W.D.N.C., Feb. 20, 2019)</w:t>
      </w:r>
    </w:p>
    <w:p w14:paraId="61D5404B" w14:textId="77777777" w:rsidR="002D0E71" w:rsidRDefault="00000000">
      <w:pPr>
        <w:pStyle w:val="Normal0"/>
        <w:widowControl w:val="0"/>
        <w:spacing w:before="240" w:line="260" w:lineRule="atLeast"/>
        <w:jc w:val="both"/>
      </w:pPr>
      <w:bookmarkStart w:id="3" w:name="Prior_History"/>
      <w:bookmarkEnd w:id="3"/>
      <w:r>
        <w:rPr>
          <w:rFonts w:ascii="Arial" w:eastAsia="Arial" w:hAnsi="Arial" w:cs="Arial"/>
          <w:b/>
          <w:color w:val="000000"/>
          <w:sz w:val="20"/>
        </w:rPr>
        <w:t>Prior History:</w:t>
      </w:r>
      <w:r>
        <w:rPr>
          <w:rFonts w:ascii="Arial" w:eastAsia="Arial" w:hAnsi="Arial" w:cs="Arial"/>
          <w:color w:val="000000"/>
          <w:sz w:val="20"/>
        </w:rPr>
        <w:t> </w:t>
      </w:r>
      <w:bookmarkStart w:id="4" w:name="Bookmark_para_1"/>
      <w:bookmarkEnd w:id="4"/>
      <w:r>
        <w:rPr>
          <w:rFonts w:ascii="Arial" w:eastAsia="Arial" w:hAnsi="Arial" w:cs="Arial"/>
          <w:color w:val="000000"/>
          <w:sz w:val="20"/>
        </w:rPr>
        <w:t> [**1] Appeal from the United States District Court for the Western District of North Carolina, at Charlotte. (3:14-cv-00403-RJC-DCK). Robert J. Conrad, Jr., District Judge.</w:t>
      </w:r>
    </w:p>
    <w:p w14:paraId="4D105CA1" w14:textId="77777777" w:rsidR="002D0E71" w:rsidRDefault="00000000">
      <w:pPr>
        <w:pStyle w:val="Normal0"/>
        <w:widowControl w:val="0"/>
        <w:spacing w:before="120" w:line="260" w:lineRule="atLeast"/>
      </w:pPr>
      <w:r>
        <w:rPr>
          <w:rFonts w:ascii="Arial" w:eastAsia="Arial" w:hAnsi="Arial" w:cs="Arial"/>
          <w:color w:val="000000"/>
          <w:sz w:val="20"/>
        </w:rPr>
        <w:t>Thomas v. Salvation Army S. Terr., 2014 U.S. Dist. LEXIS 200837 (W.D.N.C., Oct. 7, 2014)</w:t>
      </w:r>
    </w:p>
    <w:p w14:paraId="07BE6F19" w14:textId="77777777" w:rsidR="002D0E71" w:rsidRDefault="00000000">
      <w:pPr>
        <w:pStyle w:val="Normal0"/>
        <w:widowControl w:val="0"/>
        <w:spacing w:before="240" w:line="260" w:lineRule="atLeast"/>
        <w:jc w:val="both"/>
      </w:pPr>
      <w:bookmarkStart w:id="5" w:name="Disposition"/>
      <w:bookmarkEnd w:id="5"/>
      <w:r>
        <w:rPr>
          <w:rFonts w:ascii="Arial" w:eastAsia="Arial" w:hAnsi="Arial" w:cs="Arial"/>
          <w:b/>
          <w:color w:val="000000"/>
          <w:sz w:val="20"/>
        </w:rPr>
        <w:t>Disposition:</w:t>
      </w:r>
      <w:r>
        <w:rPr>
          <w:rFonts w:ascii="Arial" w:eastAsia="Arial" w:hAnsi="Arial" w:cs="Arial"/>
          <w:color w:val="000000"/>
          <w:sz w:val="20"/>
        </w:rPr>
        <w:t> </w:t>
      </w:r>
      <w:bookmarkStart w:id="6" w:name="Bookmark_clspara_4"/>
      <w:bookmarkEnd w:id="6"/>
      <w:r>
        <w:rPr>
          <w:rFonts w:ascii="Arial" w:eastAsia="Arial" w:hAnsi="Arial" w:cs="Arial"/>
          <w:color w:val="000000"/>
          <w:sz w:val="20"/>
        </w:rPr>
        <w:t>AFFIRMED AS MODIFIED.</w:t>
      </w:r>
    </w:p>
    <w:p w14:paraId="2FB8C70F" w14:textId="77777777" w:rsidR="002D0E71" w:rsidRDefault="00000000">
      <w:pPr>
        <w:pStyle w:val="Normal0"/>
        <w:widowControl w:val="0"/>
        <w:spacing w:before="240" w:line="260" w:lineRule="atLeast"/>
      </w:pPr>
      <w:bookmarkStart w:id="7" w:name="Counsel"/>
      <w:bookmarkEnd w:id="7"/>
      <w:r>
        <w:rPr>
          <w:rFonts w:ascii="Arial" w:eastAsia="Arial" w:hAnsi="Arial" w:cs="Arial"/>
          <w:b/>
          <w:color w:val="000000"/>
          <w:sz w:val="20"/>
        </w:rPr>
        <w:t>Counsel:</w:t>
      </w:r>
      <w:r>
        <w:rPr>
          <w:rFonts w:ascii="Arial" w:eastAsia="Arial" w:hAnsi="Arial" w:cs="Arial"/>
          <w:color w:val="000000"/>
          <w:sz w:val="20"/>
        </w:rPr>
        <w:t> ARGUED: Gregory Dolin, UNIVERSITY OF BALTIMORE SCHOOL OF LAW, Baltimore, Maryland, for Appellant.</w:t>
      </w:r>
    </w:p>
    <w:p w14:paraId="5EB94E08" w14:textId="77777777" w:rsidR="002D0E71" w:rsidRDefault="00000000">
      <w:pPr>
        <w:pStyle w:val="Normal0"/>
        <w:widowControl w:val="0"/>
        <w:spacing w:before="120" w:line="260" w:lineRule="atLeast"/>
      </w:pPr>
      <w:r>
        <w:rPr>
          <w:rFonts w:ascii="Arial" w:eastAsia="Arial" w:hAnsi="Arial" w:cs="Arial"/>
          <w:color w:val="000000"/>
          <w:sz w:val="20"/>
        </w:rPr>
        <w:t>Matthew David Lincoln, MOORE &amp; VAN ALLEN PLLC, Charlotte, North Carolina, for Appellees.</w:t>
      </w:r>
    </w:p>
    <w:p w14:paraId="05F382F8" w14:textId="77777777" w:rsidR="002D0E71" w:rsidRDefault="00000000">
      <w:pPr>
        <w:pStyle w:val="Normal0"/>
        <w:widowControl w:val="0"/>
        <w:spacing w:before="120" w:line="260" w:lineRule="atLeast"/>
      </w:pPr>
      <w:r>
        <w:rPr>
          <w:rFonts w:ascii="Arial" w:eastAsia="Arial" w:hAnsi="Arial" w:cs="Arial"/>
          <w:color w:val="000000"/>
          <w:sz w:val="20"/>
        </w:rPr>
        <w:t>ON BRIEF: Catherine Florea, Third Year Law Student, Marie Langlois, Second Year Law Student, UNIVERSITY OF BALTIMORE SCHOOL OF LAW, Baltimore, Maryland, for Appellant.</w:t>
      </w:r>
    </w:p>
    <w:p w14:paraId="69F41372" w14:textId="77777777" w:rsidR="002D0E71" w:rsidRDefault="00000000">
      <w:pPr>
        <w:pStyle w:val="Normal0"/>
        <w:widowControl w:val="0"/>
        <w:spacing w:before="240" w:line="260" w:lineRule="atLeast"/>
      </w:pPr>
      <w:bookmarkStart w:id="8" w:name="Judges"/>
      <w:bookmarkEnd w:id="8"/>
      <w:r>
        <w:rPr>
          <w:rFonts w:ascii="Arial" w:eastAsia="Arial" w:hAnsi="Arial" w:cs="Arial"/>
          <w:b/>
          <w:color w:val="000000"/>
          <w:sz w:val="20"/>
        </w:rPr>
        <w:t>Judges:</w:t>
      </w:r>
      <w:r>
        <w:rPr>
          <w:rFonts w:ascii="Arial" w:eastAsia="Arial" w:hAnsi="Arial" w:cs="Arial"/>
          <w:color w:val="000000"/>
          <w:sz w:val="20"/>
        </w:rPr>
        <w:t> Before WILKINSON and FLOYD, Circuit Judges, and Irene M. KEELEY, United States District Judge for the Northern District of West Virginia, sitting by designation. Judge Wilkinson wrote the opinion, in which Judge Floyd and Judge Keeley joined.</w:t>
      </w:r>
    </w:p>
    <w:p w14:paraId="539AF4D3" w14:textId="77777777" w:rsidR="002D0E71" w:rsidRDefault="00000000">
      <w:pPr>
        <w:pStyle w:val="Normal0"/>
        <w:widowControl w:val="0"/>
        <w:spacing w:before="240" w:line="260" w:lineRule="atLeast"/>
      </w:pPr>
      <w:bookmarkStart w:id="9" w:name="Opinion_by"/>
      <w:bookmarkEnd w:id="9"/>
      <w:r>
        <w:rPr>
          <w:rFonts w:ascii="Arial" w:eastAsia="Arial" w:hAnsi="Arial" w:cs="Arial"/>
          <w:b/>
          <w:color w:val="000000"/>
          <w:sz w:val="20"/>
        </w:rPr>
        <w:t>Opinion by:</w:t>
      </w:r>
      <w:r>
        <w:rPr>
          <w:rFonts w:ascii="Arial" w:eastAsia="Arial" w:hAnsi="Arial" w:cs="Arial"/>
          <w:color w:val="000000"/>
          <w:sz w:val="20"/>
        </w:rPr>
        <w:t> WILKINSON</w:t>
      </w:r>
    </w:p>
    <w:p w14:paraId="7AAF1884" w14:textId="77777777" w:rsidR="002D0E71" w:rsidRDefault="00000000">
      <w:pPr>
        <w:pStyle w:val="Normal0"/>
        <w:keepNext/>
        <w:widowControl w:val="0"/>
        <w:spacing w:before="240" w:line="340" w:lineRule="atLeast"/>
      </w:pPr>
      <w:bookmarkStart w:id="10" w:name="Opinion"/>
      <w:bookmarkEnd w:id="10"/>
      <w:r>
        <w:rPr>
          <w:rFonts w:ascii="Arial" w:eastAsia="Arial" w:hAnsi="Arial" w:cs="Arial"/>
          <w:b/>
          <w:color w:val="000000"/>
          <w:sz w:val="28"/>
        </w:rPr>
        <w:t>Opinion</w:t>
      </w:r>
    </w:p>
    <w:p w14:paraId="2A4C864D" w14:textId="69943C79" w:rsidR="002D0E71" w:rsidRDefault="002939DF">
      <w:pPr>
        <w:pStyle w:val="Normal0"/>
        <w:spacing w:line="60" w:lineRule="exact"/>
      </w:pPr>
      <w:r>
        <w:rPr>
          <w:noProof/>
        </w:rPr>
        <mc:AlternateContent>
          <mc:Choice Requires="wps">
            <w:drawing>
              <wp:anchor distT="0" distB="0" distL="114300" distR="114300" simplePos="0" relativeHeight="251658240" behindDoc="0" locked="0" layoutInCell="1" allowOverlap="1" wp14:anchorId="419870C0" wp14:editId="490896F6">
                <wp:simplePos x="0" y="0"/>
                <wp:positionH relativeFrom="column">
                  <wp:posOffset>0</wp:posOffset>
                </wp:positionH>
                <wp:positionV relativeFrom="paragraph">
                  <wp:posOffset>25400</wp:posOffset>
                </wp:positionV>
                <wp:extent cx="3187700" cy="0"/>
                <wp:effectExtent l="21590" t="12700" r="19685" b="15875"/>
                <wp:wrapTopAndBottom/>
                <wp:docPr id="1216130113"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89E107" id="Line 11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54C905AC" w14:textId="77777777" w:rsidR="002D0E71" w:rsidRDefault="002D0E71">
      <w:pPr>
        <w:pStyle w:val="Normal0"/>
      </w:pPr>
    </w:p>
    <w:p w14:paraId="3EEB7F2F" w14:textId="77777777" w:rsidR="002D0E71" w:rsidRDefault="00000000">
      <w:pPr>
        <w:pStyle w:val="Normal0"/>
        <w:widowControl w:val="0"/>
        <w:spacing w:before="200" w:line="260" w:lineRule="atLeast"/>
        <w:jc w:val="both"/>
      </w:pPr>
      <w:bookmarkStart w:id="11" w:name="Bookmark_para_2"/>
      <w:bookmarkEnd w:id="11"/>
      <w:r>
        <w:rPr>
          <w:rFonts w:ascii="Arial" w:eastAsia="Arial" w:hAnsi="Arial" w:cs="Arial"/>
          <w:color w:val="000000"/>
          <w:sz w:val="20"/>
        </w:rPr>
        <w:t> [*635]  WILKINSON, Circuit Judge:</w:t>
      </w:r>
    </w:p>
    <w:p w14:paraId="6B7B16E6" w14:textId="77777777" w:rsidR="002D0E71" w:rsidRDefault="00000000">
      <w:pPr>
        <w:pStyle w:val="Normal0"/>
        <w:widowControl w:val="0"/>
        <w:spacing w:before="200" w:line="260" w:lineRule="atLeast"/>
        <w:jc w:val="both"/>
      </w:pPr>
      <w:bookmarkStart w:id="12" w:name="Bookmark_para_3"/>
      <w:bookmarkEnd w:id="12"/>
      <w:r>
        <w:rPr>
          <w:rFonts w:ascii="Arial" w:eastAsia="Arial" w:hAnsi="Arial" w:cs="Arial"/>
          <w:color w:val="000000"/>
          <w:sz w:val="20"/>
        </w:rPr>
        <w:t>Sharon Thomas appeals the dismissal under 28 U.S.C. § 1915(e) of her claims against three charitable organizations, which she says unlawfully refused to admit her to homeless shelters because of her alleged mental health disability. We affirm the judgment of dismissal as modified to indicate that it be without prejudice.</w:t>
      </w:r>
    </w:p>
    <w:p w14:paraId="6C2A53D0" w14:textId="77777777" w:rsidR="002D0E71" w:rsidRDefault="00000000">
      <w:pPr>
        <w:pStyle w:val="Normal0"/>
        <w:widowControl w:val="0"/>
        <w:spacing w:before="120" w:line="260" w:lineRule="atLeast"/>
      </w:pPr>
      <w:r>
        <w:rPr>
          <w:rFonts w:ascii="Arial" w:eastAsia="Arial" w:hAnsi="Arial" w:cs="Arial"/>
          <w:color w:val="000000"/>
          <w:sz w:val="20"/>
        </w:rPr>
        <w:t>I.</w:t>
      </w:r>
    </w:p>
    <w:p w14:paraId="2EDE3FE2" w14:textId="77777777" w:rsidR="002D0E71" w:rsidRDefault="00000000">
      <w:pPr>
        <w:pStyle w:val="Normal0"/>
        <w:widowControl w:val="0"/>
        <w:spacing w:before="200" w:line="260" w:lineRule="atLeast"/>
        <w:jc w:val="both"/>
      </w:pPr>
      <w:bookmarkStart w:id="13" w:name="Bookmark_para_4"/>
      <w:bookmarkEnd w:id="13"/>
      <w:r>
        <w:rPr>
          <w:rFonts w:ascii="Arial" w:eastAsia="Arial" w:hAnsi="Arial" w:cs="Arial"/>
          <w:color w:val="000000"/>
          <w:sz w:val="20"/>
        </w:rPr>
        <w:t>Thomas was receiving behavioral health services from Monarch Mental Health Care, [**2]  a non-profit organization, when she became homeless on July 10, 2012. Monarch referred her to defendant Salvation Army. When she arrived at the Salvation Army shelter on July 12, 2012, Thomas completed some preliminary paperwork, agreed to follow the shelter's rules, and was admitted.</w:t>
      </w:r>
    </w:p>
    <w:p w14:paraId="1F459B8B" w14:textId="77777777" w:rsidR="002D0E71" w:rsidRDefault="00000000">
      <w:pPr>
        <w:pStyle w:val="Normal0"/>
        <w:widowControl w:val="0"/>
        <w:spacing w:before="200" w:line="260" w:lineRule="atLeast"/>
        <w:jc w:val="both"/>
      </w:pPr>
      <w:bookmarkStart w:id="14" w:name="Bookmark_para_5"/>
      <w:bookmarkEnd w:id="14"/>
      <w:r>
        <w:rPr>
          <w:rFonts w:ascii="Arial" w:eastAsia="Arial" w:hAnsi="Arial" w:cs="Arial"/>
          <w:color w:val="000000"/>
          <w:sz w:val="20"/>
        </w:rPr>
        <w:t>The Salvation Army shelter was crowded, and on July 16, a Salvation Army staff member informed Thomas that she would be transferred to defendant Church in the City, a shelter run by the third and final defendant, Victory Christian Center.</w:t>
      </w:r>
      <w:r>
        <w:rPr>
          <w:rFonts w:ascii="Arial" w:eastAsia="Arial" w:hAnsi="Arial" w:cs="Arial"/>
          <w:vertAlign w:val="superscript"/>
        </w:rPr>
        <w:footnoteReference w:customMarkFollows="1" w:id="1"/>
        <w:t>1</w:t>
      </w:r>
      <w:r>
        <w:rPr>
          <w:rFonts w:ascii="Arial" w:eastAsia="Arial" w:hAnsi="Arial" w:cs="Arial"/>
          <w:color w:val="000000"/>
          <w:sz w:val="20"/>
        </w:rPr>
        <w:t xml:space="preserve"> During an intake interview with a Church in the City nurse, Thomas disclosed her mental health issues. In her complaint, Thomas describes Church in the City as having strict rules and as being "very clean and quiet." J.A. 13. Thomas stayed at Church in the City for almost a month before being evicted, and she claims that she followed all of the shelter's rules during her stay.</w:t>
      </w:r>
    </w:p>
    <w:p w14:paraId="4C6CE030" w14:textId="77777777" w:rsidR="002D0E71" w:rsidRDefault="00000000">
      <w:pPr>
        <w:pStyle w:val="Normal0"/>
        <w:widowControl w:val="0"/>
        <w:spacing w:before="200" w:line="260" w:lineRule="atLeast"/>
        <w:jc w:val="both"/>
      </w:pPr>
      <w:bookmarkStart w:id="18" w:name="Bookmark_para_6"/>
      <w:bookmarkEnd w:id="18"/>
      <w:r>
        <w:rPr>
          <w:rFonts w:ascii="Arial" w:eastAsia="Arial" w:hAnsi="Arial" w:cs="Arial"/>
          <w:color w:val="000000"/>
          <w:sz w:val="20"/>
        </w:rPr>
        <w:t>While at Church in the City, Thomas visited the Salvation Army shelter twice. First, on July 19, Thomas completed the Salvation Army's official intake assessment paperwork. In this paperwork, Thomas disclosed that she was receiving behavioral mental health services and authorized the release of some medical information to the Salvation Army. Second, on July 31, Thomas went to the Salvation Army to see a doctor to get medication. Thomas does not specify what medication she was receiving, but she notes that the doctor referred her to a behavioral health center. On the same visit, Thomas met with her Salvation Army case manager. The meeting included a discussion of Thomas's mental health issues.</w:t>
      </w:r>
    </w:p>
    <w:p w14:paraId="07E1703A" w14:textId="77777777" w:rsidR="002D0E71" w:rsidRDefault="00000000">
      <w:pPr>
        <w:pStyle w:val="Normal0"/>
        <w:widowControl w:val="0"/>
        <w:spacing w:before="200" w:line="260" w:lineRule="atLeast"/>
        <w:jc w:val="both"/>
      </w:pPr>
      <w:bookmarkStart w:id="19" w:name="Bookmark_para_7"/>
      <w:bookmarkEnd w:id="19"/>
      <w:r>
        <w:rPr>
          <w:rFonts w:ascii="Arial" w:eastAsia="Arial" w:hAnsi="Arial" w:cs="Arial"/>
          <w:color w:val="000000"/>
          <w:sz w:val="20"/>
        </w:rPr>
        <w:t>Thomas's problems with the shelters began on August 12, when Church in the  [*636]  City evicted her. The shelter did not give Thomas a reason for her ejection. Another woman was evicted at the same time for missing the shelter's curfew, though Thomas avers that she never missed curfew. Thomas's complaint notes that she had been given additional chores the day before — cleaning [**4]  three showers instead of two — by a volunteer who had, a few weeks earlier, told Thomas not to question the Bible during a Bible study class.</w:t>
      </w:r>
    </w:p>
    <w:p w14:paraId="6E9B0BED" w14:textId="77777777" w:rsidR="002D0E71" w:rsidRDefault="00000000">
      <w:pPr>
        <w:pStyle w:val="Normal0"/>
        <w:widowControl w:val="0"/>
        <w:spacing w:before="200" w:line="260" w:lineRule="atLeast"/>
        <w:jc w:val="both"/>
      </w:pPr>
      <w:bookmarkStart w:id="20" w:name="Bookmark_para_8"/>
      <w:bookmarkEnd w:id="20"/>
      <w:r>
        <w:rPr>
          <w:rFonts w:ascii="Arial" w:eastAsia="Arial" w:hAnsi="Arial" w:cs="Arial"/>
          <w:color w:val="000000"/>
          <w:sz w:val="20"/>
        </w:rPr>
        <w:t>From August 12 through August 15, Thomas tried and failed to be admitted to the Salvation Army shelter a number of times. Immediately after being ejected from Church in the City, Thomas went to the Salvation Army shelter. She was told that she would not be allowed to stay there if she had been ejected from Church in the City. That same day, Thomas was hospitalized for chest pains, and a hospital social worker called the Salvation Army on her behalf. The social worker was informed that Thomas's Salvation Army case worker had decided that Thomas would not be admitted to the Salvation Army shelter.</w:t>
      </w:r>
    </w:p>
    <w:p w14:paraId="4D257F67" w14:textId="77777777" w:rsidR="002D0E71" w:rsidRDefault="00000000">
      <w:pPr>
        <w:pStyle w:val="Normal0"/>
        <w:widowControl w:val="0"/>
        <w:spacing w:before="200" w:line="260" w:lineRule="atLeast"/>
        <w:jc w:val="both"/>
      </w:pPr>
      <w:bookmarkStart w:id="21" w:name="Bookmark_para_9"/>
      <w:bookmarkEnd w:id="21"/>
      <w:r>
        <w:rPr>
          <w:rFonts w:ascii="Arial" w:eastAsia="Arial" w:hAnsi="Arial" w:cs="Arial"/>
          <w:color w:val="000000"/>
          <w:sz w:val="20"/>
        </w:rPr>
        <w:t>Thomas herself called the Salvation Army twice the next day, August 13. On the first phone call, Thomas's case manager told her that she had been ejected from Church in the City for violating curfew. This call ended after Thomas accused her case manager of acting unethically. On the second phone call, the director of the Salvation Army shelter told Thomas she had been ejected from Church in the City because she was not a good fit.</w:t>
      </w:r>
    </w:p>
    <w:p w14:paraId="32957972" w14:textId="77777777" w:rsidR="002D0E71" w:rsidRDefault="00000000">
      <w:pPr>
        <w:pStyle w:val="Normal0"/>
        <w:widowControl w:val="0"/>
        <w:spacing w:before="200" w:line="260" w:lineRule="atLeast"/>
        <w:jc w:val="both"/>
      </w:pPr>
      <w:bookmarkStart w:id="22" w:name="Bookmark_para_10"/>
      <w:bookmarkEnd w:id="22"/>
      <w:r>
        <w:rPr>
          <w:rFonts w:ascii="Arial" w:eastAsia="Arial" w:hAnsi="Arial" w:cs="Arial"/>
          <w:color w:val="000000"/>
          <w:sz w:val="20"/>
        </w:rPr>
        <w:t>The following night, August [**5]  14, Thomas had nowhere to stay and went to the police department for help. Two police officers escorted her to the Salvation Army shelter, where she was again denied entry. This time, a staff member told Thomas that the director of the shelter had instructed her not to let Thomas stay. The staff member did not give a specific reason for that instruction but apparently believed it was due to mental health issues and that if Thomas received a mental health evaluation, she would be admitted to the shelter. Thomas went to a psychiatric emergency room and was examined by a psychiatrist. The next day, August 15, Thomas returned to the Salvation Army shelter with her psychiatric discharge papers. She was again refused admission to the shelter, though this time Thomas was not given a reason for the denial.</w:t>
      </w:r>
    </w:p>
    <w:p w14:paraId="2B60DAE3" w14:textId="77777777" w:rsidR="002D0E71" w:rsidRDefault="00000000">
      <w:pPr>
        <w:pStyle w:val="Normal0"/>
        <w:widowControl w:val="0"/>
        <w:spacing w:before="200" w:line="260" w:lineRule="atLeast"/>
        <w:jc w:val="both"/>
      </w:pPr>
      <w:bookmarkStart w:id="23" w:name="Bookmark_para_11"/>
      <w:bookmarkEnd w:id="23"/>
      <w:r>
        <w:rPr>
          <w:rFonts w:ascii="Arial" w:eastAsia="Arial" w:hAnsi="Arial" w:cs="Arial"/>
          <w:color w:val="000000"/>
          <w:sz w:val="20"/>
        </w:rPr>
        <w:t>Thomas does not allege that she sought admission at the Salvation Army shelter after August 15, but she did continue to seek an answer for why she had been denied admission. On September 12, 2012, she received an email from the Area Commander for the Salvation Army, explaining that he had investigated her case and that the denial of services was justified because Thomas had "exhibited disrespect [**6]  and hostility toward the staff." J.A. 21. The Area Commander offered shelter if Thomas submitted to "a mental health evaluation and stabilization services from" a behavioral mental health organization. J.A. 21. In response, Thomas requested records of her stay and of the Salvation Army's relationship with Church in the City. On October 23, 2012, Thomas received an email from another Salvation Army employee, denying her request for records.</w:t>
      </w:r>
    </w:p>
    <w:p w14:paraId="3DBA1374" w14:textId="77777777" w:rsidR="002D0E71" w:rsidRDefault="00000000">
      <w:pPr>
        <w:pStyle w:val="Normal0"/>
        <w:widowControl w:val="0"/>
        <w:spacing w:before="200" w:line="260" w:lineRule="atLeast"/>
        <w:jc w:val="both"/>
      </w:pPr>
      <w:bookmarkStart w:id="24" w:name="Bookmark_para_12"/>
      <w:bookmarkEnd w:id="24"/>
      <w:r>
        <w:rPr>
          <w:rFonts w:ascii="Arial" w:eastAsia="Arial" w:hAnsi="Arial" w:cs="Arial"/>
          <w:color w:val="000000"/>
          <w:sz w:val="20"/>
        </w:rPr>
        <w:t>Nearly two years later, on July 24, 2014, Thomas filed this action in the Western District of North Carolina, moving to proceed in forma pauperis. The district court granted Thomas's motion. In the same order, however, the district court dismissed all of Thomas's claims under 28 U.S.C. § 1915(e)(2)(B)(ii) for failure to state a claim on which relief could be granted. In addition, the district court warned Thomas that if she continued to file meritless lawsuits, it would require her to show cause as to why the court should not enter a pre-filing  [*637]  injunction against her. Thomas now appeals.</w:t>
      </w:r>
    </w:p>
    <w:p w14:paraId="26890C94" w14:textId="77777777" w:rsidR="002D0E71" w:rsidRDefault="00000000">
      <w:pPr>
        <w:pStyle w:val="Normal0"/>
        <w:widowControl w:val="0"/>
        <w:spacing w:before="120" w:line="260" w:lineRule="atLeast"/>
      </w:pPr>
      <w:r>
        <w:rPr>
          <w:rFonts w:ascii="Arial" w:eastAsia="Arial" w:hAnsi="Arial" w:cs="Arial"/>
          <w:color w:val="000000"/>
          <w:sz w:val="20"/>
        </w:rPr>
        <w:t>II.</w:t>
      </w:r>
    </w:p>
    <w:p w14:paraId="72B44F85" w14:textId="77777777" w:rsidR="002D0E71" w:rsidRDefault="00000000">
      <w:pPr>
        <w:pStyle w:val="Normal0"/>
        <w:widowControl w:val="0"/>
        <w:spacing w:before="200" w:line="260" w:lineRule="atLeast"/>
        <w:jc w:val="both"/>
      </w:pPr>
      <w:bookmarkStart w:id="25" w:name="Bookmark_para_13"/>
      <w:bookmarkStart w:id="26" w:name="Bookmark_I5M9JXJT2N1RHW0040000400"/>
      <w:bookmarkStart w:id="27" w:name="Bookmark_I5M9JXJT2SF7VB0010000400"/>
      <w:bookmarkEnd w:id="25"/>
      <w:bookmarkEnd w:id="26"/>
      <w:bookmarkEnd w:id="27"/>
      <w:r>
        <w:rPr>
          <w:rFonts w:ascii="Arial" w:eastAsia="Arial" w:hAnsi="Arial" w:cs="Arial"/>
          <w:color w:val="000000"/>
          <w:sz w:val="20"/>
        </w:rPr>
        <w:t xml:space="preserve">Thomas challenges the dismissal of her claims under 42 U.S.C. § 1983, 42 U.S.C. § 1985, the Americans with Disabilities Act ("ADA"), the Fair Housing Act ("FHA"), and the Rehabilitation Act. The district court dismissed these [**7]  claims under 28 U.S.C. § 1915(e)(2)(B)(ii). </w:t>
      </w:r>
      <w:bookmarkStart w:id="28" w:name="Bookmark_I6RKC3G741400002PVC000M9"/>
      <w:bookmarkStart w:id="29" w:name="Bookmark_I6RKC3G78H600002PVC000MC"/>
      <w:bookmarkStart w:id="30" w:name="Bookmark_I5M9JXJT2SF7VB0030000400"/>
      <w:bookmarkStart w:id="31" w:name="Bookmark_LNHNREFclscc1"/>
      <w:bookmarkEnd w:id="28"/>
      <w:bookmarkEnd w:id="29"/>
      <w:bookmarkEnd w:id="30"/>
      <w:bookmarkEnd w:id="31"/>
      <w:r>
        <w:rPr>
          <w:rFonts w:ascii="Arial" w:eastAsia="Arial" w:hAnsi="Arial" w:cs="Arial"/>
          <w:color w:val="000000"/>
          <w:sz w:val="20"/>
        </w:rPr>
        <w:t xml:space="preserve">"The standards for reviewing a dismissal under § 1915(e)(2)(B)(ii) are the same as those for reviewing a dismissal under Federal Rule of Civil Procedure 12(b)(6)." </w:t>
      </w:r>
      <w:bookmarkStart w:id="32" w:name="Bookmark_I5M9JXJT2N1RHW0030000400"/>
      <w:bookmarkEnd w:id="32"/>
      <w:r>
        <w:rPr>
          <w:rFonts w:ascii="Arial" w:eastAsia="Arial" w:hAnsi="Arial" w:cs="Arial"/>
          <w:color w:val="000000"/>
          <w:sz w:val="20"/>
          <w:u w:val="single"/>
        </w:rPr>
        <w:t>De'Lonta v. Angelone</w:t>
      </w:r>
      <w:r>
        <w:rPr>
          <w:rFonts w:ascii="Arial" w:eastAsia="Arial" w:hAnsi="Arial" w:cs="Arial"/>
          <w:color w:val="000000"/>
          <w:sz w:val="20"/>
        </w:rPr>
        <w:t xml:space="preserve">, 330 F.3d 630, 633 (4th Cir. 2003). Thus, we review this dismissal de novo and accept pleaded facts as true. </w:t>
      </w:r>
      <w:bookmarkStart w:id="33" w:name="Bookmark_I5M9JXJT2N1RHW0050000400"/>
      <w:bookmarkEnd w:id="33"/>
      <w:r>
        <w:rPr>
          <w:rFonts w:ascii="Arial" w:eastAsia="Arial" w:hAnsi="Arial" w:cs="Arial"/>
          <w:color w:val="000000"/>
          <w:sz w:val="20"/>
          <w:u w:val="single"/>
        </w:rPr>
        <w:t>King v. Rubenstein</w:t>
      </w:r>
      <w:r>
        <w:rPr>
          <w:rFonts w:ascii="Arial" w:eastAsia="Arial" w:hAnsi="Arial" w:cs="Arial"/>
          <w:color w:val="000000"/>
          <w:sz w:val="20"/>
        </w:rPr>
        <w:t xml:space="preserve">, 825 F.3d 206, 212, 214 (4th Cir. 2016). </w:t>
      </w:r>
      <w:bookmarkStart w:id="34" w:name="Bookmark_I5M9JXJT2SF7VB0030000400_2"/>
      <w:bookmarkEnd w:id="34"/>
      <w:r>
        <w:rPr>
          <w:rFonts w:ascii="Arial" w:eastAsia="Arial" w:hAnsi="Arial" w:cs="Arial"/>
          <w:color w:val="000000"/>
          <w:sz w:val="20"/>
        </w:rPr>
        <w:t xml:space="preserve">While we construe allegations in a pro se complaint liberally, a complaint still "must contain 'enough facts to state a claim for relief that is plausible on its face.'" </w:t>
      </w:r>
      <w:bookmarkStart w:id="35" w:name="Bookmark_I5M9JXJT2SF7VB0020000400"/>
      <w:bookmarkEnd w:id="35"/>
      <w:r>
        <w:rPr>
          <w:rFonts w:ascii="Arial" w:eastAsia="Arial" w:hAnsi="Arial" w:cs="Arial"/>
          <w:color w:val="000000"/>
          <w:sz w:val="20"/>
          <w:u w:val="single"/>
        </w:rPr>
        <w:t>Id.</w:t>
      </w:r>
      <w:r>
        <w:rPr>
          <w:rFonts w:ascii="Arial" w:eastAsia="Arial" w:hAnsi="Arial" w:cs="Arial"/>
          <w:color w:val="000000"/>
          <w:sz w:val="20"/>
        </w:rPr>
        <w:t xml:space="preserve"> at 214 (quoting </w:t>
      </w:r>
      <w:bookmarkStart w:id="36" w:name="Bookmark_I5M9JXJT2SF7VB0040000400"/>
      <w:bookmarkEnd w:id="36"/>
      <w:r>
        <w:rPr>
          <w:rFonts w:ascii="Arial" w:eastAsia="Arial" w:hAnsi="Arial" w:cs="Arial"/>
          <w:color w:val="000000"/>
          <w:sz w:val="20"/>
          <w:u w:val="single"/>
        </w:rPr>
        <w:t>Bell Atl. Corp. v. Twombly</w:t>
      </w:r>
      <w:r>
        <w:rPr>
          <w:rFonts w:ascii="Arial" w:eastAsia="Arial" w:hAnsi="Arial" w:cs="Arial"/>
          <w:color w:val="000000"/>
          <w:sz w:val="20"/>
        </w:rPr>
        <w:t>, 550 U.S. 544, 570, 127 S. Ct. 1955, 167 L. Ed. 2d 929 (2007)). We shall address each of Thomas's various claims in turn.</w:t>
      </w:r>
      <w:r>
        <w:rPr>
          <w:rFonts w:ascii="Arial" w:eastAsia="Arial" w:hAnsi="Arial" w:cs="Arial"/>
          <w:vertAlign w:val="superscript"/>
        </w:rPr>
        <w:footnoteReference w:customMarkFollows="1" w:id="2"/>
        <w:t>2</w:t>
      </w:r>
    </w:p>
    <w:p w14:paraId="0A5BA5A5" w14:textId="77777777" w:rsidR="002D0E71" w:rsidRDefault="00000000">
      <w:pPr>
        <w:pStyle w:val="Normal0"/>
        <w:widowControl w:val="0"/>
        <w:spacing w:before="120" w:line="260" w:lineRule="atLeast"/>
      </w:pPr>
      <w:r>
        <w:rPr>
          <w:rFonts w:ascii="Arial" w:eastAsia="Arial" w:hAnsi="Arial" w:cs="Arial"/>
          <w:color w:val="000000"/>
          <w:sz w:val="20"/>
        </w:rPr>
        <w:t>A.</w:t>
      </w:r>
    </w:p>
    <w:p w14:paraId="78EE5606" w14:textId="77777777" w:rsidR="002D0E71" w:rsidRDefault="00000000">
      <w:pPr>
        <w:pStyle w:val="Normal0"/>
        <w:widowControl w:val="0"/>
        <w:spacing w:before="200" w:line="260" w:lineRule="atLeast"/>
        <w:jc w:val="both"/>
      </w:pPr>
      <w:bookmarkStart w:id="40" w:name="Bookmark_para_14"/>
      <w:bookmarkStart w:id="41" w:name="Bookmark_I4P0R8CX24600109K2K000PN"/>
      <w:bookmarkStart w:id="42" w:name="Bookmark_I5M9JXJT2HM6W60040000400"/>
      <w:bookmarkStart w:id="43" w:name="Bookmark_I5M9JXJT2N1RHX0010000400"/>
      <w:bookmarkEnd w:id="40"/>
      <w:bookmarkEnd w:id="41"/>
      <w:bookmarkEnd w:id="42"/>
      <w:bookmarkEnd w:id="43"/>
      <w:r>
        <w:rPr>
          <w:rFonts w:ascii="Arial" w:eastAsia="Arial" w:hAnsi="Arial" w:cs="Arial"/>
          <w:color w:val="000000"/>
          <w:sz w:val="20"/>
        </w:rPr>
        <w:t>Thomas's § 1983 claim cannot proceed because none of the defendants are state actors.</w:t>
      </w:r>
      <w:bookmarkStart w:id="44" w:name="Bookmark_LNHNREFclscc2"/>
      <w:bookmarkEnd w:id="44"/>
      <w:r>
        <w:rPr>
          <w:rFonts w:ascii="Arial" w:eastAsia="Arial" w:hAnsi="Arial" w:cs="Arial"/>
          <w:color w:val="000000"/>
          <w:sz w:val="20"/>
        </w:rPr>
        <w:t xml:space="preserve"> </w:t>
      </w:r>
      <w:bookmarkStart w:id="45" w:name="Bookmark_I5M9JXJT2N1RHX0030000400"/>
      <w:bookmarkEnd w:id="45"/>
      <w:r>
        <w:rPr>
          <w:rFonts w:ascii="Arial" w:eastAsia="Arial" w:hAnsi="Arial" w:cs="Arial"/>
          <w:color w:val="000000"/>
          <w:sz w:val="20"/>
        </w:rPr>
        <w:t xml:space="preserve">To state a claim under § 1983, a plaintiff must allege that he was "deprived of a right secured by the Constitution or laws of the United States, and that the alleged deprivation was committed under color of state law." </w:t>
      </w:r>
      <w:bookmarkStart w:id="46" w:name="Bookmark_I5M9JXJT2HM6W60030000400"/>
      <w:bookmarkEnd w:id="46"/>
      <w:r>
        <w:rPr>
          <w:rFonts w:ascii="Arial" w:eastAsia="Arial" w:hAnsi="Arial" w:cs="Arial"/>
          <w:color w:val="000000"/>
          <w:sz w:val="20"/>
          <w:u w:val="single"/>
        </w:rPr>
        <w:t>Am. Mfrs. Mut. Ins. Co. v. Sullivan</w:t>
      </w:r>
      <w:r>
        <w:rPr>
          <w:rFonts w:ascii="Arial" w:eastAsia="Arial" w:hAnsi="Arial" w:cs="Arial"/>
          <w:color w:val="000000"/>
          <w:sz w:val="20"/>
        </w:rPr>
        <w:t xml:space="preserve">, 526 U.S. 40, 49-50, 119 S. Ct. 977, 143 L. Ed. 2d 130 (1999). The color of law requirement "excludes from its reach merely private conduct, no matter how discriminatory or wrongful." [**8]  </w:t>
      </w:r>
      <w:bookmarkStart w:id="47" w:name="Bookmark_I5M9JXJT2HM6W60050000400"/>
      <w:bookmarkEnd w:id="47"/>
      <w:r>
        <w:rPr>
          <w:rFonts w:ascii="Arial" w:eastAsia="Arial" w:hAnsi="Arial" w:cs="Arial"/>
          <w:color w:val="000000"/>
          <w:sz w:val="20"/>
          <w:u w:val="single"/>
        </w:rPr>
        <w:t>Id.</w:t>
      </w:r>
      <w:r>
        <w:rPr>
          <w:rFonts w:ascii="Arial" w:eastAsia="Arial" w:hAnsi="Arial" w:cs="Arial"/>
          <w:color w:val="000000"/>
          <w:sz w:val="20"/>
        </w:rPr>
        <w:t xml:space="preserve"> at 50 (internal quotations omitted). </w:t>
      </w:r>
      <w:bookmarkStart w:id="48" w:name="Bookmark_I5M9JXJT2N1RHX0030000400_2"/>
      <w:bookmarkEnd w:id="48"/>
      <w:r>
        <w:rPr>
          <w:rFonts w:ascii="Arial" w:eastAsia="Arial" w:hAnsi="Arial" w:cs="Arial"/>
          <w:color w:val="000000"/>
          <w:sz w:val="20"/>
        </w:rPr>
        <w:t xml:space="preserve">In rare cases, the state can "so dominate[] [private] activity as to convert it to state action." </w:t>
      </w:r>
      <w:bookmarkStart w:id="49" w:name="Bookmark_I5M9JXJT2N1RHX0020000400"/>
      <w:bookmarkEnd w:id="49"/>
      <w:r>
        <w:rPr>
          <w:rFonts w:ascii="Arial" w:eastAsia="Arial" w:hAnsi="Arial" w:cs="Arial"/>
          <w:color w:val="000000"/>
          <w:sz w:val="20"/>
          <w:u w:val="single"/>
        </w:rPr>
        <w:t>Philips v. Pitt Cnty. Mem'l Hosp.</w:t>
      </w:r>
      <w:r>
        <w:rPr>
          <w:rFonts w:ascii="Arial" w:eastAsia="Arial" w:hAnsi="Arial" w:cs="Arial"/>
          <w:color w:val="000000"/>
          <w:sz w:val="20"/>
        </w:rPr>
        <w:t>, 572 F.3d 176, 181 (4th Cir. 2009). The defendants here are three private charities, and Thomas has not alleged any facts that even remotely suggest that defendants' actions were attributable to the state. Without state action, Thomas has no § 1983 claim.</w:t>
      </w:r>
    </w:p>
    <w:p w14:paraId="6A670F06" w14:textId="77777777" w:rsidR="002D0E71" w:rsidRDefault="00000000">
      <w:pPr>
        <w:pStyle w:val="Normal0"/>
        <w:widowControl w:val="0"/>
        <w:spacing w:before="120" w:line="260" w:lineRule="atLeast"/>
      </w:pPr>
      <w:r>
        <w:rPr>
          <w:rFonts w:ascii="Arial" w:eastAsia="Arial" w:hAnsi="Arial" w:cs="Arial"/>
          <w:color w:val="000000"/>
          <w:sz w:val="20"/>
        </w:rPr>
        <w:t>B.</w:t>
      </w:r>
    </w:p>
    <w:p w14:paraId="0EB85A49" w14:textId="77777777" w:rsidR="002D0E71" w:rsidRDefault="00000000">
      <w:pPr>
        <w:pStyle w:val="Normal0"/>
        <w:widowControl w:val="0"/>
        <w:spacing w:before="200" w:line="260" w:lineRule="atLeast"/>
        <w:jc w:val="both"/>
      </w:pPr>
      <w:bookmarkStart w:id="50" w:name="Bookmark_para_15"/>
      <w:bookmarkEnd w:id="50"/>
      <w:r>
        <w:rPr>
          <w:rFonts w:ascii="Arial" w:eastAsia="Arial" w:hAnsi="Arial" w:cs="Arial"/>
          <w:color w:val="000000"/>
          <w:sz w:val="20"/>
        </w:rPr>
        <w:t xml:space="preserve">Thomas's § 1985 claim of a civil conspiracy between the Salvation Army and Church in the City must also be dismissed because there are no allegations to support the existence of any conspiracy. </w:t>
      </w:r>
      <w:bookmarkStart w:id="51" w:name="Bookmark_I4P0R8CX5YB00109K2K000PP"/>
      <w:bookmarkStart w:id="52" w:name="Bookmark_I5M9JXJT2N1RHX0050000400"/>
      <w:bookmarkStart w:id="53" w:name="Bookmark_LNHNREFclscc3"/>
      <w:bookmarkEnd w:id="51"/>
      <w:bookmarkEnd w:id="52"/>
      <w:bookmarkEnd w:id="53"/>
      <w:r>
        <w:rPr>
          <w:rFonts w:ascii="Arial" w:eastAsia="Arial" w:hAnsi="Arial" w:cs="Arial"/>
          <w:color w:val="000000"/>
          <w:sz w:val="20"/>
        </w:rPr>
        <w:t>To bring a claim under 42 U.S.C. § 1985, a plaintiff must show:</w:t>
      </w:r>
    </w:p>
    <w:p w14:paraId="516C54B9" w14:textId="77777777" w:rsidR="002D0E71" w:rsidRDefault="00000000">
      <w:pPr>
        <w:pStyle w:val="Normal0"/>
        <w:widowControl w:val="0"/>
        <w:spacing w:before="200" w:line="260" w:lineRule="atLeast"/>
        <w:ind w:left="400"/>
        <w:jc w:val="both"/>
      </w:pPr>
      <w:bookmarkStart w:id="54" w:name="Bookmark_para_16"/>
      <w:bookmarkStart w:id="55" w:name="Bookmark_I5M9JXJT2N1RHX0050000400_2"/>
      <w:bookmarkEnd w:id="54"/>
      <w:bookmarkEnd w:id="55"/>
      <w:r>
        <w:rPr>
          <w:rFonts w:ascii="Arial" w:eastAsia="Arial" w:hAnsi="Arial" w:cs="Arial"/>
          <w:color w:val="000000"/>
          <w:sz w:val="20"/>
        </w:rPr>
        <w:t>(1) a conspiracy of two or more persons, (2) who are motivated by a specific class-based, invidiously discriminatory animus to (3) deprive the plaintiff of the equal enjoyment of rights secured by the law to all, (4) and which results in injury to the plaintiff as (5) a consequence of an overt act committed by the defendants in connection with the conspiracy.</w:t>
      </w:r>
    </w:p>
    <w:p w14:paraId="43FB0B82" w14:textId="77777777" w:rsidR="002D0E71" w:rsidRDefault="00000000">
      <w:pPr>
        <w:pStyle w:val="Normal0"/>
        <w:widowControl w:val="0"/>
        <w:spacing w:before="200" w:line="260" w:lineRule="atLeast"/>
        <w:jc w:val="both"/>
      </w:pPr>
      <w:bookmarkStart w:id="56" w:name="Bookmark_I5M9JXJT2N1RHX0050000400_3"/>
      <w:bookmarkStart w:id="57" w:name="Bookmark_I5M9JXJT2HM6W70020000400"/>
      <w:bookmarkStart w:id="58" w:name="Bookmark_I5M9JXJT2N1RHX0040000400"/>
      <w:bookmarkEnd w:id="56"/>
      <w:bookmarkEnd w:id="57"/>
      <w:bookmarkEnd w:id="58"/>
      <w:r>
        <w:rPr>
          <w:rFonts w:ascii="Arial" w:eastAsia="Arial" w:hAnsi="Arial" w:cs="Arial"/>
          <w:color w:val="000000"/>
          <w:sz w:val="20"/>
          <w:u w:val="single"/>
        </w:rPr>
        <w:t>Simmons v. Poe</w:t>
      </w:r>
      <w:r>
        <w:rPr>
          <w:rFonts w:ascii="Arial" w:eastAsia="Arial" w:hAnsi="Arial" w:cs="Arial"/>
          <w:color w:val="000000"/>
          <w:sz w:val="20"/>
        </w:rPr>
        <w:t xml:space="preserve">, 47 F.3d 1370, 1376 (4th Cir. 1995). </w:t>
      </w:r>
      <w:bookmarkStart w:id="59" w:name="Bookmark_I5M9JXJT2HM6W70020000400_2"/>
      <w:bookmarkEnd w:id="59"/>
      <w:r>
        <w:rPr>
          <w:rFonts w:ascii="Arial" w:eastAsia="Arial" w:hAnsi="Arial" w:cs="Arial"/>
          <w:color w:val="000000"/>
          <w:sz w:val="20"/>
        </w:rPr>
        <w:t xml:space="preserve">Allegations of "parallel conduct and a bare assertion of a conspiracy" are not enough for a claim to proceed. </w:t>
      </w:r>
      <w:bookmarkStart w:id="60" w:name="Bookmark_I5M9JXJT2HM6W70010000400"/>
      <w:bookmarkEnd w:id="60"/>
      <w:r>
        <w:rPr>
          <w:rFonts w:ascii="Arial" w:eastAsia="Arial" w:hAnsi="Arial" w:cs="Arial"/>
          <w:color w:val="000000"/>
          <w:sz w:val="20"/>
          <w:u w:val="single"/>
        </w:rPr>
        <w:t>A Soc'y Without A Name v. Virginia</w:t>
      </w:r>
      <w:r>
        <w:rPr>
          <w:rFonts w:ascii="Arial" w:eastAsia="Arial" w:hAnsi="Arial" w:cs="Arial"/>
          <w:color w:val="000000"/>
          <w:sz w:val="20"/>
        </w:rPr>
        <w:t xml:space="preserve">, 655 F.3d 342, 347 (4th Cir. 2011) (quoting </w:t>
      </w:r>
      <w:bookmarkStart w:id="61" w:name="Bookmark_I5M9JXJT2HM6W70030000400"/>
      <w:bookmarkEnd w:id="61"/>
      <w:r>
        <w:rPr>
          <w:rFonts w:ascii="Arial" w:eastAsia="Arial" w:hAnsi="Arial" w:cs="Arial"/>
          <w:color w:val="000000"/>
          <w:sz w:val="20"/>
          <w:u w:val="single"/>
        </w:rPr>
        <w:t>Twombly</w:t>
      </w:r>
      <w:r>
        <w:rPr>
          <w:rFonts w:ascii="Arial" w:eastAsia="Arial" w:hAnsi="Arial" w:cs="Arial"/>
          <w:color w:val="000000"/>
          <w:sz w:val="20"/>
        </w:rPr>
        <w:t>, 550 U.S. at 556).</w:t>
      </w:r>
    </w:p>
    <w:p w14:paraId="10F54CF3" w14:textId="77777777" w:rsidR="002D0E71" w:rsidRDefault="00000000">
      <w:pPr>
        <w:pStyle w:val="Normal0"/>
        <w:widowControl w:val="0"/>
        <w:spacing w:before="200" w:line="260" w:lineRule="atLeast"/>
        <w:jc w:val="both"/>
      </w:pPr>
      <w:bookmarkStart w:id="62" w:name="Bookmark_para_17"/>
      <w:bookmarkEnd w:id="62"/>
      <w:r>
        <w:rPr>
          <w:rFonts w:ascii="Arial" w:eastAsia="Arial" w:hAnsi="Arial" w:cs="Arial"/>
          <w:color w:val="000000"/>
          <w:sz w:val="20"/>
        </w:rPr>
        <w:t> [*638]  Thomas provides no facts to suggest that the Salvation Army and Church in the City conspired to do anything, much less to deprive her [**9]  of rights because of her alleged mental disability. For example, Thomas claims that her Salvation Army identification badge included a mention of Church in the City and that she was told she could not return to the Salvation Army after being evicted from Church in the City. But these facts do not show any coordination or conspiracy — they simply show two charities working to help the same population of homeless people in Charlotte. Thomas's complaint offers only conclusory allegations that the Salvation Army conspired with Church in the City, and that is not enough to proceed on a claim under § 1985.</w:t>
      </w:r>
    </w:p>
    <w:p w14:paraId="2D95CE23" w14:textId="77777777" w:rsidR="002D0E71" w:rsidRDefault="00000000">
      <w:pPr>
        <w:pStyle w:val="Normal0"/>
        <w:widowControl w:val="0"/>
        <w:spacing w:before="120" w:line="260" w:lineRule="atLeast"/>
      </w:pPr>
      <w:r>
        <w:rPr>
          <w:rFonts w:ascii="Arial" w:eastAsia="Arial" w:hAnsi="Arial" w:cs="Arial"/>
          <w:color w:val="000000"/>
          <w:sz w:val="20"/>
        </w:rPr>
        <w:t>C.</w:t>
      </w:r>
    </w:p>
    <w:p w14:paraId="6711CF9B" w14:textId="77777777" w:rsidR="002D0E71" w:rsidRDefault="00000000">
      <w:pPr>
        <w:pStyle w:val="Normal0"/>
        <w:widowControl w:val="0"/>
        <w:spacing w:before="200" w:line="260" w:lineRule="atLeast"/>
        <w:jc w:val="both"/>
      </w:pPr>
      <w:bookmarkStart w:id="63" w:name="Bookmark_para_18"/>
      <w:bookmarkStart w:id="64" w:name="Bookmark_I5M9JXJT2N1RHY0010000400"/>
      <w:bookmarkStart w:id="65" w:name="Bookmark_I4P0R8CXKDS00109K2K000PT"/>
      <w:bookmarkStart w:id="66" w:name="Bookmark_I5M9JXJT2N1RHY0030000400"/>
      <w:bookmarkEnd w:id="63"/>
      <w:bookmarkEnd w:id="64"/>
      <w:bookmarkEnd w:id="65"/>
      <w:bookmarkEnd w:id="66"/>
      <w:r>
        <w:rPr>
          <w:rFonts w:ascii="Arial" w:eastAsia="Arial" w:hAnsi="Arial" w:cs="Arial"/>
          <w:color w:val="000000"/>
          <w:sz w:val="20"/>
        </w:rPr>
        <w:t xml:space="preserve">Thomas also raises a claim under the Americans with Disabilities Act but lacks standing to bring it. </w:t>
      </w:r>
      <w:bookmarkStart w:id="67" w:name="Bookmark_LNHNREFclscc4"/>
      <w:bookmarkEnd w:id="67"/>
      <w:r>
        <w:rPr>
          <w:rFonts w:ascii="Arial" w:eastAsia="Arial" w:hAnsi="Arial" w:cs="Arial"/>
          <w:color w:val="000000"/>
          <w:sz w:val="20"/>
        </w:rPr>
        <w:t xml:space="preserve">Title III of the ADA prevents discrimination on the basis of a disability in places of public accommodation. 42 U.S.C. § 12182. It provides a private right of action for injunctive relief but no right of action for monetary relief. 42 U.S.C. § 12188; </w:t>
      </w:r>
      <w:r>
        <w:rPr>
          <w:rFonts w:ascii="Arial" w:eastAsia="Arial" w:hAnsi="Arial" w:cs="Arial"/>
          <w:color w:val="000000"/>
          <w:sz w:val="20"/>
          <w:u w:val="single"/>
        </w:rPr>
        <w:t xml:space="preserve">see also </w:t>
      </w:r>
      <w:bookmarkStart w:id="68" w:name="Bookmark_I5M9JXJT2HM6W70050000400"/>
      <w:bookmarkEnd w:id="68"/>
      <w:r>
        <w:rPr>
          <w:rFonts w:ascii="Arial" w:eastAsia="Arial" w:hAnsi="Arial" w:cs="Arial"/>
          <w:color w:val="000000"/>
          <w:sz w:val="20"/>
          <w:u w:val="single"/>
        </w:rPr>
        <w:t>Ervine v. Desert View Reg'l Med. Ctr. Holdings, LLC</w:t>
      </w:r>
      <w:r>
        <w:rPr>
          <w:rFonts w:ascii="Arial" w:eastAsia="Arial" w:hAnsi="Arial" w:cs="Arial"/>
          <w:color w:val="000000"/>
          <w:sz w:val="20"/>
        </w:rPr>
        <w:t xml:space="preserve">, 753 F.3d 862, 867 (9th Cir. 2014) ("Damages are not an available remedy to individuals under Title III of the ADA; individuals may receive only injunctive relief."). Injunctive relief, however, "is unavailable absent a showing of irreparable injury, a requirement that cannot be met where there is no showing [**10]  of any real or immediate threat that the plaintiff will be wronged again." </w:t>
      </w:r>
      <w:bookmarkStart w:id="69" w:name="Bookmark_I5M9JXJT2N1RHY0020000400"/>
      <w:bookmarkEnd w:id="69"/>
      <w:r>
        <w:rPr>
          <w:rFonts w:ascii="Arial" w:eastAsia="Arial" w:hAnsi="Arial" w:cs="Arial"/>
          <w:color w:val="000000"/>
          <w:sz w:val="20"/>
          <w:u w:val="single"/>
        </w:rPr>
        <w:t>City of Los Angeles v. Lyons</w:t>
      </w:r>
      <w:r>
        <w:rPr>
          <w:rFonts w:ascii="Arial" w:eastAsia="Arial" w:hAnsi="Arial" w:cs="Arial"/>
          <w:color w:val="000000"/>
          <w:sz w:val="20"/>
        </w:rPr>
        <w:t>, 461 U.S. 95, 111, 103 S. Ct. 1660, 75 L. Ed. 2d 675 (1983).</w:t>
      </w:r>
    </w:p>
    <w:p w14:paraId="315664AC" w14:textId="77777777" w:rsidR="002D0E71" w:rsidRDefault="00000000">
      <w:pPr>
        <w:pStyle w:val="Normal0"/>
        <w:widowControl w:val="0"/>
        <w:spacing w:before="200" w:line="260" w:lineRule="atLeast"/>
        <w:jc w:val="both"/>
      </w:pPr>
      <w:bookmarkStart w:id="70" w:name="Bookmark_para_19"/>
      <w:bookmarkEnd w:id="70"/>
      <w:r>
        <w:rPr>
          <w:rFonts w:ascii="Arial" w:eastAsia="Arial" w:hAnsi="Arial" w:cs="Arial"/>
          <w:color w:val="000000"/>
          <w:sz w:val="20"/>
        </w:rPr>
        <w:t>Thomas fails to show any real or immediate threat that she will be wronged again. Any denial of access to the shelters occurred almost two years before Thomas filed this action. Her complaint does not allege that she is still homeless or that the defendants would still deny her access to the shelters because of her disability. Moreover, Thomas indicates that she filed her complaint "due [to] the persistent and distressing memories and thoughts about the experiences of abuse and discrimination," J.A. 24, not to prevent future discrimination. Without the threat of future harm, Thomas is not entitled to injunctive relief and thus has no valid claim under Title III of the ADA.</w:t>
      </w:r>
    </w:p>
    <w:p w14:paraId="5A60DB85" w14:textId="77777777" w:rsidR="002D0E71" w:rsidRDefault="00000000">
      <w:pPr>
        <w:pStyle w:val="Normal0"/>
        <w:widowControl w:val="0"/>
        <w:spacing w:before="200" w:line="260" w:lineRule="atLeast"/>
        <w:jc w:val="both"/>
      </w:pPr>
      <w:bookmarkStart w:id="71" w:name="Bookmark_para_20"/>
      <w:bookmarkStart w:id="72" w:name="Bookmark_I5M9JXJT2N1RHY0050000400"/>
      <w:bookmarkStart w:id="73" w:name="Bookmark_I5M9JXJT2D6MXT0020000400"/>
      <w:bookmarkEnd w:id="71"/>
      <w:bookmarkEnd w:id="72"/>
      <w:bookmarkEnd w:id="73"/>
      <w:r>
        <w:rPr>
          <w:rFonts w:ascii="Arial" w:eastAsia="Arial" w:hAnsi="Arial" w:cs="Arial"/>
          <w:color w:val="000000"/>
          <w:sz w:val="20"/>
        </w:rPr>
        <w:t xml:space="preserve">In dismissing Thomas's ADA claim for failure to exhaust administrative remedies, the district court erred by characterizing her claim as an employment claim under Title I of the ADA. The district court was correct that </w:t>
      </w:r>
      <w:bookmarkStart w:id="74" w:name="Bookmark_LNHNREFclscc5"/>
      <w:bookmarkEnd w:id="74"/>
      <w:r>
        <w:rPr>
          <w:rFonts w:ascii="Arial" w:eastAsia="Arial" w:hAnsi="Arial" w:cs="Arial"/>
          <w:color w:val="000000"/>
          <w:sz w:val="20"/>
        </w:rPr>
        <w:t xml:space="preserve">Title I requires a plaintiff to exhaust administrative remedies by filing a charge with the Equal Employment Opportunity Commission before pursuing litigation in federal court. 42 U.S.C. § 12117; </w:t>
      </w:r>
      <w:r>
        <w:rPr>
          <w:rFonts w:ascii="Arial" w:eastAsia="Arial" w:hAnsi="Arial" w:cs="Arial"/>
          <w:color w:val="000000"/>
          <w:sz w:val="20"/>
          <w:u w:val="single"/>
        </w:rPr>
        <w:t xml:space="preserve">see also </w:t>
      </w:r>
      <w:bookmarkStart w:id="75" w:name="Bookmark_I5M9JXJT2N1RHY0040000400"/>
      <w:bookmarkEnd w:id="75"/>
      <w:r>
        <w:rPr>
          <w:rFonts w:ascii="Arial" w:eastAsia="Arial" w:hAnsi="Arial" w:cs="Arial"/>
          <w:color w:val="000000"/>
          <w:sz w:val="20"/>
          <w:u w:val="single"/>
        </w:rPr>
        <w:t>Sydnor v. Fairfax Cnty.</w:t>
      </w:r>
      <w:r>
        <w:rPr>
          <w:rFonts w:ascii="Arial" w:eastAsia="Arial" w:hAnsi="Arial" w:cs="Arial"/>
          <w:color w:val="000000"/>
          <w:sz w:val="20"/>
        </w:rPr>
        <w:t xml:space="preserve">, 681 F.3d 591, 593 (4th Cir. 2012). </w:t>
      </w:r>
      <w:bookmarkStart w:id="76" w:name="Bookmark_I4P0R8CXSHM00109K2K000PV"/>
      <w:bookmarkStart w:id="77" w:name="Bookmark_I5M9JXJT2D6MXT0040000400"/>
      <w:bookmarkEnd w:id="76"/>
      <w:bookmarkEnd w:id="77"/>
      <w:r>
        <w:rPr>
          <w:rFonts w:ascii="Arial" w:eastAsia="Arial" w:hAnsi="Arial" w:cs="Arial"/>
          <w:color w:val="000000"/>
          <w:sz w:val="20"/>
        </w:rPr>
        <w:t xml:space="preserve">But because Thomas's claims do not [**11]  concern her employment, they do not fall under Title I and thus are not subject to the administrative exhaustion requirement. </w:t>
      </w:r>
      <w:bookmarkStart w:id="78" w:name="Bookmark_I5M9JXJT2D6MXT0010000400"/>
      <w:bookmarkEnd w:id="78"/>
      <w:r>
        <w:rPr>
          <w:rFonts w:ascii="Arial" w:eastAsia="Arial" w:hAnsi="Arial" w:cs="Arial"/>
          <w:color w:val="000000"/>
          <w:sz w:val="20"/>
          <w:u w:val="single"/>
        </w:rPr>
        <w:t>McInerney v. Rensselaer Polytechnic Inst.</w:t>
      </w:r>
      <w:r>
        <w:rPr>
          <w:rFonts w:ascii="Arial" w:eastAsia="Arial" w:hAnsi="Arial" w:cs="Arial"/>
          <w:color w:val="000000"/>
          <w:sz w:val="20"/>
        </w:rPr>
        <w:t xml:space="preserve">, 505 F.3d 135, 138 (2d Cir. 2007) (per curiam) ("Title III, unlike Title I, does not require administrative exhaustion."). </w:t>
      </w:r>
      <w:bookmarkStart w:id="79" w:name="Bookmark_I5M9JXJT2D6MXT0040000400_2"/>
      <w:bookmarkEnd w:id="79"/>
      <w:r>
        <w:rPr>
          <w:rFonts w:ascii="Arial" w:eastAsia="Arial" w:hAnsi="Arial" w:cs="Arial"/>
          <w:color w:val="000000"/>
          <w:sz w:val="20"/>
        </w:rPr>
        <w:t xml:space="preserve">Nonetheless, we may affirm the district court on alternate grounds, </w:t>
      </w:r>
      <w:bookmarkStart w:id="80" w:name="Bookmark_I5M9JXJT2D6MXT0030000400"/>
      <w:bookmarkEnd w:id="80"/>
      <w:r>
        <w:rPr>
          <w:rFonts w:ascii="Arial" w:eastAsia="Arial" w:hAnsi="Arial" w:cs="Arial"/>
          <w:color w:val="000000"/>
          <w:sz w:val="20"/>
          <w:u w:val="single"/>
        </w:rPr>
        <w:t>Cochran v. Morris</w:t>
      </w:r>
      <w:r>
        <w:rPr>
          <w:rFonts w:ascii="Arial" w:eastAsia="Arial" w:hAnsi="Arial" w:cs="Arial"/>
          <w:color w:val="000000"/>
          <w:sz w:val="20"/>
        </w:rPr>
        <w:t>, 73 F.3d 1310, 1315 (4th Cir. 1996) (en banc), and we have done so here.</w:t>
      </w:r>
    </w:p>
    <w:p w14:paraId="50D270A1" w14:textId="77777777" w:rsidR="002D0E71" w:rsidRDefault="00000000">
      <w:pPr>
        <w:pStyle w:val="Normal0"/>
        <w:widowControl w:val="0"/>
        <w:spacing w:before="200" w:line="260" w:lineRule="atLeast"/>
        <w:jc w:val="both"/>
      </w:pPr>
      <w:bookmarkStart w:id="81" w:name="Bookmark_para_21"/>
      <w:bookmarkStart w:id="82" w:name="Bookmark_I5M9JXJT28T4660010000400"/>
      <w:bookmarkEnd w:id="81"/>
      <w:bookmarkEnd w:id="82"/>
      <w:r>
        <w:rPr>
          <w:rFonts w:ascii="Arial" w:eastAsia="Arial" w:hAnsi="Arial" w:cs="Arial"/>
          <w:color w:val="000000"/>
          <w:sz w:val="20"/>
        </w:rPr>
        <w:t xml:space="preserve">In her original complaint, Thomas cites the sections of the ADA that comprise Title II. </w:t>
      </w:r>
      <w:bookmarkStart w:id="83" w:name="Bookmark_LNHNREFclscc6"/>
      <w:bookmarkEnd w:id="83"/>
      <w:r>
        <w:rPr>
          <w:rFonts w:ascii="Arial" w:eastAsia="Arial" w:hAnsi="Arial" w:cs="Arial"/>
          <w:color w:val="000000"/>
          <w:sz w:val="20"/>
        </w:rPr>
        <w:t xml:space="preserve">Title II, however, applies only to "the services, programs, or activities of a public entity." 42 U.S.C. § 12132; </w:t>
      </w:r>
      <w:r>
        <w:rPr>
          <w:rFonts w:ascii="Arial" w:eastAsia="Arial" w:hAnsi="Arial" w:cs="Arial"/>
          <w:color w:val="000000"/>
          <w:sz w:val="20"/>
          <w:u w:val="single"/>
        </w:rPr>
        <w:t xml:space="preserve">see also </w:t>
      </w:r>
      <w:bookmarkStart w:id="84" w:name="Bookmark_I5M9JXJT2D6MXT0050000400"/>
      <w:bookmarkEnd w:id="84"/>
      <w:r>
        <w:rPr>
          <w:rFonts w:ascii="Arial" w:eastAsia="Arial" w:hAnsi="Arial" w:cs="Arial"/>
          <w:color w:val="000000"/>
          <w:sz w:val="20"/>
          <w:u w:val="single"/>
        </w:rPr>
        <w:t>Pa. Dep't of Corr. v. Yeskey</w:t>
      </w:r>
      <w:r>
        <w:rPr>
          <w:rFonts w:ascii="Arial" w:eastAsia="Arial" w:hAnsi="Arial" w:cs="Arial"/>
          <w:color w:val="000000"/>
          <w:sz w:val="20"/>
        </w:rPr>
        <w:t>, 524 U.S. 206, 209, 118 S. Ct. 1952, 141 L. Ed. 2d 215 (1998). None of the defendants here are  [*639]  public entities, so Thomas cannot proceed under Title II of the ADA either.</w:t>
      </w:r>
    </w:p>
    <w:p w14:paraId="3437BF3C" w14:textId="77777777" w:rsidR="002D0E71" w:rsidRDefault="00000000">
      <w:pPr>
        <w:pStyle w:val="Normal0"/>
        <w:widowControl w:val="0"/>
        <w:spacing w:before="120" w:line="260" w:lineRule="atLeast"/>
      </w:pPr>
      <w:r>
        <w:rPr>
          <w:rFonts w:ascii="Arial" w:eastAsia="Arial" w:hAnsi="Arial" w:cs="Arial"/>
          <w:color w:val="000000"/>
          <w:sz w:val="20"/>
        </w:rPr>
        <w:t>D.</w:t>
      </w:r>
    </w:p>
    <w:p w14:paraId="59B0261B" w14:textId="77777777" w:rsidR="002D0E71" w:rsidRDefault="00000000">
      <w:pPr>
        <w:pStyle w:val="Normal0"/>
        <w:widowControl w:val="0"/>
        <w:spacing w:before="200" w:line="260" w:lineRule="atLeast"/>
        <w:jc w:val="both"/>
      </w:pPr>
      <w:bookmarkStart w:id="85" w:name="Bookmark_para_22"/>
      <w:bookmarkEnd w:id="85"/>
      <w:r>
        <w:rPr>
          <w:rFonts w:ascii="Arial" w:eastAsia="Arial" w:hAnsi="Arial" w:cs="Arial"/>
          <w:color w:val="000000"/>
          <w:sz w:val="20"/>
        </w:rPr>
        <w:t>Thomas's FHA claim was properly dismissed because her complaint does not contain a plausible allegation of discrimination. As relevant here,</w:t>
      </w:r>
      <w:bookmarkStart w:id="86" w:name="Bookmark_LNHNREFclscc7"/>
      <w:bookmarkEnd w:id="86"/>
      <w:r>
        <w:rPr>
          <w:rFonts w:ascii="Arial" w:eastAsia="Arial" w:hAnsi="Arial" w:cs="Arial"/>
          <w:color w:val="000000"/>
          <w:sz w:val="20"/>
        </w:rPr>
        <w:t xml:space="preserve"> the FHA makes it unlawful to "make unavailable or deny . . . a dwelling to any buyer or renter because of a handicap," 42 U.S.C. § 3604(f)(1), or to "discriminate against any person in the terms, conditions, or privileges of sale or rental of a dwelling . . . because of a handicap." 42 U.S.C. § 3604(f)(2). </w:t>
      </w:r>
      <w:bookmarkStart w:id="87" w:name="Bookmark_I4P0R8CY25X00109K2K001PB"/>
      <w:bookmarkStart w:id="88" w:name="Bookmark_I4P0R8CY61200109K2K001PC"/>
      <w:bookmarkStart w:id="89" w:name="Bookmark_I5M9JXJT28T4660030000400"/>
      <w:bookmarkEnd w:id="87"/>
      <w:bookmarkEnd w:id="88"/>
      <w:bookmarkEnd w:id="89"/>
      <w:r>
        <w:rPr>
          <w:rFonts w:ascii="Arial" w:eastAsia="Arial" w:hAnsi="Arial" w:cs="Arial"/>
          <w:color w:val="000000"/>
          <w:sz w:val="20"/>
        </w:rPr>
        <w:t xml:space="preserve">A handicap is "a physical or mental impairment which substantially limits one or more of such person's major life activities." 42 U.S.C. § 3602(h). The Salvation Army argues that homeless [**12]  shelters are not covered under § 3604(f) because the residents are not buyers or renters and because a homeless shelter does not meet the definition of a dwelling under the FHA. Courts have differed on these points. </w:t>
      </w:r>
      <w:r>
        <w:rPr>
          <w:rFonts w:ascii="Arial" w:eastAsia="Arial" w:hAnsi="Arial" w:cs="Arial"/>
          <w:color w:val="000000"/>
          <w:sz w:val="20"/>
          <w:u w:val="single"/>
        </w:rPr>
        <w:t xml:space="preserve">See, e.g., </w:t>
      </w:r>
      <w:bookmarkStart w:id="90" w:name="Bookmark_I5M9JXJT28T4660020000400"/>
      <w:bookmarkEnd w:id="90"/>
      <w:r>
        <w:rPr>
          <w:rFonts w:ascii="Arial" w:eastAsia="Arial" w:hAnsi="Arial" w:cs="Arial"/>
          <w:color w:val="000000"/>
          <w:sz w:val="20"/>
          <w:u w:val="single"/>
        </w:rPr>
        <w:t>Hunter ex rel. A.H. v. D.C.</w:t>
      </w:r>
      <w:r>
        <w:rPr>
          <w:rFonts w:ascii="Arial" w:eastAsia="Arial" w:hAnsi="Arial" w:cs="Arial"/>
          <w:color w:val="000000"/>
          <w:sz w:val="20"/>
        </w:rPr>
        <w:t xml:space="preserve">, 64 F. Supp. 3d 158, 177 (D.D.C. 2014) (homeless shelter is a dwelling under the FHA); </w:t>
      </w:r>
      <w:bookmarkStart w:id="91" w:name="Bookmark_I5M9JXJT28T4660040000400"/>
      <w:bookmarkEnd w:id="91"/>
      <w:r>
        <w:rPr>
          <w:rFonts w:ascii="Arial" w:eastAsia="Arial" w:hAnsi="Arial" w:cs="Arial"/>
          <w:color w:val="000000"/>
          <w:sz w:val="20"/>
          <w:u w:val="single"/>
        </w:rPr>
        <w:t>Intermountain Fair Hous. Council v. Boise Rescue Mission Ministries</w:t>
      </w:r>
      <w:r>
        <w:rPr>
          <w:rFonts w:ascii="Arial" w:eastAsia="Arial" w:hAnsi="Arial" w:cs="Arial"/>
          <w:color w:val="000000"/>
          <w:sz w:val="20"/>
        </w:rPr>
        <w:t xml:space="preserve">, 717 F. Supp. 2d 1101, 1109 (D. Idaho 2010), </w:t>
      </w:r>
      <w:r>
        <w:rPr>
          <w:rFonts w:ascii="Arial" w:eastAsia="Arial" w:hAnsi="Arial" w:cs="Arial"/>
          <w:color w:val="000000"/>
          <w:sz w:val="20"/>
          <w:u w:val="single"/>
        </w:rPr>
        <w:t>aff'd on other grounds</w:t>
      </w:r>
      <w:r>
        <w:rPr>
          <w:rFonts w:ascii="Arial" w:eastAsia="Arial" w:hAnsi="Arial" w:cs="Arial"/>
          <w:color w:val="000000"/>
          <w:sz w:val="20"/>
        </w:rPr>
        <w:t>, 657 F.3d 988 (9th Cir. 2011) (homeless shelter is not a dwelling under the FHA). We see no need to reach these questions here because Thomas's complaint independently suffers from serious defects, as discussed below.</w:t>
      </w:r>
    </w:p>
    <w:p w14:paraId="55B2B452" w14:textId="77777777" w:rsidR="002D0E71" w:rsidRDefault="00000000">
      <w:pPr>
        <w:pStyle w:val="Normal0"/>
        <w:widowControl w:val="0"/>
        <w:spacing w:before="200" w:line="260" w:lineRule="atLeast"/>
        <w:jc w:val="both"/>
      </w:pPr>
      <w:bookmarkStart w:id="92" w:name="Bookmark_para_23"/>
      <w:bookmarkEnd w:id="92"/>
      <w:r>
        <w:rPr>
          <w:rFonts w:ascii="Arial" w:eastAsia="Arial" w:hAnsi="Arial" w:cs="Arial"/>
          <w:color w:val="000000"/>
          <w:sz w:val="20"/>
        </w:rPr>
        <w:t xml:space="preserve">One such defect is that Thomas's complaint fails to adequately identify her mental disability. Thomas provides limited evidence in her complaint that she has some type of mental illness — she received care from a behavioral health organization, she had an appointment with a doctor, and she was on medication. </w:t>
      </w:r>
      <w:bookmarkStart w:id="93" w:name="Bookmark_I5M9JXJT2SF7VD0020000400"/>
      <w:bookmarkEnd w:id="93"/>
      <w:r>
        <w:rPr>
          <w:rFonts w:ascii="Arial" w:eastAsia="Arial" w:hAnsi="Arial" w:cs="Arial"/>
          <w:color w:val="000000"/>
          <w:sz w:val="20"/>
        </w:rPr>
        <w:t xml:space="preserve">In her informal appellate brief, Thomas specifies her mental illness as a mood disorder. This evidence, though, does not suggest that her mental illness is a handicap covered by the FHA. Moreover, Thomas alleges that she was "mentally stable" and that the mental evaluation requested by the Salvation Army was "unnecessary." J.A. 5, 20. These facts do not give rise to a "reasonable inference," </w:t>
      </w:r>
      <w:bookmarkStart w:id="94" w:name="Bookmark_I5M9JXJT2SF7VD0010000400"/>
      <w:bookmarkEnd w:id="94"/>
      <w:r>
        <w:rPr>
          <w:rFonts w:ascii="Arial" w:eastAsia="Arial" w:hAnsi="Arial" w:cs="Arial"/>
          <w:color w:val="000000"/>
          <w:sz w:val="20"/>
          <w:u w:val="single"/>
        </w:rPr>
        <w:t>Ashcroft v. Iqbal</w:t>
      </w:r>
      <w:r>
        <w:rPr>
          <w:rFonts w:ascii="Arial" w:eastAsia="Arial" w:hAnsi="Arial" w:cs="Arial"/>
          <w:color w:val="000000"/>
          <w:sz w:val="20"/>
        </w:rPr>
        <w:t>, 556 U.S. 662, 678, 129 S. Ct. 1937, 173 L. Ed. 2d 868 (2009), that Thomas [**13]  is handicapped under the FHA.</w:t>
      </w:r>
    </w:p>
    <w:p w14:paraId="43BC97D0" w14:textId="77777777" w:rsidR="002D0E71" w:rsidRDefault="00000000">
      <w:pPr>
        <w:pStyle w:val="Normal0"/>
        <w:widowControl w:val="0"/>
        <w:spacing w:before="200" w:line="260" w:lineRule="atLeast"/>
        <w:jc w:val="both"/>
      </w:pPr>
      <w:bookmarkStart w:id="95" w:name="Bookmark_para_24"/>
      <w:bookmarkEnd w:id="95"/>
      <w:r>
        <w:rPr>
          <w:rFonts w:ascii="Arial" w:eastAsia="Arial" w:hAnsi="Arial" w:cs="Arial"/>
          <w:color w:val="000000"/>
          <w:sz w:val="20"/>
        </w:rPr>
        <w:t xml:space="preserve">Another defect is that Thomas's complaint does not draw a sufficient nexus of causation between whatever mental illness she may have and the defendants' actions. To state a claim under the FHA, Thomas must show that the defendants denied her housing "because of" her handicap. 42 U.S.C. § 3604(f)(1). Thomas's allegation against Church in the City on this point is purely conclusory. </w:t>
      </w:r>
      <w:bookmarkStart w:id="96" w:name="Bookmark_I5M9JXJT2SF7VD0040000400"/>
      <w:bookmarkEnd w:id="96"/>
      <w:r>
        <w:rPr>
          <w:rFonts w:ascii="Arial" w:eastAsia="Arial" w:hAnsi="Arial" w:cs="Arial"/>
          <w:color w:val="000000"/>
          <w:sz w:val="20"/>
        </w:rPr>
        <w:t xml:space="preserve">Church in the City did not give Thomas a reason for the denial of shelter, and nothing in Thomas's complaint suggests that the denial was because of her alleged mental disability. While Thomas's allegations against the Salvation Army are somewhat more detailed, the complaint does not make a plausible allegation that the Salvation Army unlawfully denied Thomas shelter "because of" a mental disability. Even when construed liberally and with all reasonable inferences made in Thomas's favor, </w:t>
      </w:r>
      <w:bookmarkStart w:id="97" w:name="Bookmark_I5M9JXJT2SF7VD0030000400"/>
      <w:bookmarkEnd w:id="97"/>
      <w:r>
        <w:rPr>
          <w:rFonts w:ascii="Arial" w:eastAsia="Arial" w:hAnsi="Arial" w:cs="Arial"/>
          <w:color w:val="000000"/>
          <w:sz w:val="20"/>
          <w:u w:val="single"/>
        </w:rPr>
        <w:t>De'Lonta</w:t>
      </w:r>
      <w:r>
        <w:rPr>
          <w:rFonts w:ascii="Arial" w:eastAsia="Arial" w:hAnsi="Arial" w:cs="Arial"/>
          <w:color w:val="000000"/>
          <w:sz w:val="20"/>
        </w:rPr>
        <w:t xml:space="preserve">, 330 F.3d at 633, this is not a "claim to relief that is plausible on its face," </w:t>
      </w:r>
      <w:bookmarkStart w:id="98" w:name="Bookmark_I5M9JXJT2SF7VD0050000400"/>
      <w:bookmarkEnd w:id="98"/>
      <w:r>
        <w:rPr>
          <w:rFonts w:ascii="Arial" w:eastAsia="Arial" w:hAnsi="Arial" w:cs="Arial"/>
          <w:color w:val="000000"/>
          <w:sz w:val="20"/>
          <w:u w:val="single"/>
        </w:rPr>
        <w:t>Twombly</w:t>
      </w:r>
      <w:r>
        <w:rPr>
          <w:rFonts w:ascii="Arial" w:eastAsia="Arial" w:hAnsi="Arial" w:cs="Arial"/>
          <w:color w:val="000000"/>
          <w:sz w:val="20"/>
        </w:rPr>
        <w:t>, 550 U.S. at 570.</w:t>
      </w:r>
    </w:p>
    <w:p w14:paraId="3518E13A" w14:textId="77777777" w:rsidR="002D0E71" w:rsidRDefault="00000000">
      <w:pPr>
        <w:pStyle w:val="Normal0"/>
        <w:widowControl w:val="0"/>
        <w:spacing w:before="200" w:line="260" w:lineRule="atLeast"/>
        <w:jc w:val="both"/>
      </w:pPr>
      <w:bookmarkStart w:id="99" w:name="Bookmark_para_25"/>
      <w:bookmarkEnd w:id="99"/>
      <w:r>
        <w:rPr>
          <w:rFonts w:ascii="Arial" w:eastAsia="Arial" w:hAnsi="Arial" w:cs="Arial"/>
          <w:color w:val="000000"/>
          <w:sz w:val="20"/>
        </w:rPr>
        <w:t>The communications between the Salvation Army and Thomas indicate that the Salvation Army had legitimate reasons to be wary of admitting Thomas and sought reasonable reassurance that Thomas would not cause problems as a resident. The most detailed explanation [**14]  of the Salvation Army's concerns was in the September 12,  [*640]  2012 email sent by the Area Commander for the Salvation Army summarizing his investigation of Thomas's situation: "Your actions during your time at the shelter exhibited disrespect and hostility toward the staff that was endeavoring to help you, therefore you were asked to leave the facility." J.A. 21. The email also offered shelter if Thomas would "receive a mental health evaluation and stabilization services." J.A. 21. It is not reasonable to read this email as evidence that the Salvation Army refused to admit Thomas because of a mental disability. Rather, it is clear that the Salvation Army's decision to deny Thomas access was an effort to exercise prudence and to ensure that, with the support of appropriate medical evidence, any mental condition of hers was under control. This is consistent with the only other instance in Thomas's complaint of a Salvation Army staff member referencing her mental illness. In denying her access to the shelter, the staff member suggested Thomas would be readmitted if she obtained a mental health evaluation. J.A. 19.</w:t>
      </w:r>
    </w:p>
    <w:p w14:paraId="16853FAC" w14:textId="77777777" w:rsidR="002D0E71" w:rsidRDefault="00000000">
      <w:pPr>
        <w:pStyle w:val="Normal0"/>
        <w:widowControl w:val="0"/>
        <w:spacing w:before="200" w:line="260" w:lineRule="atLeast"/>
        <w:jc w:val="both"/>
      </w:pPr>
      <w:bookmarkStart w:id="100" w:name="Bookmark_para_26"/>
      <w:bookmarkEnd w:id="100"/>
      <w:r>
        <w:rPr>
          <w:rFonts w:ascii="Arial" w:eastAsia="Arial" w:hAnsi="Arial" w:cs="Arial"/>
          <w:color w:val="000000"/>
          <w:sz w:val="20"/>
        </w:rPr>
        <w:t xml:space="preserve">The Salvation Army was within its rights to require reasonable steps to ensure [**15]  that Thomas was stable before admitting her to the shelter. </w:t>
      </w:r>
      <w:bookmarkStart w:id="101" w:name="Bookmark_I5M9JXJT28T4670030000400"/>
      <w:bookmarkEnd w:id="101"/>
      <w:r>
        <w:rPr>
          <w:rFonts w:ascii="Arial" w:eastAsia="Arial" w:hAnsi="Arial" w:cs="Arial"/>
          <w:color w:val="000000"/>
          <w:sz w:val="20"/>
        </w:rPr>
        <w:t xml:space="preserve">The Salvation Army is charged with protecting all of those in its shelters, and it simply cannot run the serious risk of admitting a resident who will be disruptive and may inflict harm on others. Admitting such a resident jeopardizes the safety of other residents and may subject the shelter to significant liability. </w:t>
      </w:r>
      <w:r>
        <w:rPr>
          <w:rFonts w:ascii="Arial" w:eastAsia="Arial" w:hAnsi="Arial" w:cs="Arial"/>
          <w:color w:val="000000"/>
          <w:sz w:val="20"/>
          <w:u w:val="single"/>
        </w:rPr>
        <w:t xml:space="preserve">See e.g. </w:t>
      </w:r>
      <w:bookmarkStart w:id="102" w:name="Bookmark_I5M9JXJT28T4670020000400"/>
      <w:bookmarkEnd w:id="102"/>
      <w:r>
        <w:rPr>
          <w:rFonts w:ascii="Arial" w:eastAsia="Arial" w:hAnsi="Arial" w:cs="Arial"/>
          <w:color w:val="000000"/>
          <w:sz w:val="20"/>
          <w:u w:val="single"/>
        </w:rPr>
        <w:t>Corporan v. Barrier Free Living Inc.</w:t>
      </w:r>
      <w:r>
        <w:rPr>
          <w:rFonts w:ascii="Arial" w:eastAsia="Arial" w:hAnsi="Arial" w:cs="Arial"/>
          <w:color w:val="000000"/>
          <w:sz w:val="20"/>
        </w:rPr>
        <w:t xml:space="preserve">, 133 A.D.3d 497, 19 N.Y.S.3d 160 (N.Y. App. Div. 2015) (affirming denial of homeless shelter's motion for summary judgment where factual issues existed as to whether fatal attack by resident was foreseeable); Keri Blakinger &amp; Reuven Blau, </w:t>
      </w:r>
      <w:r>
        <w:rPr>
          <w:rFonts w:ascii="Arial" w:eastAsia="Arial" w:hAnsi="Arial" w:cs="Arial"/>
          <w:color w:val="000000"/>
          <w:sz w:val="20"/>
          <w:u w:val="single"/>
        </w:rPr>
        <w:t>NYC Shelter to Pay $1.2M to Stabbed Resident's Kin</w:t>
      </w:r>
      <w:r>
        <w:rPr>
          <w:rFonts w:ascii="Arial" w:eastAsia="Arial" w:hAnsi="Arial" w:cs="Arial"/>
          <w:color w:val="000000"/>
          <w:sz w:val="20"/>
        </w:rPr>
        <w:t xml:space="preserve">, N.Y. DAILY NEWS, March 31, 2016, at 22 (describing $1.2 million settlement in </w:t>
      </w:r>
      <w:r>
        <w:rPr>
          <w:rFonts w:ascii="Arial" w:eastAsia="Arial" w:hAnsi="Arial" w:cs="Arial"/>
          <w:color w:val="000000"/>
          <w:sz w:val="20"/>
          <w:u w:val="single"/>
        </w:rPr>
        <w:t>Corporan)</w:t>
      </w:r>
      <w:r>
        <w:rPr>
          <w:rFonts w:ascii="Arial" w:eastAsia="Arial" w:hAnsi="Arial" w:cs="Arial"/>
          <w:color w:val="000000"/>
          <w:sz w:val="20"/>
        </w:rPr>
        <w:t>.</w:t>
      </w:r>
    </w:p>
    <w:p w14:paraId="10E8558C" w14:textId="77777777" w:rsidR="002D0E71" w:rsidRDefault="00000000">
      <w:pPr>
        <w:pStyle w:val="Normal0"/>
        <w:widowControl w:val="0"/>
        <w:spacing w:before="200" w:line="260" w:lineRule="atLeast"/>
        <w:jc w:val="both"/>
      </w:pPr>
      <w:bookmarkStart w:id="103" w:name="Bookmark_para_27"/>
      <w:bookmarkEnd w:id="103"/>
      <w:r>
        <w:rPr>
          <w:rFonts w:ascii="Arial" w:eastAsia="Arial" w:hAnsi="Arial" w:cs="Arial"/>
          <w:color w:val="000000"/>
          <w:sz w:val="20"/>
        </w:rPr>
        <w:t>If denying access to an unstable applicant subjected a shelter to extended litigation and potential liability, the shelter would be faced with a difficult dilemma. Charitable organizations would be subject to liability whichever way they turned. Denial of access would lead to lawsuits like this one, and ill-advised grants of access could lead to staggering judgments against the charitable organization if another resident was seriously harmed. The time and expense involved in all of [**16]  this would risk impairing the humane mission of sheltering homeless persons that is these organizations' very reason for being.</w:t>
      </w:r>
    </w:p>
    <w:p w14:paraId="3C2687D8" w14:textId="77777777" w:rsidR="002D0E71" w:rsidRDefault="00000000">
      <w:pPr>
        <w:pStyle w:val="Normal0"/>
        <w:widowControl w:val="0"/>
        <w:spacing w:before="200" w:line="260" w:lineRule="atLeast"/>
        <w:jc w:val="both"/>
      </w:pPr>
      <w:bookmarkStart w:id="104" w:name="Bookmark_para_28"/>
      <w:bookmarkStart w:id="105" w:name="Bookmark_I5M9JXJT28T4670050000400"/>
      <w:bookmarkEnd w:id="104"/>
      <w:bookmarkEnd w:id="105"/>
      <w:r>
        <w:rPr>
          <w:rFonts w:ascii="Arial" w:eastAsia="Arial" w:hAnsi="Arial" w:cs="Arial"/>
          <w:color w:val="000000"/>
          <w:sz w:val="20"/>
        </w:rPr>
        <w:t xml:space="preserve">In fact, Congress anticipated this very problem and repeatedly declined to extend statutory protection to individuals who present a threat to public health or the safety of others. </w:t>
      </w:r>
      <w:r>
        <w:rPr>
          <w:rFonts w:ascii="Arial" w:eastAsia="Arial" w:hAnsi="Arial" w:cs="Arial"/>
          <w:color w:val="000000"/>
          <w:sz w:val="20"/>
          <w:u w:val="single"/>
        </w:rPr>
        <w:t>See</w:t>
      </w:r>
      <w:r>
        <w:rPr>
          <w:rFonts w:ascii="Arial" w:eastAsia="Arial" w:hAnsi="Arial" w:cs="Arial"/>
          <w:color w:val="000000"/>
          <w:sz w:val="20"/>
        </w:rPr>
        <w:t xml:space="preserve"> 42 U.S.C. § 3604(f)(9) ("Nothing in [the FHA] requires that a dwelling be made available to an individual whose tenancy would constitute a direct threat to the health or safety of other individuals or whose tenancy would result in substantial physical damage to the property of others."); 42 U.S.C. § 12182(b)(3) ("Nothing in [the ADA] shall require an entity to permit an individual to participate in or benefit from the goods, services, facilities, privileges, advantages and accommodations of such entity where such individual poses a direct threat to the health or safety of others."); </w:t>
      </w:r>
      <w:bookmarkStart w:id="106" w:name="Bookmark_I5M9JXJT28T4670040000400"/>
      <w:bookmarkEnd w:id="106"/>
      <w:r>
        <w:rPr>
          <w:rFonts w:ascii="Arial" w:eastAsia="Arial" w:hAnsi="Arial" w:cs="Arial"/>
          <w:color w:val="000000"/>
          <w:sz w:val="20"/>
          <w:u w:val="single"/>
        </w:rPr>
        <w:t>McGeshick v. Principi</w:t>
      </w:r>
      <w:r>
        <w:rPr>
          <w:rFonts w:ascii="Arial" w:eastAsia="Arial" w:hAnsi="Arial" w:cs="Arial"/>
          <w:color w:val="000000"/>
          <w:sz w:val="20"/>
        </w:rPr>
        <w:t>, 357 F.3d 1146, 1151 (10th Cir. 2004) ("[I]t is a defense to claims under the Rehabilitation Act that [a plaintiff] may pose a 'direct threat' to the welfare of others."). The district court was right not to put the shelter between a rock and a hard place by imposing liability for exercising prudence in the course of its admissions decisions.</w:t>
      </w:r>
    </w:p>
    <w:p w14:paraId="2D3634D9" w14:textId="77777777" w:rsidR="002D0E71" w:rsidRDefault="00000000">
      <w:pPr>
        <w:pStyle w:val="Normal0"/>
        <w:widowControl w:val="0"/>
        <w:spacing w:before="200" w:line="260" w:lineRule="atLeast"/>
        <w:jc w:val="both"/>
      </w:pPr>
      <w:bookmarkStart w:id="107" w:name="Bookmark_para_29"/>
      <w:bookmarkStart w:id="108" w:name="Bookmark_I5M9JXJT2SF7VF0020000400"/>
      <w:bookmarkEnd w:id="107"/>
      <w:bookmarkEnd w:id="108"/>
      <w:r>
        <w:rPr>
          <w:rFonts w:ascii="Arial" w:eastAsia="Arial" w:hAnsi="Arial" w:cs="Arial"/>
          <w:color w:val="000000"/>
          <w:sz w:val="20"/>
        </w:rPr>
        <w:t xml:space="preserve"> [*641]  In an effort to clear the bar of plausibility, [**17]  </w:t>
      </w:r>
      <w:bookmarkStart w:id="109" w:name="Bookmark_I5M9JXJT2SF7VF0010000400"/>
      <w:bookmarkEnd w:id="109"/>
      <w:r>
        <w:rPr>
          <w:rFonts w:ascii="Arial" w:eastAsia="Arial" w:hAnsi="Arial" w:cs="Arial"/>
          <w:color w:val="000000"/>
          <w:sz w:val="20"/>
          <w:u w:val="single"/>
        </w:rPr>
        <w:t>Iqbal</w:t>
      </w:r>
      <w:r>
        <w:rPr>
          <w:rFonts w:ascii="Arial" w:eastAsia="Arial" w:hAnsi="Arial" w:cs="Arial"/>
          <w:color w:val="000000"/>
          <w:sz w:val="20"/>
        </w:rPr>
        <w:t xml:space="preserve">, 556 U.S. at 678, Thomas claims in her complaint that "[t]here were no instances . . . of conflict with staff," J.A. 21, but this assertion seems limited to her brief stay at the Salvation Army before she was transferred to the Church in the City. Her own descriptions of her later interactions with Salvation Army staff do not serve to undermine the Salvation Army's explanation. In fact, those descriptions indicate the possibility of hostility, including Thomas's accusations of unethical staff conduct and her threats of legal action. </w:t>
      </w:r>
      <w:r>
        <w:rPr>
          <w:rFonts w:ascii="Arial" w:eastAsia="Arial" w:hAnsi="Arial" w:cs="Arial"/>
          <w:color w:val="000000"/>
          <w:sz w:val="20"/>
          <w:u w:val="single"/>
        </w:rPr>
        <w:t>See</w:t>
      </w:r>
      <w:r>
        <w:rPr>
          <w:rFonts w:ascii="Arial" w:eastAsia="Arial" w:hAnsi="Arial" w:cs="Arial"/>
          <w:color w:val="000000"/>
          <w:sz w:val="20"/>
        </w:rPr>
        <w:t xml:space="preserve"> J.A. 17, 20. Moreover, Thomas's alleged mental health problems are not inconsistent with hostile interactions with staff members. In short, these problems may have contributed to any unfortunate friction.</w:t>
      </w:r>
    </w:p>
    <w:p w14:paraId="13963856" w14:textId="77777777" w:rsidR="002D0E71" w:rsidRDefault="00000000">
      <w:pPr>
        <w:pStyle w:val="Normal0"/>
        <w:widowControl w:val="0"/>
        <w:spacing w:before="200" w:line="260" w:lineRule="atLeast"/>
        <w:jc w:val="both"/>
      </w:pPr>
      <w:bookmarkStart w:id="110" w:name="Bookmark_para_30"/>
      <w:bookmarkStart w:id="111" w:name="Bookmark_I5M9JXJT2SF7VF0040000400"/>
      <w:bookmarkEnd w:id="110"/>
      <w:bookmarkEnd w:id="111"/>
      <w:r>
        <w:rPr>
          <w:rFonts w:ascii="Arial" w:eastAsia="Arial" w:hAnsi="Arial" w:cs="Arial"/>
          <w:color w:val="000000"/>
          <w:sz w:val="20"/>
        </w:rPr>
        <w:t xml:space="preserve">Thomas argues that she received different explanations from different Salvation Army staff members for refusing to admit her. These explanations, however, show once again the Salvation Army exercising caution when confronted with a potentially disruptive resident, and any minor inconsistencies are evidence of multiple shelter employees dealing with a difficult situation. </w:t>
      </w:r>
      <w:r>
        <w:rPr>
          <w:rFonts w:ascii="Arial" w:eastAsia="Arial" w:hAnsi="Arial" w:cs="Arial"/>
          <w:color w:val="000000"/>
          <w:sz w:val="20"/>
          <w:u w:val="single"/>
        </w:rPr>
        <w:t xml:space="preserve">Cf. </w:t>
      </w:r>
      <w:bookmarkStart w:id="112" w:name="Bookmark_I5M9JXJT2SF7VF0030000400"/>
      <w:bookmarkEnd w:id="112"/>
      <w:r>
        <w:rPr>
          <w:rFonts w:ascii="Arial" w:eastAsia="Arial" w:hAnsi="Arial" w:cs="Arial"/>
          <w:color w:val="000000"/>
          <w:sz w:val="20"/>
          <w:u w:val="single"/>
        </w:rPr>
        <w:t>Price v. Thompson</w:t>
      </w:r>
      <w:r>
        <w:rPr>
          <w:rFonts w:ascii="Arial" w:eastAsia="Arial" w:hAnsi="Arial" w:cs="Arial"/>
          <w:color w:val="000000"/>
          <w:sz w:val="20"/>
        </w:rPr>
        <w:t>, 380 F.3d 209, 217 n.5 (4th Cir. 2004) (finding inconsistencies that "ar[o]se from reading applications hastily or from being nervous during depositions" [**18]  were not evidence of pretext).</w:t>
      </w:r>
    </w:p>
    <w:p w14:paraId="04FBE402" w14:textId="77777777" w:rsidR="002D0E71" w:rsidRDefault="00000000">
      <w:pPr>
        <w:pStyle w:val="Normal0"/>
        <w:widowControl w:val="0"/>
        <w:spacing w:before="200" w:line="260" w:lineRule="atLeast"/>
        <w:jc w:val="both"/>
      </w:pPr>
      <w:bookmarkStart w:id="113" w:name="Bookmark_para_31"/>
      <w:bookmarkEnd w:id="113"/>
      <w:r>
        <w:rPr>
          <w:rFonts w:ascii="Arial" w:eastAsia="Arial" w:hAnsi="Arial" w:cs="Arial"/>
          <w:color w:val="000000"/>
          <w:sz w:val="20"/>
        </w:rPr>
        <w:t>Thomas also complains that the Salvation Army did not accept her discharge papers from the emergency room as a mental health evaluation. These papers were the result of a brief consultation and fell short of being the considered opinion of a mental health professional. The Salvation Army was under no obligation to accept such an abbreviated assessment as an adequate response to its offer of shelter if Thomas submitted to a fuller mental health evaluation from a behavioral health organization.</w:t>
      </w:r>
    </w:p>
    <w:p w14:paraId="4E66CD02" w14:textId="77777777" w:rsidR="002D0E71" w:rsidRDefault="00000000">
      <w:pPr>
        <w:pStyle w:val="Normal0"/>
        <w:widowControl w:val="0"/>
        <w:spacing w:before="200" w:line="260" w:lineRule="atLeast"/>
        <w:jc w:val="both"/>
      </w:pPr>
      <w:bookmarkStart w:id="114" w:name="Bookmark_para_32"/>
      <w:bookmarkStart w:id="115" w:name="Bookmark_I4P0R8CYC3X00109K2K001PD"/>
      <w:bookmarkStart w:id="116" w:name="Bookmark_I5M9JXJT2HM6W80010000400"/>
      <w:bookmarkEnd w:id="114"/>
      <w:bookmarkEnd w:id="115"/>
      <w:bookmarkEnd w:id="116"/>
      <w:r>
        <w:rPr>
          <w:rFonts w:ascii="Arial" w:eastAsia="Arial" w:hAnsi="Arial" w:cs="Arial"/>
          <w:color w:val="000000"/>
          <w:sz w:val="20"/>
        </w:rPr>
        <w:t xml:space="preserve">In sum, Thomas's complaint does not contain "factual content that allows the court to draw the reasonable inference that the defendant is liable for the misconduct alleged." </w:t>
      </w:r>
      <w:bookmarkStart w:id="117" w:name="Bookmark_I5M9JXJT2SF7VF0050000400"/>
      <w:bookmarkEnd w:id="117"/>
      <w:r>
        <w:rPr>
          <w:rFonts w:ascii="Arial" w:eastAsia="Arial" w:hAnsi="Arial" w:cs="Arial"/>
          <w:color w:val="000000"/>
          <w:sz w:val="20"/>
          <w:u w:val="single"/>
        </w:rPr>
        <w:t>Iqbal</w:t>
      </w:r>
      <w:r>
        <w:rPr>
          <w:rFonts w:ascii="Arial" w:eastAsia="Arial" w:hAnsi="Arial" w:cs="Arial"/>
          <w:color w:val="000000"/>
          <w:sz w:val="20"/>
        </w:rPr>
        <w:t>, 556 U.S. at 678. Because we cannot make a reasonable inference from her complaint — even when liberally construed — that Thomas is handicapped under the FHA or that the defendants impermissibly denied Thomas shelter because of her mental illness, Thomas's FHA claim must be dismissed.</w:t>
      </w:r>
    </w:p>
    <w:p w14:paraId="58D3ACFA" w14:textId="77777777" w:rsidR="002D0E71" w:rsidRDefault="00000000">
      <w:pPr>
        <w:pStyle w:val="Normal0"/>
        <w:widowControl w:val="0"/>
        <w:spacing w:before="120" w:line="260" w:lineRule="atLeast"/>
      </w:pPr>
      <w:r>
        <w:rPr>
          <w:rFonts w:ascii="Arial" w:eastAsia="Arial" w:hAnsi="Arial" w:cs="Arial"/>
          <w:color w:val="000000"/>
          <w:sz w:val="20"/>
        </w:rPr>
        <w:t>E.</w:t>
      </w:r>
    </w:p>
    <w:p w14:paraId="4B9FD833" w14:textId="77777777" w:rsidR="002D0E71" w:rsidRDefault="00000000">
      <w:pPr>
        <w:pStyle w:val="Normal0"/>
        <w:widowControl w:val="0"/>
        <w:spacing w:before="200" w:line="260" w:lineRule="atLeast"/>
        <w:jc w:val="both"/>
      </w:pPr>
      <w:bookmarkStart w:id="118" w:name="Bookmark_para_33"/>
      <w:bookmarkStart w:id="119" w:name="Bookmark_I5M9JXJT2HM6W80030000400"/>
      <w:bookmarkEnd w:id="118"/>
      <w:bookmarkEnd w:id="119"/>
      <w:r>
        <w:rPr>
          <w:rFonts w:ascii="Arial" w:eastAsia="Arial" w:hAnsi="Arial" w:cs="Arial"/>
          <w:color w:val="000000"/>
          <w:sz w:val="20"/>
        </w:rPr>
        <w:t xml:space="preserve">Finally, Thomas's claim under the Rehabilitation Act was also properly dismissed. </w:t>
      </w:r>
      <w:bookmarkStart w:id="120" w:name="Bookmark_LNHNREFclscc8"/>
      <w:bookmarkEnd w:id="120"/>
      <w:r>
        <w:rPr>
          <w:rFonts w:ascii="Arial" w:eastAsia="Arial" w:hAnsi="Arial" w:cs="Arial"/>
          <w:color w:val="000000"/>
          <w:sz w:val="20"/>
        </w:rPr>
        <w:t xml:space="preserve">As with the ADA and the FHA, the Rehabilitation Act forbids discrimination based on a disability. The Rehabilitation Act, though, differs in two key [**19]  ways. First, it applies only to programs receiving federal assistance. 29 U.S.C. § 794; </w:t>
      </w:r>
      <w:r>
        <w:rPr>
          <w:rFonts w:ascii="Arial" w:eastAsia="Arial" w:hAnsi="Arial" w:cs="Arial"/>
          <w:color w:val="000000"/>
          <w:sz w:val="20"/>
          <w:u w:val="single"/>
        </w:rPr>
        <w:t xml:space="preserve">see also </w:t>
      </w:r>
      <w:bookmarkStart w:id="121" w:name="Bookmark_I5M9JXJT2HM6W80020000400"/>
      <w:bookmarkEnd w:id="121"/>
      <w:r>
        <w:rPr>
          <w:rFonts w:ascii="Arial" w:eastAsia="Arial" w:hAnsi="Arial" w:cs="Arial"/>
          <w:color w:val="000000"/>
          <w:sz w:val="20"/>
          <w:u w:val="single"/>
        </w:rPr>
        <w:t>Disabled in Action v. Mayor &amp; City Council of Baltimore</w:t>
      </w:r>
      <w:r>
        <w:rPr>
          <w:rFonts w:ascii="Arial" w:eastAsia="Arial" w:hAnsi="Arial" w:cs="Arial"/>
          <w:color w:val="000000"/>
          <w:sz w:val="20"/>
        </w:rPr>
        <w:t xml:space="preserve">, 685 F.2d 881, 883 (4th Cir. 1982). </w:t>
      </w:r>
      <w:bookmarkStart w:id="122" w:name="Bookmark_I5M9JXJT2HM6W80050000400"/>
      <w:bookmarkEnd w:id="122"/>
      <w:r>
        <w:rPr>
          <w:rFonts w:ascii="Arial" w:eastAsia="Arial" w:hAnsi="Arial" w:cs="Arial"/>
          <w:color w:val="000000"/>
          <w:sz w:val="20"/>
        </w:rPr>
        <w:t xml:space="preserve">Second, the Rehabilitation Act requires that a plaintiff show that the exclusion was "solely by reason of her or his disability." 29 U.S.C. § 794. This is a stricter causation requirement than the ADA or FHA, under which the disability can be one of multiple causes. </w:t>
      </w:r>
      <w:bookmarkStart w:id="123" w:name="Bookmark_I5M9JXJT2HM6W80040000400"/>
      <w:bookmarkEnd w:id="123"/>
      <w:r>
        <w:rPr>
          <w:rFonts w:ascii="Arial" w:eastAsia="Arial" w:hAnsi="Arial" w:cs="Arial"/>
          <w:color w:val="000000"/>
          <w:sz w:val="20"/>
          <w:u w:val="single"/>
        </w:rPr>
        <w:t>Halpern v. Wake Forest Univ. Health Scis.</w:t>
      </w:r>
      <w:r>
        <w:rPr>
          <w:rFonts w:ascii="Arial" w:eastAsia="Arial" w:hAnsi="Arial" w:cs="Arial"/>
          <w:color w:val="000000"/>
          <w:sz w:val="20"/>
        </w:rPr>
        <w:t xml:space="preserve">, 669 F.3d 454, 461-62 (4th Cir. 2012) ("To succeed on a claim under the Rehabilitation Act, the plaintiff must establish he was excluded 'solely by reason of' his disability; the ADA requires only that the disability was 'a motivating cause' of the exclusion."); </w:t>
      </w:r>
      <w:bookmarkStart w:id="124" w:name="Bookmark_I5M9JXJT2HM6W90010000400"/>
      <w:bookmarkEnd w:id="124"/>
      <w:r>
        <w:rPr>
          <w:rFonts w:ascii="Arial" w:eastAsia="Arial" w:hAnsi="Arial" w:cs="Arial"/>
          <w:color w:val="000000"/>
          <w:sz w:val="20"/>
          <w:u w:val="single"/>
        </w:rPr>
        <w:t>Asbury v. Brougham</w:t>
      </w:r>
      <w:r>
        <w:rPr>
          <w:rFonts w:ascii="Arial" w:eastAsia="Arial" w:hAnsi="Arial" w:cs="Arial"/>
          <w:color w:val="000000"/>
          <w:sz w:val="20"/>
        </w:rPr>
        <w:t>, 866 F.2d 1276, 1279 (10th Cir. 1989) (holding the discriminatory reason "need not be the only factor in the decision" for a violation of the FHA).</w:t>
      </w:r>
    </w:p>
    <w:p w14:paraId="4E35ED26" w14:textId="77777777" w:rsidR="002D0E71" w:rsidRDefault="00000000">
      <w:pPr>
        <w:pStyle w:val="Normal0"/>
        <w:widowControl w:val="0"/>
        <w:spacing w:before="200" w:line="260" w:lineRule="atLeast"/>
        <w:jc w:val="both"/>
      </w:pPr>
      <w:bookmarkStart w:id="125" w:name="Bookmark_para_34"/>
      <w:bookmarkEnd w:id="125"/>
      <w:r>
        <w:rPr>
          <w:rFonts w:ascii="Arial" w:eastAsia="Arial" w:hAnsi="Arial" w:cs="Arial"/>
          <w:color w:val="000000"/>
          <w:sz w:val="20"/>
        </w:rPr>
        <w:t> [*642]  Thomas's complaint alleges that the Salvation Army received federal funding; there is no similar allegation for Church in the City or Victory Christian Center. Assuming that the Salvation Army would be subject to the Rehabilitation Act, Thomas's claim should nonetheless be dismissed for the same reasons as her FHA claim. Thomas's complaint fails to allege (1) a mental illness that would qualify as a disability under the Act or (2) a nexus between the Salvation Army's decision not to admit her and her alleged mental disability. [**20]  The heightened causation required for the Rehabilitation Act claim makes the inadequacy of Thomas's complaint even more apparent.</w:t>
      </w:r>
    </w:p>
    <w:p w14:paraId="05D7B5BB" w14:textId="77777777" w:rsidR="002D0E71" w:rsidRDefault="00000000">
      <w:pPr>
        <w:pStyle w:val="Normal0"/>
        <w:widowControl w:val="0"/>
        <w:spacing w:before="120" w:line="260" w:lineRule="atLeast"/>
      </w:pPr>
      <w:r>
        <w:rPr>
          <w:rFonts w:ascii="Arial" w:eastAsia="Arial" w:hAnsi="Arial" w:cs="Arial"/>
          <w:color w:val="000000"/>
          <w:sz w:val="20"/>
        </w:rPr>
        <w:t>F.</w:t>
      </w:r>
    </w:p>
    <w:p w14:paraId="3F638221" w14:textId="77777777" w:rsidR="002D0E71" w:rsidRDefault="00000000">
      <w:pPr>
        <w:pStyle w:val="Normal0"/>
        <w:widowControl w:val="0"/>
        <w:spacing w:before="200" w:line="260" w:lineRule="atLeast"/>
        <w:jc w:val="both"/>
      </w:pPr>
      <w:bookmarkStart w:id="126" w:name="Bookmark_para_35"/>
      <w:bookmarkStart w:id="127" w:name="Bookmark_I5M9JXJT2HM6W90040000400"/>
      <w:bookmarkEnd w:id="126"/>
      <w:bookmarkEnd w:id="127"/>
      <w:r>
        <w:rPr>
          <w:rFonts w:ascii="Arial" w:eastAsia="Arial" w:hAnsi="Arial" w:cs="Arial"/>
          <w:color w:val="000000"/>
          <w:sz w:val="20"/>
        </w:rPr>
        <w:t xml:space="preserve">Because we affirm the district court's dismissal of all of Thomas's federal claims, we also affirm its decision to decline to exercise supplemental jurisdiction and thus to dismiss Thomas's state law claims without prejudice. </w:t>
      </w:r>
      <w:r>
        <w:rPr>
          <w:rFonts w:ascii="Arial" w:eastAsia="Arial" w:hAnsi="Arial" w:cs="Arial"/>
          <w:color w:val="000000"/>
          <w:sz w:val="20"/>
          <w:u w:val="single"/>
        </w:rPr>
        <w:t xml:space="preserve">See </w:t>
      </w:r>
      <w:bookmarkStart w:id="128" w:name="Bookmark_I5M9JXJT2HM6W90030000400"/>
      <w:bookmarkEnd w:id="128"/>
      <w:r>
        <w:rPr>
          <w:rFonts w:ascii="Arial" w:eastAsia="Arial" w:hAnsi="Arial" w:cs="Arial"/>
          <w:color w:val="000000"/>
          <w:sz w:val="20"/>
          <w:u w:val="single"/>
        </w:rPr>
        <w:t>Shanaghan v. Cahill</w:t>
      </w:r>
      <w:r>
        <w:rPr>
          <w:rFonts w:ascii="Arial" w:eastAsia="Arial" w:hAnsi="Arial" w:cs="Arial"/>
          <w:color w:val="000000"/>
          <w:sz w:val="20"/>
        </w:rPr>
        <w:t>, 58 F.3d 106, 110 (4th Cir. 1995).</w:t>
      </w:r>
    </w:p>
    <w:p w14:paraId="6783F27E" w14:textId="77777777" w:rsidR="002D0E71" w:rsidRDefault="00000000">
      <w:pPr>
        <w:pStyle w:val="Normal0"/>
        <w:widowControl w:val="0"/>
        <w:spacing w:before="120" w:line="260" w:lineRule="atLeast"/>
      </w:pPr>
      <w:r>
        <w:rPr>
          <w:rFonts w:ascii="Arial" w:eastAsia="Arial" w:hAnsi="Arial" w:cs="Arial"/>
          <w:color w:val="000000"/>
          <w:sz w:val="20"/>
        </w:rPr>
        <w:t>III.</w:t>
      </w:r>
    </w:p>
    <w:p w14:paraId="4BFAC90E" w14:textId="77777777" w:rsidR="002D0E71" w:rsidRDefault="00000000">
      <w:pPr>
        <w:pStyle w:val="Normal0"/>
        <w:widowControl w:val="0"/>
        <w:spacing w:before="200" w:line="260" w:lineRule="atLeast"/>
        <w:jc w:val="both"/>
      </w:pPr>
      <w:bookmarkStart w:id="129" w:name="Bookmark_para_36"/>
      <w:bookmarkEnd w:id="129"/>
      <w:r>
        <w:rPr>
          <w:rFonts w:ascii="Arial" w:eastAsia="Arial" w:hAnsi="Arial" w:cs="Arial"/>
          <w:color w:val="000000"/>
          <w:sz w:val="20"/>
        </w:rPr>
        <w:t xml:space="preserve">The district court was right to dismiss the complaint given its multiple deficiencies, namely the omission of the nature of any illness much less the presence of such illness as a causative agent of the Salvation Army's decision. </w:t>
      </w:r>
      <w:bookmarkStart w:id="130" w:name="Bookmark_I5M9JXJT2N1RJ00010000400"/>
      <w:bookmarkEnd w:id="130"/>
      <w:r>
        <w:rPr>
          <w:rFonts w:ascii="Arial" w:eastAsia="Arial" w:hAnsi="Arial" w:cs="Arial"/>
          <w:color w:val="000000"/>
          <w:sz w:val="20"/>
        </w:rPr>
        <w:t xml:space="preserve">The Salvation Army was justified in exercising prudence, protecting other residents and its staff, and requesting a more thorough evaluation of Thomas's mental health. Thomas has not thrown this reasonable explanation into plausible doubt. </w:t>
      </w:r>
      <w:bookmarkStart w:id="131" w:name="Bookmark_I5M9JXJT2HM6W90050000400"/>
      <w:bookmarkEnd w:id="131"/>
      <w:r>
        <w:rPr>
          <w:rFonts w:ascii="Arial" w:eastAsia="Arial" w:hAnsi="Arial" w:cs="Arial"/>
          <w:color w:val="000000"/>
          <w:sz w:val="20"/>
          <w:u w:val="single"/>
        </w:rPr>
        <w:t>Twombly</w:t>
      </w:r>
      <w:r>
        <w:rPr>
          <w:rFonts w:ascii="Arial" w:eastAsia="Arial" w:hAnsi="Arial" w:cs="Arial"/>
          <w:color w:val="000000"/>
          <w:sz w:val="20"/>
        </w:rPr>
        <w:t>, 550 U.S. at 570. We therefore affirm the district court. We note that Thomas did not have an opportunity to respond before the district court dismissed her complaint sua sponte or an opportunity to amend her complaint. Thus, we modify the judgment only to the extent that the dismissal be without prejudice.</w:t>
      </w:r>
      <w:r>
        <w:rPr>
          <w:rFonts w:ascii="Arial" w:eastAsia="Arial" w:hAnsi="Arial" w:cs="Arial"/>
          <w:vertAlign w:val="superscript"/>
        </w:rPr>
        <w:footnoteReference w:customMarkFollows="1" w:id="3"/>
        <w:t>3</w:t>
      </w:r>
    </w:p>
    <w:p w14:paraId="6EFFEC89" w14:textId="77777777" w:rsidR="002D0E71" w:rsidRDefault="00000000">
      <w:pPr>
        <w:pStyle w:val="Normal0"/>
        <w:widowControl w:val="0"/>
        <w:spacing w:before="200" w:line="260" w:lineRule="atLeast"/>
        <w:jc w:val="both"/>
      </w:pPr>
      <w:bookmarkStart w:id="133" w:name="Bookmark_para_37"/>
      <w:bookmarkEnd w:id="133"/>
      <w:r>
        <w:rPr>
          <w:rFonts w:ascii="Arial" w:eastAsia="Arial" w:hAnsi="Arial" w:cs="Arial"/>
          <w:color w:val="000000"/>
          <w:sz w:val="20"/>
          <w:u w:val="single"/>
        </w:rPr>
        <w:t>AFFIRMED AS MODIFIED</w:t>
      </w:r>
    </w:p>
    <w:p w14:paraId="6B22246D" w14:textId="77777777" w:rsidR="002D0E71" w:rsidRDefault="002D0E71">
      <w:pPr>
        <w:pStyle w:val="Normal0"/>
      </w:pPr>
    </w:p>
    <w:p w14:paraId="17DC4FBA" w14:textId="77DA0117" w:rsidR="002D0E71" w:rsidRDefault="00000000">
      <w:pPr>
        <w:pStyle w:val="Normal0"/>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59264" behindDoc="0" locked="0" layoutInCell="1" allowOverlap="1" wp14:anchorId="102A5F07" wp14:editId="394A70E6">
                <wp:simplePos x="0" y="0"/>
                <wp:positionH relativeFrom="column">
                  <wp:posOffset>0</wp:posOffset>
                </wp:positionH>
                <wp:positionV relativeFrom="paragraph">
                  <wp:posOffset>127000</wp:posOffset>
                </wp:positionV>
                <wp:extent cx="6502400" cy="0"/>
                <wp:effectExtent l="9525" t="12700" r="12700" b="6350"/>
                <wp:wrapNone/>
                <wp:docPr id="34505417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F1CC26"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9EB5C39" w14:textId="77777777" w:rsidR="002D0E71" w:rsidRDefault="002D0E71">
      <w:pPr>
        <w:pStyle w:val="Normal1"/>
        <w:sectPr w:rsidR="002D0E71">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gutter="0"/>
          <w:cols w:space="720"/>
          <w:titlePg/>
        </w:sectPr>
      </w:pPr>
    </w:p>
    <w:p w14:paraId="553DE5C0" w14:textId="77777777" w:rsidR="002D0E71" w:rsidRDefault="002D0E71">
      <w:pPr>
        <w:pStyle w:val="Normal1"/>
      </w:pPr>
    </w:p>
    <w:p w14:paraId="42A3D815" w14:textId="77777777" w:rsidR="002D0E71" w:rsidRDefault="00000000">
      <w:pPr>
        <w:pStyle w:val="Heading10"/>
        <w:keepNext w:val="0"/>
        <w:widowControl w:val="0"/>
        <w:spacing w:after="200" w:line="340" w:lineRule="atLeast"/>
        <w:jc w:val="center"/>
      </w:pPr>
      <w:r>
        <w:rPr>
          <w:rFonts w:eastAsia="Arial"/>
          <w:color w:val="000000"/>
          <w:sz w:val="28"/>
        </w:rPr>
        <w:t>Baxter v. Pa. Dep't of Corr.</w:t>
      </w:r>
    </w:p>
    <w:p w14:paraId="22A57599" w14:textId="77777777" w:rsidR="002D0E71" w:rsidRDefault="00000000">
      <w:pPr>
        <w:pStyle w:val="Normal1"/>
        <w:widowControl w:val="0"/>
        <w:spacing w:before="120" w:line="260" w:lineRule="atLeast"/>
        <w:jc w:val="center"/>
      </w:pPr>
      <w:r>
        <w:rPr>
          <w:rFonts w:ascii="Arial" w:eastAsia="Arial" w:hAnsi="Arial" w:cs="Arial"/>
          <w:color w:val="000000"/>
          <w:sz w:val="20"/>
        </w:rPr>
        <w:t>United States Court of Appeals for the Third Circuit</w:t>
      </w:r>
    </w:p>
    <w:p w14:paraId="409D2B80" w14:textId="77777777" w:rsidR="002D0E71" w:rsidRDefault="00000000">
      <w:pPr>
        <w:pStyle w:val="Normal1"/>
        <w:widowControl w:val="0"/>
        <w:spacing w:before="120" w:line="260" w:lineRule="atLeast"/>
        <w:jc w:val="center"/>
      </w:pPr>
      <w:r>
        <w:rPr>
          <w:rFonts w:ascii="Arial" w:eastAsia="Arial" w:hAnsi="Arial" w:cs="Arial"/>
          <w:color w:val="000000"/>
          <w:sz w:val="20"/>
        </w:rPr>
        <w:t>September 9, 2016, Submitted for Possible Summary Action Pursuant to Third Circuit LAR 27.4 and I.O.P. 10.6; September 30, 2016, Opinion Filed</w:t>
      </w:r>
    </w:p>
    <w:p w14:paraId="689A9AD3" w14:textId="77777777" w:rsidR="002D0E71" w:rsidRDefault="00000000">
      <w:pPr>
        <w:pStyle w:val="Normal1"/>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16-1838</w:t>
      </w:r>
    </w:p>
    <w:p w14:paraId="0E327BE1" w14:textId="77777777" w:rsidR="002D0E71" w:rsidRDefault="002D0E71">
      <w:pPr>
        <w:pStyle w:val="Normal1"/>
        <w:widowControl w:val="0"/>
        <w:spacing w:line="240" w:lineRule="atLeast"/>
        <w:jc w:val="both"/>
      </w:pPr>
      <w:bookmarkStart w:id="134" w:name="Bookmark_2"/>
      <w:bookmarkEnd w:id="134"/>
    </w:p>
    <w:p w14:paraId="41C71771" w14:textId="77777777" w:rsidR="002D0E71" w:rsidRDefault="00000000">
      <w:pPr>
        <w:pStyle w:val="Normal1"/>
        <w:widowControl w:val="0"/>
        <w:spacing w:before="200" w:line="240" w:lineRule="atLeast"/>
      </w:pPr>
      <w:bookmarkStart w:id="135" w:name="Reporter_0"/>
      <w:bookmarkEnd w:id="135"/>
      <w:r>
        <w:rPr>
          <w:rFonts w:ascii="Arial" w:eastAsia="Arial" w:hAnsi="Arial" w:cs="Arial"/>
          <w:b/>
          <w:color w:val="000000"/>
          <w:sz w:val="18"/>
        </w:rPr>
        <w:t>Reporter</w:t>
      </w:r>
    </w:p>
    <w:p w14:paraId="0DDB2671" w14:textId="77777777" w:rsidR="002D0E71" w:rsidRDefault="00000000">
      <w:pPr>
        <w:pStyle w:val="Normal1"/>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661 Fed. Appx. 754 *; 2016 U.S. App. LEXIS 17705 **</w:t>
      </w:r>
    </w:p>
    <w:p w14:paraId="2B5E6F1B" w14:textId="77777777" w:rsidR="002D0E71" w:rsidRDefault="00000000">
      <w:pPr>
        <w:pStyle w:val="Normal1"/>
        <w:widowControl w:val="0"/>
        <w:spacing w:before="120" w:line="260" w:lineRule="atLeast"/>
      </w:pPr>
      <w:r>
        <w:rPr>
          <w:rFonts w:ascii="Arial" w:eastAsia="Arial" w:hAnsi="Arial" w:cs="Arial"/>
          <w:color w:val="000000"/>
          <w:sz w:val="20"/>
        </w:rPr>
        <w:t>BRIAN D. BAXTER, Appellant v. PENNSYLVANIA DEPARTMENT OF CORRECTIONS; BRIAN THOMPSON, SCI Superintendent; MICHAEL MALMISTER, SCI Mercer, Deputy Superintendent; MR. GIORDANO, SCI Auto Mechanics Instructor; KIMBERLY BOAL, CHCA, SCI Mercer; JAMES P. OPPMAN, SCI Principal; JOHN/JANE DOE, Chief Secretary's Office of Inmate Grievances &amp; Appeals</w:t>
      </w:r>
    </w:p>
    <w:p w14:paraId="60D91F2C" w14:textId="77777777" w:rsidR="002D0E71" w:rsidRDefault="00000000">
      <w:pPr>
        <w:pStyle w:val="Normal1"/>
        <w:widowControl w:val="0"/>
        <w:spacing w:before="240" w:line="260" w:lineRule="atLeast"/>
        <w:jc w:val="both"/>
      </w:pPr>
      <w:bookmarkStart w:id="136" w:name="Notice"/>
      <w:bookmarkEnd w:id="136"/>
      <w:r>
        <w:rPr>
          <w:rFonts w:ascii="Arial" w:eastAsia="Arial" w:hAnsi="Arial" w:cs="Arial"/>
          <w:b/>
          <w:color w:val="000000"/>
          <w:sz w:val="20"/>
        </w:rPr>
        <w:t>Notice:</w:t>
      </w:r>
      <w:r>
        <w:rPr>
          <w:rFonts w:ascii="Arial" w:eastAsia="Arial" w:hAnsi="Arial" w:cs="Arial"/>
          <w:color w:val="000000"/>
          <w:sz w:val="20"/>
        </w:rPr>
        <w:t> </w:t>
      </w:r>
      <w:bookmarkStart w:id="137" w:name="Bookmark_para_1_0"/>
      <w:bookmarkEnd w:id="137"/>
      <w:r>
        <w:rPr>
          <w:rFonts w:ascii="Arial" w:eastAsia="Arial" w:hAnsi="Arial" w:cs="Arial"/>
          <w:color w:val="000000"/>
          <w:sz w:val="20"/>
        </w:rPr>
        <w:t>NOT PRECEDENTIAL OPINION UNDER THIRD CIRCUIT INTERNAL OPERATING PROCEDURE RULE 5.7. SUCH OPINIONS ARE NOT REGARDED AS PRECEDENTS WHICH BIND THE COURT.</w:t>
      </w:r>
    </w:p>
    <w:p w14:paraId="048DB5F4" w14:textId="77777777" w:rsidR="002D0E71" w:rsidRDefault="00000000">
      <w:pPr>
        <w:pStyle w:val="Normal1"/>
        <w:widowControl w:val="0"/>
        <w:spacing w:before="200" w:line="260" w:lineRule="atLeast"/>
        <w:jc w:val="both"/>
      </w:pPr>
      <w:bookmarkStart w:id="138" w:name="Bookmark_para_2_0"/>
      <w:bookmarkEnd w:id="138"/>
      <w:r>
        <w:rPr>
          <w:rFonts w:ascii="Arial" w:eastAsia="Arial" w:hAnsi="Arial" w:cs="Arial"/>
          <w:color w:val="000000"/>
          <w:sz w:val="20"/>
        </w:rPr>
        <w:t>PLEASE REFER TO FEDERAL RULES OF APPELLATE PROCEDURE RULE 32.1 GOVERNING THE CITATION TO UNPUBLISHED OPINIONS.</w:t>
      </w:r>
    </w:p>
    <w:p w14:paraId="4B89F262" w14:textId="77777777" w:rsidR="002D0E71" w:rsidRDefault="00000000">
      <w:pPr>
        <w:pStyle w:val="Normal1"/>
        <w:widowControl w:val="0"/>
        <w:spacing w:before="240" w:line="260" w:lineRule="atLeast"/>
        <w:jc w:val="both"/>
      </w:pPr>
      <w:bookmarkStart w:id="139" w:name="Prior_History_0"/>
      <w:bookmarkEnd w:id="139"/>
      <w:r>
        <w:rPr>
          <w:rFonts w:ascii="Arial" w:eastAsia="Arial" w:hAnsi="Arial" w:cs="Arial"/>
          <w:b/>
          <w:color w:val="000000"/>
          <w:sz w:val="20"/>
        </w:rPr>
        <w:t>Prior History:</w:t>
      </w:r>
      <w:r>
        <w:rPr>
          <w:rFonts w:ascii="Arial" w:eastAsia="Arial" w:hAnsi="Arial" w:cs="Arial"/>
          <w:color w:val="000000"/>
          <w:sz w:val="20"/>
        </w:rPr>
        <w:t> </w:t>
      </w:r>
      <w:bookmarkStart w:id="140" w:name="Bookmark_para_3_0"/>
      <w:bookmarkEnd w:id="140"/>
      <w:r>
        <w:rPr>
          <w:rFonts w:ascii="Arial" w:eastAsia="Arial" w:hAnsi="Arial" w:cs="Arial"/>
          <w:color w:val="000000"/>
          <w:sz w:val="20"/>
        </w:rPr>
        <w:t> [**1] On Appeal from the United States District Court for the Western District of Pennsylvania. (D.C. Civ. No. 3-14-cv-00126). District Judge: Kim R. Gibson.</w:t>
      </w:r>
    </w:p>
    <w:p w14:paraId="062481E8" w14:textId="77777777" w:rsidR="002D0E71" w:rsidRDefault="00000000">
      <w:pPr>
        <w:pStyle w:val="Normal1"/>
        <w:widowControl w:val="0"/>
        <w:spacing w:before="120" w:line="260" w:lineRule="atLeast"/>
      </w:pPr>
      <w:r>
        <w:rPr>
          <w:rFonts w:ascii="Arial" w:eastAsia="Arial" w:hAnsi="Arial" w:cs="Arial"/>
          <w:color w:val="000000"/>
          <w:sz w:val="20"/>
        </w:rPr>
        <w:t>Baxter v. Pa. Dep't of Corr., 2016 U.S. Dist. LEXIS 37872 (W.D. Pa., Mar. 23, 2016)</w:t>
      </w:r>
    </w:p>
    <w:p w14:paraId="41984EC3" w14:textId="77777777" w:rsidR="002D0E71" w:rsidRDefault="00000000">
      <w:pPr>
        <w:pStyle w:val="Normal1"/>
        <w:widowControl w:val="0"/>
        <w:spacing w:before="240" w:line="260" w:lineRule="atLeast"/>
      </w:pPr>
      <w:bookmarkStart w:id="141" w:name="Counsel_0"/>
      <w:bookmarkEnd w:id="141"/>
      <w:r>
        <w:rPr>
          <w:rFonts w:ascii="Arial" w:eastAsia="Arial" w:hAnsi="Arial" w:cs="Arial"/>
          <w:b/>
          <w:color w:val="000000"/>
          <w:sz w:val="20"/>
        </w:rPr>
        <w:t>Counsel:</w:t>
      </w:r>
      <w:r>
        <w:rPr>
          <w:rFonts w:ascii="Arial" w:eastAsia="Arial" w:hAnsi="Arial" w:cs="Arial"/>
          <w:color w:val="000000"/>
          <w:sz w:val="20"/>
        </w:rPr>
        <w:t> Brian D. Baxter, Plaintiff - Appellant, Pro se, Mercer, PA.</w:t>
      </w:r>
    </w:p>
    <w:p w14:paraId="0B12727F" w14:textId="77777777" w:rsidR="002D0E71" w:rsidRDefault="00000000">
      <w:pPr>
        <w:pStyle w:val="Normal1"/>
        <w:widowControl w:val="0"/>
        <w:spacing w:before="120" w:line="260" w:lineRule="atLeast"/>
      </w:pPr>
      <w:r>
        <w:rPr>
          <w:rFonts w:ascii="Arial" w:eastAsia="Arial" w:hAnsi="Arial" w:cs="Arial"/>
          <w:color w:val="000000"/>
          <w:sz w:val="20"/>
        </w:rPr>
        <w:t>For Pennsylvania Department of Corrections, BRIAN THOMPSON, SCI Superintendent, MICHAEL MALMISTER, SCI Mercer, Deputy Superintendent, MR. GIORDANO, SCI Auto Mechanics Instructor, KIMBERLY BOAL, CHCA, SCI Mercer, JAMES P. OPPMAN, SCI Principal, Defendants - Appellees: J. Bart DeLone, Esq., Office of Attorney General of Pennsylvania, Harrisburg, PA; Sandra A. Kozlowski, Esq, Office of Attorney General of Pennsylvania, Pittsburgh, PA.</w:t>
      </w:r>
    </w:p>
    <w:p w14:paraId="5DBF3BF1" w14:textId="77777777" w:rsidR="002D0E71" w:rsidRDefault="00000000">
      <w:pPr>
        <w:pStyle w:val="Normal1"/>
        <w:widowControl w:val="0"/>
        <w:spacing w:before="240" w:line="260" w:lineRule="atLeast"/>
      </w:pPr>
      <w:bookmarkStart w:id="142" w:name="Judges_0"/>
      <w:bookmarkEnd w:id="142"/>
      <w:r>
        <w:rPr>
          <w:rFonts w:ascii="Arial" w:eastAsia="Arial" w:hAnsi="Arial" w:cs="Arial"/>
          <w:b/>
          <w:color w:val="000000"/>
          <w:sz w:val="20"/>
        </w:rPr>
        <w:t>Judges:</w:t>
      </w:r>
      <w:r>
        <w:rPr>
          <w:rFonts w:ascii="Arial" w:eastAsia="Arial" w:hAnsi="Arial" w:cs="Arial"/>
          <w:color w:val="000000"/>
          <w:sz w:val="20"/>
        </w:rPr>
        <w:t> Before: KRAUSE, SCIRICA and FUENTES, Circuit Judges.</w:t>
      </w:r>
    </w:p>
    <w:p w14:paraId="0C6B632C" w14:textId="77777777" w:rsidR="002D0E71" w:rsidRDefault="00000000">
      <w:pPr>
        <w:pStyle w:val="Normal1"/>
        <w:keepNext/>
        <w:widowControl w:val="0"/>
        <w:spacing w:before="240" w:line="340" w:lineRule="atLeast"/>
      </w:pPr>
      <w:bookmarkStart w:id="143" w:name="Opinion_0"/>
      <w:bookmarkEnd w:id="143"/>
      <w:r>
        <w:rPr>
          <w:rFonts w:ascii="Arial" w:eastAsia="Arial" w:hAnsi="Arial" w:cs="Arial"/>
          <w:b/>
          <w:color w:val="000000"/>
          <w:sz w:val="28"/>
        </w:rPr>
        <w:t>Opinion</w:t>
      </w:r>
    </w:p>
    <w:p w14:paraId="0EC84190" w14:textId="5FFFCD80" w:rsidR="002D0E71" w:rsidRDefault="002939DF">
      <w:pPr>
        <w:pStyle w:val="Normal1"/>
        <w:spacing w:line="60" w:lineRule="exact"/>
      </w:pPr>
      <w:r>
        <w:rPr>
          <w:noProof/>
        </w:rPr>
        <mc:AlternateContent>
          <mc:Choice Requires="wps">
            <w:drawing>
              <wp:anchor distT="0" distB="0" distL="114300" distR="114300" simplePos="0" relativeHeight="251660288" behindDoc="0" locked="0" layoutInCell="1" allowOverlap="1" wp14:anchorId="448C4AE3" wp14:editId="608B6DCA">
                <wp:simplePos x="0" y="0"/>
                <wp:positionH relativeFrom="column">
                  <wp:posOffset>0</wp:posOffset>
                </wp:positionH>
                <wp:positionV relativeFrom="paragraph">
                  <wp:posOffset>25400</wp:posOffset>
                </wp:positionV>
                <wp:extent cx="3187700" cy="0"/>
                <wp:effectExtent l="19050" t="15875" r="12700" b="12700"/>
                <wp:wrapTopAndBottom/>
                <wp:docPr id="2324887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E7CEF6"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387FC18" w14:textId="77777777" w:rsidR="002D0E71" w:rsidRDefault="002D0E71">
      <w:pPr>
        <w:pStyle w:val="Normal1"/>
        <w:spacing w:line="120" w:lineRule="exact"/>
      </w:pPr>
    </w:p>
    <w:p w14:paraId="02DEE2D7" w14:textId="77777777" w:rsidR="002D0E71" w:rsidRDefault="00000000">
      <w:pPr>
        <w:pStyle w:val="Normal1"/>
        <w:widowControl w:val="0"/>
        <w:spacing w:before="240" w:line="260" w:lineRule="atLeast"/>
      </w:pPr>
      <w:r>
        <w:br/>
      </w:r>
      <w:r>
        <w:rPr>
          <w:rFonts w:ascii="Arial" w:eastAsia="Arial" w:hAnsi="Arial" w:cs="Arial"/>
          <w:color w:val="000000"/>
          <w:sz w:val="20"/>
        </w:rPr>
        <w:t> [*754]  OPINION</w:t>
      </w:r>
      <w:r>
        <w:rPr>
          <w:rFonts w:ascii="Arial" w:eastAsia="Arial" w:hAnsi="Arial" w:cs="Arial"/>
          <w:vertAlign w:val="superscript"/>
        </w:rPr>
        <w:footnoteReference w:customMarkFollows="1" w:id="4"/>
        <w:t>*</w:t>
      </w:r>
    </w:p>
    <w:p w14:paraId="3BB0F579" w14:textId="77777777" w:rsidR="002D0E71" w:rsidRDefault="00000000">
      <w:pPr>
        <w:pStyle w:val="Normal1"/>
        <w:widowControl w:val="0"/>
        <w:spacing w:before="200" w:line="260" w:lineRule="atLeast"/>
        <w:jc w:val="both"/>
      </w:pPr>
      <w:bookmarkStart w:id="145" w:name="Bookmark_para_4_0"/>
      <w:bookmarkEnd w:id="145"/>
      <w:r>
        <w:rPr>
          <w:rFonts w:ascii="Arial" w:eastAsia="Arial" w:hAnsi="Arial" w:cs="Arial"/>
          <w:color w:val="000000"/>
          <w:sz w:val="20"/>
        </w:rPr>
        <w:t>PER CURIAM</w:t>
      </w:r>
    </w:p>
    <w:p w14:paraId="0EC5F29D" w14:textId="77777777" w:rsidR="002D0E71" w:rsidRDefault="00000000">
      <w:pPr>
        <w:pStyle w:val="Normal1"/>
        <w:widowControl w:val="0"/>
        <w:spacing w:before="200" w:line="260" w:lineRule="atLeast"/>
        <w:jc w:val="both"/>
      </w:pPr>
      <w:bookmarkStart w:id="146" w:name="Bookmark_para_5_0"/>
      <w:bookmarkEnd w:id="146"/>
      <w:r>
        <w:rPr>
          <w:rFonts w:ascii="Arial" w:eastAsia="Arial" w:hAnsi="Arial" w:cs="Arial"/>
          <w:color w:val="000000"/>
          <w:sz w:val="20"/>
        </w:rPr>
        <w:t>Brian Baxter appeals from an order of the District Court awarding summary  [*755]  judgment to the defendants. For the reasons that follow, we will summarily affirm.</w:t>
      </w:r>
    </w:p>
    <w:p w14:paraId="5AF9185F" w14:textId="77777777" w:rsidR="002D0E71" w:rsidRDefault="00000000">
      <w:pPr>
        <w:pStyle w:val="Normal1"/>
        <w:widowControl w:val="0"/>
        <w:spacing w:before="200" w:line="260" w:lineRule="atLeast"/>
        <w:jc w:val="both"/>
      </w:pPr>
      <w:bookmarkStart w:id="147" w:name="Bookmark_para_6_0"/>
      <w:bookmarkEnd w:id="147"/>
      <w:r>
        <w:rPr>
          <w:rFonts w:ascii="Arial" w:eastAsia="Arial" w:hAnsi="Arial" w:cs="Arial"/>
          <w:color w:val="000000"/>
          <w:sz w:val="20"/>
        </w:rPr>
        <w:t>Baxter, an inmate at the State Correctional Institution in Mercer, Pennsylvania ("SCI-Mercer"), filed a civil rights complaint, 42 U.S.C. § 1983, in the United States District Court for the Western District of Pennsylvania against state [**2]  Department of Corrections ("DOC") employees and officials. In his amended complaint he alleged a violation of his rights under Title II of the Americans with Disabilities Act ("ADA"), 42 U.S.C. § 12132, and the Rehabilitation Act, 29 U.S.C. § 794(a), and sought money damages. The essential facts are not in dispute. Baxter was removed from an auto mechanics vocational program at the prison due to previously imposed medical restrictions. Baxter has been under a physician's care for the treatment of chronic back pain caused by serious injuries he suffered while serving in the military. He requires a cane to get around, and has bottom bunk/bottom tier status so that he does not have to use the stairs.</w:t>
      </w:r>
    </w:p>
    <w:p w14:paraId="2128DC37" w14:textId="77777777" w:rsidR="002D0E71" w:rsidRDefault="00000000">
      <w:pPr>
        <w:pStyle w:val="Normal1"/>
        <w:widowControl w:val="0"/>
        <w:spacing w:before="200" w:line="260" w:lineRule="atLeast"/>
        <w:jc w:val="both"/>
      </w:pPr>
      <w:bookmarkStart w:id="148" w:name="Bookmark_para_7_0"/>
      <w:bookmarkEnd w:id="148"/>
      <w:r>
        <w:rPr>
          <w:rFonts w:ascii="Arial" w:eastAsia="Arial" w:hAnsi="Arial" w:cs="Arial"/>
          <w:color w:val="000000"/>
          <w:sz w:val="20"/>
        </w:rPr>
        <w:t>While enrolled in "Basic Auto Mechanics" at the prison, Baxter continued to seek treatment, including pain medication, for severe back pain. His treating physician, Dr. Scott D. Morgan, and defendant Kimberly Boal, Corrections Healthcare Administrator, decided to remove him from the auto mechanics course because it required that he climb two "sets" of stairs (this according to Baxter himself) to get to class. Dr. Morgan wanted to insure compliance with the medical restriction that Baxter not climb stairs with his cane. The [**3]  Education Department apparently was unaware of the restriction when Baxter was admitted to the class and he evidently attended the class for two months before Dr. Morgan discovered the unapproved staircase climbing. When Baxter grieved the matter, stating that the class should be available in a fully accessible location or that the prison should install an elevator, Boal, pursuant to the ADA, offered in the alternative to inquire for him which of the other state correctional institutions offered auto trades in an environment that did not contain a staircase.</w:t>
      </w:r>
      <w:r>
        <w:rPr>
          <w:rFonts w:ascii="Arial" w:eastAsia="Arial" w:hAnsi="Arial" w:cs="Arial"/>
          <w:vertAlign w:val="superscript"/>
        </w:rPr>
        <w:footnoteReference w:customMarkFollows="1" w:id="5"/>
        <w:t>1</w:t>
      </w:r>
      <w:r>
        <w:rPr>
          <w:rFonts w:ascii="Arial" w:eastAsia="Arial" w:hAnsi="Arial" w:cs="Arial"/>
          <w:color w:val="000000"/>
          <w:sz w:val="20"/>
        </w:rPr>
        <w:t xml:space="preserve"> Baxter declined the offer and brought this lawsuit instead.</w:t>
      </w:r>
    </w:p>
    <w:p w14:paraId="3794EC71" w14:textId="77777777" w:rsidR="002D0E71" w:rsidRDefault="00000000">
      <w:pPr>
        <w:pStyle w:val="Normal1"/>
        <w:widowControl w:val="0"/>
        <w:spacing w:before="200" w:line="260" w:lineRule="atLeast"/>
        <w:jc w:val="both"/>
      </w:pPr>
      <w:bookmarkStart w:id="150" w:name="Bookmark_para_8_0"/>
      <w:bookmarkEnd w:id="150"/>
      <w:r>
        <w:rPr>
          <w:rFonts w:ascii="Arial" w:eastAsia="Arial" w:hAnsi="Arial" w:cs="Arial"/>
          <w:color w:val="000000"/>
          <w:sz w:val="20"/>
        </w:rPr>
        <w:t>The defendants moved for summary judgment on several grounds, including incomplete exhaustion of administrative remedies and sovereign immunity, and submitted numerous exhibits in support. Baxter also moved for summary judgment. The Magistrate Judge filed a Report and Recommendation after reviewing the summary judgment record, in which he concluded that the defendants were entitled to judgment as a matter of law. The Magistrate [**4]  Judge declined to hold that Baxter had failed to exhaust his administrative remedies, and concluded in pertinent part that there was no triable issue with respect to whether Baxter had suffered discrimination on the basis of his disability in connection with his removal from the auto mechanics course. The Magistrate Judge noted that, although Baxter argued that he capably attended the auto mechanics class for two months before his enrollment was discovered by the medical staff, such was not the case because, at the same time that he was attending class, he was presenting at the prison infirmary for treatment of severe back pain. As to his other argument — that he was entitled to a reasonable accommodation — the Magistrate Judge reasoned that he received one; Boal offered to find an auto mechanics course for him at another prison that would not require climbing stairs, and the ADA requires  [*756]  only reasonable accommodation, not the accommodation of the plaintiff's choice.</w:t>
      </w:r>
    </w:p>
    <w:p w14:paraId="673F894F" w14:textId="77777777" w:rsidR="002D0E71" w:rsidRDefault="00000000">
      <w:pPr>
        <w:pStyle w:val="Normal1"/>
        <w:widowControl w:val="0"/>
        <w:spacing w:before="200" w:line="260" w:lineRule="atLeast"/>
        <w:jc w:val="both"/>
      </w:pPr>
      <w:bookmarkStart w:id="151" w:name="Bookmark_para_9_0"/>
      <w:bookmarkEnd w:id="151"/>
      <w:r>
        <w:rPr>
          <w:rFonts w:ascii="Arial" w:eastAsia="Arial" w:hAnsi="Arial" w:cs="Arial"/>
          <w:color w:val="000000"/>
          <w:sz w:val="20"/>
        </w:rPr>
        <w:t>Baxter filed Objections to the Report and Recommendation, asserting that the Magistrate Judge overlooked his efforts to resolve the matter, specifically, his suggestion that prison officials build a ramp or install an elevator, [**5]  instead of suggesting that he transfer to another institution. In an Order and Judgment entered on March 23, 2016, the District Court rejected the Objections as meritless, adopted the Magistrate Judge's Report and Recommendation, and awarded summary judgment to the defendants.</w:t>
      </w:r>
    </w:p>
    <w:p w14:paraId="0B8388E0" w14:textId="77777777" w:rsidR="002D0E71" w:rsidRDefault="00000000">
      <w:pPr>
        <w:pStyle w:val="Normal1"/>
        <w:widowControl w:val="0"/>
        <w:spacing w:before="200" w:line="260" w:lineRule="atLeast"/>
        <w:jc w:val="both"/>
      </w:pPr>
      <w:bookmarkStart w:id="152" w:name="Bookmark_para_10_0"/>
      <w:bookmarkEnd w:id="152"/>
      <w:r>
        <w:rPr>
          <w:rFonts w:ascii="Arial" w:eastAsia="Arial" w:hAnsi="Arial" w:cs="Arial"/>
          <w:color w:val="000000"/>
          <w:sz w:val="20"/>
        </w:rPr>
        <w:t xml:space="preserve">Baxter appeals. We have jurisdiction under 28 U.S.C. § 1291. Our Clerk granted him leave to appeal </w:t>
      </w:r>
      <w:r>
        <w:rPr>
          <w:rFonts w:ascii="Arial" w:eastAsia="Arial" w:hAnsi="Arial" w:cs="Arial"/>
          <w:color w:val="000000"/>
          <w:sz w:val="20"/>
          <w:u w:val="single"/>
        </w:rPr>
        <w:t>in forma pauperis</w:t>
      </w:r>
      <w:r>
        <w:rPr>
          <w:rFonts w:ascii="Arial" w:eastAsia="Arial" w:hAnsi="Arial" w:cs="Arial"/>
          <w:color w:val="000000"/>
          <w:sz w:val="20"/>
        </w:rPr>
        <w:t xml:space="preserve"> and advised him that the appeal was subject to summary dismissal under 28 U.S.C. § 1915(e)(2)(B) or summary affirmance under Third Cir. LAR 27.4 and I.O.P. 10.6. He was invited to submit argument in writing. He has instead filed a motion for appointment of counsel on appeal.</w:t>
      </w:r>
    </w:p>
    <w:p w14:paraId="50269F70" w14:textId="77777777" w:rsidR="002D0E71" w:rsidRDefault="00000000">
      <w:pPr>
        <w:pStyle w:val="Normal1"/>
        <w:widowControl w:val="0"/>
        <w:spacing w:before="200" w:line="260" w:lineRule="atLeast"/>
        <w:jc w:val="both"/>
      </w:pPr>
      <w:bookmarkStart w:id="153" w:name="Bookmark_para_11_0"/>
      <w:bookmarkStart w:id="154" w:name="Bookmark_I5M1848F28T4360020000400"/>
      <w:bookmarkEnd w:id="153"/>
      <w:bookmarkEnd w:id="154"/>
      <w:r>
        <w:rPr>
          <w:rFonts w:ascii="Arial" w:eastAsia="Arial" w:hAnsi="Arial" w:cs="Arial"/>
          <w:color w:val="000000"/>
          <w:sz w:val="20"/>
        </w:rPr>
        <w:t xml:space="preserve">We will summarily affirm the order of the District Court because no substantial question is presented by this appeal, Third Circuit LAR 27.4 and I.O.P. 10.6. Summary judgment is appropriate "if the movant shows that there is no genuine dispute as to any material fact and the movant is entitled to judgment as a matter of law." Fed. R. Civ. P. 56(a). </w:t>
      </w:r>
      <w:bookmarkStart w:id="155" w:name="Bookmark_I5M1848F28T4360040000400"/>
      <w:bookmarkEnd w:id="155"/>
      <w:r>
        <w:rPr>
          <w:rFonts w:ascii="Arial" w:eastAsia="Arial" w:hAnsi="Arial" w:cs="Arial"/>
          <w:color w:val="000000"/>
          <w:sz w:val="20"/>
        </w:rPr>
        <w:t xml:space="preserve">The moving party "bears the initial responsibility of informing the district court of the basis for its motion, and identifying those portions" of the record which demonstrate the absence of a genuine dispute of material fact. </w:t>
      </w:r>
      <w:bookmarkStart w:id="156" w:name="Bookmark_I5M1848F28T4360010000400"/>
      <w:bookmarkEnd w:id="156"/>
      <w:r>
        <w:rPr>
          <w:rFonts w:ascii="Arial" w:eastAsia="Arial" w:hAnsi="Arial" w:cs="Arial"/>
          <w:color w:val="000000"/>
          <w:sz w:val="20"/>
          <w:u w:val="single"/>
        </w:rPr>
        <w:t>Celotex Corp. v. Catrett</w:t>
      </w:r>
      <w:r>
        <w:rPr>
          <w:rFonts w:ascii="Arial" w:eastAsia="Arial" w:hAnsi="Arial" w:cs="Arial"/>
          <w:color w:val="000000"/>
          <w:sz w:val="20"/>
        </w:rPr>
        <w:t xml:space="preserve">, 477 U.S. 317, 323, 106 S. Ct. 2548, 91 L. Ed. 2d 265 (1986). </w:t>
      </w:r>
      <w:bookmarkStart w:id="157" w:name="Bookmark_I5M1848F28T4360040000400_2"/>
      <w:bookmarkStart w:id="158" w:name="Bookmark_I5M1848F2D6NGG0010000400"/>
      <w:bookmarkEnd w:id="157"/>
      <w:bookmarkEnd w:id="158"/>
      <w:r>
        <w:rPr>
          <w:rFonts w:ascii="Arial" w:eastAsia="Arial" w:hAnsi="Arial" w:cs="Arial"/>
          <w:color w:val="000000"/>
          <w:sz w:val="20"/>
        </w:rPr>
        <w:t xml:space="preserve">If the moving party meets its burden, the nonmoving party then must present [**6]  specific facts that show there is a genuine issue for trial. Fed. R. Civ. P. 56(c)(1), (e)(2); </w:t>
      </w:r>
      <w:bookmarkStart w:id="159" w:name="Bookmark_I5M1848F28T4360030000400"/>
      <w:bookmarkEnd w:id="159"/>
      <w:r>
        <w:rPr>
          <w:rFonts w:ascii="Arial" w:eastAsia="Arial" w:hAnsi="Arial" w:cs="Arial"/>
          <w:color w:val="000000"/>
          <w:sz w:val="20"/>
          <w:u w:val="single"/>
        </w:rPr>
        <w:t>Anderson v. Liberty Lobby, Inc.</w:t>
      </w:r>
      <w:r>
        <w:rPr>
          <w:rFonts w:ascii="Arial" w:eastAsia="Arial" w:hAnsi="Arial" w:cs="Arial"/>
          <w:color w:val="000000"/>
          <w:sz w:val="20"/>
        </w:rPr>
        <w:t xml:space="preserve">, 477 U.S. 242, 248, 106 S. Ct. 2505, 91 L. Ed. 2d 202 (1986). </w:t>
      </w:r>
      <w:bookmarkStart w:id="160" w:name="Bookmark_I5M1848F2D6NGG0010000400_2"/>
      <w:bookmarkEnd w:id="160"/>
      <w:r>
        <w:rPr>
          <w:rFonts w:ascii="Arial" w:eastAsia="Arial" w:hAnsi="Arial" w:cs="Arial"/>
          <w:color w:val="000000"/>
          <w:sz w:val="20"/>
        </w:rPr>
        <w:t xml:space="preserve">A court should grant summary judgment where the non-movant's evidence is merely colorable or not significantly probative, </w:t>
      </w:r>
      <w:bookmarkStart w:id="161" w:name="Bookmark_I5M1848F28T4360050000400"/>
      <w:bookmarkEnd w:id="161"/>
      <w:r>
        <w:rPr>
          <w:rFonts w:ascii="Arial" w:eastAsia="Arial" w:hAnsi="Arial" w:cs="Arial"/>
          <w:color w:val="000000"/>
          <w:sz w:val="20"/>
          <w:u w:val="single"/>
        </w:rPr>
        <w:t>id.</w:t>
      </w:r>
      <w:r>
        <w:rPr>
          <w:rFonts w:ascii="Arial" w:eastAsia="Arial" w:hAnsi="Arial" w:cs="Arial"/>
          <w:color w:val="000000"/>
          <w:sz w:val="20"/>
        </w:rPr>
        <w:t xml:space="preserve"> at 249-50, because "[w]here the record taken as a whole could not lead a rational trier of fact to find for the nonmoving party, there is no 'genuine issue for trial,'" </w:t>
      </w:r>
      <w:bookmarkStart w:id="162" w:name="Bookmark_I5M1848F2D6NGG0020000400"/>
      <w:bookmarkEnd w:id="162"/>
      <w:r>
        <w:rPr>
          <w:rFonts w:ascii="Arial" w:eastAsia="Arial" w:hAnsi="Arial" w:cs="Arial"/>
          <w:color w:val="000000"/>
          <w:sz w:val="20"/>
          <w:u w:val="single"/>
        </w:rPr>
        <w:t>Matsushita Electric Industrial Co. v. Zenith Radio Corp.</w:t>
      </w:r>
      <w:r>
        <w:rPr>
          <w:rFonts w:ascii="Arial" w:eastAsia="Arial" w:hAnsi="Arial" w:cs="Arial"/>
          <w:color w:val="000000"/>
          <w:sz w:val="20"/>
        </w:rPr>
        <w:t>, 475 U.S. 574, 587, 106 S. Ct. 1348, 89 L. Ed. 2d 538 (1986).</w:t>
      </w:r>
    </w:p>
    <w:p w14:paraId="74BF7003" w14:textId="77777777" w:rsidR="002D0E71" w:rsidRDefault="00000000">
      <w:pPr>
        <w:pStyle w:val="Normal1"/>
        <w:widowControl w:val="0"/>
        <w:spacing w:before="200" w:line="260" w:lineRule="atLeast"/>
        <w:jc w:val="both"/>
      </w:pPr>
      <w:bookmarkStart w:id="163" w:name="Bookmark_para_12_0"/>
      <w:bookmarkStart w:id="164" w:name="Bookmark_I5M1848F2D6NGG0050000400"/>
      <w:bookmarkStart w:id="165" w:name="Bookmark_I5PX5KMXRBY000VWWV3004JC"/>
      <w:bookmarkStart w:id="166" w:name="Bookmark_I5M1848F2HM65J0020000400"/>
      <w:bookmarkEnd w:id="163"/>
      <w:bookmarkEnd w:id="164"/>
      <w:bookmarkEnd w:id="165"/>
      <w:bookmarkEnd w:id="166"/>
      <w:r>
        <w:rPr>
          <w:rFonts w:ascii="Arial" w:eastAsia="Arial" w:hAnsi="Arial" w:cs="Arial"/>
          <w:color w:val="000000"/>
          <w:sz w:val="20"/>
        </w:rPr>
        <w:t xml:space="preserve">For claims brought under the ADA, the Supreme Court has held that "insofar as Title II [of the ADA] creates a private cause of action for damages against the States for conduct that </w:t>
      </w:r>
      <w:r>
        <w:rPr>
          <w:rFonts w:ascii="Arial" w:eastAsia="Arial" w:hAnsi="Arial" w:cs="Arial"/>
          <w:i/>
          <w:color w:val="000000"/>
          <w:sz w:val="20"/>
        </w:rPr>
        <w:t>actually</w:t>
      </w:r>
      <w:r>
        <w:rPr>
          <w:rFonts w:ascii="Arial" w:eastAsia="Arial" w:hAnsi="Arial" w:cs="Arial"/>
          <w:color w:val="000000"/>
          <w:sz w:val="20"/>
        </w:rPr>
        <w:t xml:space="preserve"> violates the Fourteenth Amendment, Title II validly abrogates state sovereign immunity." </w:t>
      </w:r>
      <w:bookmarkStart w:id="167" w:name="Bookmark_I5M1848F2D6NGG0040000400"/>
      <w:bookmarkEnd w:id="167"/>
      <w:r>
        <w:rPr>
          <w:rFonts w:ascii="Arial" w:eastAsia="Arial" w:hAnsi="Arial" w:cs="Arial"/>
          <w:color w:val="000000"/>
          <w:sz w:val="20"/>
          <w:u w:val="single"/>
        </w:rPr>
        <w:t>United States v. Georgia</w:t>
      </w:r>
      <w:r>
        <w:rPr>
          <w:rFonts w:ascii="Arial" w:eastAsia="Arial" w:hAnsi="Arial" w:cs="Arial"/>
          <w:color w:val="000000"/>
          <w:sz w:val="20"/>
        </w:rPr>
        <w:t xml:space="preserve">, 546 U.S. 151, 159, 126 S. Ct. 877, 163 L. Ed. 2d 650 (2006) (emphasis in original). </w:t>
      </w:r>
      <w:bookmarkStart w:id="168" w:name="Bookmark_I5M1848F2HM65J0040000400"/>
      <w:bookmarkEnd w:id="168"/>
      <w:r>
        <w:rPr>
          <w:rFonts w:ascii="Arial" w:eastAsia="Arial" w:hAnsi="Arial" w:cs="Arial"/>
          <w:color w:val="000000"/>
          <w:sz w:val="20"/>
        </w:rPr>
        <w:t xml:space="preserve">Applying </w:t>
      </w:r>
      <w:r>
        <w:rPr>
          <w:rFonts w:ascii="Arial" w:eastAsia="Arial" w:hAnsi="Arial" w:cs="Arial"/>
          <w:color w:val="000000"/>
          <w:sz w:val="20"/>
          <w:u w:val="single"/>
        </w:rPr>
        <w:t>United States v. Georgia</w:t>
      </w:r>
      <w:r>
        <w:rPr>
          <w:rFonts w:ascii="Arial" w:eastAsia="Arial" w:hAnsi="Arial" w:cs="Arial"/>
          <w:color w:val="000000"/>
          <w:sz w:val="20"/>
        </w:rPr>
        <w:t xml:space="preserve">, we concluded that District Courts are "required to determine in the first instance if any aspect of the [] alleged conduct forms the basis for a Title II claim." </w:t>
      </w:r>
      <w:bookmarkStart w:id="169" w:name="Bookmark_I5M1848F2HM65J0010000400"/>
      <w:bookmarkEnd w:id="169"/>
      <w:r>
        <w:rPr>
          <w:rFonts w:ascii="Arial" w:eastAsia="Arial" w:hAnsi="Arial" w:cs="Arial"/>
          <w:color w:val="000000"/>
          <w:sz w:val="20"/>
          <w:u w:val="single"/>
        </w:rPr>
        <w:t>Bowers v. National Collegiate Athletic Ass'n</w:t>
      </w:r>
      <w:r>
        <w:rPr>
          <w:rFonts w:ascii="Arial" w:eastAsia="Arial" w:hAnsi="Arial" w:cs="Arial"/>
          <w:color w:val="000000"/>
          <w:sz w:val="20"/>
        </w:rPr>
        <w:t xml:space="preserve">, 475 F.3d 524, 553 (3d Cir. 2007) (footnote omitted). If the complaint states a claim under Title II, the Court must next determine whether the alleged conduct also violates the Fourteenth Amendment, and if not, whether Congress's purported abrogation of state sovereign immunity is nevertheless valid. </w:t>
      </w:r>
      <w:bookmarkStart w:id="170" w:name="Bookmark_I5M1848F2HM65J0040000400_2"/>
      <w:bookmarkStart w:id="171" w:name="Bookmark_I5M1848F2N1R0Y0010000400"/>
      <w:bookmarkStart w:id="172" w:name="Bookmark_I5M1848F2HM65J0030000400"/>
      <w:bookmarkEnd w:id="170"/>
      <w:bookmarkEnd w:id="171"/>
      <w:bookmarkEnd w:id="172"/>
      <w:r>
        <w:rPr>
          <w:rFonts w:ascii="Arial" w:eastAsia="Arial" w:hAnsi="Arial" w:cs="Arial"/>
          <w:color w:val="000000"/>
          <w:sz w:val="20"/>
          <w:u w:val="single"/>
        </w:rPr>
        <w:t>Id.</w:t>
      </w:r>
      <w:r>
        <w:rPr>
          <w:rFonts w:ascii="Arial" w:eastAsia="Arial" w:hAnsi="Arial" w:cs="Arial"/>
          <w:color w:val="000000"/>
          <w:sz w:val="20"/>
        </w:rPr>
        <w:t xml:space="preserve"> at 553-54. </w:t>
      </w:r>
      <w:bookmarkStart w:id="173" w:name="Bookmark_I5M1848F2N1R0Y0010000400_2"/>
      <w:bookmarkEnd w:id="173"/>
      <w:r>
        <w:rPr>
          <w:rFonts w:ascii="Arial" w:eastAsia="Arial" w:hAnsi="Arial" w:cs="Arial"/>
          <w:color w:val="000000"/>
          <w:sz w:val="20"/>
        </w:rPr>
        <w:t xml:space="preserve">We do not reach the constitutional issue unless and until it is decided that the plaintiff has made out a valid Title II claim. [**7]  </w:t>
      </w:r>
      <w:r>
        <w:rPr>
          <w:rFonts w:ascii="Arial" w:eastAsia="Arial" w:hAnsi="Arial" w:cs="Arial"/>
          <w:color w:val="000000"/>
          <w:sz w:val="20"/>
          <w:u w:val="single"/>
        </w:rPr>
        <w:t xml:space="preserve">See </w:t>
      </w:r>
      <w:bookmarkStart w:id="174" w:name="Bookmark_I5M1848F2HM65J0050000400"/>
      <w:bookmarkEnd w:id="174"/>
      <w:r>
        <w:rPr>
          <w:rFonts w:ascii="Arial" w:eastAsia="Arial" w:hAnsi="Arial" w:cs="Arial"/>
          <w:color w:val="000000"/>
          <w:sz w:val="20"/>
          <w:u w:val="single"/>
        </w:rPr>
        <w:t>United States v. Georgia</w:t>
      </w:r>
      <w:r>
        <w:rPr>
          <w:rFonts w:ascii="Arial" w:eastAsia="Arial" w:hAnsi="Arial" w:cs="Arial"/>
          <w:color w:val="000000"/>
          <w:sz w:val="20"/>
        </w:rPr>
        <w:t xml:space="preserve">, 546 U.S. at 159; </w:t>
      </w:r>
      <w:r>
        <w:rPr>
          <w:rFonts w:ascii="Arial" w:eastAsia="Arial" w:hAnsi="Arial" w:cs="Arial"/>
          <w:color w:val="000000"/>
          <w:sz w:val="20"/>
          <w:u w:val="single"/>
        </w:rPr>
        <w:t xml:space="preserve">see also </w:t>
      </w:r>
      <w:bookmarkStart w:id="175" w:name="Bookmark_I5M1848F2N1R0Y0020000400"/>
      <w:bookmarkEnd w:id="175"/>
      <w:r>
        <w:rPr>
          <w:rFonts w:ascii="Arial" w:eastAsia="Arial" w:hAnsi="Arial" w:cs="Arial"/>
          <w:color w:val="000000"/>
          <w:sz w:val="20"/>
          <w:u w:val="single"/>
        </w:rPr>
        <w:t>Bowers</w:t>
      </w:r>
      <w:r>
        <w:rPr>
          <w:rFonts w:ascii="Arial" w:eastAsia="Arial" w:hAnsi="Arial" w:cs="Arial"/>
          <w:color w:val="000000"/>
          <w:sz w:val="20"/>
        </w:rPr>
        <w:t>, 475 F.3d at 553.</w:t>
      </w:r>
    </w:p>
    <w:p w14:paraId="6F392B9B" w14:textId="77777777" w:rsidR="002D0E71" w:rsidRDefault="00000000">
      <w:pPr>
        <w:pStyle w:val="Normal1"/>
        <w:widowControl w:val="0"/>
        <w:spacing w:before="200" w:line="260" w:lineRule="atLeast"/>
        <w:jc w:val="both"/>
      </w:pPr>
      <w:bookmarkStart w:id="176" w:name="Bookmark_para_13_0"/>
      <w:bookmarkStart w:id="177" w:name="Bookmark_I5M1848F2N1R0Y0050000400"/>
      <w:bookmarkEnd w:id="176"/>
      <w:bookmarkEnd w:id="177"/>
      <w:r>
        <w:rPr>
          <w:rFonts w:ascii="Arial" w:eastAsia="Arial" w:hAnsi="Arial" w:cs="Arial"/>
          <w:color w:val="000000"/>
          <w:sz w:val="20"/>
        </w:rPr>
        <w:t xml:space="preserve">Under Title II of the ADA, "[n]o qualified individual with a disability shall, by reason of such disability, be excluded from participation in or be denied the benefits of the services, programs, or activities of a  [*757]  public entity, or be subjected to discrimination by any such entity." 42 U.S.C. § 12132. Title II prohibiting a "public entity" from discriminating against a qualified individual with a disability on account of that individual's disability, applies to inmates in state prisons. </w:t>
      </w:r>
      <w:bookmarkStart w:id="178" w:name="Bookmark_I5M1848F2SF7VR0020000400"/>
      <w:bookmarkStart w:id="179" w:name="Bookmark_I5M1848F2N1R0Y0040000400"/>
      <w:bookmarkEnd w:id="178"/>
      <w:bookmarkEnd w:id="179"/>
      <w:r>
        <w:rPr>
          <w:rFonts w:ascii="Arial" w:eastAsia="Arial" w:hAnsi="Arial" w:cs="Arial"/>
          <w:color w:val="000000"/>
          <w:sz w:val="20"/>
          <w:u w:val="single"/>
        </w:rPr>
        <w:t>Pennsylvania Dep't of Corrections v. Yeskey</w:t>
      </w:r>
      <w:r>
        <w:rPr>
          <w:rFonts w:ascii="Arial" w:eastAsia="Arial" w:hAnsi="Arial" w:cs="Arial"/>
          <w:color w:val="000000"/>
          <w:sz w:val="20"/>
        </w:rPr>
        <w:t xml:space="preserve">, 524 U.S. 206, 118 S. Ct. 1952, 141 L. Ed. 2d 215 (1998). </w:t>
      </w:r>
      <w:bookmarkStart w:id="180" w:name="Bookmark_I5M1848F2SF7VR0020000400_2"/>
      <w:bookmarkEnd w:id="180"/>
      <w:r>
        <w:rPr>
          <w:rFonts w:ascii="Arial" w:eastAsia="Arial" w:hAnsi="Arial" w:cs="Arial"/>
          <w:color w:val="000000"/>
          <w:sz w:val="20"/>
        </w:rPr>
        <w:t xml:space="preserve">The protections afforded by the Rehabilitation Act are substantially similar. </w:t>
      </w:r>
      <w:bookmarkStart w:id="181" w:name="Bookmark_I5PX5KMXXFT000VWWV3004JD"/>
      <w:bookmarkStart w:id="182" w:name="Bookmark_I5M1848F2SF7VR0040000400"/>
      <w:bookmarkEnd w:id="181"/>
      <w:bookmarkEnd w:id="182"/>
      <w:r>
        <w:rPr>
          <w:rFonts w:ascii="Arial" w:eastAsia="Arial" w:hAnsi="Arial" w:cs="Arial"/>
          <w:color w:val="000000"/>
          <w:sz w:val="20"/>
          <w:u w:val="single"/>
        </w:rPr>
        <w:t xml:space="preserve">See </w:t>
      </w:r>
      <w:bookmarkStart w:id="183" w:name="Bookmark_I5M1848F2SF7VR0010000400"/>
      <w:bookmarkEnd w:id="183"/>
      <w:r>
        <w:rPr>
          <w:rFonts w:ascii="Arial" w:eastAsia="Arial" w:hAnsi="Arial" w:cs="Arial"/>
          <w:color w:val="000000"/>
          <w:sz w:val="20"/>
          <w:u w:val="single"/>
        </w:rPr>
        <w:t>Bowers</w:t>
      </w:r>
      <w:r>
        <w:rPr>
          <w:rFonts w:ascii="Arial" w:eastAsia="Arial" w:hAnsi="Arial" w:cs="Arial"/>
          <w:color w:val="000000"/>
          <w:sz w:val="20"/>
        </w:rPr>
        <w:t xml:space="preserve">, 475 F.3d at 550. </w:t>
      </w:r>
      <w:bookmarkStart w:id="184" w:name="Bookmark_I5M1848F2SF7VR0040000400_2"/>
      <w:bookmarkEnd w:id="184"/>
      <w:r>
        <w:rPr>
          <w:rFonts w:ascii="Arial" w:eastAsia="Arial" w:hAnsi="Arial" w:cs="Arial"/>
          <w:color w:val="000000"/>
          <w:sz w:val="20"/>
        </w:rPr>
        <w:t xml:space="preserve">To succeed under the Rehabilitation Act, a plaintiff must show: (1) that he has a disability; (2) that he is otherwise qualified for the benefit that has been denied; (3) that he has been denied the benefit solely by reason of his disability; and (4) that the benefit is part of a program or activity receiving Federal financial assistance. </w:t>
      </w:r>
      <w:r>
        <w:rPr>
          <w:rFonts w:ascii="Arial" w:eastAsia="Arial" w:hAnsi="Arial" w:cs="Arial"/>
          <w:color w:val="000000"/>
          <w:sz w:val="20"/>
          <w:u w:val="single"/>
        </w:rPr>
        <w:t xml:space="preserve">See </w:t>
      </w:r>
      <w:bookmarkStart w:id="185" w:name="Bookmark_I5M1848F2SF7VR0030000400"/>
      <w:bookmarkEnd w:id="185"/>
      <w:r>
        <w:rPr>
          <w:rFonts w:ascii="Arial" w:eastAsia="Arial" w:hAnsi="Arial" w:cs="Arial"/>
          <w:color w:val="000000"/>
          <w:sz w:val="20"/>
          <w:u w:val="single"/>
        </w:rPr>
        <w:t>Wagner by Wagner v. Fair Ares Geriatric Center</w:t>
      </w:r>
      <w:r>
        <w:rPr>
          <w:rFonts w:ascii="Arial" w:eastAsia="Arial" w:hAnsi="Arial" w:cs="Arial"/>
          <w:color w:val="000000"/>
          <w:sz w:val="20"/>
        </w:rPr>
        <w:t>, 49 F.3d 1002, 1009 (3d Cir. 1995).</w:t>
      </w:r>
    </w:p>
    <w:p w14:paraId="7F4AD7B6" w14:textId="77777777" w:rsidR="002D0E71" w:rsidRDefault="00000000">
      <w:pPr>
        <w:pStyle w:val="Normal1"/>
        <w:widowControl w:val="0"/>
        <w:spacing w:before="200" w:line="260" w:lineRule="atLeast"/>
        <w:jc w:val="both"/>
      </w:pPr>
      <w:bookmarkStart w:id="186" w:name="Bookmark_para_14_0"/>
      <w:bookmarkEnd w:id="186"/>
      <w:r>
        <w:rPr>
          <w:rFonts w:ascii="Arial" w:eastAsia="Arial" w:hAnsi="Arial" w:cs="Arial"/>
          <w:color w:val="000000"/>
          <w:sz w:val="20"/>
        </w:rPr>
        <w:t>We conclude that summary judgment was proper in Baxter's case on his ADA and Rehabilitation Act claims. Baxter plainly is disabled by his chronic back problems and the parties do not dispute that the medical restriction imposed on him with respect to climbing stairs is warranted. [**8] </w:t>
      </w:r>
      <w:r>
        <w:rPr>
          <w:rFonts w:ascii="Arial" w:eastAsia="Arial" w:hAnsi="Arial" w:cs="Arial"/>
          <w:vertAlign w:val="superscript"/>
        </w:rPr>
        <w:footnoteReference w:customMarkFollows="1" w:id="6"/>
        <w:t>2</w:t>
      </w:r>
      <w:r>
        <w:rPr>
          <w:rFonts w:ascii="Arial" w:eastAsia="Arial" w:hAnsi="Arial" w:cs="Arial"/>
          <w:color w:val="000000"/>
          <w:sz w:val="20"/>
        </w:rPr>
        <w:t xml:space="preserve"> In addition, Baxter is qualified to take a basic auto mechanics course. We note that Boal offered to find a basic auto mechanics class for him at another institution, indicating her belief that he was otherwise qualified to take such a class.</w:t>
      </w:r>
      <w:r>
        <w:rPr>
          <w:rFonts w:ascii="Arial" w:eastAsia="Arial" w:hAnsi="Arial" w:cs="Arial"/>
          <w:vertAlign w:val="superscript"/>
        </w:rPr>
        <w:footnoteReference w:customMarkFollows="1" w:id="7"/>
        <w:t>3</w:t>
      </w:r>
      <w:r>
        <w:rPr>
          <w:rFonts w:ascii="Arial" w:eastAsia="Arial" w:hAnsi="Arial" w:cs="Arial"/>
          <w:color w:val="000000"/>
          <w:sz w:val="20"/>
        </w:rPr>
        <w:t xml:space="preserve"> Last, it is undisputed that Baxter was excluded from participation in the SCI-Mercer auto mechanics course by Boal and Dr. Morgan on account of his ambulatory difficulties, that is, his inability to safely negotiate stairs.</w:t>
      </w:r>
    </w:p>
    <w:p w14:paraId="75424B70" w14:textId="77777777" w:rsidR="002D0E71" w:rsidRDefault="00000000">
      <w:pPr>
        <w:pStyle w:val="Normal1"/>
        <w:widowControl w:val="0"/>
        <w:spacing w:before="200" w:line="260" w:lineRule="atLeast"/>
        <w:jc w:val="both"/>
      </w:pPr>
      <w:bookmarkStart w:id="189" w:name="Bookmark_para_15_0"/>
      <w:bookmarkStart w:id="190" w:name="Bookmark_I5PX5KMY643000VWWV3004JG"/>
      <w:bookmarkStart w:id="191" w:name="Bookmark_I5M1848F2D6NGH0010000400"/>
      <w:bookmarkStart w:id="192" w:name="Bookmark_I5M1848F2D6NGH0030000400"/>
      <w:bookmarkEnd w:id="189"/>
      <w:bookmarkEnd w:id="190"/>
      <w:bookmarkEnd w:id="191"/>
      <w:bookmarkEnd w:id="192"/>
      <w:r>
        <w:rPr>
          <w:rFonts w:ascii="Arial" w:eastAsia="Arial" w:hAnsi="Arial" w:cs="Arial"/>
          <w:color w:val="000000"/>
          <w:sz w:val="20"/>
        </w:rPr>
        <w:t xml:space="preserve">Thus, the defendants are entitled to summary judgment only if it is undisputed that they provided Baxter with a reasonable accommodation for his disability by offering to find him an auto mechanics course at another prison that would not require him to [**9]  climb stairs. </w:t>
      </w:r>
      <w:r>
        <w:rPr>
          <w:rFonts w:ascii="Arial" w:eastAsia="Arial" w:hAnsi="Arial" w:cs="Arial"/>
          <w:color w:val="000000"/>
          <w:sz w:val="20"/>
          <w:u w:val="single"/>
        </w:rPr>
        <w:t xml:space="preserve">See </w:t>
      </w:r>
      <w:bookmarkStart w:id="193" w:name="Bookmark_I5M1848F2SF7VR0050000400"/>
      <w:bookmarkEnd w:id="193"/>
      <w:r>
        <w:rPr>
          <w:rFonts w:ascii="Arial" w:eastAsia="Arial" w:hAnsi="Arial" w:cs="Arial"/>
          <w:color w:val="000000"/>
          <w:sz w:val="20"/>
          <w:u w:val="single"/>
        </w:rPr>
        <w:t>Bowers</w:t>
      </w:r>
      <w:r>
        <w:rPr>
          <w:rFonts w:ascii="Arial" w:eastAsia="Arial" w:hAnsi="Arial" w:cs="Arial"/>
          <w:color w:val="000000"/>
          <w:sz w:val="20"/>
        </w:rPr>
        <w:t xml:space="preserve">, 475 F.3d at 553. </w:t>
      </w:r>
      <w:r>
        <w:rPr>
          <w:rFonts w:ascii="Arial" w:eastAsia="Arial" w:hAnsi="Arial" w:cs="Arial"/>
          <w:color w:val="000000"/>
          <w:sz w:val="20"/>
          <w:u w:val="single"/>
        </w:rPr>
        <w:t xml:space="preserve">See also </w:t>
      </w:r>
      <w:bookmarkStart w:id="194" w:name="Bookmark_I5M1848F2D6NGH0020000400"/>
      <w:bookmarkEnd w:id="194"/>
      <w:r>
        <w:rPr>
          <w:rFonts w:ascii="Arial" w:eastAsia="Arial" w:hAnsi="Arial" w:cs="Arial"/>
          <w:color w:val="000000"/>
          <w:sz w:val="20"/>
          <w:u w:val="single"/>
        </w:rPr>
        <w:t>Henrietta D. v. Bloomberg</w:t>
      </w:r>
      <w:r>
        <w:rPr>
          <w:rFonts w:ascii="Arial" w:eastAsia="Arial" w:hAnsi="Arial" w:cs="Arial"/>
          <w:color w:val="000000"/>
          <w:sz w:val="20"/>
        </w:rPr>
        <w:t xml:space="preserve">, 331 F.3d 261, 277 (2d Cir. 2003) ("Quite simply, the demonstration that a disability makes it difficult for a plaintiff to access benefits that are available to both those with and without disabilities is sufficient to sustain a claim for a reasonable accommodation."). </w:t>
      </w:r>
      <w:bookmarkStart w:id="195" w:name="Bookmark_I5M1848F2D6NGH0050000400"/>
      <w:bookmarkEnd w:id="195"/>
      <w:r>
        <w:rPr>
          <w:rFonts w:ascii="Arial" w:eastAsia="Arial" w:hAnsi="Arial" w:cs="Arial"/>
          <w:color w:val="000000"/>
          <w:sz w:val="20"/>
        </w:rPr>
        <w:t xml:space="preserve">We agree with the District Court that the defendants made the required showing. They demonstrated without contradiction that they were willing to find Baxter a suitable auto mechanics program at another institution. </w:t>
      </w:r>
      <w:bookmarkStart w:id="196" w:name="Bookmark_I5M1848F28T4370020000400"/>
      <w:bookmarkEnd w:id="196"/>
      <w:r>
        <w:rPr>
          <w:rFonts w:ascii="Arial" w:eastAsia="Arial" w:hAnsi="Arial" w:cs="Arial"/>
          <w:color w:val="000000"/>
          <w:sz w:val="20"/>
        </w:rPr>
        <w:t xml:space="preserve">A reasonable accommodation must be effective, </w:t>
      </w:r>
      <w:r>
        <w:rPr>
          <w:rFonts w:ascii="Arial" w:eastAsia="Arial" w:hAnsi="Arial" w:cs="Arial"/>
          <w:color w:val="000000"/>
          <w:sz w:val="20"/>
          <w:u w:val="single"/>
        </w:rPr>
        <w:t xml:space="preserve">see </w:t>
      </w:r>
      <w:bookmarkStart w:id="197" w:name="Bookmark_I5M1848F2D6NGH0040000400"/>
      <w:bookmarkEnd w:id="197"/>
      <w:r>
        <w:rPr>
          <w:rFonts w:ascii="Arial" w:eastAsia="Arial" w:hAnsi="Arial" w:cs="Arial"/>
          <w:color w:val="000000"/>
          <w:sz w:val="20"/>
          <w:u w:val="single"/>
        </w:rPr>
        <w:t>U.S. Airways, Inc. v. Barnett</w:t>
      </w:r>
      <w:r>
        <w:rPr>
          <w:rFonts w:ascii="Arial" w:eastAsia="Arial" w:hAnsi="Arial" w:cs="Arial"/>
          <w:color w:val="000000"/>
          <w:sz w:val="20"/>
        </w:rPr>
        <w:t xml:space="preserve">, 535 U.S. 391, 400, 122 S. Ct. 1516, 152 L. Ed. 2d 589 (2002), and an auto mechanics course at another prison that would not require Baxter to climb stairs would indeed be effective. </w:t>
      </w:r>
      <w:bookmarkStart w:id="198" w:name="Bookmark_I5M1848F28T4370020000400_2"/>
      <w:bookmarkStart w:id="199" w:name="Bookmark_I5M1848F28T4370040000400"/>
      <w:bookmarkEnd w:id="198"/>
      <w:bookmarkEnd w:id="199"/>
      <w:r>
        <w:rPr>
          <w:rFonts w:ascii="Arial" w:eastAsia="Arial" w:hAnsi="Arial" w:cs="Arial"/>
          <w:color w:val="000000"/>
          <w:sz w:val="20"/>
        </w:rPr>
        <w:t xml:space="preserve">Perhaps Boal would not have been able to find such a program, in which case the defendants might have had to offer Baxter a different reasonable accommodation -- moving his class to a ground floor, for example -- but Baxter said no to this offer and filed this civil action instead and thus a reasonable juror could not conclude that his inability to access "programs, services and activities" stemmed from the defendants' refusal to provide him with a reasonable accommodation.  [*758]  </w:t>
      </w:r>
      <w:r>
        <w:rPr>
          <w:rFonts w:ascii="Arial" w:eastAsia="Arial" w:hAnsi="Arial" w:cs="Arial"/>
          <w:color w:val="000000"/>
          <w:sz w:val="20"/>
          <w:u w:val="single"/>
        </w:rPr>
        <w:t xml:space="preserve">See </w:t>
      </w:r>
      <w:bookmarkStart w:id="200" w:name="Bookmark_I5M1848F28T4370010000400"/>
      <w:bookmarkEnd w:id="200"/>
      <w:r>
        <w:rPr>
          <w:rFonts w:ascii="Arial" w:eastAsia="Arial" w:hAnsi="Arial" w:cs="Arial"/>
          <w:color w:val="000000"/>
          <w:sz w:val="20"/>
          <w:u w:val="single"/>
        </w:rPr>
        <w:t>Mengine v. Runyon</w:t>
      </w:r>
      <w:r>
        <w:rPr>
          <w:rFonts w:ascii="Arial" w:eastAsia="Arial" w:hAnsi="Arial" w:cs="Arial"/>
          <w:color w:val="000000"/>
          <w:sz w:val="20"/>
        </w:rPr>
        <w:t xml:space="preserve">, 114 F.3d 415, 419-20 (3d Cir. 1997) (holding summary judgment proper where defendant makes good faith [**10]  effort to engage in interactive process, communicate with plaintiff, and accommodate his disability). </w:t>
      </w:r>
      <w:bookmarkStart w:id="201" w:name="Bookmark_I5M1848F28T4370040000400_2"/>
      <w:bookmarkEnd w:id="201"/>
      <w:r>
        <w:rPr>
          <w:rFonts w:ascii="Arial" w:eastAsia="Arial" w:hAnsi="Arial" w:cs="Arial"/>
          <w:color w:val="000000"/>
          <w:sz w:val="20"/>
          <w:u w:val="single"/>
        </w:rPr>
        <w:t xml:space="preserve">Cf. </w:t>
      </w:r>
      <w:bookmarkStart w:id="202" w:name="Bookmark_I5M1848F28T4370030000400"/>
      <w:bookmarkEnd w:id="202"/>
      <w:r>
        <w:rPr>
          <w:rFonts w:ascii="Arial" w:eastAsia="Arial" w:hAnsi="Arial" w:cs="Arial"/>
          <w:color w:val="000000"/>
          <w:sz w:val="20"/>
          <w:u w:val="single"/>
        </w:rPr>
        <w:t>Colwell v. Rite Aid Corp.</w:t>
      </w:r>
      <w:r>
        <w:rPr>
          <w:rFonts w:ascii="Arial" w:eastAsia="Arial" w:hAnsi="Arial" w:cs="Arial"/>
          <w:color w:val="000000"/>
          <w:sz w:val="20"/>
        </w:rPr>
        <w:t>, 602 F.3d 495, 507 (3d Cir. 2010) (employer cannot be faulted if employee's actions or omissions during interactive process cause process's failure).</w:t>
      </w:r>
    </w:p>
    <w:p w14:paraId="0B54FE4D" w14:textId="77777777" w:rsidR="002D0E71" w:rsidRDefault="00000000">
      <w:pPr>
        <w:pStyle w:val="Normal1"/>
        <w:widowControl w:val="0"/>
        <w:spacing w:before="200" w:line="260" w:lineRule="atLeast"/>
        <w:jc w:val="both"/>
      </w:pPr>
      <w:bookmarkStart w:id="203" w:name="Bookmark_para_16_0"/>
      <w:bookmarkEnd w:id="203"/>
      <w:r>
        <w:rPr>
          <w:rFonts w:ascii="Arial" w:eastAsia="Arial" w:hAnsi="Arial" w:cs="Arial"/>
          <w:color w:val="000000"/>
          <w:sz w:val="20"/>
        </w:rPr>
        <w:t>For the foregoing reasons, we will summarily affirm the orders of the District Court granting summary judgment to the defendants and denying summary judgment to Baxter. Baxter's motion for appointment of counsel is denied as moot.</w:t>
      </w:r>
    </w:p>
    <w:p w14:paraId="56AC9821" w14:textId="77777777" w:rsidR="002D0E71" w:rsidRDefault="002D0E71">
      <w:pPr>
        <w:pStyle w:val="Normal1"/>
      </w:pPr>
    </w:p>
    <w:p w14:paraId="365500C2" w14:textId="5EB236D0" w:rsidR="002D0E71" w:rsidRDefault="00000000">
      <w:pPr>
        <w:pStyle w:val="Normal1"/>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61312" behindDoc="0" locked="0" layoutInCell="1" allowOverlap="1" wp14:anchorId="5521BAE8" wp14:editId="60D1763F">
                <wp:simplePos x="0" y="0"/>
                <wp:positionH relativeFrom="column">
                  <wp:posOffset>0</wp:posOffset>
                </wp:positionH>
                <wp:positionV relativeFrom="paragraph">
                  <wp:posOffset>127000</wp:posOffset>
                </wp:positionV>
                <wp:extent cx="6502400" cy="0"/>
                <wp:effectExtent l="9525" t="12700" r="12700" b="6350"/>
                <wp:wrapNone/>
                <wp:docPr id="107101622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754619" id="Line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60AD2FD" w14:textId="77777777" w:rsidR="002D0E71" w:rsidRDefault="002D0E71">
      <w:pPr>
        <w:pStyle w:val="Normal2"/>
        <w:sectPr w:rsidR="002D0E71">
          <w:headerReference w:type="even" r:id="rId18"/>
          <w:headerReference w:type="default" r:id="rId19"/>
          <w:footerReference w:type="even" r:id="rId20"/>
          <w:footerReference w:type="default" r:id="rId21"/>
          <w:headerReference w:type="first" r:id="rId22"/>
          <w:footerReference w:type="first" r:id="rId23"/>
          <w:pgSz w:w="12240" w:h="15840"/>
          <w:pgMar w:top="840" w:right="1000" w:bottom="840" w:left="1000" w:header="400" w:footer="400" w:gutter="0"/>
          <w:cols w:space="720"/>
          <w:titlePg/>
        </w:sectPr>
      </w:pPr>
    </w:p>
    <w:p w14:paraId="184D1CD0" w14:textId="77777777" w:rsidR="002D0E71" w:rsidRDefault="002D0E71">
      <w:pPr>
        <w:pStyle w:val="Normal2"/>
      </w:pPr>
    </w:p>
    <w:p w14:paraId="6157166D" w14:textId="77777777" w:rsidR="002D0E71" w:rsidRDefault="00000000">
      <w:pPr>
        <w:pStyle w:val="Heading11"/>
        <w:keepNext w:val="0"/>
        <w:widowControl w:val="0"/>
        <w:spacing w:after="200" w:line="340" w:lineRule="atLeast"/>
        <w:jc w:val="center"/>
      </w:pPr>
      <w:r>
        <w:rPr>
          <w:rFonts w:eastAsia="Arial"/>
          <w:color w:val="000000"/>
          <w:sz w:val="28"/>
        </w:rPr>
        <w:t>Sykes v. Cook Cnty. Circuit Court Probate Div.</w:t>
      </w:r>
    </w:p>
    <w:p w14:paraId="65043CA5" w14:textId="77777777" w:rsidR="002D0E71" w:rsidRDefault="00000000">
      <w:pPr>
        <w:pStyle w:val="Normal2"/>
        <w:widowControl w:val="0"/>
        <w:spacing w:before="120" w:line="260" w:lineRule="atLeast"/>
        <w:jc w:val="center"/>
      </w:pPr>
      <w:r>
        <w:rPr>
          <w:rFonts w:ascii="Arial" w:eastAsia="Arial" w:hAnsi="Arial" w:cs="Arial"/>
          <w:color w:val="000000"/>
          <w:sz w:val="20"/>
        </w:rPr>
        <w:t>United States Court of Appeals for the Seventh Circuit</w:t>
      </w:r>
    </w:p>
    <w:p w14:paraId="6E97791B" w14:textId="77777777" w:rsidR="002D0E71" w:rsidRDefault="00000000">
      <w:pPr>
        <w:pStyle w:val="Normal2"/>
        <w:widowControl w:val="0"/>
        <w:spacing w:before="120" w:line="260" w:lineRule="atLeast"/>
        <w:jc w:val="center"/>
      </w:pPr>
      <w:r>
        <w:rPr>
          <w:rFonts w:ascii="Arial" w:eastAsia="Arial" w:hAnsi="Arial" w:cs="Arial"/>
          <w:color w:val="000000"/>
          <w:sz w:val="20"/>
        </w:rPr>
        <w:t>April 5, 2016, Argued; September 14, 2016, Decided</w:t>
      </w:r>
    </w:p>
    <w:p w14:paraId="440DE19E" w14:textId="77777777" w:rsidR="002D0E71" w:rsidRDefault="00000000">
      <w:pPr>
        <w:pStyle w:val="Normal2"/>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15-1781</w:t>
      </w:r>
    </w:p>
    <w:p w14:paraId="639537F3" w14:textId="77777777" w:rsidR="002D0E71" w:rsidRDefault="002D0E71">
      <w:pPr>
        <w:pStyle w:val="Normal2"/>
        <w:widowControl w:val="0"/>
        <w:spacing w:line="240" w:lineRule="atLeast"/>
        <w:jc w:val="both"/>
      </w:pPr>
      <w:bookmarkStart w:id="204" w:name="Bookmark_3"/>
      <w:bookmarkEnd w:id="204"/>
    </w:p>
    <w:p w14:paraId="6E903F0A" w14:textId="77777777" w:rsidR="002D0E71" w:rsidRDefault="00000000">
      <w:pPr>
        <w:pStyle w:val="Normal2"/>
        <w:widowControl w:val="0"/>
        <w:spacing w:before="200" w:line="240" w:lineRule="atLeast"/>
      </w:pPr>
      <w:bookmarkStart w:id="205" w:name="Reporter_1"/>
      <w:bookmarkEnd w:id="205"/>
      <w:r>
        <w:rPr>
          <w:rFonts w:ascii="Arial" w:eastAsia="Arial" w:hAnsi="Arial" w:cs="Arial"/>
          <w:b/>
          <w:color w:val="000000"/>
          <w:sz w:val="18"/>
        </w:rPr>
        <w:t>Reporter</w:t>
      </w:r>
    </w:p>
    <w:p w14:paraId="2ECF53B3" w14:textId="77777777" w:rsidR="002D0E71" w:rsidRDefault="00000000">
      <w:pPr>
        <w:pStyle w:val="Normal2"/>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837 F.3d 736 *; 2016 U.S. App. LEXIS 16778 **</w:t>
      </w:r>
    </w:p>
    <w:p w14:paraId="62CAD79C" w14:textId="77777777" w:rsidR="002D0E71" w:rsidRDefault="00000000">
      <w:pPr>
        <w:pStyle w:val="Normal2"/>
        <w:widowControl w:val="0"/>
        <w:spacing w:before="120" w:line="260" w:lineRule="atLeast"/>
      </w:pPr>
      <w:r>
        <w:rPr>
          <w:rFonts w:ascii="Arial" w:eastAsia="Arial" w:hAnsi="Arial" w:cs="Arial"/>
          <w:color w:val="000000"/>
          <w:sz w:val="20"/>
        </w:rPr>
        <w:t>GLORIA JEAN SYKES, Plaintiff-Appellant, v. COOK COUNTY CIRCUIT COURT PROBATE DIVISION, et al., Defendants-Appellees.</w:t>
      </w:r>
    </w:p>
    <w:p w14:paraId="1ABE76DB" w14:textId="77777777" w:rsidR="002D0E71" w:rsidRDefault="00000000">
      <w:pPr>
        <w:pStyle w:val="Normal2"/>
        <w:widowControl w:val="0"/>
        <w:spacing w:before="240" w:line="260" w:lineRule="atLeast"/>
        <w:jc w:val="both"/>
      </w:pPr>
      <w:bookmarkStart w:id="206" w:name="Prior_History_1"/>
      <w:bookmarkEnd w:id="206"/>
      <w:r>
        <w:rPr>
          <w:rFonts w:ascii="Arial" w:eastAsia="Arial" w:hAnsi="Arial" w:cs="Arial"/>
          <w:b/>
          <w:color w:val="000000"/>
          <w:sz w:val="20"/>
        </w:rPr>
        <w:t>Prior History:</w:t>
      </w:r>
      <w:r>
        <w:rPr>
          <w:rFonts w:ascii="Arial" w:eastAsia="Arial" w:hAnsi="Arial" w:cs="Arial"/>
          <w:color w:val="000000"/>
          <w:sz w:val="20"/>
        </w:rPr>
        <w:t> </w:t>
      </w:r>
      <w:bookmarkStart w:id="207" w:name="Bookmark_para_1_1"/>
      <w:bookmarkEnd w:id="207"/>
      <w:r>
        <w:rPr>
          <w:rFonts w:ascii="Arial" w:eastAsia="Arial" w:hAnsi="Arial" w:cs="Arial"/>
          <w:color w:val="000000"/>
          <w:sz w:val="20"/>
        </w:rPr>
        <w:t> [**1] Appeal from the United States District Court for the Northern District of Illinois, Eastern Division. No. 1:14-cv-07459 - John J. Tharp, Jr., Judge.</w:t>
      </w:r>
    </w:p>
    <w:p w14:paraId="17E27AB7" w14:textId="77777777" w:rsidR="002D0E71" w:rsidRDefault="00000000">
      <w:pPr>
        <w:pStyle w:val="Normal2"/>
        <w:widowControl w:val="0"/>
        <w:spacing w:before="120" w:line="260" w:lineRule="atLeast"/>
      </w:pPr>
      <w:r>
        <w:rPr>
          <w:rFonts w:ascii="Arial" w:eastAsia="Arial" w:hAnsi="Arial" w:cs="Arial"/>
          <w:color w:val="000000"/>
          <w:sz w:val="20"/>
        </w:rPr>
        <w:t>Sykes v. Cook County Circuit Court Probate Div., 2015 U.S. Dist. LEXIS 28889 (N.D. Ill., Mar. 10, 2015)</w:t>
      </w:r>
    </w:p>
    <w:p w14:paraId="668A7913" w14:textId="77777777" w:rsidR="002D0E71" w:rsidRDefault="00000000">
      <w:pPr>
        <w:pStyle w:val="Normal2"/>
        <w:widowControl w:val="0"/>
        <w:spacing w:before="240" w:line="260" w:lineRule="atLeast"/>
      </w:pPr>
      <w:bookmarkStart w:id="208" w:name="Counsel_1"/>
      <w:bookmarkEnd w:id="208"/>
      <w:r>
        <w:rPr>
          <w:rFonts w:ascii="Arial" w:eastAsia="Arial" w:hAnsi="Arial" w:cs="Arial"/>
          <w:b/>
          <w:color w:val="000000"/>
          <w:sz w:val="20"/>
        </w:rPr>
        <w:t>Counsel:</w:t>
      </w:r>
      <w:r>
        <w:rPr>
          <w:rFonts w:ascii="Arial" w:eastAsia="Arial" w:hAnsi="Arial" w:cs="Arial"/>
          <w:color w:val="000000"/>
          <w:sz w:val="20"/>
        </w:rPr>
        <w:t> For Gloria Jean Sykes, Plaintiff - Appellant: Richard M. Varchetto, Attorne, Law Offices of Richard M. Varchetto, Elmhurst, IL.</w:t>
      </w:r>
    </w:p>
    <w:p w14:paraId="6953A963" w14:textId="77777777" w:rsidR="002D0E71" w:rsidRDefault="00000000">
      <w:pPr>
        <w:pStyle w:val="Normal2"/>
        <w:widowControl w:val="0"/>
        <w:spacing w:before="120" w:line="260" w:lineRule="atLeast"/>
      </w:pPr>
      <w:r>
        <w:rPr>
          <w:rFonts w:ascii="Arial" w:eastAsia="Arial" w:hAnsi="Arial" w:cs="Arial"/>
          <w:color w:val="000000"/>
          <w:sz w:val="20"/>
        </w:rPr>
        <w:t>For Cook County Circuit Court Probate Division, AICHA M. MACCARTHY, Judge, TIMOTHY C. EVANS, Chief Judge, Defendants - Appellees: Mary Ellen Welsh, Attorney, Office of The Attorney General, Civil Appeals Division, Chicago, IL.</w:t>
      </w:r>
    </w:p>
    <w:p w14:paraId="499632DA" w14:textId="77777777" w:rsidR="002D0E71" w:rsidRDefault="00000000">
      <w:pPr>
        <w:pStyle w:val="Normal2"/>
        <w:widowControl w:val="0"/>
        <w:spacing w:before="120" w:line="260" w:lineRule="atLeast"/>
      </w:pPr>
      <w:r>
        <w:rPr>
          <w:rFonts w:ascii="Arial" w:eastAsia="Arial" w:hAnsi="Arial" w:cs="Arial"/>
          <w:color w:val="000000"/>
          <w:sz w:val="20"/>
        </w:rPr>
        <w:t>For CAROLYN TOERPE, as guardian of and for M.G.S., Defendant - Appellee: Peter J. Schmiedel, Attorney, Ronald D. Menna Jr., Attorney, Fischel &amp; Kahn, Chicago, IL.</w:t>
      </w:r>
    </w:p>
    <w:p w14:paraId="2229A0A6" w14:textId="77777777" w:rsidR="002D0E71" w:rsidRDefault="00000000">
      <w:pPr>
        <w:pStyle w:val="Normal2"/>
        <w:widowControl w:val="0"/>
        <w:spacing w:before="120" w:line="260" w:lineRule="atLeast"/>
      </w:pPr>
      <w:r>
        <w:rPr>
          <w:rFonts w:ascii="Arial" w:eastAsia="Arial" w:hAnsi="Arial" w:cs="Arial"/>
          <w:color w:val="000000"/>
          <w:sz w:val="20"/>
        </w:rPr>
        <w:t>For Peter J. Schmiedel, Defendant - Appellee: Amy L. Anderson, Attorney, Joshua C. Bell, Attorney, Brenner, Monroe, Scott &amp; Anderson, Ltd., Chicago, IL.</w:t>
      </w:r>
    </w:p>
    <w:p w14:paraId="3204D6C6" w14:textId="77777777" w:rsidR="002D0E71" w:rsidRDefault="00000000">
      <w:pPr>
        <w:pStyle w:val="Normal2"/>
        <w:widowControl w:val="0"/>
        <w:spacing w:before="240" w:line="260" w:lineRule="atLeast"/>
      </w:pPr>
      <w:bookmarkStart w:id="209" w:name="Judges_1"/>
      <w:bookmarkEnd w:id="209"/>
      <w:r>
        <w:rPr>
          <w:rFonts w:ascii="Arial" w:eastAsia="Arial" w:hAnsi="Arial" w:cs="Arial"/>
          <w:b/>
          <w:color w:val="000000"/>
          <w:sz w:val="20"/>
        </w:rPr>
        <w:t>Judges:</w:t>
      </w:r>
      <w:r>
        <w:rPr>
          <w:rFonts w:ascii="Arial" w:eastAsia="Arial" w:hAnsi="Arial" w:cs="Arial"/>
          <w:color w:val="000000"/>
          <w:sz w:val="20"/>
        </w:rPr>
        <w:t> Before WOOD, Chief Judge, and BAUER and WILLIAMS, Circuit Judges.</w:t>
      </w:r>
    </w:p>
    <w:p w14:paraId="7EB034EE" w14:textId="77777777" w:rsidR="002D0E71" w:rsidRDefault="00000000">
      <w:pPr>
        <w:pStyle w:val="Normal2"/>
        <w:widowControl w:val="0"/>
        <w:spacing w:before="240" w:line="260" w:lineRule="atLeast"/>
      </w:pPr>
      <w:bookmarkStart w:id="210" w:name="Opinion_by_0"/>
      <w:bookmarkEnd w:id="210"/>
      <w:r>
        <w:rPr>
          <w:rFonts w:ascii="Arial" w:eastAsia="Arial" w:hAnsi="Arial" w:cs="Arial"/>
          <w:b/>
          <w:color w:val="000000"/>
          <w:sz w:val="20"/>
        </w:rPr>
        <w:t>Opinion by:</w:t>
      </w:r>
      <w:r>
        <w:rPr>
          <w:rFonts w:ascii="Arial" w:eastAsia="Arial" w:hAnsi="Arial" w:cs="Arial"/>
          <w:color w:val="000000"/>
          <w:sz w:val="20"/>
        </w:rPr>
        <w:t> WILLIAMS</w:t>
      </w:r>
    </w:p>
    <w:p w14:paraId="48EB87D8" w14:textId="77777777" w:rsidR="002D0E71" w:rsidRDefault="00000000">
      <w:pPr>
        <w:pStyle w:val="Normal2"/>
        <w:keepNext/>
        <w:widowControl w:val="0"/>
        <w:spacing w:before="240" w:line="340" w:lineRule="atLeast"/>
      </w:pPr>
      <w:bookmarkStart w:id="211" w:name="Opinion_1"/>
      <w:bookmarkEnd w:id="211"/>
      <w:r>
        <w:rPr>
          <w:rFonts w:ascii="Arial" w:eastAsia="Arial" w:hAnsi="Arial" w:cs="Arial"/>
          <w:b/>
          <w:color w:val="000000"/>
          <w:sz w:val="28"/>
        </w:rPr>
        <w:t>Opinion</w:t>
      </w:r>
    </w:p>
    <w:p w14:paraId="0EC74D34" w14:textId="0B58C873" w:rsidR="002D0E71" w:rsidRDefault="002939DF">
      <w:pPr>
        <w:pStyle w:val="Normal2"/>
        <w:spacing w:line="60" w:lineRule="exact"/>
      </w:pPr>
      <w:r>
        <w:rPr>
          <w:noProof/>
        </w:rPr>
        <mc:AlternateContent>
          <mc:Choice Requires="wps">
            <w:drawing>
              <wp:anchor distT="0" distB="0" distL="114300" distR="114300" simplePos="0" relativeHeight="251662336" behindDoc="0" locked="0" layoutInCell="1" allowOverlap="1" wp14:anchorId="0A0C4B53" wp14:editId="5C6E379F">
                <wp:simplePos x="0" y="0"/>
                <wp:positionH relativeFrom="column">
                  <wp:posOffset>0</wp:posOffset>
                </wp:positionH>
                <wp:positionV relativeFrom="paragraph">
                  <wp:posOffset>25400</wp:posOffset>
                </wp:positionV>
                <wp:extent cx="3187700" cy="0"/>
                <wp:effectExtent l="19050" t="15875" r="12700" b="12700"/>
                <wp:wrapTopAndBottom/>
                <wp:docPr id="126940069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E9580" id="Line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EE96E4E" w14:textId="77777777" w:rsidR="002D0E71" w:rsidRDefault="002D0E71">
      <w:pPr>
        <w:pStyle w:val="Normal2"/>
      </w:pPr>
    </w:p>
    <w:p w14:paraId="2C395278" w14:textId="77777777" w:rsidR="002D0E71" w:rsidRDefault="00000000">
      <w:pPr>
        <w:pStyle w:val="Normal2"/>
        <w:widowControl w:val="0"/>
        <w:spacing w:before="200" w:line="260" w:lineRule="atLeast"/>
        <w:jc w:val="both"/>
      </w:pPr>
      <w:bookmarkStart w:id="212" w:name="Bookmark_para_2_1"/>
      <w:bookmarkEnd w:id="212"/>
      <w:r>
        <w:rPr>
          <w:rFonts w:ascii="Arial" w:eastAsia="Arial" w:hAnsi="Arial" w:cs="Arial"/>
          <w:color w:val="000000"/>
          <w:sz w:val="20"/>
        </w:rPr>
        <w:t xml:space="preserve"> [*738]  </w:t>
      </w:r>
      <w:r>
        <w:rPr>
          <w:rFonts w:ascii="Arial" w:eastAsia="Arial" w:hAnsi="Arial" w:cs="Arial"/>
          <w:smallCaps/>
          <w:color w:val="000000"/>
          <w:sz w:val="20"/>
        </w:rPr>
        <w:t>Williams</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 Gloria Jean Sykes went to her mother's probate proceeding to present a motion and brought her service dog, Shaggy. Instead of letting her present her motion, the judge asked her a series of questions about Shaggy, struck her motion, and entered an order barring Shaggy from the courtroom. [**2]  Gloria argues that she should be able to bring a lawsuit in federal court for denial of reasonable accommodations under the Americans with Disabilities Act. But because the source of her injury is a state court judgment, we lack subject matter jurisdiction to hear her case.</w:t>
      </w:r>
    </w:p>
    <w:p w14:paraId="2E1D9EE9" w14:textId="77777777" w:rsidR="002D0E71" w:rsidRDefault="00000000">
      <w:pPr>
        <w:pStyle w:val="Normal2"/>
        <w:widowControl w:val="0"/>
        <w:spacing w:before="240" w:line="260" w:lineRule="atLeast"/>
      </w:pPr>
      <w:r>
        <w:br/>
      </w:r>
      <w:r>
        <w:rPr>
          <w:rFonts w:ascii="Arial" w:eastAsia="Arial" w:hAnsi="Arial" w:cs="Arial"/>
          <w:b/>
          <w:color w:val="000000"/>
          <w:sz w:val="20"/>
        </w:rPr>
        <w:t>I. BACKGROUND</w:t>
      </w:r>
    </w:p>
    <w:p w14:paraId="416617E7" w14:textId="77777777" w:rsidR="002D0E71" w:rsidRDefault="00000000">
      <w:pPr>
        <w:pStyle w:val="Normal2"/>
        <w:widowControl w:val="0"/>
        <w:spacing w:before="240" w:line="260" w:lineRule="atLeast"/>
      </w:pPr>
      <w:r>
        <w:br/>
      </w:r>
      <w:r>
        <w:rPr>
          <w:rFonts w:ascii="Arial" w:eastAsia="Arial" w:hAnsi="Arial" w:cs="Arial"/>
          <w:b/>
          <w:color w:val="000000"/>
          <w:sz w:val="20"/>
        </w:rPr>
        <w:t>A. Gloria's First Federal Lawsuit</w:t>
      </w:r>
    </w:p>
    <w:p w14:paraId="04AFC8CC" w14:textId="77777777" w:rsidR="002D0E71" w:rsidRDefault="00000000">
      <w:pPr>
        <w:pStyle w:val="Normal2"/>
        <w:widowControl w:val="0"/>
        <w:spacing w:before="200" w:line="260" w:lineRule="atLeast"/>
        <w:jc w:val="both"/>
      </w:pPr>
      <w:bookmarkStart w:id="213" w:name="Bookmark_para_3_1"/>
      <w:bookmarkEnd w:id="213"/>
      <w:r>
        <w:rPr>
          <w:rFonts w:ascii="Arial" w:eastAsia="Arial" w:hAnsi="Arial" w:cs="Arial"/>
          <w:color w:val="000000"/>
          <w:sz w:val="20"/>
        </w:rPr>
        <w:t xml:space="preserve">This case originates in an earlier guardianship dispute between two sisters over their mother, Mary G. Sykes. Gloria Jean Sykes is Mary's younger daughter. Carolyn Toerpe, her older daughter, was granted guardianship of Mary in 2009. After losing the state guardianship battle, Gloria filed a lawsuit in 2011 in federal court, alleging that Toerpe, the Cook County Guardian, two participating guardians ad litem, the Cook County Circuit Court, then-Governor Quinn, and the state of Illinois were violating the ADA by refusing reasonable accommodations to her mother. Gloria alleged among other things that the state defendants were depriving her mother of the right to be present at court proceedings and to receive reasonable accommodations in the form of support and consultation with family members. The district [*739]  court dismissed the lawsuit, finding that if Gloria obtained the [**3]  relief she sought, it would be forced to overturn the state court decision granting guardianship to Toerpe, in violation of the </w:t>
      </w:r>
      <w:r>
        <w:rPr>
          <w:rFonts w:ascii="Arial" w:eastAsia="Arial" w:hAnsi="Arial" w:cs="Arial"/>
          <w:i/>
          <w:color w:val="000000"/>
          <w:sz w:val="20"/>
        </w:rPr>
        <w:t>Rooker-Feldman</w:t>
      </w:r>
      <w:r>
        <w:rPr>
          <w:rFonts w:ascii="Arial" w:eastAsia="Arial" w:hAnsi="Arial" w:cs="Arial"/>
          <w:color w:val="000000"/>
          <w:sz w:val="20"/>
        </w:rPr>
        <w:t xml:space="preserve"> doctrine. </w:t>
      </w:r>
      <w:bookmarkStart w:id="214" w:name="Bookmark_I5KX2P962N1R6F0020000400"/>
      <w:bookmarkEnd w:id="214"/>
      <w:r>
        <w:rPr>
          <w:rFonts w:ascii="Arial" w:eastAsia="Arial" w:hAnsi="Arial" w:cs="Arial"/>
          <w:color w:val="000000"/>
          <w:sz w:val="20"/>
        </w:rPr>
        <w:t xml:space="preserve">It also relied on long-established precedent that federal courts may not intervene in state probate proceedings. We affirmed the dismissal of that lawsuit. </w:t>
      </w:r>
      <w:bookmarkStart w:id="215" w:name="Bookmark_I5KX2P962N1R6F0010000400"/>
      <w:bookmarkEnd w:id="215"/>
      <w:r>
        <w:rPr>
          <w:rFonts w:ascii="Arial" w:eastAsia="Arial" w:hAnsi="Arial" w:cs="Arial"/>
          <w:i/>
          <w:color w:val="000000"/>
          <w:sz w:val="20"/>
        </w:rPr>
        <w:t>M.G.S. ex rel. Sykes v. Toerpe</w:t>
      </w:r>
      <w:r>
        <w:rPr>
          <w:rFonts w:ascii="Arial" w:eastAsia="Arial" w:hAnsi="Arial" w:cs="Arial"/>
          <w:color w:val="000000"/>
          <w:sz w:val="20"/>
        </w:rPr>
        <w:t>, No. 12-3373, Dkt. 19, 2013 U.S. App. LEXIS 26287 (7th Cir. Jan. 9, 2013) (unpublished order).</w:t>
      </w:r>
    </w:p>
    <w:p w14:paraId="66B6DF59" w14:textId="77777777" w:rsidR="002D0E71" w:rsidRDefault="00000000">
      <w:pPr>
        <w:pStyle w:val="Normal2"/>
        <w:widowControl w:val="0"/>
        <w:spacing w:before="240" w:line="260" w:lineRule="atLeast"/>
      </w:pPr>
      <w:r>
        <w:br/>
      </w:r>
      <w:r>
        <w:rPr>
          <w:rFonts w:ascii="Arial" w:eastAsia="Arial" w:hAnsi="Arial" w:cs="Arial"/>
          <w:b/>
          <w:color w:val="000000"/>
          <w:sz w:val="20"/>
        </w:rPr>
        <w:t>B. State Probate Proceeding</w:t>
      </w:r>
    </w:p>
    <w:p w14:paraId="10A33DBD" w14:textId="77777777" w:rsidR="002D0E71" w:rsidRDefault="00000000">
      <w:pPr>
        <w:pStyle w:val="Normal2"/>
        <w:widowControl w:val="0"/>
        <w:spacing w:before="200" w:line="260" w:lineRule="atLeast"/>
        <w:jc w:val="both"/>
      </w:pPr>
      <w:bookmarkStart w:id="216" w:name="Bookmark_para_4_1"/>
      <w:bookmarkEnd w:id="216"/>
      <w:r>
        <w:rPr>
          <w:rFonts w:ascii="Arial" w:eastAsia="Arial" w:hAnsi="Arial" w:cs="Arial"/>
          <w:color w:val="000000"/>
          <w:sz w:val="20"/>
        </w:rPr>
        <w:t>After losing her federal appeal, Gloria returned to state court, pursuing her federal claims in a "Motion for Reasonable Accommodations," seeking relief both for herself and her mother in the probate proceeding. On the day the motion was scheduled for hearing, Gloria went to the Daley Center with her service dog, Shaggy, whom she uses for assistance with her post-traumatic stress disorder. She entered the building without a problem and then went up to the courtroom of Judge Aicha MacCarthy, who was presiding over Mary's probate case. Gloria alleges that Judge MacCarthy called the case, and then "immediately, angrily, and indifferently" interrogated Gloria about her need for Shaggy. She also states that the interrogation lasted for several minutes, and at its [**4]  end, MacCarthy "expelled Gloria and her dog from the courtroom—banned forever." While it's unclear what caused Gloria to think the ban was in perpetuity, the probate record reflects that Judge MacCarthy entered an order striking Gloria's motion without prejudice and prohibiting Gloria from returning with Shaggy without leave of the court.</w:t>
      </w:r>
    </w:p>
    <w:p w14:paraId="61843E6B" w14:textId="77777777" w:rsidR="002D0E71" w:rsidRDefault="00000000">
      <w:pPr>
        <w:pStyle w:val="Normal2"/>
        <w:widowControl w:val="0"/>
        <w:spacing w:before="240" w:line="260" w:lineRule="atLeast"/>
      </w:pPr>
      <w:r>
        <w:br/>
      </w:r>
      <w:r>
        <w:rPr>
          <w:rFonts w:ascii="Arial" w:eastAsia="Arial" w:hAnsi="Arial" w:cs="Arial"/>
          <w:b/>
          <w:color w:val="000000"/>
          <w:sz w:val="20"/>
        </w:rPr>
        <w:t>C. The Current Lawsuit</w:t>
      </w:r>
    </w:p>
    <w:p w14:paraId="295B8902" w14:textId="77777777" w:rsidR="002D0E71" w:rsidRDefault="00000000">
      <w:pPr>
        <w:pStyle w:val="Normal2"/>
        <w:widowControl w:val="0"/>
        <w:spacing w:before="200" w:line="260" w:lineRule="atLeast"/>
        <w:jc w:val="both"/>
      </w:pPr>
      <w:bookmarkStart w:id="217" w:name="Bookmark_para_5_1"/>
      <w:bookmarkEnd w:id="217"/>
      <w:r>
        <w:rPr>
          <w:rFonts w:ascii="Arial" w:eastAsia="Arial" w:hAnsi="Arial" w:cs="Arial"/>
          <w:color w:val="000000"/>
          <w:sz w:val="20"/>
        </w:rPr>
        <w:t xml:space="preserve">Gloria returned to federal court with a new complaint that recycled many of her old claims, but added one that is the focus of today's decision: she alleged that by banning Shaggy from her courtroom, various state defendants violated Gloria's rights under the Americans with Disabilities Act (ADA). The district court again dismissed all claims that Gloria asserted on behalf of her mother for largely the same reasons as the first lawsuit. </w:t>
      </w:r>
      <w:bookmarkStart w:id="218" w:name="Bookmark_I5KX2P962N1R6F0040000400"/>
      <w:bookmarkEnd w:id="218"/>
      <w:r>
        <w:rPr>
          <w:rFonts w:ascii="Arial" w:eastAsia="Arial" w:hAnsi="Arial" w:cs="Arial"/>
          <w:color w:val="000000"/>
          <w:sz w:val="20"/>
        </w:rPr>
        <w:t xml:space="preserve">It then turned specifically to Gloria's claim regarding Shaggy and concluded that it lacked subject matter jurisdiction to determine if Gloria's ADA rights were violated because she was denied use of a service animal during court proceedings. First, it held that because Gloria's claim against the state defendants was inextricably intertwined with the state court order banning Shaggy and striking [**5]  Gloria's reasonable accommodation motion, as a federal court, it was barred from hearing the claim under the </w:t>
      </w:r>
      <w:r>
        <w:rPr>
          <w:rFonts w:ascii="Arial" w:eastAsia="Arial" w:hAnsi="Arial" w:cs="Arial"/>
          <w:i/>
          <w:color w:val="000000"/>
          <w:sz w:val="20"/>
        </w:rPr>
        <w:t>Rooker-Feldman</w:t>
      </w:r>
      <w:r>
        <w:rPr>
          <w:rFonts w:ascii="Arial" w:eastAsia="Arial" w:hAnsi="Arial" w:cs="Arial"/>
          <w:color w:val="000000"/>
          <w:sz w:val="20"/>
        </w:rPr>
        <w:t xml:space="preserve"> doctrine. </w:t>
      </w:r>
      <w:bookmarkStart w:id="219" w:name="Bookmark_I5KX2P962N1R6F0030000400"/>
      <w:bookmarkEnd w:id="219"/>
      <w:r>
        <w:rPr>
          <w:rFonts w:ascii="Arial" w:eastAsia="Arial" w:hAnsi="Arial" w:cs="Arial"/>
          <w:i/>
          <w:color w:val="000000"/>
          <w:sz w:val="20"/>
        </w:rPr>
        <w:t>Rooker v. Fidelity Tr. Co.</w:t>
      </w:r>
      <w:r>
        <w:rPr>
          <w:rFonts w:ascii="Arial" w:eastAsia="Arial" w:hAnsi="Arial" w:cs="Arial"/>
          <w:color w:val="000000"/>
          <w:sz w:val="20"/>
        </w:rPr>
        <w:t xml:space="preserve">, 263 U.S. 413, 44 S. Ct. 149, 68 L. Ed. 362 (1923); </w:t>
      </w:r>
      <w:bookmarkStart w:id="220" w:name="Bookmark_I5KX2P962N1R6F0050000400"/>
      <w:bookmarkEnd w:id="220"/>
      <w:r>
        <w:rPr>
          <w:rFonts w:ascii="Arial" w:eastAsia="Arial" w:hAnsi="Arial" w:cs="Arial"/>
          <w:i/>
          <w:color w:val="000000"/>
          <w:sz w:val="20"/>
        </w:rPr>
        <w:t>D.C. Court of Appeals v. Feldman</w:t>
      </w:r>
      <w:r>
        <w:rPr>
          <w:rFonts w:ascii="Arial" w:eastAsia="Arial" w:hAnsi="Arial" w:cs="Arial"/>
          <w:color w:val="000000"/>
          <w:sz w:val="20"/>
        </w:rPr>
        <w:t xml:space="preserve">, 460 U.S. 462, 103 S. Ct. 1303, 75 L. Ed. 2d 206 (1983). </w:t>
      </w:r>
      <w:bookmarkStart w:id="221" w:name="Bookmark_I5KX2P962SF81G0030000400"/>
      <w:bookmarkEnd w:id="221"/>
      <w:r>
        <w:rPr>
          <w:rFonts w:ascii="Arial" w:eastAsia="Arial" w:hAnsi="Arial" w:cs="Arial"/>
          <w:color w:val="000000"/>
          <w:sz w:val="20"/>
        </w:rPr>
        <w:t xml:space="preserve">Second, it held that it was barred from hearing the claim because it arose out of a state probate proceeding. And finally, it held that it should exercise </w:t>
      </w:r>
      <w:r>
        <w:rPr>
          <w:rFonts w:ascii="Arial" w:eastAsia="Arial" w:hAnsi="Arial" w:cs="Arial"/>
          <w:i/>
          <w:color w:val="000000"/>
          <w:sz w:val="20"/>
        </w:rPr>
        <w:t>Younger</w:t>
      </w:r>
      <w:r>
        <w:rPr>
          <w:rFonts w:ascii="Arial" w:eastAsia="Arial" w:hAnsi="Arial" w:cs="Arial"/>
          <w:color w:val="000000"/>
          <w:sz w:val="20"/>
        </w:rPr>
        <w:t xml:space="preserve"> abstention because the proceeding was ongoing and because Gloria had an adequate opportunity to raise her federal claims about Shaggy in state court. </w:t>
      </w:r>
      <w:r>
        <w:rPr>
          <w:rFonts w:ascii="Arial" w:eastAsia="Arial" w:hAnsi="Arial" w:cs="Arial"/>
          <w:i/>
          <w:color w:val="000000"/>
          <w:sz w:val="20"/>
        </w:rPr>
        <w:t xml:space="preserve">See </w:t>
      </w:r>
      <w:bookmarkStart w:id="222" w:name="Bookmark_I5KX2P962SF81G0020000400"/>
      <w:bookmarkEnd w:id="222"/>
      <w:r>
        <w:rPr>
          <w:rFonts w:ascii="Arial" w:eastAsia="Arial" w:hAnsi="Arial" w:cs="Arial"/>
          <w:i/>
          <w:color w:val="000000"/>
          <w:sz w:val="20"/>
        </w:rPr>
        <w:t>Younger v. Harris</w:t>
      </w:r>
      <w:r>
        <w:rPr>
          <w:rFonts w:ascii="Arial" w:eastAsia="Arial" w:hAnsi="Arial" w:cs="Arial"/>
          <w:color w:val="000000"/>
          <w:sz w:val="20"/>
        </w:rPr>
        <w:t>, 401 U.S. 37, 91 S. Ct. 746, 27 L. Ed. 2d 669 (1971).</w:t>
      </w:r>
    </w:p>
    <w:p w14:paraId="37A3C80D" w14:textId="77777777" w:rsidR="002D0E71" w:rsidRDefault="00000000">
      <w:pPr>
        <w:pStyle w:val="Normal2"/>
        <w:widowControl w:val="0"/>
        <w:spacing w:before="240" w:line="260" w:lineRule="atLeast"/>
      </w:pPr>
      <w:r>
        <w:br/>
      </w:r>
      <w:r>
        <w:rPr>
          <w:rFonts w:ascii="Arial" w:eastAsia="Arial" w:hAnsi="Arial" w:cs="Arial"/>
          <w:b/>
          <w:color w:val="000000"/>
          <w:sz w:val="20"/>
        </w:rPr>
        <w:t>II. ANALYSIS</w:t>
      </w:r>
    </w:p>
    <w:p w14:paraId="213E68A6" w14:textId="77777777" w:rsidR="002D0E71" w:rsidRDefault="00000000">
      <w:pPr>
        <w:pStyle w:val="Normal2"/>
        <w:widowControl w:val="0"/>
        <w:spacing w:before="200" w:line="260" w:lineRule="atLeast"/>
        <w:jc w:val="both"/>
      </w:pPr>
      <w:bookmarkStart w:id="223" w:name="Bookmark_para_6_1"/>
      <w:bookmarkStart w:id="224" w:name="Bookmark_I5KX2P962SF81G0050000400"/>
      <w:bookmarkEnd w:id="223"/>
      <w:bookmarkEnd w:id="224"/>
      <w:r>
        <w:rPr>
          <w:rFonts w:ascii="Arial" w:eastAsia="Arial" w:hAnsi="Arial" w:cs="Arial"/>
          <w:color w:val="000000"/>
          <w:sz w:val="20"/>
        </w:rPr>
        <w:t xml:space="preserve">On appeal, Gloria only challenges the district court's dismissal of her ADA claim pertaining to the use of Shaggy in Judge MacCarthy's courtroom. </w:t>
      </w:r>
      <w:bookmarkStart w:id="225" w:name="Bookmark_LNHNREFclscc1_0"/>
      <w:bookmarkEnd w:id="225"/>
      <w:r>
        <w:rPr>
          <w:rFonts w:ascii="Arial" w:eastAsia="Arial" w:hAnsi="Arial" w:cs="Arial"/>
          <w:color w:val="000000"/>
          <w:sz w:val="20"/>
        </w:rPr>
        <w:t xml:space="preserve">We review a district court's dismissal for lack of subject matter jurisdiction de novo, accept as true all facts in the complaint and draw all reasonable inferences in the plaintiff's favor. </w:t>
      </w:r>
      <w:bookmarkStart w:id="226" w:name="Bookmark_I5KX2P962SF81H0020000400"/>
      <w:bookmarkStart w:id="227" w:name="Bookmark_I5KX2P962SF81G0040000400"/>
      <w:bookmarkEnd w:id="226"/>
      <w:bookmarkEnd w:id="227"/>
      <w:r>
        <w:rPr>
          <w:rFonts w:ascii="Arial" w:eastAsia="Arial" w:hAnsi="Arial" w:cs="Arial"/>
          <w:i/>
          <w:color w:val="000000"/>
          <w:sz w:val="20"/>
        </w:rPr>
        <w:t>G&amp;S Holdings, LLC v. Cont'l Cas.  [*740]  Co.</w:t>
      </w:r>
      <w:r>
        <w:rPr>
          <w:rFonts w:ascii="Arial" w:eastAsia="Arial" w:hAnsi="Arial" w:cs="Arial"/>
          <w:color w:val="000000"/>
          <w:sz w:val="20"/>
        </w:rPr>
        <w:t xml:space="preserve">, 697 F.3d 534, 539 (7th Cir. 2012). </w:t>
      </w:r>
      <w:bookmarkStart w:id="228" w:name="Bookmark_I5KX2P962SF81H0020000400_2"/>
      <w:bookmarkEnd w:id="228"/>
      <w:r>
        <w:rPr>
          <w:rFonts w:ascii="Arial" w:eastAsia="Arial" w:hAnsi="Arial" w:cs="Arial"/>
          <w:color w:val="000000"/>
          <w:sz w:val="20"/>
        </w:rPr>
        <w:t xml:space="preserve">We may affirm a dismissal for lack of jurisdiction on any ground that the record supports. </w:t>
      </w:r>
      <w:bookmarkStart w:id="229" w:name="Bookmark_I5KX2P962SF81H0010000400"/>
      <w:bookmarkEnd w:id="229"/>
      <w:r>
        <w:rPr>
          <w:rFonts w:ascii="Arial" w:eastAsia="Arial" w:hAnsi="Arial" w:cs="Arial"/>
          <w:i/>
          <w:color w:val="000000"/>
          <w:sz w:val="20"/>
        </w:rPr>
        <w:t>Sladek v. Bell Mgmt. Pension Plan</w:t>
      </w:r>
      <w:r>
        <w:rPr>
          <w:rFonts w:ascii="Arial" w:eastAsia="Arial" w:hAnsi="Arial" w:cs="Arial"/>
          <w:color w:val="000000"/>
          <w:sz w:val="20"/>
        </w:rPr>
        <w:t>, 880 F.2d 972, 979 (7th Cir. 1989).</w:t>
      </w:r>
    </w:p>
    <w:p w14:paraId="72417E8B" w14:textId="77777777" w:rsidR="002D0E71" w:rsidRDefault="00000000">
      <w:pPr>
        <w:pStyle w:val="Normal2"/>
        <w:widowControl w:val="0"/>
        <w:spacing w:before="240" w:line="260" w:lineRule="atLeast"/>
      </w:pPr>
      <w:r>
        <w:br/>
      </w:r>
      <w:r>
        <w:rPr>
          <w:rFonts w:ascii="Arial" w:eastAsia="Arial" w:hAnsi="Arial" w:cs="Arial"/>
          <w:b/>
          <w:color w:val="000000"/>
          <w:sz w:val="20"/>
        </w:rPr>
        <w:t>A. ADA Accommodations for Service Animals</w:t>
      </w:r>
    </w:p>
    <w:p w14:paraId="55A09D52" w14:textId="77777777" w:rsidR="002D0E71" w:rsidRDefault="00000000">
      <w:pPr>
        <w:pStyle w:val="Normal2"/>
        <w:widowControl w:val="0"/>
        <w:spacing w:before="200" w:line="260" w:lineRule="atLeast"/>
        <w:jc w:val="both"/>
      </w:pPr>
      <w:bookmarkStart w:id="230" w:name="Bookmark_para_7_1"/>
      <w:bookmarkEnd w:id="230"/>
      <w:r>
        <w:rPr>
          <w:rFonts w:ascii="Arial" w:eastAsia="Arial" w:hAnsi="Arial" w:cs="Arial"/>
          <w:color w:val="000000"/>
          <w:sz w:val="20"/>
        </w:rPr>
        <w:t xml:space="preserve">Before reaching the question of jurisdiction, it helps to understand the substantive footing of Gloria's claim. </w:t>
      </w:r>
      <w:bookmarkStart w:id="231" w:name="Bookmark_LNHNREFclscc2_0"/>
      <w:bookmarkEnd w:id="231"/>
      <w:r>
        <w:rPr>
          <w:rFonts w:ascii="Arial" w:eastAsia="Arial" w:hAnsi="Arial" w:cs="Arial"/>
          <w:color w:val="000000"/>
          <w:sz w:val="20"/>
        </w:rPr>
        <w:t xml:space="preserve">Title II of the Americans with Disabilities Act prohibits public entities (which includes instrumentalities of state and local governments, like courthouses) [**6]  from discriminating against qualified individuals with disabilities. </w:t>
      </w:r>
      <w:bookmarkStart w:id="232" w:name="Bookmark_I5KX2P962SF81H0040000400"/>
      <w:bookmarkEnd w:id="232"/>
      <w:r>
        <w:rPr>
          <w:rFonts w:ascii="Arial" w:eastAsia="Arial" w:hAnsi="Arial" w:cs="Arial"/>
          <w:i/>
          <w:color w:val="000000"/>
          <w:sz w:val="20"/>
        </w:rPr>
        <w:t>See</w:t>
      </w:r>
      <w:r>
        <w:rPr>
          <w:rFonts w:ascii="Arial" w:eastAsia="Arial" w:hAnsi="Arial" w:cs="Arial"/>
          <w:color w:val="000000"/>
          <w:sz w:val="20"/>
        </w:rPr>
        <w:t xml:space="preserve"> 29 U.S.C. §§ 701 et seq., 42 U.S.C. § 12132. </w:t>
      </w:r>
      <w:bookmarkStart w:id="233" w:name="Bookmark_I5KX2P9628T4HV0010000400"/>
      <w:bookmarkEnd w:id="233"/>
      <w:r>
        <w:rPr>
          <w:rFonts w:ascii="Arial" w:eastAsia="Arial" w:hAnsi="Arial" w:cs="Arial"/>
          <w:color w:val="000000"/>
          <w:sz w:val="20"/>
        </w:rPr>
        <w:t xml:space="preserve">The ADA's accommodation mandate reflects enforcement efforts by Congress to ensure citizens' due process rights under the Fourteenth Amendment. </w:t>
      </w:r>
      <w:bookmarkStart w:id="234" w:name="Bookmark_I5KX2P962SF81H0030000400"/>
      <w:bookmarkEnd w:id="234"/>
      <w:r>
        <w:rPr>
          <w:rFonts w:ascii="Arial" w:eastAsia="Arial" w:hAnsi="Arial" w:cs="Arial"/>
          <w:i/>
          <w:color w:val="000000"/>
          <w:sz w:val="20"/>
        </w:rPr>
        <w:t>Tennessee v. Lane</w:t>
      </w:r>
      <w:r>
        <w:rPr>
          <w:rFonts w:ascii="Arial" w:eastAsia="Arial" w:hAnsi="Arial" w:cs="Arial"/>
          <w:color w:val="000000"/>
          <w:sz w:val="20"/>
        </w:rPr>
        <w:t xml:space="preserve">, 541 U.S. 509, 523, 124 S. Ct. 1978, 158 L. Ed. 2d 820 (2004). </w:t>
      </w:r>
      <w:bookmarkStart w:id="235" w:name="Bookmark_I5KX2P9628T4HV0010000400_2"/>
      <w:bookmarkEnd w:id="235"/>
      <w:r>
        <w:rPr>
          <w:rFonts w:ascii="Arial" w:eastAsia="Arial" w:hAnsi="Arial" w:cs="Arial"/>
          <w:color w:val="000000"/>
          <w:sz w:val="20"/>
        </w:rPr>
        <w:t xml:space="preserve">In </w:t>
      </w:r>
      <w:r>
        <w:rPr>
          <w:rFonts w:ascii="Arial" w:eastAsia="Arial" w:hAnsi="Arial" w:cs="Arial"/>
          <w:i/>
          <w:color w:val="000000"/>
          <w:sz w:val="20"/>
        </w:rPr>
        <w:t>Lane</w:t>
      </w:r>
      <w:r>
        <w:rPr>
          <w:rFonts w:ascii="Arial" w:eastAsia="Arial" w:hAnsi="Arial" w:cs="Arial"/>
          <w:color w:val="000000"/>
          <w:sz w:val="20"/>
        </w:rPr>
        <w:t xml:space="preserve">, the Supreme Court considered the Title II claims of paraplegic litigants and members of the public who were forced to crawl up stairs to access a courtroom, and held that Congress was authorized to, and did, abrogate Tennessee's right to sovereign immunity in defending against the claims by passing Title II of the ADA. </w:t>
      </w:r>
      <w:bookmarkStart w:id="236" w:name="Bookmark_I5KX2P962SF81H0050000400"/>
      <w:bookmarkEnd w:id="236"/>
      <w:r>
        <w:rPr>
          <w:rFonts w:ascii="Arial" w:eastAsia="Arial" w:hAnsi="Arial" w:cs="Arial"/>
          <w:i/>
          <w:color w:val="000000"/>
          <w:sz w:val="20"/>
        </w:rPr>
        <w:t>Id.</w:t>
      </w:r>
      <w:r>
        <w:rPr>
          <w:rFonts w:ascii="Arial" w:eastAsia="Arial" w:hAnsi="Arial" w:cs="Arial"/>
          <w:color w:val="000000"/>
          <w:sz w:val="20"/>
        </w:rPr>
        <w:t xml:space="preserve"> at 531.</w:t>
      </w:r>
    </w:p>
    <w:p w14:paraId="0DC03253" w14:textId="77777777" w:rsidR="002D0E71" w:rsidRDefault="00000000">
      <w:pPr>
        <w:pStyle w:val="Normal2"/>
        <w:widowControl w:val="0"/>
        <w:spacing w:before="200" w:line="260" w:lineRule="atLeast"/>
        <w:jc w:val="both"/>
      </w:pPr>
      <w:bookmarkStart w:id="237" w:name="Bookmark_para_8_1"/>
      <w:bookmarkStart w:id="238" w:name="Bookmark_LNHNREFclscc3_0"/>
      <w:bookmarkEnd w:id="237"/>
      <w:bookmarkEnd w:id="238"/>
      <w:r>
        <w:rPr>
          <w:rFonts w:ascii="Arial" w:eastAsia="Arial" w:hAnsi="Arial" w:cs="Arial"/>
          <w:color w:val="000000"/>
          <w:sz w:val="20"/>
        </w:rPr>
        <w:t xml:space="preserve">With a few exceptions, Title II requires public entities to permit service animals to accompany people with disabilities in all areas where members of the public are allowed to go. 28 C.F.R. § 35.136(g). Service animals are defined as dogs that are individually trained to do work or perform tasks for people with disabilities. </w:t>
      </w:r>
      <w:r>
        <w:rPr>
          <w:rFonts w:ascii="Arial" w:eastAsia="Arial" w:hAnsi="Arial" w:cs="Arial"/>
          <w:i/>
          <w:color w:val="000000"/>
          <w:sz w:val="20"/>
        </w:rPr>
        <w:t>Id.</w:t>
      </w:r>
      <w:r>
        <w:rPr>
          <w:rFonts w:ascii="Arial" w:eastAsia="Arial" w:hAnsi="Arial" w:cs="Arial"/>
          <w:color w:val="000000"/>
          <w:sz w:val="20"/>
        </w:rPr>
        <w:t xml:space="preserve"> at § 35.104. "Emotional support animals" are not considered service animals which fall under Title II's mandate. </w:t>
      </w:r>
      <w:r>
        <w:rPr>
          <w:rFonts w:ascii="Arial" w:eastAsia="Arial" w:hAnsi="Arial" w:cs="Arial"/>
          <w:i/>
          <w:color w:val="000000"/>
          <w:sz w:val="20"/>
        </w:rPr>
        <w:t>Id.</w:t>
      </w:r>
      <w:r>
        <w:rPr>
          <w:rFonts w:ascii="Arial" w:eastAsia="Arial" w:hAnsi="Arial" w:cs="Arial"/>
          <w:color w:val="000000"/>
          <w:sz w:val="20"/>
        </w:rPr>
        <w:t xml:space="preserve"> In situations where it is not obvious if a dog is a service animal, employees of a public entity are permitted to ask if the dog is a service animal required because of a disability, and what work or task the dog has been trained to perform. 28 C.F.R. § 35.136(f). They [**7]  are not permitted to request documentation for the dog, require the dog to demonstrate a task, or inquire about the nature of the person's disability. </w:t>
      </w:r>
      <w:r>
        <w:rPr>
          <w:rFonts w:ascii="Arial" w:eastAsia="Arial" w:hAnsi="Arial" w:cs="Arial"/>
          <w:i/>
          <w:color w:val="000000"/>
          <w:sz w:val="20"/>
        </w:rPr>
        <w:t>Id.</w:t>
      </w:r>
    </w:p>
    <w:p w14:paraId="21576455" w14:textId="77777777" w:rsidR="002D0E71" w:rsidRDefault="00000000">
      <w:pPr>
        <w:pStyle w:val="Normal2"/>
        <w:widowControl w:val="0"/>
        <w:spacing w:before="200" w:line="260" w:lineRule="atLeast"/>
        <w:jc w:val="both"/>
      </w:pPr>
      <w:bookmarkStart w:id="239" w:name="Bookmark_para_9_1"/>
      <w:bookmarkEnd w:id="239"/>
      <w:r>
        <w:rPr>
          <w:rFonts w:ascii="Arial" w:eastAsia="Arial" w:hAnsi="Arial" w:cs="Arial"/>
          <w:color w:val="000000"/>
          <w:sz w:val="20"/>
        </w:rPr>
        <w:t xml:space="preserve">The basis of Gloria's ADA claim on appeal is that Judge MacCarthy and by extension, the Probate Division of Cook County Circuit Court, asked impermissible questions to bar Shaggy from the courtroom, and denied Gloria reasonable accommodations by banning Shaggy. </w:t>
      </w:r>
      <w:bookmarkStart w:id="240" w:name="Bookmark_I0BF1K0NJPP000RGTFY003TD"/>
      <w:bookmarkStart w:id="241" w:name="Bookmark_I5KX2P9628T4HV0030000400"/>
      <w:bookmarkEnd w:id="240"/>
      <w:bookmarkEnd w:id="241"/>
      <w:r>
        <w:rPr>
          <w:rFonts w:ascii="Arial" w:eastAsia="Arial" w:hAnsi="Arial" w:cs="Arial"/>
          <w:color w:val="000000"/>
          <w:sz w:val="20"/>
        </w:rPr>
        <w:t xml:space="preserve">Gloria's complaint claims that Shaggy is a service dog, and we will proceed on that assumption for the purposes of our analysis. Because Shaggy was banned from the courtroom, Gloria claims she was effectively excluded from participating in and benefiting from services of the courthouse. This case differs from a </w:t>
      </w:r>
      <w:bookmarkStart w:id="242" w:name="Bookmark_I5KX2P9628T4HV0030000400_2"/>
      <w:bookmarkStart w:id="243" w:name="Bookmark_I5KX2P9628T4HV0020000400"/>
      <w:bookmarkEnd w:id="242"/>
      <w:bookmarkEnd w:id="243"/>
      <w:r>
        <w:rPr>
          <w:rFonts w:ascii="Arial" w:eastAsia="Arial" w:hAnsi="Arial" w:cs="Arial"/>
          <w:i/>
          <w:color w:val="000000"/>
          <w:sz w:val="20"/>
        </w:rPr>
        <w:t>Lane</w:t>
      </w:r>
      <w:r>
        <w:rPr>
          <w:rFonts w:ascii="Arial" w:eastAsia="Arial" w:hAnsi="Arial" w:cs="Arial"/>
          <w:color w:val="000000"/>
          <w:sz w:val="20"/>
        </w:rPr>
        <w:t>-style claim of denial of access to a courthouse, because her exclusion from the courthouse stemmed from a judicial order, not from a courthouse policy or practice.</w:t>
      </w:r>
    </w:p>
    <w:p w14:paraId="30B0E3FA" w14:textId="77777777" w:rsidR="002D0E71" w:rsidRDefault="00000000">
      <w:pPr>
        <w:pStyle w:val="Normal2"/>
        <w:widowControl w:val="0"/>
        <w:spacing w:before="240" w:line="260" w:lineRule="atLeast"/>
      </w:pPr>
      <w:r>
        <w:br/>
      </w:r>
      <w:r>
        <w:rPr>
          <w:rFonts w:ascii="Arial" w:eastAsia="Arial" w:hAnsi="Arial" w:cs="Arial"/>
          <w:b/>
          <w:color w:val="000000"/>
          <w:sz w:val="20"/>
        </w:rPr>
        <w:t>B. District Court Lacked Subject Matter Jurisdiction</w:t>
      </w:r>
    </w:p>
    <w:p w14:paraId="0D26B229" w14:textId="77777777" w:rsidR="002D0E71" w:rsidRDefault="00000000">
      <w:pPr>
        <w:pStyle w:val="Normal2"/>
        <w:widowControl w:val="0"/>
        <w:spacing w:before="200" w:line="260" w:lineRule="atLeast"/>
        <w:jc w:val="both"/>
      </w:pPr>
      <w:bookmarkStart w:id="244" w:name="Bookmark_para_10_1"/>
      <w:bookmarkEnd w:id="244"/>
      <w:r>
        <w:rPr>
          <w:rFonts w:ascii="Arial" w:eastAsia="Arial" w:hAnsi="Arial" w:cs="Arial"/>
          <w:color w:val="000000"/>
          <w:sz w:val="20"/>
        </w:rPr>
        <w:t xml:space="preserve">With her claim now framed, we must determine if the district court had jurisdiction over Gloria's claim. </w:t>
      </w:r>
      <w:bookmarkStart w:id="245" w:name="Bookmark_I5KX2P9628T4HV0050000400"/>
      <w:bookmarkEnd w:id="245"/>
      <w:r>
        <w:rPr>
          <w:rFonts w:ascii="Arial" w:eastAsia="Arial" w:hAnsi="Arial" w:cs="Arial"/>
          <w:color w:val="000000"/>
          <w:sz w:val="20"/>
        </w:rPr>
        <w:t xml:space="preserve">At the time of the district court's decision, Mary's probate proceeding was ongoing. As a result, the district court applied </w:t>
      </w:r>
      <w:bookmarkStart w:id="246" w:name="Bookmark_LNHNREFclscc4_0"/>
      <w:bookmarkEnd w:id="246"/>
      <w:r>
        <w:rPr>
          <w:rFonts w:ascii="Arial" w:eastAsia="Arial" w:hAnsi="Arial" w:cs="Arial"/>
          <w:i/>
          <w:color w:val="000000"/>
          <w:sz w:val="20"/>
        </w:rPr>
        <w:t>Younger</w:t>
      </w:r>
      <w:r>
        <w:rPr>
          <w:rFonts w:ascii="Arial" w:eastAsia="Arial" w:hAnsi="Arial" w:cs="Arial"/>
          <w:color w:val="000000"/>
          <w:sz w:val="20"/>
        </w:rPr>
        <w:t xml:space="preserve"> abstention, the [**8]  principle that federal courts should abstain from interfering with ongoing state judicial proceedings that are judicial in nature, involve important state interests, provide an adequate opportunity to raise federal claims, and do not contain special circumstances that would make abstention inappropriate. </w:t>
      </w:r>
      <w:r>
        <w:rPr>
          <w:rFonts w:ascii="Arial" w:eastAsia="Arial" w:hAnsi="Arial" w:cs="Arial"/>
          <w:i/>
          <w:color w:val="000000"/>
          <w:sz w:val="20"/>
        </w:rPr>
        <w:t xml:space="preserve">See </w:t>
      </w:r>
      <w:bookmarkStart w:id="247" w:name="Bookmark_I5KX2P9628T4HV0040000400"/>
      <w:bookmarkEnd w:id="247"/>
      <w:r>
        <w:rPr>
          <w:rFonts w:ascii="Arial" w:eastAsia="Arial" w:hAnsi="Arial" w:cs="Arial"/>
          <w:i/>
          <w:color w:val="000000"/>
          <w:sz w:val="20"/>
        </w:rPr>
        <w:t>Stroman Realty, Inc. v. Martinez</w:t>
      </w:r>
      <w:r>
        <w:rPr>
          <w:rFonts w:ascii="Arial" w:eastAsia="Arial" w:hAnsi="Arial" w:cs="Arial"/>
          <w:color w:val="000000"/>
          <w:sz w:val="20"/>
        </w:rPr>
        <w:t xml:space="preserve">, 505 F.3d 658, 662 (7th Cir. 2007). Between the district court's ruling [*741]  and this appeal, Mary died, so her probate proceeding is terminated. As a result of Mary's death, </w:t>
      </w:r>
      <w:r>
        <w:rPr>
          <w:rFonts w:ascii="Arial" w:eastAsia="Arial" w:hAnsi="Arial" w:cs="Arial"/>
          <w:i/>
          <w:color w:val="000000"/>
          <w:sz w:val="20"/>
        </w:rPr>
        <w:t>Younger</w:t>
      </w:r>
      <w:r>
        <w:rPr>
          <w:rFonts w:ascii="Arial" w:eastAsia="Arial" w:hAnsi="Arial" w:cs="Arial"/>
          <w:color w:val="000000"/>
          <w:sz w:val="20"/>
        </w:rPr>
        <w:t xml:space="preserve"> is now a moot question because there is no ongoing state proceeding for us to disturb.</w:t>
      </w:r>
    </w:p>
    <w:p w14:paraId="208D752F" w14:textId="77777777" w:rsidR="002D0E71" w:rsidRDefault="00000000">
      <w:pPr>
        <w:pStyle w:val="Normal2"/>
        <w:widowControl w:val="0"/>
        <w:spacing w:before="200" w:line="260" w:lineRule="atLeast"/>
        <w:jc w:val="both"/>
      </w:pPr>
      <w:bookmarkStart w:id="248" w:name="Bookmark_para_11_1"/>
      <w:bookmarkStart w:id="249" w:name="Bookmark_I5KX2P962HM6H70020000400"/>
      <w:bookmarkEnd w:id="248"/>
      <w:bookmarkEnd w:id="249"/>
      <w:r>
        <w:rPr>
          <w:rFonts w:ascii="Arial" w:eastAsia="Arial" w:hAnsi="Arial" w:cs="Arial"/>
          <w:color w:val="000000"/>
          <w:sz w:val="20"/>
        </w:rPr>
        <w:t xml:space="preserve">The district court also invoked </w:t>
      </w:r>
      <w:bookmarkStart w:id="250" w:name="Bookmark_LNHNREFclscc5_0"/>
      <w:bookmarkEnd w:id="250"/>
      <w:r>
        <w:rPr>
          <w:rFonts w:ascii="Arial" w:eastAsia="Arial" w:hAnsi="Arial" w:cs="Arial"/>
          <w:color w:val="000000"/>
          <w:sz w:val="20"/>
        </w:rPr>
        <w:t xml:space="preserve">the probate exception to federal subject matter jurisdiction, which precludes federal courts from interfering with persons and property that are in the custody of a state probate court. </w:t>
      </w:r>
      <w:bookmarkStart w:id="251" w:name="Bookmark_I5KX2P962HM6H70040000400"/>
      <w:bookmarkStart w:id="252" w:name="Bookmark_I5KX2P962HM6H70010000400"/>
      <w:bookmarkEnd w:id="251"/>
      <w:bookmarkEnd w:id="252"/>
      <w:r>
        <w:rPr>
          <w:rFonts w:ascii="Arial" w:eastAsia="Arial" w:hAnsi="Arial" w:cs="Arial"/>
          <w:i/>
          <w:color w:val="000000"/>
          <w:sz w:val="20"/>
        </w:rPr>
        <w:t>Marshall v. Marshall</w:t>
      </w:r>
      <w:r>
        <w:rPr>
          <w:rFonts w:ascii="Arial" w:eastAsia="Arial" w:hAnsi="Arial" w:cs="Arial"/>
          <w:color w:val="000000"/>
          <w:sz w:val="20"/>
        </w:rPr>
        <w:t xml:space="preserve">, 547 U.S. 293, 311-12, 126 S. Ct. 1735, 164 L. Ed. 2d 480 (2006). </w:t>
      </w:r>
      <w:bookmarkStart w:id="253" w:name="Bookmark_I5KX2P962D6P0V0010000400"/>
      <w:bookmarkEnd w:id="253"/>
      <w:r>
        <w:rPr>
          <w:rFonts w:ascii="Arial" w:eastAsia="Arial" w:hAnsi="Arial" w:cs="Arial"/>
          <w:color w:val="000000"/>
          <w:sz w:val="20"/>
        </w:rPr>
        <w:t xml:space="preserve">The rationale for the rule is that in situations where a state court controls the subject of a custody battle or the property in a decedent's estate, another court should not "be permitted to elbow its way into such a fight," particularly because state courts are assumed to have developed a core proficiency in probate and domestic relations matters. </w:t>
      </w:r>
      <w:bookmarkStart w:id="254" w:name="Bookmark_I5KX2P962D6P0V0010000400_2"/>
      <w:bookmarkStart w:id="255" w:name="Bookmark_I5KX2P962HM6H70040000400_2"/>
      <w:bookmarkStart w:id="256" w:name="Bookmark_I5KX2P962HM6H70030000400"/>
      <w:bookmarkEnd w:id="254"/>
      <w:bookmarkEnd w:id="255"/>
      <w:bookmarkEnd w:id="256"/>
      <w:r>
        <w:rPr>
          <w:rFonts w:ascii="Arial" w:eastAsia="Arial" w:hAnsi="Arial" w:cs="Arial"/>
          <w:i/>
          <w:color w:val="000000"/>
          <w:sz w:val="20"/>
        </w:rPr>
        <w:t>Struck v. Cook Cty. Pub. Guardian</w:t>
      </w:r>
      <w:r>
        <w:rPr>
          <w:rFonts w:ascii="Arial" w:eastAsia="Arial" w:hAnsi="Arial" w:cs="Arial"/>
          <w:color w:val="000000"/>
          <w:sz w:val="20"/>
        </w:rPr>
        <w:t xml:space="preserve">, 508 F.3d 858, 860 (7th Cir. 2007). </w:t>
      </w:r>
      <w:bookmarkStart w:id="257" w:name="Bookmark_I0BF1K0PRW8000RGTFY003TP"/>
      <w:bookmarkStart w:id="258" w:name="Bookmark_I5KX2P962D6P0V0050000400"/>
      <w:bookmarkEnd w:id="257"/>
      <w:bookmarkEnd w:id="258"/>
      <w:r>
        <w:rPr>
          <w:rFonts w:ascii="Arial" w:eastAsia="Arial" w:hAnsi="Arial" w:cs="Arial"/>
          <w:color w:val="000000"/>
          <w:sz w:val="20"/>
        </w:rPr>
        <w:t xml:space="preserve">But the exception does not bar federal courts from exercising otherwise proper jurisdiction, [**9]  </w:t>
      </w:r>
      <w:bookmarkStart w:id="259" w:name="Bookmark_I5KX2P962HM6H70050000400"/>
      <w:bookmarkEnd w:id="259"/>
      <w:r>
        <w:rPr>
          <w:rFonts w:ascii="Arial" w:eastAsia="Arial" w:hAnsi="Arial" w:cs="Arial"/>
          <w:i/>
          <w:color w:val="000000"/>
          <w:sz w:val="20"/>
        </w:rPr>
        <w:t>Marshall</w:t>
      </w:r>
      <w:r>
        <w:rPr>
          <w:rFonts w:ascii="Arial" w:eastAsia="Arial" w:hAnsi="Arial" w:cs="Arial"/>
          <w:color w:val="000000"/>
          <w:sz w:val="20"/>
        </w:rPr>
        <w:t xml:space="preserve">, 547 U.S. at 312, and we have cautioned that as a judicially created exception to the statutory grant of diversity jurisdiction, the probate exception should be narrowly construed, </w:t>
      </w:r>
      <w:bookmarkStart w:id="260" w:name="Bookmark_I5KX2P962D6P0V0020000400"/>
      <w:bookmarkEnd w:id="260"/>
      <w:r>
        <w:rPr>
          <w:rFonts w:ascii="Arial" w:eastAsia="Arial" w:hAnsi="Arial" w:cs="Arial"/>
          <w:i/>
          <w:color w:val="000000"/>
          <w:sz w:val="20"/>
        </w:rPr>
        <w:t>Storm v. Storm</w:t>
      </w:r>
      <w:r>
        <w:rPr>
          <w:rFonts w:ascii="Arial" w:eastAsia="Arial" w:hAnsi="Arial" w:cs="Arial"/>
          <w:color w:val="000000"/>
          <w:sz w:val="20"/>
        </w:rPr>
        <w:t xml:space="preserve">, 328 F.3d 941, 944 (7th Cir. 2003). </w:t>
      </w:r>
      <w:bookmarkStart w:id="261" w:name="Bookmark_I5KX2P962D6P0V0050000400_2"/>
      <w:bookmarkEnd w:id="261"/>
      <w:r>
        <w:rPr>
          <w:rFonts w:ascii="Arial" w:eastAsia="Arial" w:hAnsi="Arial" w:cs="Arial"/>
          <w:color w:val="000000"/>
          <w:sz w:val="20"/>
        </w:rPr>
        <w:t xml:space="preserve">In determining if the probate exception applies to an issue that is ancillary to a core probate matter, we look to the policies animating the exception, including consistency of legal decisions within a state court system, judicial economy, and the relative expertise of state judges as specialists in probate issues. </w:t>
      </w:r>
      <w:bookmarkStart w:id="262" w:name="Bookmark_I5KX2P962D6P0V0040000400"/>
      <w:bookmarkEnd w:id="262"/>
      <w:r>
        <w:rPr>
          <w:rFonts w:ascii="Arial" w:eastAsia="Arial" w:hAnsi="Arial" w:cs="Arial"/>
          <w:i/>
          <w:color w:val="000000"/>
          <w:sz w:val="20"/>
        </w:rPr>
        <w:t>Id.</w:t>
      </w:r>
    </w:p>
    <w:p w14:paraId="6DD55EF1" w14:textId="77777777" w:rsidR="002D0E71" w:rsidRDefault="00000000">
      <w:pPr>
        <w:pStyle w:val="Normal2"/>
        <w:widowControl w:val="0"/>
        <w:spacing w:before="200" w:line="260" w:lineRule="atLeast"/>
        <w:jc w:val="both"/>
      </w:pPr>
      <w:bookmarkStart w:id="263" w:name="Bookmark_para_12_1"/>
      <w:bookmarkEnd w:id="263"/>
      <w:r>
        <w:rPr>
          <w:rFonts w:ascii="Arial" w:eastAsia="Arial" w:hAnsi="Arial" w:cs="Arial"/>
          <w:color w:val="000000"/>
          <w:sz w:val="20"/>
        </w:rPr>
        <w:t>We are not convinced that applying the probate exception was appropriate under the above analysis. The decision preventing Gloria from bringing her service animal into the courtroom has nothing to do with probate law. A probate court is in no better position to determine a litigant's entitlement to a reasonable accommodation than any other court. And there is nothing about bringing her ADA claim to federal court which would create dissonance in probate or domestic relations rulings across Cook County. In short, the injury complained of here bears no relationship to probate law, other than that it happened to take place in a probate courtroom. We find this type of coincidental connection to a probate matter [**10]  unpersuasive as a ground for stripping federal courts of their power to hear federal claims. So we do not find the probate exception a persuasive ground for dismissing the case.</w:t>
      </w:r>
    </w:p>
    <w:p w14:paraId="2DA83FB5" w14:textId="77777777" w:rsidR="002D0E71" w:rsidRDefault="00000000">
      <w:pPr>
        <w:pStyle w:val="Normal2"/>
        <w:widowControl w:val="0"/>
        <w:spacing w:before="200" w:line="260" w:lineRule="atLeast"/>
        <w:jc w:val="both"/>
      </w:pPr>
      <w:bookmarkStart w:id="264" w:name="Bookmark_para_13_1"/>
      <w:bookmarkStart w:id="265" w:name="Bookmark_I5KX2P9628T4HW0020000400"/>
      <w:bookmarkEnd w:id="264"/>
      <w:bookmarkEnd w:id="265"/>
      <w:r>
        <w:rPr>
          <w:rFonts w:ascii="Arial" w:eastAsia="Arial" w:hAnsi="Arial" w:cs="Arial"/>
          <w:color w:val="000000"/>
          <w:sz w:val="20"/>
        </w:rPr>
        <w:t xml:space="preserve">With those theories out of the way, we turn finally to the district court's conclusion that it lacked jurisdiction under the </w:t>
      </w:r>
      <w:r>
        <w:rPr>
          <w:rFonts w:ascii="Arial" w:eastAsia="Arial" w:hAnsi="Arial" w:cs="Arial"/>
          <w:i/>
          <w:color w:val="000000"/>
          <w:sz w:val="20"/>
        </w:rPr>
        <w:t>Rooker-Feldman</w:t>
      </w:r>
      <w:r>
        <w:rPr>
          <w:rFonts w:ascii="Arial" w:eastAsia="Arial" w:hAnsi="Arial" w:cs="Arial"/>
          <w:color w:val="000000"/>
          <w:sz w:val="20"/>
        </w:rPr>
        <w:t xml:space="preserve"> doctrine. We start by noting that Gloria had at least three avenues to overturn Judge MacCarthy's order in state court. She could have (1) sought mandamus in the Illinois Supreme Court, </w:t>
      </w:r>
      <w:r>
        <w:rPr>
          <w:rFonts w:ascii="Arial" w:eastAsia="Arial" w:hAnsi="Arial" w:cs="Arial"/>
          <w:i/>
          <w:color w:val="000000"/>
          <w:sz w:val="20"/>
        </w:rPr>
        <w:t>see</w:t>
      </w:r>
      <w:r>
        <w:rPr>
          <w:rFonts w:ascii="Arial" w:eastAsia="Arial" w:hAnsi="Arial" w:cs="Arial"/>
          <w:color w:val="000000"/>
          <w:sz w:val="20"/>
        </w:rPr>
        <w:t xml:space="preserve"> ILL. CONST. 1970, art. VI, § 4(a); </w:t>
      </w:r>
      <w:bookmarkStart w:id="266" w:name="Bookmark_I5KX2P9628T4HW0010000400"/>
      <w:bookmarkEnd w:id="266"/>
      <w:r>
        <w:rPr>
          <w:rFonts w:ascii="Arial" w:eastAsia="Arial" w:hAnsi="Arial" w:cs="Arial"/>
          <w:i/>
          <w:color w:val="000000"/>
          <w:sz w:val="20"/>
        </w:rPr>
        <w:t>People ex rel. Birkett v. Konetski</w:t>
      </w:r>
      <w:r>
        <w:rPr>
          <w:rFonts w:ascii="Arial" w:eastAsia="Arial" w:hAnsi="Arial" w:cs="Arial"/>
          <w:color w:val="000000"/>
          <w:sz w:val="20"/>
        </w:rPr>
        <w:t>, 233 Ill. 2d 185, 909 N.E.2d 783, 791, 330 Ill. Dec. 761 (Ill. 2009), (2) pursued an interlocutory appeal in a state appellate court under Illinois Supreme Court Rule 307, or (3) filed a motion for a supervisory order under Illinois Supreme Court Rule 383. Instead of pursuing these avenues, Gloria went to federal court.</w:t>
      </w:r>
    </w:p>
    <w:p w14:paraId="2AA0DBD8" w14:textId="77777777" w:rsidR="002D0E71" w:rsidRDefault="00000000">
      <w:pPr>
        <w:pStyle w:val="Normal2"/>
        <w:widowControl w:val="0"/>
        <w:spacing w:before="200" w:line="260" w:lineRule="atLeast"/>
        <w:jc w:val="both"/>
      </w:pPr>
      <w:bookmarkStart w:id="267" w:name="Bookmark_para_14_1"/>
      <w:bookmarkStart w:id="268" w:name="Bookmark_I5KX2P9628T4HW0040000400"/>
      <w:bookmarkStart w:id="269" w:name="Bookmark_LNHNREFclscc6_0"/>
      <w:bookmarkEnd w:id="267"/>
      <w:bookmarkEnd w:id="268"/>
      <w:bookmarkEnd w:id="269"/>
      <w:r>
        <w:rPr>
          <w:rFonts w:ascii="Arial" w:eastAsia="Arial" w:hAnsi="Arial" w:cs="Arial"/>
          <w:color w:val="000000"/>
          <w:sz w:val="20"/>
        </w:rPr>
        <w:t xml:space="preserve">Lower federal courts are not vested with appellate authority over state courts. </w:t>
      </w:r>
      <w:bookmarkStart w:id="270" w:name="Bookmark_I5KX2P962N1R6G0030000400"/>
      <w:bookmarkStart w:id="271" w:name="Bookmark_I5KX2P9628T4HW0030000400"/>
      <w:bookmarkEnd w:id="270"/>
      <w:bookmarkEnd w:id="271"/>
      <w:r>
        <w:rPr>
          <w:rFonts w:ascii="Arial" w:eastAsia="Arial" w:hAnsi="Arial" w:cs="Arial"/>
          <w:i/>
          <w:color w:val="000000"/>
          <w:sz w:val="20"/>
        </w:rPr>
        <w:t>Rooker</w:t>
      </w:r>
      <w:r>
        <w:rPr>
          <w:rFonts w:ascii="Arial" w:eastAsia="Arial" w:hAnsi="Arial" w:cs="Arial"/>
          <w:color w:val="000000"/>
          <w:sz w:val="20"/>
        </w:rPr>
        <w:t xml:space="preserve">, 263 U.S. at 416; </w:t>
      </w:r>
      <w:bookmarkStart w:id="272" w:name="Bookmark_I5KX2P9628T4HW0050000400"/>
      <w:bookmarkEnd w:id="272"/>
      <w:r>
        <w:rPr>
          <w:rFonts w:ascii="Arial" w:eastAsia="Arial" w:hAnsi="Arial" w:cs="Arial"/>
          <w:i/>
          <w:color w:val="000000"/>
          <w:sz w:val="20"/>
        </w:rPr>
        <w:t>Feldman</w:t>
      </w:r>
      <w:r>
        <w:rPr>
          <w:rFonts w:ascii="Arial" w:eastAsia="Arial" w:hAnsi="Arial" w:cs="Arial"/>
          <w:color w:val="000000"/>
          <w:sz w:val="20"/>
        </w:rPr>
        <w:t xml:space="preserve">, 460 U.S. at 486. </w:t>
      </w:r>
      <w:bookmarkStart w:id="273" w:name="Bookmark_I5KX2P962N1R6G0050000400"/>
      <w:bookmarkEnd w:id="273"/>
      <w:r>
        <w:rPr>
          <w:rFonts w:ascii="Arial" w:eastAsia="Arial" w:hAnsi="Arial" w:cs="Arial"/>
          <w:color w:val="000000"/>
          <w:sz w:val="20"/>
        </w:rPr>
        <w:t xml:space="preserve">The </w:t>
      </w:r>
      <w:r>
        <w:rPr>
          <w:rFonts w:ascii="Arial" w:eastAsia="Arial" w:hAnsi="Arial" w:cs="Arial"/>
          <w:i/>
          <w:color w:val="000000"/>
          <w:sz w:val="20"/>
        </w:rPr>
        <w:t>Rooker-Feldman</w:t>
      </w:r>
      <w:r>
        <w:rPr>
          <w:rFonts w:ascii="Arial" w:eastAsia="Arial" w:hAnsi="Arial" w:cs="Arial"/>
          <w:color w:val="000000"/>
          <w:sz w:val="20"/>
        </w:rPr>
        <w:t xml:space="preserve"> doctrine prevents lower federal courts from exercising jurisdiction over cases brought by state court losers challenging state court judgments rendered before the district court proceedings commenced. </w:t>
      </w:r>
      <w:bookmarkStart w:id="274" w:name="Bookmark_I5KX2P962N1R6G0050000400_2"/>
      <w:bookmarkStart w:id="275" w:name="Bookmark_I5KX2P962N1R6G0030000400_2"/>
      <w:bookmarkStart w:id="276" w:name="Bookmark_I5KX2P962N1R6G0020000400"/>
      <w:bookmarkEnd w:id="274"/>
      <w:bookmarkEnd w:id="275"/>
      <w:bookmarkEnd w:id="276"/>
      <w:r>
        <w:rPr>
          <w:rFonts w:ascii="Arial" w:eastAsia="Arial" w:hAnsi="Arial" w:cs="Arial"/>
          <w:i/>
          <w:color w:val="000000"/>
          <w:sz w:val="20"/>
        </w:rPr>
        <w:t>Exxon-Mobil v. Saudi Basic Indus. Corp.</w:t>
      </w:r>
      <w:r>
        <w:rPr>
          <w:rFonts w:ascii="Arial" w:eastAsia="Arial" w:hAnsi="Arial" w:cs="Arial"/>
          <w:color w:val="000000"/>
          <w:sz w:val="20"/>
        </w:rPr>
        <w:t xml:space="preserve">, 544 U.S. 280, 284, 125 S. Ct. 1517, 161 L. Ed. 2d 454  [*742]  (2005). </w:t>
      </w:r>
      <w:bookmarkStart w:id="277" w:name="Bookmark_I5KX2P962D6P0W0020000400"/>
      <w:bookmarkEnd w:id="277"/>
      <w:r>
        <w:rPr>
          <w:rFonts w:ascii="Arial" w:eastAsia="Arial" w:hAnsi="Arial" w:cs="Arial"/>
          <w:color w:val="000000"/>
          <w:sz w:val="20"/>
        </w:rPr>
        <w:t xml:space="preserve">The rationale for the doctrine is that no matter how wrong a state court judgment may be under federal law, only the Supreme Court of the United States has jurisdiction to [**11]  review it. </w:t>
      </w:r>
      <w:bookmarkStart w:id="278" w:name="Bookmark_I5KX2P962N1R6G0040000400"/>
      <w:bookmarkEnd w:id="278"/>
      <w:r>
        <w:rPr>
          <w:rFonts w:ascii="Arial" w:eastAsia="Arial" w:hAnsi="Arial" w:cs="Arial"/>
          <w:i/>
          <w:color w:val="000000"/>
          <w:sz w:val="20"/>
        </w:rPr>
        <w:t>Brown v. Bowman</w:t>
      </w:r>
      <w:r>
        <w:rPr>
          <w:rFonts w:ascii="Arial" w:eastAsia="Arial" w:hAnsi="Arial" w:cs="Arial"/>
          <w:color w:val="000000"/>
          <w:sz w:val="20"/>
        </w:rPr>
        <w:t xml:space="preserve">, 668 F.3d 437, 442 (7th Cir. 2012). </w:t>
      </w:r>
      <w:bookmarkStart w:id="279" w:name="Bookmark_I5KX2P962D6P0W0020000400_2"/>
      <w:bookmarkEnd w:id="279"/>
      <w:r>
        <w:rPr>
          <w:rFonts w:ascii="Arial" w:eastAsia="Arial" w:hAnsi="Arial" w:cs="Arial"/>
          <w:color w:val="000000"/>
          <w:sz w:val="20"/>
        </w:rPr>
        <w:t xml:space="preserve">Claims that directly seek to set aside a state court judgment are </w:t>
      </w:r>
      <w:r>
        <w:rPr>
          <w:rFonts w:ascii="Arial" w:eastAsia="Arial" w:hAnsi="Arial" w:cs="Arial"/>
          <w:i/>
          <w:color w:val="000000"/>
          <w:sz w:val="20"/>
        </w:rPr>
        <w:t>de facto</w:t>
      </w:r>
      <w:r>
        <w:rPr>
          <w:rFonts w:ascii="Arial" w:eastAsia="Arial" w:hAnsi="Arial" w:cs="Arial"/>
          <w:color w:val="000000"/>
          <w:sz w:val="20"/>
        </w:rPr>
        <w:t xml:space="preserve"> appeals which trigger the doctrine. </w:t>
      </w:r>
      <w:bookmarkStart w:id="280" w:name="Bookmark_I5KX2P962D6P0W0010000400"/>
      <w:bookmarkEnd w:id="280"/>
      <w:r>
        <w:rPr>
          <w:rFonts w:ascii="Arial" w:eastAsia="Arial" w:hAnsi="Arial" w:cs="Arial"/>
          <w:i/>
          <w:color w:val="000000"/>
          <w:sz w:val="20"/>
        </w:rPr>
        <w:t>Taylor v. Fed. Nat'l Mortg. Ass'n</w:t>
      </w:r>
      <w:r>
        <w:rPr>
          <w:rFonts w:ascii="Arial" w:eastAsia="Arial" w:hAnsi="Arial" w:cs="Arial"/>
          <w:color w:val="000000"/>
          <w:sz w:val="20"/>
        </w:rPr>
        <w:t xml:space="preserve">, 374 F.3d 529, 532 (7th Cir. 2004). </w:t>
      </w:r>
      <w:bookmarkStart w:id="281" w:name="Bookmark_I5KX2P962D6P0W0040000400"/>
      <w:bookmarkEnd w:id="281"/>
      <w:r>
        <w:rPr>
          <w:rFonts w:ascii="Arial" w:eastAsia="Arial" w:hAnsi="Arial" w:cs="Arial"/>
          <w:color w:val="000000"/>
          <w:sz w:val="20"/>
        </w:rPr>
        <w:t xml:space="preserve">But even federal claims which were not raised in state court, or that do not on their face require review of a state court's decision, may still be subject to </w:t>
      </w:r>
      <w:r>
        <w:rPr>
          <w:rFonts w:ascii="Arial" w:eastAsia="Arial" w:hAnsi="Arial" w:cs="Arial"/>
          <w:i/>
          <w:color w:val="000000"/>
          <w:sz w:val="20"/>
        </w:rPr>
        <w:t>Rooker-Feldman</w:t>
      </w:r>
      <w:r>
        <w:rPr>
          <w:rFonts w:ascii="Arial" w:eastAsia="Arial" w:hAnsi="Arial" w:cs="Arial"/>
          <w:color w:val="000000"/>
          <w:sz w:val="20"/>
        </w:rPr>
        <w:t xml:space="preserve"> if those claims are inextricably intertwined with a state court judgment. </w:t>
      </w:r>
      <w:r>
        <w:rPr>
          <w:rFonts w:ascii="Arial" w:eastAsia="Arial" w:hAnsi="Arial" w:cs="Arial"/>
          <w:i/>
          <w:color w:val="000000"/>
          <w:sz w:val="20"/>
        </w:rPr>
        <w:t>Id.</w:t>
      </w:r>
      <w:r>
        <w:rPr>
          <w:rFonts w:ascii="Arial" w:eastAsia="Arial" w:hAnsi="Arial" w:cs="Arial"/>
          <w:color w:val="000000"/>
          <w:sz w:val="20"/>
        </w:rPr>
        <w:t xml:space="preserve"> The "inextricably intertwined" determination hinges on whether the federal claim alleges that the injury was caused by the state court judgment, or alternatively, whether the federal claim alleges an independent prior injury that the state court failed to remedy. </w:t>
      </w:r>
      <w:bookmarkStart w:id="282" w:name="Bookmark_I5KX2P962N1R6H0010000400"/>
      <w:bookmarkEnd w:id="282"/>
      <w:r>
        <w:rPr>
          <w:rFonts w:ascii="Arial" w:eastAsia="Arial" w:hAnsi="Arial" w:cs="Arial"/>
          <w:i/>
          <w:color w:val="000000"/>
          <w:sz w:val="20"/>
        </w:rPr>
        <w:t>Id.</w:t>
      </w:r>
      <w:r>
        <w:rPr>
          <w:rFonts w:ascii="Arial" w:eastAsia="Arial" w:hAnsi="Arial" w:cs="Arial"/>
          <w:color w:val="000000"/>
          <w:sz w:val="20"/>
        </w:rPr>
        <w:t xml:space="preserve"> Because </w:t>
      </w:r>
      <w:r>
        <w:rPr>
          <w:rFonts w:ascii="Arial" w:eastAsia="Arial" w:hAnsi="Arial" w:cs="Arial"/>
          <w:i/>
          <w:color w:val="000000"/>
          <w:sz w:val="20"/>
        </w:rPr>
        <w:t>Rooker</w:t>
      </w:r>
      <w:r>
        <w:rPr>
          <w:rFonts w:ascii="Arial" w:eastAsia="Arial" w:hAnsi="Arial" w:cs="Arial"/>
          <w:color w:val="000000"/>
          <w:sz w:val="20"/>
        </w:rPr>
        <w:t xml:space="preserve"> itself arose from a constitutional challenge to the state court's use of procedures, the </w:t>
      </w:r>
      <w:r>
        <w:rPr>
          <w:rFonts w:ascii="Arial" w:eastAsia="Arial" w:hAnsi="Arial" w:cs="Arial"/>
          <w:i/>
          <w:color w:val="000000"/>
          <w:sz w:val="20"/>
        </w:rPr>
        <w:t>Rooker-Feldman</w:t>
      </w:r>
      <w:r>
        <w:rPr>
          <w:rFonts w:ascii="Arial" w:eastAsia="Arial" w:hAnsi="Arial" w:cs="Arial"/>
          <w:color w:val="000000"/>
          <w:sz w:val="20"/>
        </w:rPr>
        <w:t xml:space="preserve"> doctrine applies to procedural state court rulings as well as substantive ones. </w:t>
      </w:r>
      <w:r>
        <w:rPr>
          <w:rFonts w:ascii="Arial" w:eastAsia="Arial" w:hAnsi="Arial" w:cs="Arial"/>
          <w:i/>
          <w:color w:val="000000"/>
          <w:sz w:val="20"/>
        </w:rPr>
        <w:t xml:space="preserve">See </w:t>
      </w:r>
      <w:bookmarkStart w:id="283" w:name="Bookmark_I5KX2P962D6P0W0030000400"/>
      <w:bookmarkEnd w:id="283"/>
      <w:r>
        <w:rPr>
          <w:rFonts w:ascii="Arial" w:eastAsia="Arial" w:hAnsi="Arial" w:cs="Arial"/>
          <w:i/>
          <w:color w:val="000000"/>
          <w:sz w:val="20"/>
        </w:rPr>
        <w:t>Harold v. Steel</w:t>
      </w:r>
      <w:r>
        <w:rPr>
          <w:rFonts w:ascii="Arial" w:eastAsia="Arial" w:hAnsi="Arial" w:cs="Arial"/>
          <w:color w:val="000000"/>
          <w:sz w:val="20"/>
        </w:rPr>
        <w:t xml:space="preserve">, 773 F.3d 884, 887 (7th Cir. 2014). </w:t>
      </w:r>
      <w:bookmarkStart w:id="284" w:name="Bookmark_I5KX2P962N1R6H0010000400_2"/>
      <w:bookmarkEnd w:id="284"/>
      <w:r>
        <w:rPr>
          <w:rFonts w:ascii="Arial" w:eastAsia="Arial" w:hAnsi="Arial" w:cs="Arial"/>
          <w:color w:val="000000"/>
          <w:sz w:val="20"/>
        </w:rPr>
        <w:t xml:space="preserve">Further, we have held that </w:t>
      </w:r>
      <w:bookmarkStart w:id="285" w:name="Bookmark_LNHNREFclscc7_0"/>
      <w:bookmarkEnd w:id="285"/>
      <w:r>
        <w:rPr>
          <w:rFonts w:ascii="Arial" w:eastAsia="Arial" w:hAnsi="Arial" w:cs="Arial"/>
          <w:color w:val="000000"/>
          <w:sz w:val="20"/>
        </w:rPr>
        <w:t xml:space="preserve">interlocutory orders entered prior to the final disposition of state court lawsuits are not immune from the jurisdiction-stripping powers of </w:t>
      </w:r>
      <w:r>
        <w:rPr>
          <w:rFonts w:ascii="Arial" w:eastAsia="Arial" w:hAnsi="Arial" w:cs="Arial"/>
          <w:i/>
          <w:color w:val="000000"/>
          <w:sz w:val="20"/>
        </w:rPr>
        <w:t>Rooker-Feldman.</w:t>
      </w:r>
      <w:r>
        <w:rPr>
          <w:rFonts w:ascii="Arial" w:eastAsia="Arial" w:hAnsi="Arial" w:cs="Arial"/>
          <w:color w:val="000000"/>
          <w:sz w:val="20"/>
        </w:rPr>
        <w:t xml:space="preserve"> </w:t>
      </w:r>
      <w:bookmarkStart w:id="286" w:name="Bookmark_I5KX2P962D6P0W0050000400"/>
      <w:bookmarkEnd w:id="286"/>
      <w:r>
        <w:rPr>
          <w:rFonts w:ascii="Arial" w:eastAsia="Arial" w:hAnsi="Arial" w:cs="Arial"/>
          <w:i/>
          <w:color w:val="000000"/>
          <w:sz w:val="20"/>
        </w:rPr>
        <w:t>Id.</w:t>
      </w:r>
      <w:r>
        <w:rPr>
          <w:rFonts w:ascii="Arial" w:eastAsia="Arial" w:hAnsi="Arial" w:cs="Arial"/>
          <w:color w:val="000000"/>
          <w:sz w:val="20"/>
        </w:rPr>
        <w:t xml:space="preserve"> at 886.</w:t>
      </w:r>
    </w:p>
    <w:p w14:paraId="781EC62E" w14:textId="77777777" w:rsidR="002D0E71" w:rsidRDefault="00000000">
      <w:pPr>
        <w:pStyle w:val="Normal2"/>
        <w:widowControl w:val="0"/>
        <w:spacing w:before="200" w:line="260" w:lineRule="atLeast"/>
        <w:jc w:val="both"/>
      </w:pPr>
      <w:bookmarkStart w:id="287" w:name="Bookmark_para_15_1"/>
      <w:bookmarkStart w:id="288" w:name="Bookmark_I5KX2P962N1R6H0030000400"/>
      <w:bookmarkStart w:id="289" w:name="Bookmark_I5KX2P962N1R6H0050000400"/>
      <w:bookmarkEnd w:id="287"/>
      <w:bookmarkEnd w:id="288"/>
      <w:bookmarkEnd w:id="289"/>
      <w:r>
        <w:rPr>
          <w:rFonts w:ascii="Arial" w:eastAsia="Arial" w:hAnsi="Arial" w:cs="Arial"/>
          <w:color w:val="000000"/>
          <w:sz w:val="20"/>
        </w:rPr>
        <w:t xml:space="preserve">But </w:t>
      </w:r>
      <w:bookmarkStart w:id="290" w:name="Bookmark_LNHNREFclscc8_0"/>
      <w:bookmarkEnd w:id="290"/>
      <w:r>
        <w:rPr>
          <w:rFonts w:ascii="Arial" w:eastAsia="Arial" w:hAnsi="Arial" w:cs="Arial"/>
          <w:i/>
          <w:color w:val="000000"/>
          <w:sz w:val="20"/>
        </w:rPr>
        <w:t>Rooker-Feldman</w:t>
      </w:r>
      <w:r>
        <w:rPr>
          <w:rFonts w:ascii="Arial" w:eastAsia="Arial" w:hAnsi="Arial" w:cs="Arial"/>
          <w:color w:val="000000"/>
          <w:sz w:val="20"/>
        </w:rPr>
        <w:t xml:space="preserve"> has its limits, and federal jurisdiction does not terminate automatically on the entry of judgment in a state court. </w:t>
      </w:r>
      <w:bookmarkStart w:id="291" w:name="Bookmark_I5KX2P962N1R6H0020000400"/>
      <w:bookmarkEnd w:id="291"/>
      <w:r>
        <w:rPr>
          <w:rFonts w:ascii="Arial" w:eastAsia="Arial" w:hAnsi="Arial" w:cs="Arial"/>
          <w:i/>
          <w:color w:val="000000"/>
          <w:sz w:val="20"/>
        </w:rPr>
        <w:t>Exxon-Mobil</w:t>
      </w:r>
      <w:r>
        <w:rPr>
          <w:rFonts w:ascii="Arial" w:eastAsia="Arial" w:hAnsi="Arial" w:cs="Arial"/>
          <w:color w:val="000000"/>
          <w:sz w:val="20"/>
        </w:rPr>
        <w:t xml:space="preserve">, 544 U.S. at 293. The doctrine occupies "narrow ground" and [**12]  is "confined to the cases of the kind from which the doctrine acquired its name: cases brought by state-court losers ... inviting district court review and rejection of [those state court's] judgments." </w:t>
      </w:r>
      <w:bookmarkStart w:id="292" w:name="Bookmark_I5KX2P962N1R6H0040000400"/>
      <w:bookmarkEnd w:id="292"/>
      <w:r>
        <w:rPr>
          <w:rFonts w:ascii="Arial" w:eastAsia="Arial" w:hAnsi="Arial" w:cs="Arial"/>
          <w:i/>
          <w:color w:val="000000"/>
          <w:sz w:val="20"/>
        </w:rPr>
        <w:t>Id.</w:t>
      </w:r>
      <w:r>
        <w:rPr>
          <w:rFonts w:ascii="Arial" w:eastAsia="Arial" w:hAnsi="Arial" w:cs="Arial"/>
          <w:color w:val="000000"/>
          <w:sz w:val="20"/>
        </w:rPr>
        <w:t xml:space="preserve"> at 284. </w:t>
      </w:r>
      <w:bookmarkStart w:id="293" w:name="Bookmark_I5KX2P962SF81J0020000400"/>
      <w:bookmarkEnd w:id="293"/>
      <w:r>
        <w:rPr>
          <w:rFonts w:ascii="Arial" w:eastAsia="Arial" w:hAnsi="Arial" w:cs="Arial"/>
          <w:color w:val="000000"/>
          <w:sz w:val="20"/>
        </w:rPr>
        <w:t xml:space="preserve">In order for the doctrine to apply, the state court judgment must be "inextricably intertwined" with the federal court lawsuit. In other words, there must be no way for the injury complained of by a plaintiff to be separated from a state court judgment. </w:t>
      </w:r>
      <w:bookmarkStart w:id="294" w:name="Bookmark_I5KX2P962HM6H80030000400"/>
      <w:bookmarkEnd w:id="294"/>
      <w:r>
        <w:rPr>
          <w:rFonts w:ascii="Arial" w:eastAsia="Arial" w:hAnsi="Arial" w:cs="Arial"/>
          <w:i/>
          <w:color w:val="000000"/>
          <w:sz w:val="20"/>
        </w:rPr>
        <w:t xml:space="preserve">See </w:t>
      </w:r>
      <w:bookmarkStart w:id="295" w:name="Bookmark_I5KX2P962SF81J0010000400"/>
      <w:bookmarkEnd w:id="295"/>
      <w:r>
        <w:rPr>
          <w:rFonts w:ascii="Arial" w:eastAsia="Arial" w:hAnsi="Arial" w:cs="Arial"/>
          <w:i/>
          <w:color w:val="000000"/>
          <w:sz w:val="20"/>
        </w:rPr>
        <w:t>id.</w:t>
      </w:r>
      <w:r>
        <w:rPr>
          <w:rFonts w:ascii="Arial" w:eastAsia="Arial" w:hAnsi="Arial" w:cs="Arial"/>
          <w:color w:val="000000"/>
          <w:sz w:val="20"/>
        </w:rPr>
        <w:t xml:space="preserve"> at 293; </w:t>
      </w:r>
      <w:bookmarkStart w:id="296" w:name="Bookmark_I5KX2P962SF81J0030000400"/>
      <w:bookmarkEnd w:id="296"/>
      <w:r>
        <w:rPr>
          <w:rFonts w:ascii="Arial" w:eastAsia="Arial" w:hAnsi="Arial" w:cs="Arial"/>
          <w:i/>
          <w:color w:val="000000"/>
          <w:sz w:val="20"/>
        </w:rPr>
        <w:t>Commonwealth Plaza Condo. Ass'n v. City of Chi.</w:t>
      </w:r>
      <w:r>
        <w:rPr>
          <w:rFonts w:ascii="Arial" w:eastAsia="Arial" w:hAnsi="Arial" w:cs="Arial"/>
          <w:color w:val="000000"/>
          <w:sz w:val="20"/>
        </w:rPr>
        <w:t xml:space="preserve">, 693 F.3d 743, 746 (7th Cir. 2012); </w:t>
      </w:r>
      <w:r>
        <w:rPr>
          <w:rFonts w:ascii="Arial" w:eastAsia="Arial" w:hAnsi="Arial" w:cs="Arial"/>
          <w:i/>
          <w:color w:val="000000"/>
          <w:sz w:val="20"/>
        </w:rPr>
        <w:t xml:space="preserve">see also </w:t>
      </w:r>
      <w:bookmarkStart w:id="297" w:name="Bookmark_I5KX2P962SF81J0050000400"/>
      <w:bookmarkEnd w:id="297"/>
      <w:r>
        <w:rPr>
          <w:rFonts w:ascii="Arial" w:eastAsia="Arial" w:hAnsi="Arial" w:cs="Arial"/>
          <w:i/>
          <w:color w:val="000000"/>
          <w:sz w:val="20"/>
        </w:rPr>
        <w:t>Kelley v. Med-1 Solutions, LLC</w:t>
      </w:r>
      <w:r>
        <w:rPr>
          <w:rFonts w:ascii="Arial" w:eastAsia="Arial" w:hAnsi="Arial" w:cs="Arial"/>
          <w:color w:val="000000"/>
          <w:sz w:val="20"/>
        </w:rPr>
        <w:t xml:space="preserve">, 548 F.3d 600, 607 (7th Cir. 2008). </w:t>
      </w:r>
      <w:bookmarkStart w:id="298" w:name="Bookmark_I5KX2P962HM6H80030000400_2"/>
      <w:bookmarkStart w:id="299" w:name="Bookmark_I5KX2P962HM6H80050000400"/>
      <w:bookmarkEnd w:id="298"/>
      <w:bookmarkEnd w:id="299"/>
      <w:r>
        <w:rPr>
          <w:rFonts w:ascii="Arial" w:eastAsia="Arial" w:hAnsi="Arial" w:cs="Arial"/>
          <w:color w:val="000000"/>
          <w:sz w:val="20"/>
        </w:rPr>
        <w:t xml:space="preserve">So, for example, a state court loser is not barred from targeting a statute which has been construed against her in a state court decision, so long as she does not seek to overturn the state court judgment itself. </w:t>
      </w:r>
      <w:bookmarkStart w:id="300" w:name="Bookmark_I5KX2P962HM6H80020000400"/>
      <w:bookmarkEnd w:id="300"/>
      <w:r>
        <w:rPr>
          <w:rFonts w:ascii="Arial" w:eastAsia="Arial" w:hAnsi="Arial" w:cs="Arial"/>
          <w:i/>
          <w:color w:val="000000"/>
          <w:sz w:val="20"/>
        </w:rPr>
        <w:t>Skinner v. Switzer</w:t>
      </w:r>
      <w:r>
        <w:rPr>
          <w:rFonts w:ascii="Arial" w:eastAsia="Arial" w:hAnsi="Arial" w:cs="Arial"/>
          <w:color w:val="000000"/>
          <w:sz w:val="20"/>
        </w:rPr>
        <w:t xml:space="preserve">, 562 U.S. 521, 532-33, 131 S. Ct. 1289, 179 L. Ed. 2d 233 (2011). </w:t>
      </w:r>
      <w:bookmarkStart w:id="301" w:name="Bookmark_I5KX2P962HM6H80050000400_2"/>
      <w:bookmarkStart w:id="302" w:name="Bookmark_I5KX2P962SF81K0020000400"/>
      <w:bookmarkEnd w:id="301"/>
      <w:bookmarkEnd w:id="302"/>
      <w:r>
        <w:rPr>
          <w:rFonts w:ascii="Arial" w:eastAsia="Arial" w:hAnsi="Arial" w:cs="Arial"/>
          <w:color w:val="000000"/>
          <w:sz w:val="20"/>
        </w:rPr>
        <w:t xml:space="preserve">And the Supreme Court has warned not to confuse </w:t>
      </w:r>
      <w:r>
        <w:rPr>
          <w:rFonts w:ascii="Arial" w:eastAsia="Arial" w:hAnsi="Arial" w:cs="Arial"/>
          <w:i/>
          <w:color w:val="000000"/>
          <w:sz w:val="20"/>
        </w:rPr>
        <w:t>Rooker-Feldman</w:t>
      </w:r>
      <w:r>
        <w:rPr>
          <w:rFonts w:ascii="Arial" w:eastAsia="Arial" w:hAnsi="Arial" w:cs="Arial"/>
          <w:color w:val="000000"/>
          <w:sz w:val="20"/>
        </w:rPr>
        <w:t xml:space="preserve"> with claim preclusion: "If a federal plaintiff present[ s] some independent claim that denies a legal conclusion that a state court has reached in a case to which he was a party ..., then there is jurisdiction, and state law determines whether the defendant prevails under principles of preclusion." </w:t>
      </w:r>
      <w:bookmarkStart w:id="303" w:name="Bookmark_I5KX2P962HM6H80040000400"/>
      <w:bookmarkEnd w:id="303"/>
      <w:r>
        <w:rPr>
          <w:rFonts w:ascii="Arial" w:eastAsia="Arial" w:hAnsi="Arial" w:cs="Arial"/>
          <w:i/>
          <w:color w:val="000000"/>
          <w:sz w:val="20"/>
        </w:rPr>
        <w:t>Exxon</w:t>
      </w:r>
      <w:r>
        <w:rPr>
          <w:rFonts w:ascii="Arial" w:eastAsia="Arial" w:hAnsi="Arial" w:cs="Arial"/>
          <w:color w:val="000000"/>
          <w:sz w:val="20"/>
        </w:rPr>
        <w:t xml:space="preserve">, 544 U.S. at 293. </w:t>
      </w:r>
      <w:bookmarkStart w:id="304" w:name="Bookmark_I5KX2P962SF81K0020000400_2"/>
      <w:bookmarkEnd w:id="304"/>
      <w:r>
        <w:rPr>
          <w:rFonts w:ascii="Arial" w:eastAsia="Arial" w:hAnsi="Arial" w:cs="Arial"/>
          <w:color w:val="000000"/>
          <w:sz w:val="20"/>
        </w:rPr>
        <w:t xml:space="preserve">In a similar vein, non-parties are not barred from bringing a challenge to a state court judgment simply because they could be considered in [**13]  privity with a party to the judgment. </w:t>
      </w:r>
      <w:bookmarkStart w:id="305" w:name="Bookmark_I5KX2P962SF81K0010000400"/>
      <w:bookmarkEnd w:id="305"/>
      <w:r>
        <w:rPr>
          <w:rFonts w:ascii="Arial" w:eastAsia="Arial" w:hAnsi="Arial" w:cs="Arial"/>
          <w:i/>
          <w:color w:val="000000"/>
          <w:sz w:val="20"/>
        </w:rPr>
        <w:t>Lance v. Dennis</w:t>
      </w:r>
      <w:r>
        <w:rPr>
          <w:rFonts w:ascii="Arial" w:eastAsia="Arial" w:hAnsi="Arial" w:cs="Arial"/>
          <w:color w:val="000000"/>
          <w:sz w:val="20"/>
        </w:rPr>
        <w:t>, 546 U.S. 459, 466, 126 S. Ct. 1198, 163 L. Ed. 2d 1059 (2009).</w:t>
      </w:r>
    </w:p>
    <w:p w14:paraId="4FA5D54F" w14:textId="77777777" w:rsidR="002D0E71" w:rsidRDefault="00000000">
      <w:pPr>
        <w:pStyle w:val="Normal2"/>
        <w:widowControl w:val="0"/>
        <w:spacing w:before="200" w:line="260" w:lineRule="atLeast"/>
        <w:jc w:val="both"/>
      </w:pPr>
      <w:bookmarkStart w:id="306" w:name="Bookmark_para_16_1"/>
      <w:bookmarkStart w:id="307" w:name="Bookmark_I0BF1K0NDWJ000RGTFY003TC"/>
      <w:bookmarkStart w:id="308" w:name="Bookmark_I5KX2P962SF81K0040000400"/>
      <w:bookmarkEnd w:id="306"/>
      <w:bookmarkEnd w:id="307"/>
      <w:bookmarkEnd w:id="308"/>
      <w:r>
        <w:rPr>
          <w:rFonts w:ascii="Arial" w:eastAsia="Arial" w:hAnsi="Arial" w:cs="Arial"/>
          <w:color w:val="000000"/>
          <w:sz w:val="20"/>
        </w:rPr>
        <w:t xml:space="preserve">Gloria argues that the allegations in her complaint are independent from Judge MacCarthy's order because they focus on Judge MacCarthy's wrongful </w:t>
      </w:r>
      <w:r>
        <w:rPr>
          <w:rFonts w:ascii="Arial" w:eastAsia="Arial" w:hAnsi="Arial" w:cs="Arial"/>
          <w:i/>
          <w:color w:val="000000"/>
          <w:sz w:val="20"/>
        </w:rPr>
        <w:t>conduct</w:t>
      </w:r>
      <w:r>
        <w:rPr>
          <w:rFonts w:ascii="Arial" w:eastAsia="Arial" w:hAnsi="Arial" w:cs="Arial"/>
          <w:color w:val="000000"/>
          <w:sz w:val="20"/>
        </w:rPr>
        <w:t xml:space="preserve">—interrogating Gloria about Shaggy and banning Shaggy from the courtroom—and not her </w:t>
      </w:r>
      <w:r>
        <w:rPr>
          <w:rFonts w:ascii="Arial" w:eastAsia="Arial" w:hAnsi="Arial" w:cs="Arial"/>
          <w:i/>
          <w:color w:val="000000"/>
          <w:sz w:val="20"/>
        </w:rPr>
        <w:t>order</w:t>
      </w:r>
      <w:r>
        <w:rPr>
          <w:rFonts w:ascii="Arial" w:eastAsia="Arial" w:hAnsi="Arial" w:cs="Arial"/>
          <w:color w:val="000000"/>
          <w:sz w:val="20"/>
        </w:rPr>
        <w:t xml:space="preserve"> denying Gloria's motion for reasonable accommodations. We addressed a similar argument in </w:t>
      </w:r>
      <w:r>
        <w:rPr>
          <w:rFonts w:ascii="Arial" w:eastAsia="Arial" w:hAnsi="Arial" w:cs="Arial"/>
          <w:i/>
          <w:color w:val="000000"/>
          <w:sz w:val="20"/>
        </w:rPr>
        <w:t>Kelley v. Med-1 Solutions</w:t>
      </w:r>
      <w:r>
        <w:rPr>
          <w:rFonts w:ascii="Arial" w:eastAsia="Arial" w:hAnsi="Arial" w:cs="Arial"/>
          <w:color w:val="000000"/>
          <w:sz w:val="20"/>
        </w:rPr>
        <w:t xml:space="preserve">, where the plaintiff argued it was not the state court's award of attorneys' fees which caused his injury, but rather the attorneys' preceding fraudulent misrepresentations [*743]  which led to the erroneous award. </w:t>
      </w:r>
      <w:bookmarkStart w:id="309" w:name="Bookmark_I5KX2P962SF81K0030000400"/>
      <w:bookmarkEnd w:id="309"/>
      <w:r>
        <w:rPr>
          <w:rFonts w:ascii="Arial" w:eastAsia="Arial" w:hAnsi="Arial" w:cs="Arial"/>
          <w:color w:val="000000"/>
          <w:sz w:val="20"/>
        </w:rPr>
        <w:t xml:space="preserve">548 F.3d at 605. We found that we lacked jurisdiction to hear the claim because in order to find that the defendants' underlying representations violated the law, we would be forced to determine that the state court, which evaluated those representations, erred in its judgment granting the attorneys' fees. </w:t>
      </w:r>
      <w:r>
        <w:rPr>
          <w:rFonts w:ascii="Arial" w:eastAsia="Arial" w:hAnsi="Arial" w:cs="Arial"/>
          <w:i/>
          <w:color w:val="000000"/>
          <w:sz w:val="20"/>
        </w:rPr>
        <w:t>Id.</w:t>
      </w:r>
      <w:r>
        <w:rPr>
          <w:rFonts w:ascii="Arial" w:eastAsia="Arial" w:hAnsi="Arial" w:cs="Arial"/>
          <w:color w:val="000000"/>
          <w:sz w:val="20"/>
        </w:rPr>
        <w:t xml:space="preserve"> Similarly here, the result of Judge MacCarthy's alleged misconduct was a state court order explicitly banning Gloria's service animal from her courtroom. If the judge violated the ADA by engaging in impermissible questioning or wrongly banning Shaggy from her courtroom, those alleged violations were [**14]  also the basis of her order.</w:t>
      </w:r>
    </w:p>
    <w:p w14:paraId="27F5289E" w14:textId="77777777" w:rsidR="002D0E71" w:rsidRDefault="00000000">
      <w:pPr>
        <w:pStyle w:val="Normal2"/>
        <w:widowControl w:val="0"/>
        <w:spacing w:before="200" w:line="260" w:lineRule="atLeast"/>
        <w:jc w:val="both"/>
      </w:pPr>
      <w:bookmarkStart w:id="310" w:name="Bookmark_para_17_0"/>
      <w:bookmarkEnd w:id="310"/>
      <w:r>
        <w:rPr>
          <w:rFonts w:ascii="Arial" w:eastAsia="Arial" w:hAnsi="Arial" w:cs="Arial"/>
          <w:color w:val="000000"/>
          <w:sz w:val="20"/>
        </w:rPr>
        <w:t xml:space="preserve">In her response to the defendants' motion to dismiss, Gloria attached an affidavit advancing a new theory that she was not attacking the order but instead a policy, practice or custom of ADA violations by Judge MacCarthy. She tried again to frame her challenge as distinct from the previous order banning Shaggy, by pointing to fresh violations when she returned to the courtroom with Shaggy a few weeks after the order was entered. Her affidavit included allegations that Judge MacCarthy dismissed Shaggy as "just a pet" and accused Gloria of not having a disability. This information was ostensibly offered to show that Gloria suffered a series of violations, and the order was simply incidental to them. But even if we could consider the affidavit, it also states that the judge expressed anger because she did not </w:t>
      </w:r>
      <w:r>
        <w:rPr>
          <w:rFonts w:ascii="Arial" w:eastAsia="Arial" w:hAnsi="Arial" w:cs="Arial"/>
          <w:i/>
          <w:color w:val="000000"/>
          <w:sz w:val="20"/>
        </w:rPr>
        <w:t>follow</w:t>
      </w:r>
      <w:r>
        <w:rPr>
          <w:rFonts w:ascii="Arial" w:eastAsia="Arial" w:hAnsi="Arial" w:cs="Arial"/>
          <w:color w:val="000000"/>
          <w:sz w:val="20"/>
        </w:rPr>
        <w:t xml:space="preserve"> the previous order, which only reinforces the conclusion that the initial order was a direct result of the judge's preliminary inquiry and subsequent ban. In sum, to provide any relief in response to the harm stemming from Judge MacCarthy's acts, her court order banning Shaggy would need to be set aside. The proper way to challenge the court order [**15]  was through state court avenues.</w:t>
      </w:r>
    </w:p>
    <w:p w14:paraId="032404FA" w14:textId="77777777" w:rsidR="002D0E71" w:rsidRDefault="00000000">
      <w:pPr>
        <w:pStyle w:val="Normal2"/>
        <w:widowControl w:val="0"/>
        <w:spacing w:before="200" w:line="260" w:lineRule="atLeast"/>
        <w:jc w:val="both"/>
      </w:pPr>
      <w:bookmarkStart w:id="311" w:name="Bookmark_para_18_0"/>
      <w:bookmarkStart w:id="312" w:name="Bookmark_I0BF1K0NWMP000RGTFY003TG"/>
      <w:bookmarkStart w:id="313" w:name="Bookmark_I5KX2P962HM6H90010000400"/>
      <w:bookmarkStart w:id="314" w:name="Bookmark_LNHNREFclscc9"/>
      <w:bookmarkEnd w:id="311"/>
      <w:bookmarkEnd w:id="312"/>
      <w:bookmarkEnd w:id="313"/>
      <w:bookmarkEnd w:id="314"/>
      <w:r>
        <w:rPr>
          <w:rFonts w:ascii="Arial" w:eastAsia="Arial" w:hAnsi="Arial" w:cs="Arial"/>
          <w:i/>
          <w:color w:val="000000"/>
          <w:sz w:val="20"/>
        </w:rPr>
        <w:t>Rooker-Feldman</w:t>
      </w:r>
      <w:r>
        <w:rPr>
          <w:rFonts w:ascii="Arial" w:eastAsia="Arial" w:hAnsi="Arial" w:cs="Arial"/>
          <w:color w:val="000000"/>
          <w:sz w:val="20"/>
        </w:rPr>
        <w:t xml:space="preserve"> will not always bar a litigant from bringing claims against a state court for denial of reasonable accommodations. If the Daley Center had a policy of banning service animals, Gloria's claim may have survived dismissal. </w:t>
      </w:r>
      <w:bookmarkStart w:id="315" w:name="Bookmark_I0BF1K0P590000RGTFY003TJ"/>
      <w:bookmarkStart w:id="316" w:name="Bookmark_I0BF1K0PDY8000RGTFY003TM"/>
      <w:bookmarkStart w:id="317" w:name="Bookmark_I5KX2P962HM6H90030000400"/>
      <w:bookmarkStart w:id="318" w:name="Bookmark_I5KX2P962HM6H90010000400_2"/>
      <w:bookmarkStart w:id="319" w:name="Bookmark_I5KX2P962SF81K0050000400"/>
      <w:bookmarkEnd w:id="315"/>
      <w:bookmarkEnd w:id="316"/>
      <w:bookmarkEnd w:id="317"/>
      <w:bookmarkEnd w:id="318"/>
      <w:bookmarkEnd w:id="319"/>
      <w:r>
        <w:rPr>
          <w:rFonts w:ascii="Arial" w:eastAsia="Arial" w:hAnsi="Arial" w:cs="Arial"/>
          <w:i/>
          <w:color w:val="000000"/>
          <w:sz w:val="20"/>
        </w:rPr>
        <w:t>Lane</w:t>
      </w:r>
      <w:r>
        <w:rPr>
          <w:rFonts w:ascii="Arial" w:eastAsia="Arial" w:hAnsi="Arial" w:cs="Arial"/>
          <w:color w:val="000000"/>
          <w:sz w:val="20"/>
        </w:rPr>
        <w:t xml:space="preserve"> comes to mind as an example of an injury that occurred as a result of a litigant's participation in a judicial proceeding, but was not inextricably intertwined with it. But </w:t>
      </w:r>
      <w:bookmarkStart w:id="320" w:name="Bookmark_LNHNREFclscc10"/>
      <w:bookmarkEnd w:id="320"/>
      <w:r>
        <w:rPr>
          <w:rFonts w:ascii="Arial" w:eastAsia="Arial" w:hAnsi="Arial" w:cs="Arial"/>
          <w:color w:val="000000"/>
          <w:sz w:val="20"/>
        </w:rPr>
        <w:t xml:space="preserve">when as in this case the injury is executed through a court order, there is no conceivable way to redress the wrong without overturning the order of a state court. </w:t>
      </w:r>
      <w:bookmarkStart w:id="321" w:name="Bookmark_I5KX2P962HM6H90030000400_2"/>
      <w:bookmarkStart w:id="322" w:name="Bookmark_I5KX2P962HM6H90020000400"/>
      <w:bookmarkEnd w:id="321"/>
      <w:bookmarkEnd w:id="322"/>
      <w:r>
        <w:rPr>
          <w:rFonts w:ascii="Arial" w:eastAsia="Arial" w:hAnsi="Arial" w:cs="Arial"/>
          <w:i/>
          <w:color w:val="000000"/>
          <w:sz w:val="20"/>
        </w:rPr>
        <w:t xml:space="preserve">Rooker - </w:t>
      </w:r>
      <w:bookmarkStart w:id="323" w:name="Bookmark_I5KX2P962HM6H90040000400"/>
      <w:bookmarkEnd w:id="323"/>
      <w:r>
        <w:rPr>
          <w:rFonts w:ascii="Arial" w:eastAsia="Arial" w:hAnsi="Arial" w:cs="Arial"/>
          <w:i/>
          <w:color w:val="000000"/>
          <w:sz w:val="20"/>
        </w:rPr>
        <w:t>Feldman</w:t>
      </w:r>
      <w:r>
        <w:rPr>
          <w:rFonts w:ascii="Arial" w:eastAsia="Arial" w:hAnsi="Arial" w:cs="Arial"/>
          <w:color w:val="000000"/>
          <w:sz w:val="20"/>
        </w:rPr>
        <w:t xml:space="preserve"> does not permit such an outcome.</w:t>
      </w:r>
    </w:p>
    <w:p w14:paraId="17DF9A8D" w14:textId="77777777" w:rsidR="002D0E71" w:rsidRDefault="00000000">
      <w:pPr>
        <w:pStyle w:val="Normal2"/>
        <w:widowControl w:val="0"/>
        <w:spacing w:before="240" w:line="260" w:lineRule="atLeast"/>
      </w:pPr>
      <w:r>
        <w:br/>
      </w:r>
      <w:r>
        <w:rPr>
          <w:rFonts w:ascii="Arial" w:eastAsia="Arial" w:hAnsi="Arial" w:cs="Arial"/>
          <w:b/>
          <w:color w:val="000000"/>
          <w:sz w:val="20"/>
        </w:rPr>
        <w:t>III. CONCLUSION</w:t>
      </w:r>
    </w:p>
    <w:p w14:paraId="7838E1BF" w14:textId="77777777" w:rsidR="002D0E71" w:rsidRDefault="00000000">
      <w:pPr>
        <w:pStyle w:val="Normal2"/>
        <w:widowControl w:val="0"/>
        <w:spacing w:before="200" w:line="260" w:lineRule="atLeast"/>
        <w:jc w:val="both"/>
      </w:pPr>
      <w:bookmarkStart w:id="324" w:name="Bookmark_para_19_0"/>
      <w:bookmarkEnd w:id="324"/>
      <w:r>
        <w:rPr>
          <w:rFonts w:ascii="Arial" w:eastAsia="Arial" w:hAnsi="Arial" w:cs="Arial"/>
          <w:color w:val="000000"/>
          <w:sz w:val="20"/>
        </w:rPr>
        <w:t>For the foregoing reasons, we AFFIRM the district court's dismissal for lack of subject matter jurisdiction.</w:t>
      </w:r>
    </w:p>
    <w:p w14:paraId="39395B04" w14:textId="77777777" w:rsidR="002D0E71" w:rsidRDefault="002D0E71">
      <w:pPr>
        <w:pStyle w:val="Normal2"/>
      </w:pPr>
    </w:p>
    <w:p w14:paraId="68658164" w14:textId="64A134E7" w:rsidR="002D0E71" w:rsidRDefault="00000000">
      <w:pPr>
        <w:pStyle w:val="Normal2"/>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63360" behindDoc="0" locked="0" layoutInCell="1" allowOverlap="1" wp14:anchorId="14B257FE" wp14:editId="5C708B69">
                <wp:simplePos x="0" y="0"/>
                <wp:positionH relativeFrom="column">
                  <wp:posOffset>0</wp:posOffset>
                </wp:positionH>
                <wp:positionV relativeFrom="paragraph">
                  <wp:posOffset>127000</wp:posOffset>
                </wp:positionV>
                <wp:extent cx="6502400" cy="0"/>
                <wp:effectExtent l="9525" t="12700" r="12700" b="6350"/>
                <wp:wrapNone/>
                <wp:docPr id="63283125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9957C" id="Line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921CA79" w14:textId="77777777" w:rsidR="002D0E71" w:rsidRDefault="002D0E71">
      <w:pPr>
        <w:pStyle w:val="Normal3"/>
        <w:sectPr w:rsidR="002D0E71">
          <w:headerReference w:type="even" r:id="rId24"/>
          <w:headerReference w:type="default" r:id="rId25"/>
          <w:footerReference w:type="even" r:id="rId26"/>
          <w:footerReference w:type="default" r:id="rId27"/>
          <w:headerReference w:type="first" r:id="rId28"/>
          <w:footerReference w:type="first" r:id="rId29"/>
          <w:pgSz w:w="12240" w:h="15840"/>
          <w:pgMar w:top="840" w:right="1000" w:bottom="840" w:left="1000" w:header="400" w:footer="400" w:gutter="0"/>
          <w:cols w:space="720"/>
          <w:titlePg/>
        </w:sectPr>
      </w:pPr>
    </w:p>
    <w:p w14:paraId="40614213" w14:textId="77777777" w:rsidR="002D0E71" w:rsidRDefault="002D0E71">
      <w:pPr>
        <w:pStyle w:val="Normal3"/>
      </w:pPr>
    </w:p>
    <w:p w14:paraId="6E309CA1" w14:textId="77777777" w:rsidR="002D0E71" w:rsidRDefault="00000000">
      <w:pPr>
        <w:pStyle w:val="Heading12"/>
        <w:keepNext w:val="0"/>
        <w:widowControl w:val="0"/>
        <w:spacing w:after="200" w:line="340" w:lineRule="atLeast"/>
        <w:jc w:val="center"/>
      </w:pPr>
      <w:r>
        <w:rPr>
          <w:rFonts w:eastAsia="Arial"/>
          <w:color w:val="000000"/>
          <w:sz w:val="28"/>
        </w:rPr>
        <w:t>Miller v. Town of Wenham</w:t>
      </w:r>
    </w:p>
    <w:p w14:paraId="59F5C280" w14:textId="77777777" w:rsidR="002D0E71" w:rsidRDefault="00000000">
      <w:pPr>
        <w:pStyle w:val="Normal3"/>
        <w:widowControl w:val="0"/>
        <w:spacing w:before="120" w:line="260" w:lineRule="atLeast"/>
        <w:jc w:val="center"/>
      </w:pPr>
      <w:r>
        <w:rPr>
          <w:rFonts w:ascii="Arial" w:eastAsia="Arial" w:hAnsi="Arial" w:cs="Arial"/>
          <w:color w:val="000000"/>
          <w:sz w:val="20"/>
        </w:rPr>
        <w:t>United States Court of Appeals for the First Circuit</w:t>
      </w:r>
    </w:p>
    <w:p w14:paraId="443385A3" w14:textId="77777777" w:rsidR="002D0E71" w:rsidRDefault="00000000">
      <w:pPr>
        <w:pStyle w:val="Normal3"/>
        <w:widowControl w:val="0"/>
        <w:spacing w:before="120" w:line="260" w:lineRule="atLeast"/>
        <w:jc w:val="center"/>
      </w:pPr>
      <w:r>
        <w:rPr>
          <w:rFonts w:ascii="Arial" w:eastAsia="Arial" w:hAnsi="Arial" w:cs="Arial"/>
          <w:color w:val="000000"/>
          <w:sz w:val="20"/>
        </w:rPr>
        <w:t>August 10, 2016, Decided</w:t>
      </w:r>
    </w:p>
    <w:p w14:paraId="079A8F97" w14:textId="77777777" w:rsidR="002D0E71" w:rsidRDefault="00000000">
      <w:pPr>
        <w:pStyle w:val="Normal3"/>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15-2337</w:t>
      </w:r>
    </w:p>
    <w:p w14:paraId="4F83515F" w14:textId="77777777" w:rsidR="002D0E71" w:rsidRDefault="002D0E71">
      <w:pPr>
        <w:pStyle w:val="Normal3"/>
        <w:widowControl w:val="0"/>
        <w:spacing w:line="240" w:lineRule="atLeast"/>
        <w:jc w:val="both"/>
      </w:pPr>
      <w:bookmarkStart w:id="325" w:name="Bookmark_4"/>
      <w:bookmarkEnd w:id="325"/>
    </w:p>
    <w:p w14:paraId="7BD58838" w14:textId="77777777" w:rsidR="002D0E71" w:rsidRDefault="00000000">
      <w:pPr>
        <w:pStyle w:val="Normal3"/>
        <w:widowControl w:val="0"/>
        <w:spacing w:before="200" w:line="240" w:lineRule="atLeast"/>
      </w:pPr>
      <w:bookmarkStart w:id="326" w:name="Reporter_2"/>
      <w:bookmarkEnd w:id="326"/>
      <w:r>
        <w:rPr>
          <w:rFonts w:ascii="Arial" w:eastAsia="Arial" w:hAnsi="Arial" w:cs="Arial"/>
          <w:b/>
          <w:color w:val="000000"/>
          <w:sz w:val="18"/>
        </w:rPr>
        <w:t>Reporter</w:t>
      </w:r>
    </w:p>
    <w:p w14:paraId="49D7BCF6" w14:textId="77777777" w:rsidR="002D0E71" w:rsidRDefault="00000000">
      <w:pPr>
        <w:pStyle w:val="Normal3"/>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833 F.3d 46 *; 2016 U.S. App. LEXIS 14720 **</w:t>
      </w:r>
    </w:p>
    <w:p w14:paraId="74790381" w14:textId="77777777" w:rsidR="002D0E71" w:rsidRDefault="00000000">
      <w:pPr>
        <w:pStyle w:val="Normal3"/>
        <w:widowControl w:val="0"/>
        <w:spacing w:before="120" w:line="260" w:lineRule="atLeast"/>
      </w:pPr>
      <w:r>
        <w:rPr>
          <w:rFonts w:ascii="Arial" w:eastAsia="Arial" w:hAnsi="Arial" w:cs="Arial"/>
          <w:color w:val="000000"/>
          <w:sz w:val="20"/>
        </w:rPr>
        <w:t>LAWRENCE MILLER, Plaintiff, Appellant, v. TOWN OF WENHAM, Commonwealth of Massachusetts; JEREMY COFFEY, Member of the Zoning Board of Appeals - Town of Wenham; ANTHONY M. FEEHERRY, Member of the Zoning Board of Appeals - Town of Wenham; SHAUN HUTCHINSON, Member of the Zoning Board of Appeals - Town of Wenham; 110, INC., Defendants, Appellees.</w:t>
      </w:r>
    </w:p>
    <w:p w14:paraId="61885968" w14:textId="77777777" w:rsidR="002D0E71" w:rsidRDefault="00000000">
      <w:pPr>
        <w:pStyle w:val="Normal3"/>
        <w:widowControl w:val="0"/>
        <w:spacing w:before="240" w:line="260" w:lineRule="atLeast"/>
        <w:jc w:val="both"/>
      </w:pPr>
      <w:bookmarkStart w:id="327" w:name="Prior_History_2"/>
      <w:bookmarkEnd w:id="327"/>
      <w:r>
        <w:rPr>
          <w:rFonts w:ascii="Arial" w:eastAsia="Arial" w:hAnsi="Arial" w:cs="Arial"/>
          <w:b/>
          <w:color w:val="000000"/>
          <w:sz w:val="20"/>
        </w:rPr>
        <w:t>Prior History:</w:t>
      </w:r>
      <w:r>
        <w:rPr>
          <w:rFonts w:ascii="Arial" w:eastAsia="Arial" w:hAnsi="Arial" w:cs="Arial"/>
          <w:color w:val="000000"/>
          <w:sz w:val="20"/>
        </w:rPr>
        <w:t> </w:t>
      </w:r>
      <w:bookmarkStart w:id="328" w:name="Bookmark_para_1_2"/>
      <w:bookmarkEnd w:id="328"/>
      <w:r>
        <w:rPr>
          <w:rFonts w:ascii="Arial" w:eastAsia="Arial" w:hAnsi="Arial" w:cs="Arial"/>
          <w:color w:val="000000"/>
          <w:sz w:val="20"/>
        </w:rPr>
        <w:t> [**1] APPEAL FROM THE UNITED STATES DISTRICT COURT FOR THE DISTRICT OF MASSACHUSETTS. Hon. William G. Young, U.S. District Judge.</w:t>
      </w:r>
    </w:p>
    <w:p w14:paraId="46DADA33" w14:textId="77777777" w:rsidR="002D0E71" w:rsidRDefault="00000000">
      <w:pPr>
        <w:pStyle w:val="Normal3"/>
        <w:widowControl w:val="0"/>
        <w:spacing w:before="240" w:line="260" w:lineRule="atLeast"/>
      </w:pPr>
      <w:bookmarkStart w:id="329" w:name="Counsel_2"/>
      <w:bookmarkEnd w:id="329"/>
      <w:r>
        <w:rPr>
          <w:rFonts w:ascii="Arial" w:eastAsia="Arial" w:hAnsi="Arial" w:cs="Arial"/>
          <w:b/>
          <w:color w:val="000000"/>
          <w:sz w:val="20"/>
        </w:rPr>
        <w:t>Counsel:</w:t>
      </w:r>
      <w:r>
        <w:rPr>
          <w:rFonts w:ascii="Arial" w:eastAsia="Arial" w:hAnsi="Arial" w:cs="Arial"/>
          <w:color w:val="000000"/>
          <w:sz w:val="20"/>
        </w:rPr>
        <w:t> Benjamin B. Tymann, with whom Tymann LLC - Law &amp; Compliance was on brief, for appellant.</w:t>
      </w:r>
    </w:p>
    <w:p w14:paraId="54F1B430" w14:textId="77777777" w:rsidR="002D0E71" w:rsidRDefault="00000000">
      <w:pPr>
        <w:pStyle w:val="Normal3"/>
        <w:widowControl w:val="0"/>
        <w:spacing w:before="120" w:line="260" w:lineRule="atLeast"/>
      </w:pPr>
      <w:r>
        <w:rPr>
          <w:rFonts w:ascii="Arial" w:eastAsia="Arial" w:hAnsi="Arial" w:cs="Arial"/>
          <w:color w:val="000000"/>
          <w:sz w:val="20"/>
        </w:rPr>
        <w:t>Joseph A. Padolsky, with whom Douglas I. Louison and Louison, Costello, Condon &amp; Pfaff, LLP were on brief, for appellees Town of Wenham, Jeremy Coffey, Anthony M. Feeherry, and Shaun Hutchinson.</w:t>
      </w:r>
    </w:p>
    <w:p w14:paraId="579A7139" w14:textId="77777777" w:rsidR="002D0E71" w:rsidRDefault="00000000">
      <w:pPr>
        <w:pStyle w:val="Normal3"/>
        <w:widowControl w:val="0"/>
        <w:spacing w:before="240" w:line="260" w:lineRule="atLeast"/>
      </w:pPr>
      <w:bookmarkStart w:id="330" w:name="Judges_2"/>
      <w:bookmarkEnd w:id="330"/>
      <w:r>
        <w:rPr>
          <w:rFonts w:ascii="Arial" w:eastAsia="Arial" w:hAnsi="Arial" w:cs="Arial"/>
          <w:b/>
          <w:color w:val="000000"/>
          <w:sz w:val="20"/>
        </w:rPr>
        <w:t>Judges:</w:t>
      </w:r>
      <w:r>
        <w:rPr>
          <w:rFonts w:ascii="Arial" w:eastAsia="Arial" w:hAnsi="Arial" w:cs="Arial"/>
          <w:color w:val="000000"/>
          <w:sz w:val="20"/>
        </w:rPr>
        <w:t> Before Thompson, Selya, and Kayatta, Circuit Judges.</w:t>
      </w:r>
    </w:p>
    <w:p w14:paraId="5AF6851A" w14:textId="77777777" w:rsidR="002D0E71" w:rsidRDefault="00000000">
      <w:pPr>
        <w:pStyle w:val="Normal3"/>
        <w:widowControl w:val="0"/>
        <w:spacing w:before="240" w:line="260" w:lineRule="atLeast"/>
      </w:pPr>
      <w:bookmarkStart w:id="331" w:name="Opinion_by_1"/>
      <w:bookmarkEnd w:id="331"/>
      <w:r>
        <w:rPr>
          <w:rFonts w:ascii="Arial" w:eastAsia="Arial" w:hAnsi="Arial" w:cs="Arial"/>
          <w:b/>
          <w:color w:val="000000"/>
          <w:sz w:val="20"/>
        </w:rPr>
        <w:t>Opinion by:</w:t>
      </w:r>
      <w:r>
        <w:rPr>
          <w:rFonts w:ascii="Arial" w:eastAsia="Arial" w:hAnsi="Arial" w:cs="Arial"/>
          <w:color w:val="000000"/>
          <w:sz w:val="20"/>
        </w:rPr>
        <w:t> KAYATTA</w:t>
      </w:r>
    </w:p>
    <w:p w14:paraId="3E5D17C7" w14:textId="77777777" w:rsidR="002D0E71" w:rsidRDefault="00000000">
      <w:pPr>
        <w:pStyle w:val="Normal3"/>
        <w:keepNext/>
        <w:widowControl w:val="0"/>
        <w:spacing w:before="240" w:line="340" w:lineRule="atLeast"/>
      </w:pPr>
      <w:bookmarkStart w:id="332" w:name="Opinion_2"/>
      <w:bookmarkEnd w:id="332"/>
      <w:r>
        <w:rPr>
          <w:rFonts w:ascii="Arial" w:eastAsia="Arial" w:hAnsi="Arial" w:cs="Arial"/>
          <w:b/>
          <w:color w:val="000000"/>
          <w:sz w:val="28"/>
        </w:rPr>
        <w:t>Opinion</w:t>
      </w:r>
    </w:p>
    <w:p w14:paraId="14660543" w14:textId="22AD8F4E" w:rsidR="002D0E71" w:rsidRDefault="002939DF">
      <w:pPr>
        <w:pStyle w:val="Normal3"/>
        <w:spacing w:line="60" w:lineRule="exact"/>
      </w:pPr>
      <w:r>
        <w:rPr>
          <w:noProof/>
        </w:rPr>
        <mc:AlternateContent>
          <mc:Choice Requires="wps">
            <w:drawing>
              <wp:anchor distT="0" distB="0" distL="114300" distR="114300" simplePos="0" relativeHeight="251664384" behindDoc="0" locked="0" layoutInCell="1" allowOverlap="1" wp14:anchorId="18E65E87" wp14:editId="721B76E8">
                <wp:simplePos x="0" y="0"/>
                <wp:positionH relativeFrom="column">
                  <wp:posOffset>0</wp:posOffset>
                </wp:positionH>
                <wp:positionV relativeFrom="paragraph">
                  <wp:posOffset>25400</wp:posOffset>
                </wp:positionV>
                <wp:extent cx="3187700" cy="0"/>
                <wp:effectExtent l="19050" t="15875" r="12700" b="12700"/>
                <wp:wrapTopAndBottom/>
                <wp:docPr id="27799517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C93A45" id="Line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28E49842" w14:textId="77777777" w:rsidR="002D0E71" w:rsidRDefault="002D0E71">
      <w:pPr>
        <w:pStyle w:val="Normal3"/>
      </w:pPr>
    </w:p>
    <w:p w14:paraId="64B1E94D" w14:textId="77777777" w:rsidR="002D0E71" w:rsidRDefault="00000000">
      <w:pPr>
        <w:pStyle w:val="Normal3"/>
        <w:widowControl w:val="0"/>
        <w:spacing w:before="200" w:line="260" w:lineRule="atLeast"/>
        <w:jc w:val="both"/>
      </w:pPr>
      <w:bookmarkStart w:id="333" w:name="Bookmark_para_2_2"/>
      <w:bookmarkEnd w:id="333"/>
      <w:r>
        <w:rPr>
          <w:rFonts w:ascii="Arial" w:eastAsia="Arial" w:hAnsi="Arial" w:cs="Arial"/>
          <w:color w:val="000000"/>
          <w:sz w:val="20"/>
        </w:rPr>
        <w:t xml:space="preserve"> [*48]  </w:t>
      </w:r>
      <w:r>
        <w:rPr>
          <w:rFonts w:ascii="Arial" w:eastAsia="Arial" w:hAnsi="Arial" w:cs="Arial"/>
          <w:b/>
          <w:color w:val="000000"/>
          <w:sz w:val="20"/>
        </w:rPr>
        <w:t xml:space="preserve">KAYATTA, </w:t>
      </w:r>
      <w:r>
        <w:rPr>
          <w:rFonts w:ascii="Arial" w:eastAsia="Arial" w:hAnsi="Arial" w:cs="Arial"/>
          <w:b/>
          <w:color w:val="000000"/>
          <w:sz w:val="20"/>
          <w:u w:val="single"/>
        </w:rPr>
        <w:t>Circuit Judge</w:t>
      </w:r>
      <w:r>
        <w:rPr>
          <w:rFonts w:ascii="Arial" w:eastAsia="Arial" w:hAnsi="Arial" w:cs="Arial"/>
          <w:color w:val="000000"/>
          <w:sz w:val="20"/>
        </w:rPr>
        <w:t>. Plaintiff Lawrence Miller challenges under both state and federal law the manner in which the Town of Wenham, Massachusetts (the "Town") has chosen not to prohibit a company named 110, Inc. from operating a substance abuse treatment facility on land that abuts Miller's residence. After Miller filed this lawsuit in Massachusetts Superior Court, the defendants removed it to federal court, and then moved to dismiss Miller's complaint under Federal Rule of Civil Procedure 12(b)(6). The district court determined that the complaint failed to state a claim under 42 U.S.C. § 1983 for the deprivation of property without due process. The court also dismissed one state law claim as moot, and remanded a remaining state law claim to state court. For the following reasons, [**2]  we affirm the dismissal of the federal claim, vacate the determination that one state law claim is moot, and otherwise affirm the remand of the remaining state law claim to state court.</w:t>
      </w:r>
    </w:p>
    <w:p w14:paraId="18501A33" w14:textId="77777777" w:rsidR="002D0E71" w:rsidRDefault="00000000">
      <w:pPr>
        <w:pStyle w:val="Normal3"/>
        <w:widowControl w:val="0"/>
        <w:spacing w:before="240" w:line="260" w:lineRule="atLeast"/>
      </w:pPr>
      <w:r>
        <w:br/>
      </w:r>
      <w:r>
        <w:rPr>
          <w:rFonts w:ascii="Arial" w:eastAsia="Arial" w:hAnsi="Arial" w:cs="Arial"/>
          <w:b/>
          <w:color w:val="000000"/>
          <w:sz w:val="20"/>
        </w:rPr>
        <w:t>I. Background</w:t>
      </w:r>
    </w:p>
    <w:p w14:paraId="5409C73B" w14:textId="77777777" w:rsidR="002D0E71" w:rsidRDefault="00000000">
      <w:pPr>
        <w:pStyle w:val="Normal3"/>
        <w:widowControl w:val="0"/>
        <w:spacing w:before="200" w:line="260" w:lineRule="atLeast"/>
        <w:jc w:val="both"/>
      </w:pPr>
      <w:bookmarkStart w:id="334" w:name="Bookmark_para_3_2"/>
      <w:bookmarkStart w:id="335" w:name="Bookmark_I5KMKHKB28T50W0020000400"/>
      <w:bookmarkStart w:id="336" w:name="Bookmark_LNHNREFclscc1_1"/>
      <w:bookmarkEnd w:id="334"/>
      <w:bookmarkEnd w:id="335"/>
      <w:bookmarkEnd w:id="336"/>
      <w:r>
        <w:rPr>
          <w:rFonts w:ascii="Arial" w:eastAsia="Arial" w:hAnsi="Arial" w:cs="Arial"/>
          <w:color w:val="000000"/>
          <w:sz w:val="20"/>
        </w:rPr>
        <w:t xml:space="preserve">Because this appeal is from a decision granting a motion to dismiss, we take as true the well-pleaded allegations as they appear in the complaint. </w:t>
      </w:r>
      <w:bookmarkStart w:id="337" w:name="Bookmark_I5KMKHKB28T50W0010000400"/>
      <w:bookmarkEnd w:id="337"/>
      <w:r>
        <w:rPr>
          <w:rFonts w:ascii="Arial" w:eastAsia="Arial" w:hAnsi="Arial" w:cs="Arial"/>
          <w:color w:val="000000"/>
          <w:sz w:val="20"/>
          <w:u w:val="single"/>
        </w:rPr>
        <w:t>Guerra-Delgado v. Popular, Inc.</w:t>
      </w:r>
      <w:r>
        <w:rPr>
          <w:rFonts w:ascii="Arial" w:eastAsia="Arial" w:hAnsi="Arial" w:cs="Arial"/>
          <w:color w:val="000000"/>
          <w:sz w:val="20"/>
        </w:rPr>
        <w:t>, 774 F.3d 776, 780 (1st Cir. 2014).</w:t>
      </w:r>
    </w:p>
    <w:p w14:paraId="162CFED3" w14:textId="77777777" w:rsidR="002D0E71" w:rsidRDefault="00000000">
      <w:pPr>
        <w:pStyle w:val="Normal3"/>
        <w:widowControl w:val="0"/>
        <w:spacing w:before="200" w:line="260" w:lineRule="atLeast"/>
        <w:jc w:val="both"/>
      </w:pPr>
      <w:bookmarkStart w:id="338" w:name="Bookmark_para_4_2"/>
      <w:bookmarkEnd w:id="338"/>
      <w:r>
        <w:rPr>
          <w:rFonts w:ascii="Arial" w:eastAsia="Arial" w:hAnsi="Arial" w:cs="Arial"/>
          <w:color w:val="000000"/>
          <w:sz w:val="20"/>
        </w:rPr>
        <w:t>Miller resides at 66 Topsfield Road in the Town of Wenham. His property abuts property used by 110, Inc. On that abutting property sits a single-family home with a carriage house. Both properties are located within the Town's Residential District. According to Miller, under the Town's zoning by-laws, commercial facilities, multi-family housing, and lodging houses are not allowed, either by right or special permit, in the Residential District.</w:t>
      </w:r>
    </w:p>
    <w:p w14:paraId="573896B4" w14:textId="77777777" w:rsidR="002D0E71" w:rsidRDefault="00000000">
      <w:pPr>
        <w:pStyle w:val="Normal3"/>
        <w:widowControl w:val="0"/>
        <w:spacing w:before="200" w:line="260" w:lineRule="atLeast"/>
        <w:jc w:val="both"/>
      </w:pPr>
      <w:bookmarkStart w:id="339" w:name="Bookmark_para_5_2"/>
      <w:bookmarkEnd w:id="339"/>
      <w:r>
        <w:rPr>
          <w:rFonts w:ascii="Arial" w:eastAsia="Arial" w:hAnsi="Arial" w:cs="Arial"/>
          <w:color w:val="000000"/>
          <w:sz w:val="20"/>
        </w:rPr>
        <w:t>In the fall of 2013, 110, Inc. approached the Town Administrator and the Town Planner about opening a substance abuse treatment facility on the abutting property. 110, Inc. argued that it did not need to secure a special permit, variance, or any other discretionary approval from the Town to operate such a facility on the abutting property. Rather, it contended that its proposed use of the abutting property [**3]  would be by right under the so-called Dover Amendment, Mass. Gen. Laws ch. 40A, § 3, ¶ 2, which provides preferential zoning treatment to religious and educational uses of land. 110, Inc. claimed that its proposed land use fell under the educational category and that it was, therefore, exempt from any Town board permitting process.</w:t>
      </w:r>
    </w:p>
    <w:p w14:paraId="30FA5E1E" w14:textId="77777777" w:rsidR="002D0E71" w:rsidRDefault="00000000">
      <w:pPr>
        <w:pStyle w:val="Normal3"/>
        <w:widowControl w:val="0"/>
        <w:spacing w:before="200" w:line="260" w:lineRule="atLeast"/>
        <w:jc w:val="both"/>
      </w:pPr>
      <w:bookmarkStart w:id="340" w:name="Bookmark_para_6_2"/>
      <w:bookmarkEnd w:id="340"/>
      <w:r>
        <w:rPr>
          <w:rFonts w:ascii="Arial" w:eastAsia="Arial" w:hAnsi="Arial" w:cs="Arial"/>
          <w:color w:val="000000"/>
          <w:sz w:val="20"/>
        </w:rPr>
        <w:t>On November 17, 2013, the Town's lawyer informed the Town Administrator that he had accepted 110, Inc.'s assertion that the Dover Amendment applied to 110, Inc.'s proposed land use. Soon thereafter, a Town official informed 110, Inc. that it could open for business. The Town officials reached this decision without holding a public hearing and without informing Miller or any other Town resident.</w:t>
      </w:r>
    </w:p>
    <w:p w14:paraId="0FF97FDD" w14:textId="77777777" w:rsidR="002D0E71" w:rsidRDefault="00000000">
      <w:pPr>
        <w:pStyle w:val="Normal3"/>
        <w:widowControl w:val="0"/>
        <w:spacing w:before="200" w:line="260" w:lineRule="atLeast"/>
        <w:jc w:val="both"/>
      </w:pPr>
      <w:bookmarkStart w:id="341" w:name="Bookmark_para_7_2"/>
      <w:bookmarkEnd w:id="341"/>
      <w:r>
        <w:rPr>
          <w:rFonts w:ascii="Arial" w:eastAsia="Arial" w:hAnsi="Arial" w:cs="Arial"/>
          <w:color w:val="000000"/>
          <w:sz w:val="20"/>
        </w:rPr>
        <w:t>At the end of April 2014, Miller observed that 110, Inc. was operating a substance abuse treatment facility named Cross Keys Retreat next door to his residence. Miller promptly filed with the Town's Building Inspector (who was also the Town's Zoning Enforcement Officer) a Request for Zoning Enforcement pursuant to Mass. Gen. Laws. ch. 40A, § 7, ¶ 1. Miller's request stated that the treatment facility was operating as a commercial operation that housed up to fourteen people at a time, and was therefore not compliant with the Town's zoning by-laws that [**4]  restricted such land use in the Residential  [*49]  District. Miller supported his request with legal memoranda and other documentation arguing that the facility was not covered under the Dover Amendment and, even if it were, that it was still subject to reasonable restrictions that could be imposed by the Town after a public hearing. At bottom, Miller argued that the Town's unilateral, non-public approval of 110, Inc.'s use was unlawful.</w:t>
      </w:r>
    </w:p>
    <w:p w14:paraId="71AB0864" w14:textId="77777777" w:rsidR="002D0E71" w:rsidRDefault="00000000">
      <w:pPr>
        <w:pStyle w:val="Normal3"/>
        <w:widowControl w:val="0"/>
        <w:spacing w:before="200" w:line="260" w:lineRule="atLeast"/>
        <w:jc w:val="both"/>
      </w:pPr>
      <w:bookmarkStart w:id="342" w:name="Bookmark_para_8_2"/>
      <w:bookmarkEnd w:id="342"/>
      <w:r>
        <w:rPr>
          <w:rFonts w:ascii="Arial" w:eastAsia="Arial" w:hAnsi="Arial" w:cs="Arial"/>
          <w:color w:val="000000"/>
          <w:sz w:val="20"/>
        </w:rPr>
        <w:t>On June 5, 2014, the Building Inspector held a public meeting to give interested parties an opportunity to be heard on the question of whether 110, Inc.'s operation was protected under the Dover Amendment. On July 2, 2014, after considering the oral statements and written submissions made by counsel for 110, Inc., Miller, and members of the public, the Building Inspector granted Miller's request to enforce the zoning ordinance against 110, Inc., finding that the facility was not an "educational use" under the Dover Amendment or otherwise permitted by that statute or the Town's zoning by-laws. The Building Inspector therefore ordered the facility to cease operations, but stayed the order to allow 110, Inc. to appeal the decision to the Town's Zoning Board of Appeals ("ZBA").</w:t>
      </w:r>
    </w:p>
    <w:p w14:paraId="496DCCA1" w14:textId="77777777" w:rsidR="002D0E71" w:rsidRDefault="00000000">
      <w:pPr>
        <w:pStyle w:val="Normal3"/>
        <w:widowControl w:val="0"/>
        <w:spacing w:before="200" w:line="260" w:lineRule="atLeast"/>
        <w:jc w:val="both"/>
      </w:pPr>
      <w:bookmarkStart w:id="343" w:name="Bookmark_para_9_2"/>
      <w:bookmarkEnd w:id="343"/>
      <w:r>
        <w:rPr>
          <w:rFonts w:ascii="Arial" w:eastAsia="Arial" w:hAnsi="Arial" w:cs="Arial"/>
          <w:color w:val="000000"/>
          <w:sz w:val="20"/>
        </w:rPr>
        <w:t xml:space="preserve">110, Inc. responded by first filing a complaint [**5]  in the U.S. District Court for the District of Massachusetts. In its complaint, 110, Inc. alleged that the Town, in addition to violating the Dover Amendment, had illegally discriminated against the facility's residents under the Federal Fair Housing Act ("FHA"), 42 U.S.C. § 3601 </w:t>
      </w:r>
      <w:r>
        <w:rPr>
          <w:rFonts w:ascii="Arial" w:eastAsia="Arial" w:hAnsi="Arial" w:cs="Arial"/>
          <w:color w:val="000000"/>
          <w:sz w:val="20"/>
          <w:u w:val="single"/>
        </w:rPr>
        <w:t>et seq.</w:t>
      </w:r>
      <w:r>
        <w:rPr>
          <w:rFonts w:ascii="Arial" w:eastAsia="Arial" w:hAnsi="Arial" w:cs="Arial"/>
          <w:color w:val="000000"/>
          <w:sz w:val="20"/>
        </w:rPr>
        <w:t xml:space="preserve">; the Americans with Disabilities Act ("ADA"), </w:t>
      </w:r>
      <w:r>
        <w:rPr>
          <w:rFonts w:ascii="Arial" w:eastAsia="Arial" w:hAnsi="Arial" w:cs="Arial"/>
          <w:color w:val="000000"/>
          <w:sz w:val="20"/>
          <w:u w:val="single"/>
        </w:rPr>
        <w:t>id.</w:t>
      </w:r>
      <w:r>
        <w:rPr>
          <w:rFonts w:ascii="Arial" w:eastAsia="Arial" w:hAnsi="Arial" w:cs="Arial"/>
          <w:color w:val="000000"/>
          <w:sz w:val="20"/>
        </w:rPr>
        <w:t xml:space="preserve"> § 12101 </w:t>
      </w:r>
      <w:r>
        <w:rPr>
          <w:rFonts w:ascii="Arial" w:eastAsia="Arial" w:hAnsi="Arial" w:cs="Arial"/>
          <w:color w:val="000000"/>
          <w:sz w:val="20"/>
          <w:u w:val="single"/>
        </w:rPr>
        <w:t>et seq.</w:t>
      </w:r>
      <w:r>
        <w:rPr>
          <w:rFonts w:ascii="Arial" w:eastAsia="Arial" w:hAnsi="Arial" w:cs="Arial"/>
          <w:color w:val="000000"/>
          <w:sz w:val="20"/>
        </w:rPr>
        <w:t xml:space="preserve">; and Chapter 40A, section 3, of the Massachusetts General Laws. Compl. at 6-8, </w:t>
      </w:r>
      <w:r>
        <w:rPr>
          <w:rFonts w:ascii="Arial" w:eastAsia="Arial" w:hAnsi="Arial" w:cs="Arial"/>
          <w:color w:val="000000"/>
          <w:sz w:val="20"/>
          <w:u w:val="single"/>
        </w:rPr>
        <w:t>110, Inc. v. Town of Wenham</w:t>
      </w:r>
      <w:r>
        <w:rPr>
          <w:rFonts w:ascii="Arial" w:eastAsia="Arial" w:hAnsi="Arial" w:cs="Arial"/>
          <w:color w:val="000000"/>
          <w:sz w:val="20"/>
        </w:rPr>
        <w:t xml:space="preserve">, No. 14-cv-13013 (D. Mass. July 16, 2014), ECF No. 1. In addition to seeking compensatory, declaratory, and punitive damages and relief, 110, Inc. also filed an "emergency motion" seeking an injunction barring the Town from interfering with 110, Inc.'s operation of the facility and enjoining the Town from requiring it to appeal the Building Inspector's decision to the ZBA. Motion for Emergency Injunctive Relief at 2, </w:t>
      </w:r>
      <w:r>
        <w:rPr>
          <w:rFonts w:ascii="Arial" w:eastAsia="Arial" w:hAnsi="Arial" w:cs="Arial"/>
          <w:color w:val="000000"/>
          <w:sz w:val="20"/>
          <w:u w:val="single"/>
        </w:rPr>
        <w:t>110, Inc. v. Town of Wenham</w:t>
      </w:r>
      <w:r>
        <w:rPr>
          <w:rFonts w:ascii="Arial" w:eastAsia="Arial" w:hAnsi="Arial" w:cs="Arial"/>
          <w:color w:val="000000"/>
          <w:sz w:val="20"/>
        </w:rPr>
        <w:t>, No. 14-cv-13013 (D. Mass. July 16, 2014), ECF No. 3.</w:t>
      </w:r>
    </w:p>
    <w:p w14:paraId="14501056" w14:textId="77777777" w:rsidR="002D0E71" w:rsidRDefault="00000000">
      <w:pPr>
        <w:pStyle w:val="Normal3"/>
        <w:widowControl w:val="0"/>
        <w:spacing w:before="200" w:line="260" w:lineRule="atLeast"/>
        <w:jc w:val="both"/>
      </w:pPr>
      <w:bookmarkStart w:id="344" w:name="Bookmark_para_10_2"/>
      <w:bookmarkEnd w:id="344"/>
      <w:r>
        <w:rPr>
          <w:rFonts w:ascii="Arial" w:eastAsia="Arial" w:hAnsi="Arial" w:cs="Arial"/>
          <w:color w:val="000000"/>
          <w:sz w:val="20"/>
        </w:rPr>
        <w:t>On July 29, 2014, the district court held a hearing in 110, Inc.'s case against the Town on the emergency motion and decided to hold an expedited trial on the merits of 110, Inc.'s claims, which it set for September 3, 2014. A few days later, on August 1, 2014, 110, Inc. appealed the Building Inspector's [**6]  decision to the ZBA. After holding a public hearing and considering numerous written submissions, the ZBA denied 110, Inc.'s appeal on September 3, 2014, agreeing with the Building Inspector that 110, Inc.'s use of the facility did not qualify as an "educational use" under the Dover Amendment.</w:t>
      </w:r>
    </w:p>
    <w:p w14:paraId="5E8F7088" w14:textId="77777777" w:rsidR="002D0E71" w:rsidRDefault="00000000">
      <w:pPr>
        <w:pStyle w:val="Normal3"/>
        <w:widowControl w:val="0"/>
        <w:spacing w:before="200" w:line="260" w:lineRule="atLeast"/>
        <w:jc w:val="both"/>
      </w:pPr>
      <w:bookmarkStart w:id="345" w:name="Bookmark_para_11_2"/>
      <w:bookmarkEnd w:id="345"/>
      <w:r>
        <w:rPr>
          <w:rFonts w:ascii="Arial" w:eastAsia="Arial" w:hAnsi="Arial" w:cs="Arial"/>
          <w:color w:val="000000"/>
          <w:sz w:val="20"/>
        </w:rPr>
        <w:t>At the request of the parties in 110, Inc.'s case against the Town, the court continued the September 3 trial date to the end of September. During this time, the Town and 110, Inc. entered into settlement discussions. On September 5, 110, Inc.'s counsel submitted a written request to both the Town Administrator and Building Inspector requesting a "reasonable accommodation" under the ADA and FHA. This request set no limitations on 110, Inc.'s proposed use of the property as a substance abuse treatment facility, except that it capped at fourteen the number of clients for whom 110, Inc. could provide services at any one time.</w:t>
      </w:r>
    </w:p>
    <w:p w14:paraId="3FDD0193" w14:textId="77777777" w:rsidR="002D0E71" w:rsidRDefault="00000000">
      <w:pPr>
        <w:pStyle w:val="Normal3"/>
        <w:widowControl w:val="0"/>
        <w:spacing w:before="200" w:line="260" w:lineRule="atLeast"/>
        <w:jc w:val="both"/>
      </w:pPr>
      <w:bookmarkStart w:id="346" w:name="Bookmark_para_12_2"/>
      <w:bookmarkEnd w:id="346"/>
      <w:r>
        <w:rPr>
          <w:rFonts w:ascii="Arial" w:eastAsia="Arial" w:hAnsi="Arial" w:cs="Arial"/>
          <w:color w:val="000000"/>
          <w:sz w:val="20"/>
        </w:rPr>
        <w:t>A few days later, on September 9, counsel for an investor in 110, Inc., who held title to the parcel on which the company operated, sent a demand letter to the Town Administrator, Town Counsel, and Special Town Counsel, claiming that the  [*50]  decisions by the Building Inspector and the ZBA had caused [**7]  him financial loss and threatening to bring a separate lawsuit against the Town if it did not allow the facility to continue its operations. On September 11, the Town relented, and the Building Inspector signed 110, Inc.'s "reasonable accommodation" request. This act, Miller alleges, was done on the advice of the Town's lawyers for the purpose of resolving the ongoing federal litigation brought by 110, Inc. and to avoid the further litigation that had been threatened by the owner of the abutting property. Neither the Town's receipt of 110, Inc.'s "reasonable accommodation" request nor the Building Inspector's decision to sign it were disclosed at the time to Miller or any member of the public.</w:t>
      </w:r>
    </w:p>
    <w:p w14:paraId="1C923B06" w14:textId="77777777" w:rsidR="002D0E71" w:rsidRDefault="00000000">
      <w:pPr>
        <w:pStyle w:val="Normal3"/>
        <w:widowControl w:val="0"/>
        <w:spacing w:before="200" w:line="260" w:lineRule="atLeast"/>
        <w:jc w:val="both"/>
      </w:pPr>
      <w:bookmarkStart w:id="347" w:name="Bookmark_para_13_2"/>
      <w:bookmarkEnd w:id="347"/>
      <w:r>
        <w:rPr>
          <w:rFonts w:ascii="Arial" w:eastAsia="Arial" w:hAnsi="Arial" w:cs="Arial"/>
          <w:color w:val="000000"/>
          <w:sz w:val="20"/>
        </w:rPr>
        <w:t>Soon thereafter, on September 26, the Town and 110, Inc. entered into a Settlement Agreement resolving 110, Inc.'s lawsuit against the Town. The terms of the Agreement included (1) a $125,000 payment from the Town to 110, Inc., (2) an agreement that by virtue of a "reasonable accommodation" 110, Inc. could continue operating the facility in accordance with the limitations set forth in its September 5 request for a "reasonable accommodation," (3) an agreement that the abutting property "is exempt [**8]  from any zoning restrictions that would interfere with" the services provided by the facility, (4) a promise from the Town that it would not "obstruct or impede in any way" the facility's operations, and (5) the withdrawal of the Building Inspector's Dover Amendment decision and an agreement that 110, Inc. could pursue Dover Amendment approval in the future. In the Agreement, the parties also agreed that 110, Inc. would withdraw its appeal of the Building Inspector's Dover Amendment order and that the matter before the ZBA "is hereby dismissed." At this time, neither Miller nor any member of the public was informed of the Settlement Agreement, but they did learn that the Building Inspector had recently acceded to 110, Inc.'s position that the ADA and FHA called for accommodating 110, Inc.'s use under the zoning laws.</w:t>
      </w:r>
    </w:p>
    <w:p w14:paraId="30EF07C2" w14:textId="77777777" w:rsidR="002D0E71" w:rsidRDefault="00000000">
      <w:pPr>
        <w:pStyle w:val="Normal3"/>
        <w:widowControl w:val="0"/>
        <w:spacing w:before="200" w:line="260" w:lineRule="atLeast"/>
        <w:jc w:val="both"/>
      </w:pPr>
      <w:bookmarkStart w:id="348" w:name="Bookmark_para_14_2"/>
      <w:bookmarkEnd w:id="348"/>
      <w:r>
        <w:rPr>
          <w:rFonts w:ascii="Arial" w:eastAsia="Arial" w:hAnsi="Arial" w:cs="Arial"/>
          <w:color w:val="000000"/>
          <w:sz w:val="20"/>
        </w:rPr>
        <w:t>On October 10, Miller and another neighbor filed their own appeal to the ZBA, challenging the new position of the Building Inspector that 110, Inc.'s unrestricted use of the property was allowed as a reasonable accommodation under the FHA. On October 20, unaware of the provision in the Settlement Agreement that the Building Inspector's July 2 Dover Amendment decision be withdrawn and 110, Inc.'s appeal of that decision to the ZBA be dismissed, the ZBA filed its written [**9]  decision affirming the Building Inspector's decision to reject 110, Inc.'s claim of use by right under the Dover Amendment.</w:t>
      </w:r>
    </w:p>
    <w:p w14:paraId="5D096841" w14:textId="77777777" w:rsidR="002D0E71" w:rsidRDefault="00000000">
      <w:pPr>
        <w:pStyle w:val="Normal3"/>
        <w:widowControl w:val="0"/>
        <w:spacing w:before="200" w:line="260" w:lineRule="atLeast"/>
        <w:jc w:val="both"/>
      </w:pPr>
      <w:bookmarkStart w:id="349" w:name="Bookmark_para_15_2"/>
      <w:bookmarkEnd w:id="349"/>
      <w:r>
        <w:rPr>
          <w:rFonts w:ascii="Arial" w:eastAsia="Arial" w:hAnsi="Arial" w:cs="Arial"/>
          <w:color w:val="000000"/>
          <w:sz w:val="20"/>
        </w:rPr>
        <w:t>Just over two weeks later, Miller learned of the existence of the Settlement Agreement after his counsel reviewed public records that the Town produced on November 6, 2014. In those records, the Town also disclosed a memo sent by the Building Inspector on October 23, 2014, to 110, Inc., Town Counsel, and a ZBA member, in which the Building Inspector stated that the Town's Board of Selectmen had ratified the Settlement Agreement on October 7, 2014. This ratification had not been publicly disclosed prior to November 6.</w:t>
      </w:r>
    </w:p>
    <w:p w14:paraId="4CF16A17" w14:textId="77777777" w:rsidR="002D0E71" w:rsidRDefault="00000000">
      <w:pPr>
        <w:pStyle w:val="Normal3"/>
        <w:widowControl w:val="0"/>
        <w:spacing w:before="200" w:line="260" w:lineRule="atLeast"/>
        <w:jc w:val="both"/>
      </w:pPr>
      <w:bookmarkStart w:id="350" w:name="Bookmark_para_16_2"/>
      <w:bookmarkEnd w:id="350"/>
      <w:r>
        <w:rPr>
          <w:rFonts w:ascii="Arial" w:eastAsia="Arial" w:hAnsi="Arial" w:cs="Arial"/>
          <w:color w:val="000000"/>
          <w:sz w:val="20"/>
        </w:rPr>
        <w:t>After holding several days of hearings and considering written submissions on Miller's challenge to the Building Inspector's acquiescence to 110, Inc.'s position under the FHA, and after learning of the Settlement Agreement, the ZBA ultimately upheld the Building Inspector's grant of a reasonable accommodation to 110, Inc., albeit with certain limitations and requirements on the facility's operation. These limitations and requirements concerned aspects  [*51]  of the facility's operation such as the facility's admission criteria, security measures, hours of outdoor operations, [**10]  screening and fencing plan, noise reduction plan, signage and parking, outdoor lighting, and liability insurance.</w:t>
      </w:r>
    </w:p>
    <w:p w14:paraId="647FE472" w14:textId="77777777" w:rsidR="002D0E71" w:rsidRDefault="00000000">
      <w:pPr>
        <w:pStyle w:val="Normal3"/>
        <w:widowControl w:val="0"/>
        <w:spacing w:before="200" w:line="260" w:lineRule="atLeast"/>
        <w:jc w:val="both"/>
      </w:pPr>
      <w:bookmarkStart w:id="351" w:name="Bookmark_para_17_1"/>
      <w:bookmarkEnd w:id="351"/>
      <w:r>
        <w:rPr>
          <w:rFonts w:ascii="Arial" w:eastAsia="Arial" w:hAnsi="Arial" w:cs="Arial"/>
          <w:color w:val="000000"/>
          <w:sz w:val="20"/>
        </w:rPr>
        <w:t>Miller then filed in state court the complaint that is the subject of this appeal. In his complaint, Miller alleged four causes of action, including a federal procedural due process claim (Count II) and a claim for a declaratory judgment to annul the land use approvals contained in the Settlement Agreement (Count IV). After the Town removed the case to federal court, the district court granted its motion to dismiss Miller's federal procedural due process claim and his state law declaratory judgment claim, and remanded to state court the remaining state law claim challenging the ZBA's decision under Mass. Gen. Laws ch. 40A, § 17 (Count I).</w:t>
      </w:r>
      <w:r>
        <w:rPr>
          <w:rFonts w:ascii="Arial" w:eastAsia="Arial" w:hAnsi="Arial" w:cs="Arial"/>
          <w:vertAlign w:val="superscript"/>
        </w:rPr>
        <w:footnoteReference w:customMarkFollows="1" w:id="8"/>
        <w:t>1</w:t>
      </w:r>
      <w:r>
        <w:rPr>
          <w:rFonts w:ascii="Arial" w:eastAsia="Arial" w:hAnsi="Arial" w:cs="Arial"/>
          <w:color w:val="000000"/>
          <w:sz w:val="20"/>
        </w:rPr>
        <w:t xml:space="preserve"> The district court found that the procedural due process claim was not cognizable and that the declaratory judgment claim had been rendered moot by the June 2, 2015, decision of the ZBA. We now consider Miller's appeal from the dismissal of these two claims.</w:t>
      </w:r>
    </w:p>
    <w:p w14:paraId="196BDF6E" w14:textId="77777777" w:rsidR="002D0E71" w:rsidRDefault="00000000">
      <w:pPr>
        <w:pStyle w:val="Normal3"/>
        <w:widowControl w:val="0"/>
        <w:spacing w:before="240" w:line="260" w:lineRule="atLeast"/>
      </w:pPr>
      <w:r>
        <w:br/>
      </w:r>
      <w:r>
        <w:rPr>
          <w:rFonts w:ascii="Arial" w:eastAsia="Arial" w:hAnsi="Arial" w:cs="Arial"/>
          <w:b/>
          <w:color w:val="000000"/>
          <w:sz w:val="20"/>
        </w:rPr>
        <w:t>II. Analysis</w:t>
      </w:r>
    </w:p>
    <w:p w14:paraId="5A6735A8" w14:textId="77777777" w:rsidR="002D0E71" w:rsidRDefault="00000000">
      <w:pPr>
        <w:pStyle w:val="Normal3"/>
        <w:widowControl w:val="0"/>
        <w:spacing w:before="200" w:line="260" w:lineRule="atLeast"/>
        <w:jc w:val="both"/>
      </w:pPr>
      <w:bookmarkStart w:id="353" w:name="Bookmark_para_18_1"/>
      <w:bookmarkStart w:id="354" w:name="Bookmark_I5KMKHKB28T50W0040000400"/>
      <w:bookmarkStart w:id="355" w:name="Bookmark_I5KMKHKB2N1RNV0010000400"/>
      <w:bookmarkStart w:id="356" w:name="Bookmark_LNHNREFclscc2_1"/>
      <w:bookmarkEnd w:id="353"/>
      <w:bookmarkEnd w:id="354"/>
      <w:bookmarkEnd w:id="355"/>
      <w:bookmarkEnd w:id="356"/>
      <w:r>
        <w:rPr>
          <w:rFonts w:ascii="Arial" w:eastAsia="Arial" w:hAnsi="Arial" w:cs="Arial"/>
          <w:color w:val="000000"/>
          <w:sz w:val="20"/>
        </w:rPr>
        <w:t xml:space="preserve">We review de novo a district court's dismissal of claims under Federal Rule of Civil Procedure 12(b)(6). </w:t>
      </w:r>
      <w:bookmarkStart w:id="357" w:name="Bookmark_I5KMKHKB2N1RNV0030000400"/>
      <w:bookmarkStart w:id="358" w:name="Bookmark_I5KMKHKB28T50W0030000400"/>
      <w:bookmarkEnd w:id="357"/>
      <w:bookmarkEnd w:id="358"/>
      <w:r>
        <w:rPr>
          <w:rFonts w:ascii="Arial" w:eastAsia="Arial" w:hAnsi="Arial" w:cs="Arial"/>
          <w:color w:val="000000"/>
          <w:sz w:val="20"/>
          <w:u w:val="single"/>
        </w:rPr>
        <w:t>Cardigan Mountain Sch. v. N.H. Ins. Co.</w:t>
      </w:r>
      <w:r>
        <w:rPr>
          <w:rFonts w:ascii="Arial" w:eastAsia="Arial" w:hAnsi="Arial" w:cs="Arial"/>
          <w:color w:val="000000"/>
          <w:sz w:val="20"/>
        </w:rPr>
        <w:t xml:space="preserve">, 787 F.3d 82, 84 (1st Cir. 2015). In doing so, "we accept as true all well-pled facts alleged in the complaint and draw all reasonable inferences in [the plaintiff's] favor." </w:t>
      </w:r>
      <w:bookmarkStart w:id="359" w:name="Bookmark_I5KMKHKB28T50W0050000400"/>
      <w:bookmarkEnd w:id="359"/>
      <w:r>
        <w:rPr>
          <w:rFonts w:ascii="Arial" w:eastAsia="Arial" w:hAnsi="Arial" w:cs="Arial"/>
          <w:color w:val="000000"/>
          <w:sz w:val="20"/>
          <w:u w:val="single"/>
        </w:rPr>
        <w:t>Evergreen Partnering Grp., Inc. v. Pactiv Corp.</w:t>
      </w:r>
      <w:r>
        <w:rPr>
          <w:rFonts w:ascii="Arial" w:eastAsia="Arial" w:hAnsi="Arial" w:cs="Arial"/>
          <w:color w:val="000000"/>
          <w:sz w:val="20"/>
        </w:rPr>
        <w:t xml:space="preserve">, 720 F.3d 33, 36 (1st Cir. 2013). </w:t>
      </w:r>
      <w:bookmarkStart w:id="360" w:name="Bookmark_I5KMKHKB2N1RNV0030000400_2"/>
      <w:bookmarkStart w:id="361" w:name="Bookmark_LNHNREFclscc3_1"/>
      <w:bookmarkEnd w:id="360"/>
      <w:bookmarkEnd w:id="361"/>
      <w:r>
        <w:rPr>
          <w:rFonts w:ascii="Arial" w:eastAsia="Arial" w:hAnsi="Arial" w:cs="Arial"/>
          <w:color w:val="000000"/>
          <w:sz w:val="20"/>
        </w:rPr>
        <w:t xml:space="preserve">To survive a Rule 12(b)(6) motion to dismiss, the complaint must contain "enough facts to state a claim to relief that is plausible on its face." </w:t>
      </w:r>
      <w:bookmarkStart w:id="362" w:name="Bookmark_I5KMKHKB2N1RNV0020000400"/>
      <w:bookmarkEnd w:id="362"/>
      <w:r>
        <w:rPr>
          <w:rFonts w:ascii="Arial" w:eastAsia="Arial" w:hAnsi="Arial" w:cs="Arial"/>
          <w:color w:val="000000"/>
          <w:sz w:val="20"/>
          <w:u w:val="single"/>
        </w:rPr>
        <w:t>Bell Atl. Corp. v. Twombly</w:t>
      </w:r>
      <w:r>
        <w:rPr>
          <w:rFonts w:ascii="Arial" w:eastAsia="Arial" w:hAnsi="Arial" w:cs="Arial"/>
          <w:color w:val="000000"/>
          <w:sz w:val="20"/>
        </w:rPr>
        <w:t>, 550 U.S. 544, 570, 127 S. Ct. 1955, 167 L. Ed. 2d 929 (2007).</w:t>
      </w:r>
    </w:p>
    <w:p w14:paraId="44825ECC" w14:textId="77777777" w:rsidR="002D0E71" w:rsidRDefault="00000000">
      <w:pPr>
        <w:pStyle w:val="Normal3"/>
        <w:widowControl w:val="0"/>
        <w:spacing w:before="240" w:line="260" w:lineRule="atLeast"/>
      </w:pPr>
      <w:r>
        <w:br/>
      </w:r>
      <w:r>
        <w:rPr>
          <w:rFonts w:ascii="Arial" w:eastAsia="Arial" w:hAnsi="Arial" w:cs="Arial"/>
          <w:b/>
          <w:color w:val="000000"/>
          <w:sz w:val="20"/>
        </w:rPr>
        <w:t>A. Procedural Due Process</w:t>
      </w:r>
    </w:p>
    <w:p w14:paraId="587BA01C" w14:textId="77777777" w:rsidR="002D0E71" w:rsidRDefault="00000000">
      <w:pPr>
        <w:pStyle w:val="Normal3"/>
        <w:widowControl w:val="0"/>
        <w:spacing w:before="200" w:line="260" w:lineRule="atLeast"/>
        <w:jc w:val="both"/>
      </w:pPr>
      <w:bookmarkStart w:id="363" w:name="Bookmark_para_19_1"/>
      <w:bookmarkStart w:id="364" w:name="Bookmark_I0YP3KSX436000005XY0008Y"/>
      <w:bookmarkStart w:id="365" w:name="Bookmark_I5KMKHKB2N1RNV0050000400"/>
      <w:bookmarkEnd w:id="363"/>
      <w:bookmarkEnd w:id="364"/>
      <w:bookmarkEnd w:id="365"/>
      <w:r>
        <w:rPr>
          <w:rFonts w:ascii="Arial" w:eastAsia="Arial" w:hAnsi="Arial" w:cs="Arial"/>
          <w:color w:val="000000"/>
          <w:sz w:val="20"/>
        </w:rPr>
        <w:t xml:space="preserve">Miller brings his sole federal claim by way of 42 U.S.C. § 1983. </w:t>
      </w:r>
      <w:bookmarkStart w:id="366" w:name="Bookmark_LNHNREFclscc4_1"/>
      <w:bookmarkEnd w:id="366"/>
      <w:r>
        <w:rPr>
          <w:rFonts w:ascii="Arial" w:eastAsia="Arial" w:hAnsi="Arial" w:cs="Arial"/>
          <w:color w:val="000000"/>
          <w:sz w:val="20"/>
        </w:rPr>
        <w:t xml:space="preserve">To succeed, he must show: (1) that the complained-of conduct was committed under the color of state law, and (2) that such conduct violated his constitutional or federal statutory rights. </w:t>
      </w:r>
      <w:bookmarkStart w:id="367" w:name="Bookmark_I5KMKHKB2N1RNV0040000400"/>
      <w:bookmarkEnd w:id="367"/>
      <w:r>
        <w:rPr>
          <w:rFonts w:ascii="Arial" w:eastAsia="Arial" w:hAnsi="Arial" w:cs="Arial"/>
          <w:color w:val="000000"/>
          <w:sz w:val="20"/>
          <w:u w:val="single"/>
        </w:rPr>
        <w:t>Chongris v. Bd. of Appeals</w:t>
      </w:r>
      <w:r>
        <w:rPr>
          <w:rFonts w:ascii="Arial" w:eastAsia="Arial" w:hAnsi="Arial" w:cs="Arial"/>
          <w:color w:val="000000"/>
          <w:sz w:val="20"/>
        </w:rPr>
        <w:t xml:space="preserve">, 811 F.2d 36, 40 (1st Cir. 1987). In an effort to make such a showing, he alleges that in making three decisions under color of state law, the Town violated his rights under the Due Process Clause of the Fourteenth Amendment, which provides that </w:t>
      </w:r>
      <w:bookmarkStart w:id="368" w:name="Bookmark_LNHNREFclscc5_1"/>
      <w:bookmarkEnd w:id="368"/>
      <w:r>
        <w:rPr>
          <w:rFonts w:ascii="Arial" w:eastAsia="Arial" w:hAnsi="Arial" w:cs="Arial"/>
          <w:color w:val="000000"/>
          <w:sz w:val="20"/>
        </w:rPr>
        <w:t>no "State [shall] deprive any person of life, liberty, or property, without due process of law." U.S. Const. amend. XIV, § 1. Those decisions were, in chronological order: (1) the decision by several Town officials in November 2013 that 110, Inc.'s proposed use of the abutting property was an educational use under the Dover Amendment, and therefore lawful under the zoning ordinance; (2) the decision by the Building Inspector in September 2014 to accede [**12]  to 110, Inc.'s claim that federal law required the Town to accommodate 110, Inc.'s desire to operate as intended; and (3) the decision by the Town to enter into the Settlement Agreement with 110, Inc., pursuant to which the Town agreed, in relevant substance, to recognize the lawfulness of 110, Inc.'s use of the property as a reasonable accommodation under federal law, and to make no effort to obstruct or impede 110, Inc.'s operation of the facility on the property.</w:t>
      </w:r>
    </w:p>
    <w:p w14:paraId="19BA3082" w14:textId="77777777" w:rsidR="002D0E71" w:rsidRDefault="00000000">
      <w:pPr>
        <w:pStyle w:val="Normal3"/>
        <w:widowControl w:val="0"/>
        <w:spacing w:before="200" w:line="260" w:lineRule="atLeast"/>
        <w:jc w:val="both"/>
      </w:pPr>
      <w:bookmarkStart w:id="369" w:name="Bookmark_para_20_0"/>
      <w:bookmarkEnd w:id="369"/>
      <w:r>
        <w:rPr>
          <w:rFonts w:ascii="Arial" w:eastAsia="Arial" w:hAnsi="Arial" w:cs="Arial"/>
          <w:color w:val="000000"/>
          <w:sz w:val="20"/>
        </w:rPr>
        <w:t>The Town does not argue that any of those decisions were anything other than  [*52]  state action. It does, however, contend that none of those decisions violated Miller's constitutional right to procedural due process.</w:t>
      </w:r>
    </w:p>
    <w:p w14:paraId="16E3B901" w14:textId="77777777" w:rsidR="002D0E71" w:rsidRDefault="00000000">
      <w:pPr>
        <w:pStyle w:val="Normal3"/>
        <w:widowControl w:val="0"/>
        <w:spacing w:before="200" w:line="260" w:lineRule="atLeast"/>
        <w:jc w:val="both"/>
      </w:pPr>
      <w:bookmarkStart w:id="370" w:name="Bookmark_para_21_0"/>
      <w:bookmarkStart w:id="371" w:name="Bookmark_I0YP3KSX7T0000005XY00090"/>
      <w:bookmarkStart w:id="372" w:name="Bookmark_I5KMKHKB2D6N5Y0020000400"/>
      <w:bookmarkStart w:id="373" w:name="Bookmark_LNHNREFclscc6_1"/>
      <w:bookmarkEnd w:id="370"/>
      <w:bookmarkEnd w:id="371"/>
      <w:bookmarkEnd w:id="372"/>
      <w:bookmarkEnd w:id="373"/>
      <w:r>
        <w:rPr>
          <w:rFonts w:ascii="Arial" w:eastAsia="Arial" w:hAnsi="Arial" w:cs="Arial"/>
          <w:color w:val="000000"/>
          <w:sz w:val="20"/>
        </w:rPr>
        <w:t xml:space="preserve">To plead that the state violated his constitutional right to procedural due process, Miller "must allege facts which, if true, establish that [he] (1) had a property interest of constitutional magnitude and (2) was deprived of that property interest without due process of law." </w:t>
      </w:r>
      <w:bookmarkStart w:id="374" w:name="Bookmark_I5KMKHKB2D6N5Y0010000400"/>
      <w:bookmarkEnd w:id="374"/>
      <w:r>
        <w:rPr>
          <w:rFonts w:ascii="Arial" w:eastAsia="Arial" w:hAnsi="Arial" w:cs="Arial"/>
          <w:color w:val="000000"/>
          <w:sz w:val="20"/>
          <w:u w:val="single"/>
        </w:rPr>
        <w:t>Clukey v. Town of Camden</w:t>
      </w:r>
      <w:r>
        <w:rPr>
          <w:rFonts w:ascii="Arial" w:eastAsia="Arial" w:hAnsi="Arial" w:cs="Arial"/>
          <w:color w:val="000000"/>
          <w:sz w:val="20"/>
        </w:rPr>
        <w:t>, 717 F.3d 52, 54-55 (1st Cir. 2013). Our inquiry, then, consists of examining whether and in what manner Miller had a constitutionally protected property interest relevant to his claim, whether and to what extent the Town deprived him of that interest, and whether the procedures [**13]  provided him were sufficient.</w:t>
      </w:r>
    </w:p>
    <w:p w14:paraId="393D23AB" w14:textId="77777777" w:rsidR="002D0E71" w:rsidRDefault="00000000">
      <w:pPr>
        <w:pStyle w:val="Normal3"/>
        <w:widowControl w:val="0"/>
        <w:spacing w:before="200" w:line="260" w:lineRule="atLeast"/>
        <w:jc w:val="both"/>
      </w:pPr>
      <w:bookmarkStart w:id="375" w:name="Bookmark_para_22_0"/>
      <w:bookmarkStart w:id="376" w:name="Bookmark_I5KMKHKB2D6N5Y0040000400"/>
      <w:bookmarkStart w:id="377" w:name="Bookmark_I5KMKHKB28T50X0010000400"/>
      <w:bookmarkStart w:id="378" w:name="Bookmark_LNHNREFclscc7_1"/>
      <w:bookmarkEnd w:id="375"/>
      <w:bookmarkEnd w:id="376"/>
      <w:bookmarkEnd w:id="377"/>
      <w:bookmarkEnd w:id="378"/>
      <w:r>
        <w:rPr>
          <w:rFonts w:ascii="Arial" w:eastAsia="Arial" w:hAnsi="Arial" w:cs="Arial"/>
          <w:color w:val="000000"/>
          <w:sz w:val="20"/>
        </w:rPr>
        <w:t xml:space="preserve">"Property interests . . . are not created by the Constitution[,] [but] rather . . . are created and their dimensions are defined by existing rules or understandings that stem from an independent source such as state law--rules or understandings that secure certain benefits and that support claims of entitlement to those benefits." </w:t>
      </w:r>
      <w:bookmarkStart w:id="379" w:name="Bookmark_I5KMKHKB2D6N5Y0030000400"/>
      <w:bookmarkEnd w:id="379"/>
      <w:r>
        <w:rPr>
          <w:rFonts w:ascii="Arial" w:eastAsia="Arial" w:hAnsi="Arial" w:cs="Arial"/>
          <w:color w:val="000000"/>
          <w:sz w:val="20"/>
          <w:u w:val="single"/>
        </w:rPr>
        <w:t>Bd. of Regents of State Colls. v. Roth</w:t>
      </w:r>
      <w:r>
        <w:rPr>
          <w:rFonts w:ascii="Arial" w:eastAsia="Arial" w:hAnsi="Arial" w:cs="Arial"/>
          <w:color w:val="000000"/>
          <w:sz w:val="20"/>
        </w:rPr>
        <w:t xml:space="preserve">, 408 U.S. 564, 577, 92 S. Ct. 2701, 33 L. Ed. 2d 548 (1972). So, we must look at applicable Massachusetts law to determine whether and to what extent "an entitlement grounded in state law exists, recognizing that 'the types of interests protected as property are varied and, as often as not, intangible, relating to the whole domain of social and economic fact.'" </w:t>
      </w:r>
      <w:bookmarkStart w:id="380" w:name="Bookmark_I5KMKHKB2D6N5Y0050000400"/>
      <w:bookmarkEnd w:id="380"/>
      <w:r>
        <w:rPr>
          <w:rFonts w:ascii="Arial" w:eastAsia="Arial" w:hAnsi="Arial" w:cs="Arial"/>
          <w:color w:val="000000"/>
          <w:sz w:val="20"/>
          <w:u w:val="single"/>
        </w:rPr>
        <w:t>Clukey</w:t>
      </w:r>
      <w:r>
        <w:rPr>
          <w:rFonts w:ascii="Arial" w:eastAsia="Arial" w:hAnsi="Arial" w:cs="Arial"/>
          <w:color w:val="000000"/>
          <w:sz w:val="20"/>
        </w:rPr>
        <w:t xml:space="preserve">, 717 F.3d at 55 (quoting </w:t>
      </w:r>
      <w:bookmarkStart w:id="381" w:name="Bookmark_I5KMKHKB28T50X0020000400"/>
      <w:bookmarkEnd w:id="381"/>
      <w:r>
        <w:rPr>
          <w:rFonts w:ascii="Arial" w:eastAsia="Arial" w:hAnsi="Arial" w:cs="Arial"/>
          <w:color w:val="000000"/>
          <w:sz w:val="20"/>
          <w:u w:val="single"/>
        </w:rPr>
        <w:t>Logan v. Zimmerman Brush Co.</w:t>
      </w:r>
      <w:r>
        <w:rPr>
          <w:rFonts w:ascii="Arial" w:eastAsia="Arial" w:hAnsi="Arial" w:cs="Arial"/>
          <w:color w:val="000000"/>
          <w:sz w:val="20"/>
        </w:rPr>
        <w:t>, 455 U.S. 422, 430, 102 S. Ct. 1148, 71 L. Ed. 2d 265 (1982)).</w:t>
      </w:r>
    </w:p>
    <w:p w14:paraId="798E3BD2" w14:textId="77777777" w:rsidR="002D0E71" w:rsidRDefault="00000000">
      <w:pPr>
        <w:pStyle w:val="Normal3"/>
        <w:widowControl w:val="0"/>
        <w:spacing w:before="200" w:line="260" w:lineRule="atLeast"/>
        <w:jc w:val="both"/>
      </w:pPr>
      <w:bookmarkStart w:id="382" w:name="Bookmark_para_23_0"/>
      <w:bookmarkStart w:id="383" w:name="Bookmark_I5KMKHKB28T50X0050000400"/>
      <w:bookmarkStart w:id="384" w:name="Bookmark_LNHNREFclscc8_1"/>
      <w:bookmarkEnd w:id="382"/>
      <w:bookmarkEnd w:id="383"/>
      <w:bookmarkEnd w:id="384"/>
      <w:r>
        <w:rPr>
          <w:rFonts w:ascii="Arial" w:eastAsia="Arial" w:hAnsi="Arial" w:cs="Arial"/>
          <w:color w:val="000000"/>
          <w:sz w:val="20"/>
        </w:rPr>
        <w:t xml:space="preserve">Massachusetts law allows municipalities to establish zoning ordinances. Mass. Gen. Laws ch. 40A, § 5, ¶ 1. The aim of such ordinances "is to stabilize property uses in the specified districts . . . and not to permit changes, exceptions or relaxations except after such full notice as shall enable all those interested to know what is projected and to have opportunity to protest." </w:t>
      </w:r>
      <w:bookmarkStart w:id="385" w:name="Bookmark_I5KMKHKB28T50X0040000400"/>
      <w:bookmarkEnd w:id="385"/>
      <w:r>
        <w:rPr>
          <w:rFonts w:ascii="Arial" w:eastAsia="Arial" w:hAnsi="Arial" w:cs="Arial"/>
          <w:color w:val="000000"/>
          <w:sz w:val="20"/>
          <w:u w:val="single"/>
        </w:rPr>
        <w:t>Moore v. Cataldo</w:t>
      </w:r>
      <w:r>
        <w:rPr>
          <w:rFonts w:ascii="Arial" w:eastAsia="Arial" w:hAnsi="Arial" w:cs="Arial"/>
          <w:color w:val="000000"/>
          <w:sz w:val="20"/>
        </w:rPr>
        <w:t xml:space="preserve">, 356 Mass. 325, 249 N.E.2d 578, 580 (Mass. 1969) (quoting </w:t>
      </w:r>
      <w:bookmarkStart w:id="386" w:name="Bookmark_I5KMKHKB2SF8GB0010000400"/>
      <w:bookmarkEnd w:id="386"/>
      <w:r>
        <w:rPr>
          <w:rFonts w:ascii="Arial" w:eastAsia="Arial" w:hAnsi="Arial" w:cs="Arial"/>
          <w:color w:val="000000"/>
          <w:sz w:val="20"/>
          <w:u w:val="single"/>
        </w:rPr>
        <w:t>Kane v. Bd. of Appeals of Medford</w:t>
      </w:r>
      <w:r>
        <w:rPr>
          <w:rFonts w:ascii="Arial" w:eastAsia="Arial" w:hAnsi="Arial" w:cs="Arial"/>
          <w:color w:val="000000"/>
          <w:sz w:val="20"/>
        </w:rPr>
        <w:t>, 273 Mass. 97, 173 N.E. 1, 3 (Mass. 1930)). The Town, in turn, has adopted a Zoning By-Law, which requires that</w:t>
      </w:r>
      <w:bookmarkStart w:id="387" w:name="Bookmark_LNHNREFclscc9_0"/>
      <w:bookmarkEnd w:id="387"/>
      <w:r>
        <w:rPr>
          <w:rFonts w:ascii="Arial" w:eastAsia="Arial" w:hAnsi="Arial" w:cs="Arial"/>
          <w:color w:val="000000"/>
          <w:sz w:val="20"/>
        </w:rPr>
        <w:t xml:space="preserve"> "the use of all premises in the Town[] shall be in conformity with the provisions of the [**14]  Zoning By-Law" and provides that "[n]o building, structure, or land shall be used for any purpose or in any manner other than is expressly permitted within the district in which such building, structure or land is located." Wenham, Mass. Zoning By-Law ("By-Law") § 1.4 (2014).</w:t>
      </w:r>
    </w:p>
    <w:p w14:paraId="6099EC49" w14:textId="77777777" w:rsidR="002D0E71" w:rsidRDefault="00000000">
      <w:pPr>
        <w:pStyle w:val="Normal3"/>
        <w:widowControl w:val="0"/>
        <w:spacing w:before="200" w:line="260" w:lineRule="atLeast"/>
        <w:jc w:val="both"/>
      </w:pPr>
      <w:bookmarkStart w:id="388" w:name="Bookmark_para_24_0"/>
      <w:bookmarkEnd w:id="388"/>
      <w:r>
        <w:rPr>
          <w:rFonts w:ascii="Arial" w:eastAsia="Arial" w:hAnsi="Arial" w:cs="Arial"/>
          <w:color w:val="000000"/>
          <w:sz w:val="20"/>
        </w:rPr>
        <w:t xml:space="preserve">Massachusetts law also addresses the enforcement of zoning regulations. In the first instance, it charges </w:t>
      </w:r>
      <w:bookmarkStart w:id="389" w:name="Bookmark_LNHNREFclscc10_0"/>
      <w:bookmarkEnd w:id="389"/>
      <w:r>
        <w:rPr>
          <w:rFonts w:ascii="Arial" w:eastAsia="Arial" w:hAnsi="Arial" w:cs="Arial"/>
          <w:color w:val="000000"/>
          <w:sz w:val="20"/>
        </w:rPr>
        <w:t xml:space="preserve">an "officer or board" in each municipality (such as the Town's Building Inspector) "with the enforcement of the zoning ordinance or by-law." Mass. Gen. Laws ch. 40A, § 7, ¶ 1. Section 7 anticipates precisely what we have here: the failure of an officer (the Building Inspector) on his or her own initiative to enforce the law as a person (Miller) wishes it to be enforced. In such an instance, § 7 provides that a person may "request[] in writing" that the officer enforce the law against another person. </w:t>
      </w:r>
      <w:r>
        <w:rPr>
          <w:rFonts w:ascii="Arial" w:eastAsia="Arial" w:hAnsi="Arial" w:cs="Arial"/>
          <w:color w:val="000000"/>
          <w:sz w:val="20"/>
          <w:u w:val="single"/>
        </w:rPr>
        <w:t>Id.</w:t>
      </w:r>
      <w:r>
        <w:rPr>
          <w:rFonts w:ascii="Arial" w:eastAsia="Arial" w:hAnsi="Arial" w:cs="Arial"/>
          <w:color w:val="000000"/>
          <w:sz w:val="20"/>
        </w:rPr>
        <w:t xml:space="preserve"> If the officer fails to act on the request, he must notify the requesting party of the decision and "the reasons therefor," </w:t>
      </w:r>
      <w:r>
        <w:rPr>
          <w:rFonts w:ascii="Arial" w:eastAsia="Arial" w:hAnsi="Arial" w:cs="Arial"/>
          <w:color w:val="000000"/>
          <w:sz w:val="20"/>
          <w:u w:val="single"/>
        </w:rPr>
        <w:t>id.</w:t>
      </w:r>
      <w:r>
        <w:rPr>
          <w:rFonts w:ascii="Arial" w:eastAsia="Arial" w:hAnsi="Arial" w:cs="Arial"/>
          <w:color w:val="000000"/>
          <w:sz w:val="20"/>
        </w:rPr>
        <w:t xml:space="preserve">, and the requesting party, if "aggrieved," may "appeal [that decision] to the permit granting authority as the zoning ordinance or by-law may provide," </w:t>
      </w:r>
      <w:r>
        <w:rPr>
          <w:rFonts w:ascii="Arial" w:eastAsia="Arial" w:hAnsi="Arial" w:cs="Arial"/>
          <w:color w:val="000000"/>
          <w:sz w:val="20"/>
          <w:u w:val="single"/>
        </w:rPr>
        <w:t>id.</w:t>
      </w:r>
      <w:r>
        <w:rPr>
          <w:rFonts w:ascii="Arial" w:eastAsia="Arial" w:hAnsi="Arial" w:cs="Arial"/>
          <w:color w:val="000000"/>
          <w:sz w:val="20"/>
        </w:rPr>
        <w:t xml:space="preserve"> § 8.</w:t>
      </w:r>
    </w:p>
    <w:p w14:paraId="0C0A963F" w14:textId="77777777" w:rsidR="002D0E71" w:rsidRDefault="00000000">
      <w:pPr>
        <w:pStyle w:val="Normal3"/>
        <w:widowControl w:val="0"/>
        <w:spacing w:before="200" w:line="260" w:lineRule="atLeast"/>
        <w:jc w:val="both"/>
      </w:pPr>
      <w:bookmarkStart w:id="390" w:name="Bookmark_para_25_0"/>
      <w:bookmarkStart w:id="391" w:name="Bookmark_LNHNREFclscc11"/>
      <w:bookmarkEnd w:id="390"/>
      <w:bookmarkEnd w:id="391"/>
      <w:r>
        <w:rPr>
          <w:rFonts w:ascii="Arial" w:eastAsia="Arial" w:hAnsi="Arial" w:cs="Arial"/>
          <w:color w:val="000000"/>
          <w:sz w:val="20"/>
        </w:rPr>
        <w:t xml:space="preserve">Massachusetts law also allows the "permit granting authority" in each municipality [**15]  to grant variances from applicable zoning laws, subject to certain conditions. </w:t>
      </w:r>
      <w:r>
        <w:rPr>
          <w:rFonts w:ascii="Arial" w:eastAsia="Arial" w:hAnsi="Arial" w:cs="Arial"/>
          <w:color w:val="000000"/>
          <w:sz w:val="20"/>
          <w:u w:val="single"/>
        </w:rPr>
        <w:t>Id.</w:t>
      </w:r>
      <w:r>
        <w:rPr>
          <w:rFonts w:ascii="Arial" w:eastAsia="Arial" w:hAnsi="Arial" w:cs="Arial"/>
          <w:color w:val="000000"/>
          <w:sz w:val="20"/>
        </w:rPr>
        <w:t xml:space="preserve"> § 10. In addition, municipalities shall, in their zoning ordinances or by-laws, designate  [*53]  specific types of uses that shall only be permitted in certain districts upon the issuance of so-called "special permits." </w:t>
      </w:r>
      <w:r>
        <w:rPr>
          <w:rFonts w:ascii="Arial" w:eastAsia="Arial" w:hAnsi="Arial" w:cs="Arial"/>
          <w:color w:val="000000"/>
          <w:sz w:val="20"/>
          <w:u w:val="single"/>
        </w:rPr>
        <w:t>Id.</w:t>
      </w:r>
      <w:r>
        <w:rPr>
          <w:rFonts w:ascii="Arial" w:eastAsia="Arial" w:hAnsi="Arial" w:cs="Arial"/>
          <w:color w:val="000000"/>
          <w:sz w:val="20"/>
        </w:rPr>
        <w:t xml:space="preserve"> § 9, ¶ 1. The "permit granting authority" is charged with issuing such permits after providing notice and a hearing to members of the public. </w:t>
      </w:r>
      <w:r>
        <w:rPr>
          <w:rFonts w:ascii="Arial" w:eastAsia="Arial" w:hAnsi="Arial" w:cs="Arial"/>
          <w:color w:val="000000"/>
          <w:sz w:val="20"/>
          <w:u w:val="single"/>
        </w:rPr>
        <w:t>Id.</w:t>
      </w:r>
      <w:r>
        <w:rPr>
          <w:rFonts w:ascii="Arial" w:eastAsia="Arial" w:hAnsi="Arial" w:cs="Arial"/>
          <w:color w:val="000000"/>
          <w:sz w:val="20"/>
        </w:rPr>
        <w:t xml:space="preserve"> §§ 9, 11. Persons aggrieved by a decision of the "permit granting authority" may appeal to the land or superior court. </w:t>
      </w:r>
      <w:r>
        <w:rPr>
          <w:rFonts w:ascii="Arial" w:eastAsia="Arial" w:hAnsi="Arial" w:cs="Arial"/>
          <w:color w:val="000000"/>
          <w:sz w:val="20"/>
          <w:u w:val="single"/>
        </w:rPr>
        <w:t>Id.</w:t>
      </w:r>
      <w:r>
        <w:rPr>
          <w:rFonts w:ascii="Arial" w:eastAsia="Arial" w:hAnsi="Arial" w:cs="Arial"/>
          <w:color w:val="000000"/>
          <w:sz w:val="20"/>
        </w:rPr>
        <w:t xml:space="preserve"> § 17.</w:t>
      </w:r>
    </w:p>
    <w:p w14:paraId="0D32ADAE" w14:textId="77777777" w:rsidR="002D0E71" w:rsidRDefault="00000000">
      <w:pPr>
        <w:pStyle w:val="Normal3"/>
        <w:widowControl w:val="0"/>
        <w:spacing w:before="200" w:line="260" w:lineRule="atLeast"/>
        <w:jc w:val="both"/>
      </w:pPr>
      <w:bookmarkStart w:id="392" w:name="Bookmark_para_26_0"/>
      <w:bookmarkEnd w:id="392"/>
      <w:r>
        <w:rPr>
          <w:rFonts w:ascii="Arial" w:eastAsia="Arial" w:hAnsi="Arial" w:cs="Arial"/>
          <w:color w:val="000000"/>
          <w:sz w:val="20"/>
        </w:rPr>
        <w:t xml:space="preserve">Finally, </w:t>
      </w:r>
      <w:bookmarkStart w:id="393" w:name="Bookmark_LNHNREFclscc12"/>
      <w:bookmarkEnd w:id="393"/>
      <w:r>
        <w:rPr>
          <w:rFonts w:ascii="Arial" w:eastAsia="Arial" w:hAnsi="Arial" w:cs="Arial"/>
          <w:color w:val="000000"/>
          <w:sz w:val="20"/>
        </w:rPr>
        <w:t xml:space="preserve">local zoning ordinances and by-laws must be construed in accordance with and subject to certain statewide laws, </w:t>
      </w:r>
      <w:r>
        <w:rPr>
          <w:rFonts w:ascii="Arial" w:eastAsia="Arial" w:hAnsi="Arial" w:cs="Arial"/>
          <w:color w:val="000000"/>
          <w:sz w:val="20"/>
          <w:u w:val="single"/>
        </w:rPr>
        <w:t>see id.</w:t>
      </w:r>
      <w:r>
        <w:rPr>
          <w:rFonts w:ascii="Arial" w:eastAsia="Arial" w:hAnsi="Arial" w:cs="Arial"/>
          <w:color w:val="000000"/>
          <w:sz w:val="20"/>
        </w:rPr>
        <w:t xml:space="preserve"> § 5, ¶ 1, and, under the Supremacy Clause of the United States Constitution, federal law, U.S. Const., art. VI, cl. 2. Relevant here are </w:t>
      </w:r>
      <w:bookmarkStart w:id="394" w:name="Bookmark_LNHNREFclscc13"/>
      <w:bookmarkEnd w:id="394"/>
      <w:r>
        <w:rPr>
          <w:rFonts w:ascii="Arial" w:eastAsia="Arial" w:hAnsi="Arial" w:cs="Arial"/>
          <w:color w:val="000000"/>
          <w:sz w:val="20"/>
        </w:rPr>
        <w:t xml:space="preserve">the Dover Amendment, providing, in part, that local zoning ordinances or by-laws shall not prevent uses of land for religious or educational purposes when the land is owned by certain entities, Mass. Gen. Laws ch. 40A, § 3, ¶ 2, and the provisions of the FHA and ADA, requiring the reasonable accommodation of certain uses of land by or for disabled persons. </w:t>
      </w:r>
      <w:r>
        <w:rPr>
          <w:rFonts w:ascii="Arial" w:eastAsia="Arial" w:hAnsi="Arial" w:cs="Arial"/>
          <w:color w:val="000000"/>
          <w:sz w:val="20"/>
          <w:u w:val="single"/>
        </w:rPr>
        <w:t>See</w:t>
      </w:r>
      <w:r>
        <w:rPr>
          <w:rFonts w:ascii="Arial" w:eastAsia="Arial" w:hAnsi="Arial" w:cs="Arial"/>
          <w:color w:val="000000"/>
          <w:sz w:val="20"/>
        </w:rPr>
        <w:t xml:space="preserve"> 42 U.S.C. §§ 3601 </w:t>
      </w:r>
      <w:r>
        <w:rPr>
          <w:rFonts w:ascii="Arial" w:eastAsia="Arial" w:hAnsi="Arial" w:cs="Arial"/>
          <w:color w:val="000000"/>
          <w:sz w:val="20"/>
          <w:u w:val="single"/>
        </w:rPr>
        <w:t>et seq.</w:t>
      </w:r>
      <w:r>
        <w:rPr>
          <w:rFonts w:ascii="Arial" w:eastAsia="Arial" w:hAnsi="Arial" w:cs="Arial"/>
          <w:color w:val="000000"/>
          <w:sz w:val="20"/>
        </w:rPr>
        <w:t xml:space="preserve">, §§ 12101 </w:t>
      </w:r>
      <w:r>
        <w:rPr>
          <w:rFonts w:ascii="Arial" w:eastAsia="Arial" w:hAnsi="Arial" w:cs="Arial"/>
          <w:color w:val="000000"/>
          <w:sz w:val="20"/>
          <w:u w:val="single"/>
        </w:rPr>
        <w:t>et seq.</w:t>
      </w:r>
    </w:p>
    <w:p w14:paraId="6C3DA7ED" w14:textId="77777777" w:rsidR="002D0E71" w:rsidRDefault="00000000">
      <w:pPr>
        <w:pStyle w:val="Normal3"/>
        <w:widowControl w:val="0"/>
        <w:spacing w:before="200" w:line="260" w:lineRule="atLeast"/>
        <w:jc w:val="both"/>
      </w:pPr>
      <w:bookmarkStart w:id="395" w:name="Bookmark_para_27_0"/>
      <w:bookmarkStart w:id="396" w:name="Bookmark_I5KMKHKB2SF8GB0040000400"/>
      <w:bookmarkEnd w:id="395"/>
      <w:bookmarkEnd w:id="396"/>
      <w:r>
        <w:rPr>
          <w:rFonts w:ascii="Arial" w:eastAsia="Arial" w:hAnsi="Arial" w:cs="Arial"/>
          <w:color w:val="000000"/>
          <w:sz w:val="20"/>
        </w:rPr>
        <w:t xml:space="preserve">Having thus summarized the applicable law, we ask next whether and to what extent that law creates an entitlement that qualifies as a constitutionally [**16]  protected interest. </w:t>
      </w:r>
      <w:bookmarkStart w:id="397" w:name="Bookmark_I0YP3KSXD4F000005XY00091"/>
      <w:bookmarkStart w:id="398" w:name="Bookmark_I5KMKHKB2D6N600010000400"/>
      <w:bookmarkEnd w:id="397"/>
      <w:bookmarkEnd w:id="398"/>
      <w:r>
        <w:rPr>
          <w:rFonts w:ascii="Arial" w:eastAsia="Arial" w:hAnsi="Arial" w:cs="Arial"/>
          <w:color w:val="000000"/>
          <w:sz w:val="20"/>
          <w:u w:val="single"/>
        </w:rPr>
        <w:t xml:space="preserve">See </w:t>
      </w:r>
      <w:bookmarkStart w:id="399" w:name="Bookmark_I5KMKHKB2SF8GB0030000400"/>
      <w:bookmarkEnd w:id="399"/>
      <w:r>
        <w:rPr>
          <w:rFonts w:ascii="Arial" w:eastAsia="Arial" w:hAnsi="Arial" w:cs="Arial"/>
          <w:color w:val="000000"/>
          <w:sz w:val="20"/>
          <w:u w:val="single"/>
        </w:rPr>
        <w:t>Clukey</w:t>
      </w:r>
      <w:r>
        <w:rPr>
          <w:rFonts w:ascii="Arial" w:eastAsia="Arial" w:hAnsi="Arial" w:cs="Arial"/>
          <w:color w:val="000000"/>
          <w:sz w:val="20"/>
        </w:rPr>
        <w:t xml:space="preserve">, 717 F.3d at 55. Oddly, Miller's briefs on appeal do not clearly identify precisely the property interest of which he claims to have been deprived. </w:t>
      </w:r>
      <w:bookmarkStart w:id="400" w:name="Bookmark_I5KMKHKB2D6N600010000400_2"/>
      <w:bookmarkEnd w:id="400"/>
      <w:r>
        <w:rPr>
          <w:rFonts w:ascii="Arial" w:eastAsia="Arial" w:hAnsi="Arial" w:cs="Arial"/>
          <w:color w:val="000000"/>
          <w:sz w:val="20"/>
        </w:rPr>
        <w:t xml:space="preserve">He makes passing reference to the "interest" of "abutters" and to "abutter property interests." He also cites to a federal district court case in which the property interest, under the applicable local and state law, was identified as "a property right in the protection of his own property against incompatible uses of adjacent property which devalue his property." </w:t>
      </w:r>
      <w:bookmarkStart w:id="401" w:name="Bookmark_I5KMKHKB2SF8GB0050000400"/>
      <w:bookmarkEnd w:id="401"/>
      <w:r>
        <w:rPr>
          <w:rFonts w:ascii="Arial" w:eastAsia="Arial" w:hAnsi="Arial" w:cs="Arial"/>
          <w:color w:val="000000"/>
          <w:sz w:val="20"/>
          <w:u w:val="single"/>
        </w:rPr>
        <w:t>Everett v. City of Tallahassee</w:t>
      </w:r>
      <w:r>
        <w:rPr>
          <w:rFonts w:ascii="Arial" w:eastAsia="Arial" w:hAnsi="Arial" w:cs="Arial"/>
          <w:color w:val="000000"/>
          <w:sz w:val="20"/>
        </w:rPr>
        <w:t>, 840 F. Supp. 1528, 1539 (N.D. Fla. 1992). Certainly, though, such a description is overstated. Property uses can easily change in many manners, even from one use by right to another, with adverse effects on the value of adjoining properties. No one can reasonably claim an entitlement to be immune to all such changes.</w:t>
      </w:r>
    </w:p>
    <w:p w14:paraId="14602663" w14:textId="77777777" w:rsidR="002D0E71" w:rsidRDefault="00000000">
      <w:pPr>
        <w:pStyle w:val="Normal3"/>
        <w:widowControl w:val="0"/>
        <w:spacing w:before="200" w:line="260" w:lineRule="atLeast"/>
        <w:jc w:val="both"/>
      </w:pPr>
      <w:bookmarkStart w:id="402" w:name="Bookmark_para_28_0"/>
      <w:bookmarkEnd w:id="402"/>
      <w:r>
        <w:rPr>
          <w:rFonts w:ascii="Arial" w:eastAsia="Arial" w:hAnsi="Arial" w:cs="Arial"/>
          <w:color w:val="000000"/>
          <w:sz w:val="20"/>
        </w:rPr>
        <w:t>We could perhaps read Miller as raising a more nuanced claim: that Massachusetts law creates a property interest in securing enforcement of the zoning laws against currently unlawful uses of property that harm him, and that the Town's decision to allow such uses by 110, Inc. deprived him of that interest without prior notice or an opportunity to be heard. But even if we did so construe Miller's [**17]  claim, and even if we also assumed, without deciding, that such an interest is a constitutionally protected property interest, we would still find no due process violation. The Town never deprived Miller of any right to obtain enforcement of the zoning laws against 110, Inc. It did eventually decide not to take enforcement action itself in light of its view that 110, Inc.'s use was lawful. Miller himself, however, retained the ability to seek such enforcement on his own under the above-described remedial scheme provided by Massachusetts law. Miller was therefore not deprived of the right to have the zoning laws enforced against 110, Inc. He was deprived only of the ability to enlist the support of Town administrative officials in this effort. For three principal reasons, we find such a deprivation not to be the type of action that requires prior notice.</w:t>
      </w:r>
    </w:p>
    <w:p w14:paraId="47AD5E09" w14:textId="77777777" w:rsidR="002D0E71" w:rsidRDefault="00000000">
      <w:pPr>
        <w:pStyle w:val="Normal3"/>
        <w:widowControl w:val="0"/>
        <w:spacing w:before="200" w:line="260" w:lineRule="atLeast"/>
        <w:jc w:val="both"/>
      </w:pPr>
      <w:bookmarkStart w:id="403" w:name="Bookmark_para_29_0"/>
      <w:bookmarkStart w:id="404" w:name="Bookmark_I5KMKHKB2D6N600030000400"/>
      <w:bookmarkEnd w:id="403"/>
      <w:bookmarkEnd w:id="404"/>
      <w:r>
        <w:rPr>
          <w:rFonts w:ascii="Arial" w:eastAsia="Arial" w:hAnsi="Arial" w:cs="Arial"/>
          <w:color w:val="000000"/>
          <w:sz w:val="20"/>
        </w:rPr>
        <w:t xml:space="preserve">First, the language of the relevant statute--Mass. Gen. Laws ch. 40A, § 7, ¶ 1--only grants Miller the right to "request[]" that the Building Inspector take a particular position regarding the proposed or actual use of property. Granting Miller the right to make such a "request[]" implies that Miller has no right to demand or  [*54]  expect that the Building Inspector [**18]  himself will take the enforcement action desired. </w:t>
      </w:r>
      <w:r>
        <w:rPr>
          <w:rFonts w:ascii="Arial" w:eastAsia="Arial" w:hAnsi="Arial" w:cs="Arial"/>
          <w:color w:val="000000"/>
          <w:sz w:val="20"/>
          <w:u w:val="single"/>
        </w:rPr>
        <w:t xml:space="preserve">See </w:t>
      </w:r>
      <w:bookmarkStart w:id="405" w:name="Bookmark_I5KMKHKB2D6N600020000400"/>
      <w:bookmarkEnd w:id="405"/>
      <w:r>
        <w:rPr>
          <w:rFonts w:ascii="Arial" w:eastAsia="Arial" w:hAnsi="Arial" w:cs="Arial"/>
          <w:color w:val="000000"/>
          <w:sz w:val="20"/>
          <w:u w:val="single"/>
        </w:rPr>
        <w:t>Town of Castle Rock v. Gonzales</w:t>
      </w:r>
      <w:r>
        <w:rPr>
          <w:rFonts w:ascii="Arial" w:eastAsia="Arial" w:hAnsi="Arial" w:cs="Arial"/>
          <w:color w:val="000000"/>
          <w:sz w:val="20"/>
        </w:rPr>
        <w:t>, 545 U.S. 748, 765-66, 125 S. Ct. 2796, 162 L. Ed. 2d 658 (2005) (statutory grant of right to request enforcement of restraining order cuts against contention that beneficiary of the order has a protected property interest in prosecutor initiating enforcement action).</w:t>
      </w:r>
    </w:p>
    <w:p w14:paraId="60FD5057" w14:textId="77777777" w:rsidR="002D0E71" w:rsidRDefault="00000000">
      <w:pPr>
        <w:pStyle w:val="Normal3"/>
        <w:widowControl w:val="0"/>
        <w:spacing w:before="200" w:line="260" w:lineRule="atLeast"/>
        <w:jc w:val="both"/>
      </w:pPr>
      <w:bookmarkStart w:id="406" w:name="Bookmark_para_30_0"/>
      <w:bookmarkEnd w:id="406"/>
      <w:r>
        <w:rPr>
          <w:rFonts w:ascii="Arial" w:eastAsia="Arial" w:hAnsi="Arial" w:cs="Arial"/>
          <w:color w:val="000000"/>
          <w:sz w:val="20"/>
        </w:rPr>
        <w:t xml:space="preserve">Second, under Massachusetts law, town officials, at least those who do not sit on the "permit granting authority," have no power to grant any "special permit" to allow use of a structure that would otherwise violate the zoning ordinances or by-laws. </w:t>
      </w:r>
      <w:r>
        <w:rPr>
          <w:rFonts w:ascii="Arial" w:eastAsia="Arial" w:hAnsi="Arial" w:cs="Arial"/>
          <w:color w:val="000000"/>
          <w:sz w:val="20"/>
          <w:u w:val="single"/>
        </w:rPr>
        <w:t>See</w:t>
      </w:r>
      <w:r>
        <w:rPr>
          <w:rFonts w:ascii="Arial" w:eastAsia="Arial" w:hAnsi="Arial" w:cs="Arial"/>
          <w:color w:val="000000"/>
          <w:sz w:val="20"/>
        </w:rPr>
        <w:t xml:space="preserve"> Mass. Gen. Laws ch. 40A, § 9. Rather, in this circumstance the Building Inspector's enforcement decision is limited to determining whether a proposed or actual use is allowed under the law. That decision, in turn, is reviewable by the "permit granting authority," </w:t>
      </w:r>
      <w:r>
        <w:rPr>
          <w:rFonts w:ascii="Arial" w:eastAsia="Arial" w:hAnsi="Arial" w:cs="Arial"/>
          <w:color w:val="000000"/>
          <w:sz w:val="20"/>
          <w:u w:val="single"/>
        </w:rPr>
        <w:t>id.</w:t>
      </w:r>
      <w:r>
        <w:rPr>
          <w:rFonts w:ascii="Arial" w:eastAsia="Arial" w:hAnsi="Arial" w:cs="Arial"/>
          <w:color w:val="000000"/>
          <w:sz w:val="20"/>
        </w:rPr>
        <w:t xml:space="preserve"> § 8, which, in the Town and with respect to the claims in this case, is the ZBA, By-Law §§ 4.1, 4.2.3, 13.2.2 (conferring authority on the ZBA to grant "special permits" for non-exempt educational uses of land). The ZBA's decisions may then be reviewed by the state courts. </w:t>
      </w:r>
      <w:r>
        <w:rPr>
          <w:rFonts w:ascii="Arial" w:eastAsia="Arial" w:hAnsi="Arial" w:cs="Arial"/>
          <w:color w:val="000000"/>
          <w:sz w:val="20"/>
          <w:u w:val="single"/>
        </w:rPr>
        <w:t>See</w:t>
      </w:r>
      <w:r>
        <w:rPr>
          <w:rFonts w:ascii="Arial" w:eastAsia="Arial" w:hAnsi="Arial" w:cs="Arial"/>
          <w:color w:val="000000"/>
          <w:sz w:val="20"/>
        </w:rPr>
        <w:t xml:space="preserve"> Mass. Gen. Laws ch. 40A, § 17. Thus, Miller had the right under this procedure to request enforcement by the Building Inspector, to state fully his position to the Building Inspector, to receive a written explanation of [**19]  the reasons for the denial of that request, and to participate as a party in the administrative and judicial reviews of the ultimate question: Is 110, Inc.'s use of the abutting property lawful in the absence of a special permit?</w:t>
      </w:r>
    </w:p>
    <w:p w14:paraId="710007F9" w14:textId="77777777" w:rsidR="002D0E71" w:rsidRDefault="00000000">
      <w:pPr>
        <w:pStyle w:val="Normal3"/>
        <w:widowControl w:val="0"/>
        <w:spacing w:before="200" w:line="260" w:lineRule="atLeast"/>
        <w:jc w:val="both"/>
      </w:pPr>
      <w:bookmarkStart w:id="407" w:name="Bookmark_para_31_0"/>
      <w:bookmarkEnd w:id="407"/>
      <w:r>
        <w:rPr>
          <w:rFonts w:ascii="Arial" w:eastAsia="Arial" w:hAnsi="Arial" w:cs="Arial"/>
          <w:color w:val="000000"/>
          <w:sz w:val="20"/>
        </w:rPr>
        <w:t xml:space="preserve">Third, it would be impractical to treat the non-enforcement decisions of the Building Inspector as the type of decisions that must be preceded by notice and an opportunity to be heard. </w:t>
      </w:r>
      <w:bookmarkStart w:id="408" w:name="Bookmark_I5KMKHKB2D6N600050000400"/>
      <w:bookmarkEnd w:id="408"/>
      <w:r>
        <w:rPr>
          <w:rFonts w:ascii="Arial" w:eastAsia="Arial" w:hAnsi="Arial" w:cs="Arial"/>
          <w:color w:val="000000"/>
          <w:sz w:val="20"/>
        </w:rPr>
        <w:t xml:space="preserve">Quite literally, Wenham's Building Inspector daily makes hundreds of decisions--by default--not to assert that current uses of properties are unlawful. It is unrealistic to deem each of those decisions not to pursue enforcement action to be a potential deprivation of a property interest for which prior notice need be given. </w:t>
      </w:r>
      <w:r>
        <w:rPr>
          <w:rFonts w:ascii="Arial" w:eastAsia="Arial" w:hAnsi="Arial" w:cs="Arial"/>
          <w:color w:val="000000"/>
          <w:sz w:val="20"/>
          <w:u w:val="single"/>
        </w:rPr>
        <w:t xml:space="preserve">See </w:t>
      </w:r>
      <w:bookmarkStart w:id="409" w:name="Bookmark_I5KMKHKB2D6N600040000400"/>
      <w:bookmarkEnd w:id="409"/>
      <w:r>
        <w:rPr>
          <w:rFonts w:ascii="Arial" w:eastAsia="Arial" w:hAnsi="Arial" w:cs="Arial"/>
          <w:color w:val="000000"/>
          <w:sz w:val="20"/>
          <w:u w:val="single"/>
        </w:rPr>
        <w:t>Hudson v. Palmer</w:t>
      </w:r>
      <w:r>
        <w:rPr>
          <w:rFonts w:ascii="Arial" w:eastAsia="Arial" w:hAnsi="Arial" w:cs="Arial"/>
          <w:color w:val="000000"/>
          <w:sz w:val="20"/>
        </w:rPr>
        <w:t xml:space="preserve">, 468 U.S. 517, 531-32, 104 S. Ct. 3194, 82 L. Ed. 2d 393 (1984); </w:t>
      </w:r>
      <w:bookmarkStart w:id="410" w:name="Bookmark_I5KMKHKB2SF8GC0010000400"/>
      <w:bookmarkEnd w:id="410"/>
      <w:r>
        <w:rPr>
          <w:rFonts w:ascii="Arial" w:eastAsia="Arial" w:hAnsi="Arial" w:cs="Arial"/>
          <w:color w:val="000000"/>
          <w:sz w:val="20"/>
          <w:u w:val="single"/>
        </w:rPr>
        <w:t>Parratt v. Taylor</w:t>
      </w:r>
      <w:r>
        <w:rPr>
          <w:rFonts w:ascii="Arial" w:eastAsia="Arial" w:hAnsi="Arial" w:cs="Arial"/>
          <w:color w:val="000000"/>
          <w:sz w:val="20"/>
        </w:rPr>
        <w:t>, 451 U.S. 527, 539, 101 S. Ct. 1908, 68 L. Ed. 2d 420 (1981).</w:t>
      </w:r>
    </w:p>
    <w:p w14:paraId="293ECAA7" w14:textId="77777777" w:rsidR="002D0E71" w:rsidRDefault="00000000">
      <w:pPr>
        <w:pStyle w:val="Normal3"/>
        <w:widowControl w:val="0"/>
        <w:spacing w:before="200" w:line="260" w:lineRule="atLeast"/>
        <w:jc w:val="both"/>
      </w:pPr>
      <w:bookmarkStart w:id="411" w:name="Bookmark_para_32_0"/>
      <w:bookmarkStart w:id="412" w:name="Bookmark_I5KMKHKB2SF8GC0040000400"/>
      <w:bookmarkEnd w:id="411"/>
      <w:bookmarkEnd w:id="412"/>
      <w:r>
        <w:rPr>
          <w:rFonts w:ascii="Arial" w:eastAsia="Arial" w:hAnsi="Arial" w:cs="Arial"/>
          <w:color w:val="000000"/>
          <w:sz w:val="20"/>
        </w:rPr>
        <w:t xml:space="preserve">In sum, the property interest here, assuming one exists, is in having the ordinance or by-law enforced, not in having the Building Inspector pursue enforcement. </w:t>
      </w:r>
      <w:r>
        <w:rPr>
          <w:rFonts w:ascii="Arial" w:eastAsia="Arial" w:hAnsi="Arial" w:cs="Arial"/>
          <w:color w:val="000000"/>
          <w:sz w:val="20"/>
          <w:u w:val="single"/>
        </w:rPr>
        <w:t xml:space="preserve">Cf. </w:t>
      </w:r>
      <w:bookmarkStart w:id="413" w:name="Bookmark_I5KMKHKB2SF8GC0030000400"/>
      <w:bookmarkEnd w:id="413"/>
      <w:r>
        <w:rPr>
          <w:rFonts w:ascii="Arial" w:eastAsia="Arial" w:hAnsi="Arial" w:cs="Arial"/>
          <w:color w:val="000000"/>
          <w:sz w:val="20"/>
          <w:u w:val="single"/>
        </w:rPr>
        <w:t>Town of Castle Rock</w:t>
      </w:r>
      <w:r>
        <w:rPr>
          <w:rFonts w:ascii="Arial" w:eastAsia="Arial" w:hAnsi="Arial" w:cs="Arial"/>
          <w:color w:val="000000"/>
          <w:sz w:val="20"/>
        </w:rPr>
        <w:t>, 545 U.S. at 766. And no one deprived Miller of that interest without notice and an opportunity to be heard.</w:t>
      </w:r>
    </w:p>
    <w:p w14:paraId="68F1316C" w14:textId="77777777" w:rsidR="002D0E71" w:rsidRDefault="00000000">
      <w:pPr>
        <w:pStyle w:val="Normal3"/>
        <w:widowControl w:val="0"/>
        <w:spacing w:before="200" w:line="260" w:lineRule="atLeast"/>
        <w:jc w:val="both"/>
      </w:pPr>
      <w:bookmarkStart w:id="414" w:name="Bookmark_para_33_0"/>
      <w:bookmarkEnd w:id="414"/>
      <w:r>
        <w:rPr>
          <w:rFonts w:ascii="Arial" w:eastAsia="Arial" w:hAnsi="Arial" w:cs="Arial"/>
          <w:color w:val="000000"/>
          <w:sz w:val="20"/>
        </w:rPr>
        <w:t>But, says Miller, Town officials and the Building Inspector did more than decide not to seek enforcement. Rather, he argues, by "granting" 110, Inc. a reasonable accommodation, they effectively gave [**20]  110, Inc. a special permit to do what it wants. The law is quite clear, though, that "special permits" can only be granted by the "permit granting authority," which in this case was the ZBA. Miller makes no claim that the actions of Town officials or the Building Inspector could bind the ZBA. Indeed, the ZBA's decision, while ultimately allowing 110, Inc.'s use of the abutting property as a substance abuse treatment facility, imposed restrictions on such usage contrary to the terms of the Settlement Agreement.</w:t>
      </w:r>
    </w:p>
    <w:p w14:paraId="0801E463" w14:textId="77777777" w:rsidR="002D0E71" w:rsidRDefault="00000000">
      <w:pPr>
        <w:pStyle w:val="Normal3"/>
        <w:widowControl w:val="0"/>
        <w:spacing w:before="200" w:line="260" w:lineRule="atLeast"/>
        <w:jc w:val="both"/>
      </w:pPr>
      <w:bookmarkStart w:id="415" w:name="Bookmark_para_34_0"/>
      <w:bookmarkEnd w:id="415"/>
      <w:r>
        <w:rPr>
          <w:rFonts w:ascii="Arial" w:eastAsia="Arial" w:hAnsi="Arial" w:cs="Arial"/>
          <w:color w:val="000000"/>
          <w:sz w:val="20"/>
        </w:rPr>
        <w:t xml:space="preserve">Miller also argues that, by refusing to enforce the zoning ordinances and by-laws, and purportedly granting what Miller claims to be an invalid special permit, the Building Inspector shifted the burden of proof in the proceeding before the ZBA. For example, had the Building Inspector insisted that 110, Inc.'s use was unlawful  [*55]  unless it obtained a special permit from the ZBA, 110, Inc. would have had the burden to persuade all three members of the ZBA to grant it the permit. </w:t>
      </w:r>
      <w:r>
        <w:rPr>
          <w:rFonts w:ascii="Arial" w:eastAsia="Arial" w:hAnsi="Arial" w:cs="Arial"/>
          <w:color w:val="000000"/>
          <w:sz w:val="20"/>
          <w:u w:val="single"/>
        </w:rPr>
        <w:t>See</w:t>
      </w:r>
      <w:r>
        <w:rPr>
          <w:rFonts w:ascii="Arial" w:eastAsia="Arial" w:hAnsi="Arial" w:cs="Arial"/>
          <w:color w:val="000000"/>
          <w:sz w:val="20"/>
        </w:rPr>
        <w:t xml:space="preserve"> Mass. Gen. Laws ch. 40A, § 9, ¶ 12. But, as a consequence of the Building Inspector's decision not to require 110, Inc. to obtain a special permit, Miller had to carry the burden of convincing a unanimous ZBA to reverse the Building [**21]  Inspector's non-enforcement decision. </w:t>
      </w:r>
      <w:r>
        <w:rPr>
          <w:rFonts w:ascii="Arial" w:eastAsia="Arial" w:hAnsi="Arial" w:cs="Arial"/>
          <w:color w:val="000000"/>
          <w:sz w:val="20"/>
          <w:u w:val="single"/>
        </w:rPr>
        <w:t>Id.</w:t>
      </w:r>
      <w:r>
        <w:rPr>
          <w:rFonts w:ascii="Arial" w:eastAsia="Arial" w:hAnsi="Arial" w:cs="Arial"/>
          <w:color w:val="000000"/>
          <w:sz w:val="20"/>
        </w:rPr>
        <w:t xml:space="preserve"> § 15, ¶ 4.</w:t>
      </w:r>
      <w:r>
        <w:rPr>
          <w:rFonts w:ascii="Arial" w:eastAsia="Arial" w:hAnsi="Arial" w:cs="Arial"/>
          <w:vertAlign w:val="superscript"/>
        </w:rPr>
        <w:footnoteReference w:customMarkFollows="1" w:id="9"/>
        <w:t>2</w:t>
      </w:r>
    </w:p>
    <w:p w14:paraId="4BA36FDF" w14:textId="77777777" w:rsidR="002D0E71" w:rsidRDefault="00000000">
      <w:pPr>
        <w:pStyle w:val="Normal3"/>
        <w:widowControl w:val="0"/>
        <w:spacing w:before="200" w:line="260" w:lineRule="atLeast"/>
        <w:jc w:val="both"/>
      </w:pPr>
      <w:bookmarkStart w:id="417" w:name="Bookmark_para_35_0"/>
      <w:bookmarkEnd w:id="417"/>
      <w:r>
        <w:rPr>
          <w:rFonts w:ascii="Arial" w:eastAsia="Arial" w:hAnsi="Arial" w:cs="Arial"/>
          <w:color w:val="000000"/>
          <w:sz w:val="20"/>
        </w:rPr>
        <w:t xml:space="preserve">We will assume (without deciding) that Miller is correct; </w:t>
      </w:r>
      <w:r>
        <w:rPr>
          <w:rFonts w:ascii="Arial" w:eastAsia="Arial" w:hAnsi="Arial" w:cs="Arial"/>
          <w:color w:val="000000"/>
          <w:sz w:val="20"/>
          <w:u w:val="single"/>
        </w:rPr>
        <w:t>i.e.</w:t>
      </w:r>
      <w:r>
        <w:rPr>
          <w:rFonts w:ascii="Arial" w:eastAsia="Arial" w:hAnsi="Arial" w:cs="Arial"/>
          <w:color w:val="000000"/>
          <w:sz w:val="20"/>
        </w:rPr>
        <w:t xml:space="preserve">, that under Massachusetts law the Building Inspector's decision in favor of 110, Inc. meant that Miller had to persuade three rather than one ZBA member in order to prevail. </w:t>
      </w:r>
      <w:bookmarkStart w:id="418" w:name="Bookmark_I5KMKHKB2HM6X10010000400"/>
      <w:bookmarkEnd w:id="418"/>
      <w:r>
        <w:rPr>
          <w:rFonts w:ascii="Arial" w:eastAsia="Arial" w:hAnsi="Arial" w:cs="Arial"/>
          <w:color w:val="000000"/>
          <w:sz w:val="20"/>
        </w:rPr>
        <w:t xml:space="preserve">So, in theory, the "interest" that Miller lost was a procedural one that would have given him the potential advantage inherent in defending against rather than challenging a zoning decision. But the shifting allocation of such a procedural advantage under state law, while still leaving Miller with notice and a meaningful right to be heard by the permit granting authority, does not constitute a deprivation of a substantive interest protected by the Fourteenth Amendment. </w:t>
      </w:r>
      <w:r>
        <w:rPr>
          <w:rFonts w:ascii="Arial" w:eastAsia="Arial" w:hAnsi="Arial" w:cs="Arial"/>
          <w:color w:val="000000"/>
          <w:sz w:val="20"/>
          <w:u w:val="single"/>
        </w:rPr>
        <w:t xml:space="preserve">See </w:t>
      </w:r>
      <w:bookmarkStart w:id="419" w:name="Bookmark_I5KMKHKB2SF8GC0050000400"/>
      <w:bookmarkEnd w:id="419"/>
      <w:r>
        <w:rPr>
          <w:rFonts w:ascii="Arial" w:eastAsia="Arial" w:hAnsi="Arial" w:cs="Arial"/>
          <w:color w:val="000000"/>
          <w:sz w:val="20"/>
          <w:u w:val="single"/>
        </w:rPr>
        <w:t>Olim v. Wakinekona</w:t>
      </w:r>
      <w:r>
        <w:rPr>
          <w:rFonts w:ascii="Arial" w:eastAsia="Arial" w:hAnsi="Arial" w:cs="Arial"/>
          <w:color w:val="000000"/>
          <w:sz w:val="20"/>
        </w:rPr>
        <w:t xml:space="preserve">, 461 U.S. 238, 250, 103 S. Ct. 1741, 75 L. Ed. 2d 813 (1983) (explaining that "[p]rocess is not an end in itself[,]" but that "[i]ts constitutional purpose is to protect a substantive interest to which the individual has a legitimate claim of entitlement"); </w:t>
      </w:r>
      <w:bookmarkStart w:id="420" w:name="Bookmark_I5KMKHKB2HM6X10020000400"/>
      <w:bookmarkEnd w:id="420"/>
      <w:r>
        <w:rPr>
          <w:rFonts w:ascii="Arial" w:eastAsia="Arial" w:hAnsi="Arial" w:cs="Arial"/>
          <w:color w:val="000000"/>
          <w:sz w:val="20"/>
          <w:u w:val="single"/>
        </w:rPr>
        <w:t>Town of Castle Rock</w:t>
      </w:r>
      <w:r>
        <w:rPr>
          <w:rFonts w:ascii="Arial" w:eastAsia="Arial" w:hAnsi="Arial" w:cs="Arial"/>
          <w:color w:val="000000"/>
          <w:sz w:val="20"/>
        </w:rPr>
        <w:t>, 545 U.S. at 771 (Souter, J. concurring) ("[A] [s]tate [does not] create a property right merely by ordaining beneficial procedure [**22]  unconnected to some articulable substantive guarantee.").</w:t>
      </w:r>
    </w:p>
    <w:p w14:paraId="5807A9E8" w14:textId="77777777" w:rsidR="002D0E71" w:rsidRDefault="00000000">
      <w:pPr>
        <w:pStyle w:val="Normal3"/>
        <w:widowControl w:val="0"/>
        <w:spacing w:before="200" w:line="260" w:lineRule="atLeast"/>
        <w:jc w:val="both"/>
      </w:pPr>
      <w:bookmarkStart w:id="421" w:name="Bookmark_para_36_0"/>
      <w:bookmarkEnd w:id="421"/>
      <w:r>
        <w:rPr>
          <w:rFonts w:ascii="Arial" w:eastAsia="Arial" w:hAnsi="Arial" w:cs="Arial"/>
          <w:color w:val="000000"/>
          <w:sz w:val="20"/>
        </w:rPr>
        <w:t>In sum, Miller has not been deprived of any constitutionally protected property interest without due process of law. He retained his right to initiate, receive notice of, and participate in a ZBA proceeding challenging 110, Inc.'s use of its property. While he lost the advantage of having the Building Inspector on his side, which may have shifted a greater burden of persuasion to him, we find that he had no property interest in having such an advantage. To rule otherwise would be to federalize all sorts of discretionary calls made by municipal officials even when applicable law does not render these calls binding or final.</w:t>
      </w:r>
    </w:p>
    <w:p w14:paraId="390E18B3" w14:textId="77777777" w:rsidR="002D0E71" w:rsidRDefault="00000000">
      <w:pPr>
        <w:pStyle w:val="Normal3"/>
        <w:widowControl w:val="0"/>
        <w:spacing w:before="240" w:line="260" w:lineRule="atLeast"/>
      </w:pPr>
      <w:r>
        <w:br/>
      </w:r>
      <w:r>
        <w:rPr>
          <w:rFonts w:ascii="Arial" w:eastAsia="Arial" w:hAnsi="Arial" w:cs="Arial"/>
          <w:b/>
          <w:color w:val="000000"/>
          <w:sz w:val="20"/>
        </w:rPr>
        <w:t>B. Declaratory Judgment Count</w:t>
      </w:r>
    </w:p>
    <w:p w14:paraId="6CD668AF" w14:textId="77777777" w:rsidR="002D0E71" w:rsidRDefault="00000000">
      <w:pPr>
        <w:pStyle w:val="Normal3"/>
        <w:widowControl w:val="0"/>
        <w:spacing w:before="200" w:line="260" w:lineRule="atLeast"/>
        <w:jc w:val="both"/>
      </w:pPr>
      <w:bookmarkStart w:id="422" w:name="Bookmark_para_37_0"/>
      <w:bookmarkEnd w:id="422"/>
      <w:r>
        <w:rPr>
          <w:rFonts w:ascii="Arial" w:eastAsia="Arial" w:hAnsi="Arial" w:cs="Arial"/>
          <w:color w:val="000000"/>
          <w:sz w:val="20"/>
        </w:rPr>
        <w:t>The second claim Miller presses on appeal is his declaratory judgment count, which seeks to invalidate the September 26, 2014 Settlement Agreement between the Town and 110, Inc. Finding that this claim had been rendered moot by the June 2, 2015 decision of the ZBA, the district court dismissed it without any further discussion. Miller contests this ruling, arguing that the Settlement Agreement and ZBA decision have independent force and contain terms that are not coextensive. The [**23]  Town, while making a conclusory argument that the district court's mootness finding was correct, principally relies on its contention that Miller has failed to demonstrate standing under Mass. Gen. Laws ch. 40A, § 17, to bring this claim.</w:t>
      </w:r>
    </w:p>
    <w:p w14:paraId="787B03B9" w14:textId="77777777" w:rsidR="002D0E71" w:rsidRDefault="00000000">
      <w:pPr>
        <w:pStyle w:val="Normal3"/>
        <w:widowControl w:val="0"/>
        <w:spacing w:before="200" w:line="260" w:lineRule="atLeast"/>
        <w:jc w:val="both"/>
      </w:pPr>
      <w:bookmarkStart w:id="423" w:name="Bookmark_para_38"/>
      <w:bookmarkEnd w:id="423"/>
      <w:r>
        <w:rPr>
          <w:rFonts w:ascii="Arial" w:eastAsia="Arial" w:hAnsi="Arial" w:cs="Arial"/>
          <w:color w:val="000000"/>
          <w:sz w:val="20"/>
        </w:rPr>
        <w:t>As explained above, the complaint in this case was originally filed in state court and was removed by the Town solely on the basis of Miller's federal procedural due process claim under § 1983. Because we now affirm the district court's dismissal of that claim, we are left, as the district court was, with a complaint alleging two state-law claims. The first state law claim (Count I) was brought under Mass. Gen. Laws ch. 40A, § 17 to challenge the ZBA's  [*56]  "reasonable accommodation" decision. The second state law claim (Count IV) is the declaratory judgment count at issue.</w:t>
      </w:r>
    </w:p>
    <w:p w14:paraId="224ABDAE" w14:textId="77777777" w:rsidR="002D0E71" w:rsidRDefault="00000000">
      <w:pPr>
        <w:pStyle w:val="Normal3"/>
        <w:widowControl w:val="0"/>
        <w:spacing w:before="200" w:line="260" w:lineRule="atLeast"/>
        <w:jc w:val="both"/>
      </w:pPr>
      <w:bookmarkStart w:id="424" w:name="Bookmark_para_39"/>
      <w:bookmarkStart w:id="425" w:name="Bookmark_I5KMKHKB2HM6X10050000400"/>
      <w:bookmarkEnd w:id="424"/>
      <w:bookmarkEnd w:id="425"/>
      <w:r>
        <w:rPr>
          <w:rFonts w:ascii="Arial" w:eastAsia="Arial" w:hAnsi="Arial" w:cs="Arial"/>
          <w:color w:val="000000"/>
          <w:sz w:val="20"/>
        </w:rPr>
        <w:t xml:space="preserve">On the basis of Miller's federal claim, the district court possessed "supplemental jurisdiction" over the remaining related state law claims. </w:t>
      </w:r>
      <w:bookmarkStart w:id="426" w:name="Bookmark_I5KMKHKB2HM6X20020000400"/>
      <w:bookmarkEnd w:id="426"/>
      <w:r>
        <w:rPr>
          <w:rFonts w:ascii="Arial" w:eastAsia="Arial" w:hAnsi="Arial" w:cs="Arial"/>
          <w:color w:val="000000"/>
          <w:sz w:val="20"/>
          <w:u w:val="single"/>
        </w:rPr>
        <w:t>See</w:t>
      </w:r>
      <w:r>
        <w:rPr>
          <w:rFonts w:ascii="Arial" w:eastAsia="Arial" w:hAnsi="Arial" w:cs="Arial"/>
          <w:color w:val="000000"/>
          <w:sz w:val="20"/>
        </w:rPr>
        <w:t xml:space="preserve"> 28 U.S.C. § 1367(a). </w:t>
      </w:r>
      <w:bookmarkStart w:id="427" w:name="Bookmark_I5KMKHKB2HM6X20040000400"/>
      <w:bookmarkStart w:id="428" w:name="Bookmark_LNHNREFclscc14"/>
      <w:bookmarkEnd w:id="427"/>
      <w:bookmarkEnd w:id="428"/>
      <w:r>
        <w:rPr>
          <w:rFonts w:ascii="Arial" w:eastAsia="Arial" w:hAnsi="Arial" w:cs="Arial"/>
          <w:color w:val="000000"/>
          <w:sz w:val="20"/>
        </w:rPr>
        <w:t xml:space="preserve">When the court dismissed the only federal claim in the case, however, it was then required to "reassess its jurisdiction" by "engaging in a pragmatic and case-specific evaluation of a variety of considerations that may bear on [whether it should retain jurisdiction or remand the case back to state court]." [**24]  </w:t>
      </w:r>
      <w:bookmarkStart w:id="429" w:name="Bookmark_I5KMKHKB2HM6X10040000400"/>
      <w:bookmarkEnd w:id="429"/>
      <w:r>
        <w:rPr>
          <w:rFonts w:ascii="Arial" w:eastAsia="Arial" w:hAnsi="Arial" w:cs="Arial"/>
          <w:color w:val="000000"/>
          <w:sz w:val="20"/>
          <w:u w:val="single"/>
        </w:rPr>
        <w:t>Camelio v. Am. Fed'n</w:t>
      </w:r>
      <w:r>
        <w:rPr>
          <w:rFonts w:ascii="Arial" w:eastAsia="Arial" w:hAnsi="Arial" w:cs="Arial"/>
          <w:color w:val="000000"/>
          <w:sz w:val="20"/>
        </w:rPr>
        <w:t xml:space="preserve">, 137 F.3d 666, 672 (1st Cir. 1998); </w:t>
      </w:r>
      <w:r>
        <w:rPr>
          <w:rFonts w:ascii="Arial" w:eastAsia="Arial" w:hAnsi="Arial" w:cs="Arial"/>
          <w:color w:val="000000"/>
          <w:sz w:val="20"/>
          <w:u w:val="single"/>
        </w:rPr>
        <w:t>see</w:t>
      </w:r>
      <w:r>
        <w:rPr>
          <w:rFonts w:ascii="Arial" w:eastAsia="Arial" w:hAnsi="Arial" w:cs="Arial"/>
          <w:color w:val="000000"/>
          <w:sz w:val="20"/>
        </w:rPr>
        <w:t xml:space="preserve"> 28 U.S.C. § 1367(c)(3). </w:t>
      </w:r>
      <w:bookmarkStart w:id="430" w:name="Bookmark_I5KMKHKB2HM6X20040000400_2"/>
      <w:bookmarkStart w:id="431" w:name="Bookmark_I5KMKHKB2HM6X20020000400_2"/>
      <w:bookmarkEnd w:id="430"/>
      <w:bookmarkEnd w:id="431"/>
      <w:r>
        <w:rPr>
          <w:rFonts w:ascii="Arial" w:eastAsia="Arial" w:hAnsi="Arial" w:cs="Arial"/>
          <w:color w:val="000000"/>
          <w:sz w:val="20"/>
        </w:rPr>
        <w:t xml:space="preserve">These considerations include "the interests of fairness, judicial economy, convenience, and comity." </w:t>
      </w:r>
      <w:bookmarkStart w:id="432" w:name="Bookmark_I5KMKHKB2HM6X20010000400"/>
      <w:bookmarkEnd w:id="432"/>
      <w:r>
        <w:rPr>
          <w:rFonts w:ascii="Arial" w:eastAsia="Arial" w:hAnsi="Arial" w:cs="Arial"/>
          <w:color w:val="000000"/>
          <w:sz w:val="20"/>
          <w:u w:val="single"/>
        </w:rPr>
        <w:t>Camelio</w:t>
      </w:r>
      <w:r>
        <w:rPr>
          <w:rFonts w:ascii="Arial" w:eastAsia="Arial" w:hAnsi="Arial" w:cs="Arial"/>
          <w:color w:val="000000"/>
          <w:sz w:val="20"/>
        </w:rPr>
        <w:t xml:space="preserve">, 137 F.3d at 672. We have said that when a federal claim upon which supplemental jurisdiction is based is dismissed early on in the litigation, "the balance of competing factors ordinarily will weigh strongly in favor of declining jurisdiction over [the remaining state law claims]." </w:t>
      </w:r>
      <w:r>
        <w:rPr>
          <w:rFonts w:ascii="Arial" w:eastAsia="Arial" w:hAnsi="Arial" w:cs="Arial"/>
          <w:color w:val="000000"/>
          <w:sz w:val="20"/>
          <w:u w:val="single"/>
        </w:rPr>
        <w:t>Id.</w:t>
      </w:r>
      <w:r>
        <w:rPr>
          <w:rFonts w:ascii="Arial" w:eastAsia="Arial" w:hAnsi="Arial" w:cs="Arial"/>
          <w:color w:val="000000"/>
          <w:sz w:val="20"/>
        </w:rPr>
        <w:t xml:space="preserve"> This balance promotes comity by avoiding needless federal decisions of state law while at the same time promoting fairness "by procuring for [the parties] a surer-footed reading of applicable law." </w:t>
      </w:r>
      <w:bookmarkStart w:id="433" w:name="Bookmark_I5KMKHKB2HM6X20030000400"/>
      <w:bookmarkEnd w:id="433"/>
      <w:r>
        <w:rPr>
          <w:rFonts w:ascii="Arial" w:eastAsia="Arial" w:hAnsi="Arial" w:cs="Arial"/>
          <w:color w:val="000000"/>
          <w:sz w:val="20"/>
          <w:u w:val="single"/>
        </w:rPr>
        <w:t>United Mine Workers of Am. v. Gibbs</w:t>
      </w:r>
      <w:r>
        <w:rPr>
          <w:rFonts w:ascii="Arial" w:eastAsia="Arial" w:hAnsi="Arial" w:cs="Arial"/>
          <w:color w:val="000000"/>
          <w:sz w:val="20"/>
        </w:rPr>
        <w:t>, 383 U.S. 715, 726, 86 S. Ct. 1130, 16 L. Ed. 2d 218 (1966).</w:t>
      </w:r>
    </w:p>
    <w:p w14:paraId="285B7E39" w14:textId="77777777" w:rsidR="002D0E71" w:rsidRDefault="00000000">
      <w:pPr>
        <w:pStyle w:val="Normal3"/>
        <w:widowControl w:val="0"/>
        <w:spacing w:before="200" w:line="260" w:lineRule="atLeast"/>
        <w:jc w:val="both"/>
      </w:pPr>
      <w:bookmarkStart w:id="434" w:name="Bookmark_para_40"/>
      <w:bookmarkStart w:id="435" w:name="Bookmark_I5KMKHKB2N1RNW0010000400"/>
      <w:bookmarkEnd w:id="434"/>
      <w:bookmarkEnd w:id="435"/>
      <w:r>
        <w:rPr>
          <w:rFonts w:ascii="Arial" w:eastAsia="Arial" w:hAnsi="Arial" w:cs="Arial"/>
          <w:color w:val="000000"/>
          <w:sz w:val="20"/>
        </w:rPr>
        <w:t xml:space="preserve">The correctness of the district court's decision finding Count IV moot is, in our view, a question that may depend on whether and to what degree the ZBA's decision nullified the Settlement Agreement entered into by other Town officials and ratified by the Town's Board of Selectmen. These are questions of state law with which the state courts are more familiar. Furthermore, because the district court correctly decided to remand Miller's zoning challenge, little is saved by having the district court decide the mootness issue under state law. </w:t>
      </w:r>
      <w:r>
        <w:rPr>
          <w:rFonts w:ascii="Arial" w:eastAsia="Arial" w:hAnsi="Arial" w:cs="Arial"/>
          <w:color w:val="000000"/>
          <w:sz w:val="20"/>
          <w:u w:val="single"/>
        </w:rPr>
        <w:t xml:space="preserve">See </w:t>
      </w:r>
      <w:bookmarkStart w:id="436" w:name="Bookmark_I5KMKHKB2HM6X20050000400"/>
      <w:bookmarkEnd w:id="436"/>
      <w:r>
        <w:rPr>
          <w:rFonts w:ascii="Arial" w:eastAsia="Arial" w:hAnsi="Arial" w:cs="Arial"/>
          <w:color w:val="000000"/>
          <w:sz w:val="20"/>
          <w:u w:val="single"/>
        </w:rPr>
        <w:t>Camelio</w:t>
      </w:r>
      <w:r>
        <w:rPr>
          <w:rFonts w:ascii="Arial" w:eastAsia="Arial" w:hAnsi="Arial" w:cs="Arial"/>
          <w:color w:val="000000"/>
          <w:sz w:val="20"/>
        </w:rPr>
        <w:t>, 137 F.3d at 672 (stating that "it does not appear that the district court's disposition [**25]  of some but not all of the state law claims will materially shorten the time . . . to resolve the parties' dispute as the remanded claims concern the same nucleus of operative fact as the dismissed claims"). And, if not moot, Miller's claim for declaratory relief may also depend upon whether he has adequately pled standing under Massachusetts General Law Chapter 40A, as interpreted by the Massachusetts state courts.</w:t>
      </w:r>
    </w:p>
    <w:p w14:paraId="59062B85" w14:textId="77777777" w:rsidR="002D0E71" w:rsidRDefault="00000000">
      <w:pPr>
        <w:pStyle w:val="Normal3"/>
        <w:widowControl w:val="0"/>
        <w:spacing w:before="200" w:line="260" w:lineRule="atLeast"/>
        <w:jc w:val="both"/>
      </w:pPr>
      <w:bookmarkStart w:id="437" w:name="Bookmark_para_41"/>
      <w:bookmarkStart w:id="438" w:name="Bookmark_I5KMKHKB2N1RNW0030000400"/>
      <w:bookmarkEnd w:id="437"/>
      <w:bookmarkEnd w:id="438"/>
      <w:r>
        <w:rPr>
          <w:rFonts w:ascii="Arial" w:eastAsia="Arial" w:hAnsi="Arial" w:cs="Arial"/>
          <w:color w:val="000000"/>
          <w:sz w:val="20"/>
        </w:rPr>
        <w:t xml:space="preserve">All in all, we find no basis for deviating from the ordinary course of remanding Miller's state law declaratory judgment count. </w:t>
      </w:r>
      <w:r>
        <w:rPr>
          <w:rFonts w:ascii="Arial" w:eastAsia="Arial" w:hAnsi="Arial" w:cs="Arial"/>
          <w:color w:val="000000"/>
          <w:sz w:val="20"/>
          <w:u w:val="single"/>
        </w:rPr>
        <w:t xml:space="preserve">See id.; </w:t>
      </w:r>
      <w:bookmarkStart w:id="439" w:name="Bookmark_I5KMKHKB2N1RNW0020000400"/>
      <w:bookmarkEnd w:id="439"/>
      <w:r>
        <w:rPr>
          <w:rFonts w:ascii="Arial" w:eastAsia="Arial" w:hAnsi="Arial" w:cs="Arial"/>
          <w:color w:val="000000"/>
          <w:sz w:val="20"/>
          <w:u w:val="single"/>
        </w:rPr>
        <w:t>Desjardins v. Willard</w:t>
      </w:r>
      <w:r>
        <w:rPr>
          <w:rFonts w:ascii="Arial" w:eastAsia="Arial" w:hAnsi="Arial" w:cs="Arial"/>
          <w:color w:val="000000"/>
          <w:sz w:val="20"/>
        </w:rPr>
        <w:t>, 777 F.3d 43, 46 (1st Cir. 2015).</w:t>
      </w:r>
    </w:p>
    <w:p w14:paraId="5CC06CD9" w14:textId="77777777" w:rsidR="002D0E71" w:rsidRDefault="00000000">
      <w:pPr>
        <w:pStyle w:val="Normal3"/>
        <w:widowControl w:val="0"/>
        <w:spacing w:before="240" w:line="260" w:lineRule="atLeast"/>
      </w:pPr>
      <w:r>
        <w:br/>
      </w:r>
      <w:r>
        <w:rPr>
          <w:rFonts w:ascii="Arial" w:eastAsia="Arial" w:hAnsi="Arial" w:cs="Arial"/>
          <w:b/>
          <w:color w:val="000000"/>
          <w:sz w:val="20"/>
        </w:rPr>
        <w:t>III. Conclusion</w:t>
      </w:r>
    </w:p>
    <w:p w14:paraId="5D1CB15F" w14:textId="77777777" w:rsidR="002D0E71" w:rsidRDefault="00000000">
      <w:pPr>
        <w:pStyle w:val="Normal3"/>
        <w:widowControl w:val="0"/>
        <w:spacing w:before="200" w:line="260" w:lineRule="atLeast"/>
        <w:jc w:val="both"/>
      </w:pPr>
      <w:bookmarkStart w:id="440" w:name="Bookmark_para_42"/>
      <w:bookmarkEnd w:id="440"/>
      <w:r>
        <w:rPr>
          <w:rFonts w:ascii="Arial" w:eastAsia="Arial" w:hAnsi="Arial" w:cs="Arial"/>
          <w:color w:val="000000"/>
          <w:sz w:val="20"/>
        </w:rPr>
        <w:t xml:space="preserve">For the foregoing reasons, we </w:t>
      </w:r>
      <w:r>
        <w:rPr>
          <w:rFonts w:ascii="Arial" w:eastAsia="Arial" w:hAnsi="Arial" w:cs="Arial"/>
          <w:color w:val="000000"/>
          <w:sz w:val="20"/>
          <w:u w:val="single"/>
        </w:rPr>
        <w:t>affirm</w:t>
      </w:r>
      <w:r>
        <w:rPr>
          <w:rFonts w:ascii="Arial" w:eastAsia="Arial" w:hAnsi="Arial" w:cs="Arial"/>
          <w:color w:val="000000"/>
          <w:sz w:val="20"/>
        </w:rPr>
        <w:t xml:space="preserve"> the district court's dismissal of the procedural due process claim but </w:t>
      </w:r>
      <w:r>
        <w:rPr>
          <w:rFonts w:ascii="Arial" w:eastAsia="Arial" w:hAnsi="Arial" w:cs="Arial"/>
          <w:color w:val="000000"/>
          <w:sz w:val="20"/>
          <w:u w:val="single"/>
        </w:rPr>
        <w:t>vacate</w:t>
      </w:r>
      <w:r>
        <w:rPr>
          <w:rFonts w:ascii="Arial" w:eastAsia="Arial" w:hAnsi="Arial" w:cs="Arial"/>
          <w:color w:val="000000"/>
          <w:sz w:val="20"/>
        </w:rPr>
        <w:t xml:space="preserve"> its dismissal of the declaratory judgment claim. We direct the district court to remand what remains of this case to state court. Each party shall bear its own costs.</w:t>
      </w:r>
    </w:p>
    <w:p w14:paraId="30CD82F9" w14:textId="77777777" w:rsidR="002D0E71" w:rsidRDefault="00000000">
      <w:pPr>
        <w:pStyle w:val="Normal3"/>
        <w:widowControl w:val="0"/>
        <w:spacing w:before="200" w:line="260" w:lineRule="atLeast"/>
        <w:jc w:val="both"/>
      </w:pPr>
      <w:bookmarkStart w:id="441" w:name="Bookmark_para_43"/>
      <w:bookmarkEnd w:id="441"/>
      <w:r>
        <w:rPr>
          <w:rFonts w:ascii="Arial" w:eastAsia="Arial" w:hAnsi="Arial" w:cs="Arial"/>
          <w:color w:val="000000"/>
          <w:sz w:val="20"/>
        </w:rPr>
        <w:t>So ordered.</w:t>
      </w:r>
    </w:p>
    <w:p w14:paraId="57264ECA" w14:textId="77777777" w:rsidR="002D0E71" w:rsidRDefault="002D0E71">
      <w:pPr>
        <w:pStyle w:val="Normal3"/>
      </w:pPr>
    </w:p>
    <w:p w14:paraId="73A98E65" w14:textId="41D5D294" w:rsidR="002D0E71" w:rsidRDefault="00000000">
      <w:pPr>
        <w:pStyle w:val="Normal3"/>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65408" behindDoc="0" locked="0" layoutInCell="1" allowOverlap="1" wp14:anchorId="58C51DCF" wp14:editId="7E1D370C">
                <wp:simplePos x="0" y="0"/>
                <wp:positionH relativeFrom="column">
                  <wp:posOffset>0</wp:posOffset>
                </wp:positionH>
                <wp:positionV relativeFrom="paragraph">
                  <wp:posOffset>127000</wp:posOffset>
                </wp:positionV>
                <wp:extent cx="6502400" cy="0"/>
                <wp:effectExtent l="9525" t="12700" r="12700" b="6350"/>
                <wp:wrapNone/>
                <wp:docPr id="1155227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216F7"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AC8B1ED" w14:textId="77777777" w:rsidR="002D0E71" w:rsidRDefault="002D0E71">
      <w:pPr>
        <w:pStyle w:val="Normal4"/>
        <w:sectPr w:rsidR="002D0E71">
          <w:headerReference w:type="even" r:id="rId30"/>
          <w:headerReference w:type="default" r:id="rId31"/>
          <w:footerReference w:type="even" r:id="rId32"/>
          <w:footerReference w:type="default" r:id="rId33"/>
          <w:headerReference w:type="first" r:id="rId34"/>
          <w:footerReference w:type="first" r:id="rId35"/>
          <w:pgSz w:w="12240" w:h="15840"/>
          <w:pgMar w:top="840" w:right="1000" w:bottom="840" w:left="1000" w:header="400" w:footer="400" w:gutter="0"/>
          <w:cols w:space="720"/>
          <w:titlePg/>
        </w:sectPr>
      </w:pPr>
    </w:p>
    <w:p w14:paraId="105EA70B" w14:textId="77777777" w:rsidR="002D0E71" w:rsidRDefault="002D0E71">
      <w:pPr>
        <w:pStyle w:val="Normal4"/>
      </w:pPr>
    </w:p>
    <w:p w14:paraId="1A3B1196" w14:textId="77777777" w:rsidR="002D0E71" w:rsidRDefault="00000000">
      <w:pPr>
        <w:pStyle w:val="Heading13"/>
        <w:keepNext w:val="0"/>
        <w:widowControl w:val="0"/>
        <w:spacing w:after="200" w:line="340" w:lineRule="atLeast"/>
        <w:jc w:val="center"/>
      </w:pPr>
      <w:r>
        <w:rPr>
          <w:rFonts w:eastAsia="Arial"/>
          <w:color w:val="000000"/>
          <w:sz w:val="28"/>
        </w:rPr>
        <w:t>Wright v. N.Y. State Dep't of Corr. &amp; Cmty. Supervision</w:t>
      </w:r>
    </w:p>
    <w:p w14:paraId="671E70FF" w14:textId="77777777" w:rsidR="002D0E71" w:rsidRDefault="00000000">
      <w:pPr>
        <w:pStyle w:val="Normal4"/>
        <w:widowControl w:val="0"/>
        <w:spacing w:before="120" w:line="260" w:lineRule="atLeast"/>
        <w:jc w:val="center"/>
      </w:pPr>
      <w:r>
        <w:rPr>
          <w:rFonts w:ascii="Arial" w:eastAsia="Arial" w:hAnsi="Arial" w:cs="Arial"/>
          <w:color w:val="000000"/>
          <w:sz w:val="20"/>
        </w:rPr>
        <w:t>United States Court of Appeals for the Second Circuit</w:t>
      </w:r>
    </w:p>
    <w:p w14:paraId="15E1C7BF" w14:textId="77777777" w:rsidR="002D0E71" w:rsidRDefault="00000000">
      <w:pPr>
        <w:pStyle w:val="Normal4"/>
        <w:widowControl w:val="0"/>
        <w:spacing w:before="120" w:line="260" w:lineRule="atLeast"/>
        <w:jc w:val="center"/>
      </w:pPr>
      <w:r>
        <w:rPr>
          <w:rFonts w:ascii="Arial" w:eastAsia="Arial" w:hAnsi="Arial" w:cs="Arial"/>
          <w:color w:val="000000"/>
          <w:sz w:val="20"/>
        </w:rPr>
        <w:t>February 18, 2016, Argued; July 29, 2016, Decided</w:t>
      </w:r>
    </w:p>
    <w:p w14:paraId="11B8AD73" w14:textId="77777777" w:rsidR="002D0E71" w:rsidRDefault="00000000">
      <w:pPr>
        <w:pStyle w:val="Normal4"/>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Docket No. 15-3168-cv</w:t>
      </w:r>
    </w:p>
    <w:p w14:paraId="74E2DE0E" w14:textId="77777777" w:rsidR="002D0E71" w:rsidRDefault="002D0E71">
      <w:pPr>
        <w:pStyle w:val="Normal4"/>
        <w:widowControl w:val="0"/>
        <w:spacing w:line="240" w:lineRule="atLeast"/>
        <w:jc w:val="both"/>
      </w:pPr>
      <w:bookmarkStart w:id="442" w:name="Bookmark_5"/>
      <w:bookmarkEnd w:id="442"/>
    </w:p>
    <w:p w14:paraId="3E6DB1A7" w14:textId="77777777" w:rsidR="002D0E71" w:rsidRDefault="00000000">
      <w:pPr>
        <w:pStyle w:val="Normal4"/>
        <w:widowControl w:val="0"/>
        <w:spacing w:before="200" w:line="240" w:lineRule="atLeast"/>
      </w:pPr>
      <w:bookmarkStart w:id="443" w:name="Reporter_3"/>
      <w:bookmarkEnd w:id="443"/>
      <w:r>
        <w:rPr>
          <w:rFonts w:ascii="Arial" w:eastAsia="Arial" w:hAnsi="Arial" w:cs="Arial"/>
          <w:b/>
          <w:color w:val="000000"/>
          <w:sz w:val="18"/>
        </w:rPr>
        <w:t>Reporter</w:t>
      </w:r>
    </w:p>
    <w:p w14:paraId="1145232C" w14:textId="77777777" w:rsidR="002D0E71" w:rsidRDefault="00000000">
      <w:pPr>
        <w:pStyle w:val="Normal4"/>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831 F.3d 64 *; 2016 U.S. App. LEXIS 13809 **; 2016 WL 4056036</w:t>
      </w:r>
    </w:p>
    <w:p w14:paraId="2462F7BF" w14:textId="77777777" w:rsidR="002D0E71" w:rsidRDefault="00000000">
      <w:pPr>
        <w:pStyle w:val="Normal4"/>
        <w:widowControl w:val="0"/>
        <w:spacing w:before="120" w:line="260" w:lineRule="atLeast"/>
      </w:pPr>
      <w:r>
        <w:rPr>
          <w:rFonts w:ascii="Arial" w:eastAsia="Arial" w:hAnsi="Arial" w:cs="Arial"/>
          <w:color w:val="000000"/>
          <w:sz w:val="20"/>
        </w:rPr>
        <w:t>NATHANIEL WRIGHT, Plaintiff-Appellant, - v. - NEW YORK STATE DEPARTMENT OF CORRECTIONS AND COMMUNITY SUPERVISION, ANTHONY ANNUCCI, Acting Commissioner of Department of Corrections and Community Supervision, CHARLES KELLY, JR., Superintendent; Marcy Correctional Facility, Defendants-Appellees.</w:t>
      </w:r>
      <w:r>
        <w:rPr>
          <w:rFonts w:ascii="Arial" w:eastAsia="Arial" w:hAnsi="Arial" w:cs="Arial"/>
          <w:vertAlign w:val="superscript"/>
        </w:rPr>
        <w:footnoteReference w:customMarkFollows="1" w:id="10"/>
        <w:t>*</w:t>
      </w:r>
    </w:p>
    <w:p w14:paraId="03C72D09" w14:textId="77777777" w:rsidR="002D0E71" w:rsidRDefault="00000000">
      <w:pPr>
        <w:pStyle w:val="Normal4"/>
        <w:widowControl w:val="0"/>
        <w:spacing w:before="240" w:line="260" w:lineRule="atLeast"/>
        <w:jc w:val="both"/>
      </w:pPr>
      <w:bookmarkStart w:id="445" w:name="Subsequent_History_0"/>
      <w:bookmarkEnd w:id="445"/>
      <w:r>
        <w:rPr>
          <w:rFonts w:ascii="Arial" w:eastAsia="Arial" w:hAnsi="Arial" w:cs="Arial"/>
          <w:b/>
          <w:color w:val="000000"/>
          <w:sz w:val="20"/>
        </w:rPr>
        <w:t>Subsequent History:</w:t>
      </w:r>
      <w:r>
        <w:rPr>
          <w:rFonts w:ascii="Arial" w:eastAsia="Arial" w:hAnsi="Arial" w:cs="Arial"/>
          <w:color w:val="000000"/>
          <w:sz w:val="20"/>
        </w:rPr>
        <w:t> </w:t>
      </w:r>
      <w:bookmarkStart w:id="446" w:name="Bookmark_para_1_3"/>
      <w:bookmarkEnd w:id="446"/>
      <w:r>
        <w:rPr>
          <w:rFonts w:ascii="Arial" w:eastAsia="Arial" w:hAnsi="Arial" w:cs="Arial"/>
          <w:color w:val="000000"/>
          <w:sz w:val="20"/>
        </w:rPr>
        <w:t>Counsel Amended September 8, 2016.</w:t>
      </w:r>
    </w:p>
    <w:p w14:paraId="0B177329" w14:textId="77777777" w:rsidR="002D0E71" w:rsidRDefault="00000000">
      <w:pPr>
        <w:pStyle w:val="Normal4"/>
        <w:widowControl w:val="0"/>
        <w:spacing w:before="240" w:line="260" w:lineRule="atLeast"/>
        <w:jc w:val="both"/>
      </w:pPr>
      <w:bookmarkStart w:id="447" w:name="Prior_History_3"/>
      <w:bookmarkEnd w:id="447"/>
      <w:r>
        <w:rPr>
          <w:rFonts w:ascii="Arial" w:eastAsia="Arial" w:hAnsi="Arial" w:cs="Arial"/>
          <w:b/>
          <w:color w:val="000000"/>
          <w:sz w:val="20"/>
        </w:rPr>
        <w:t>Prior History:</w:t>
      </w:r>
      <w:r>
        <w:rPr>
          <w:rFonts w:ascii="Arial" w:eastAsia="Arial" w:hAnsi="Arial" w:cs="Arial"/>
          <w:color w:val="000000"/>
          <w:sz w:val="20"/>
        </w:rPr>
        <w:t> </w:t>
      </w:r>
      <w:bookmarkStart w:id="448" w:name="Bookmark_para_2_3"/>
      <w:bookmarkEnd w:id="448"/>
      <w:r>
        <w:rPr>
          <w:rFonts w:ascii="Arial" w:eastAsia="Arial" w:hAnsi="Arial" w:cs="Arial"/>
          <w:color w:val="000000"/>
          <w:sz w:val="20"/>
        </w:rPr>
        <w:t> [**1] Nathaniel Wright, a mobility-impaired inmate in the custody of the New York State Department of Corrections and Community Supervision, appeals a decision from the United States District Court for the Northern District of New York (D'Agostino, J.) granting summary judgment against him on his claims under the Americans with Disabilities Act ("ADA") and the Rehabilitation Act ("RA"). The district court denied declaratory and injunctive relief that would have allowed Wright to use his motorized wheelchair while he is incarcerated. Because we determine that Department of Corrections' blanket ban on motorized wheelchairs violates the ADA and the RA and that there is a dispute of material fact as to whether defendants provided Wright meaningful access to DOCCS services or would be unduly burdened by allowing Wright the use of his motorized wheelchair, we vacate the judgment and remand for further proceedings.</w:t>
      </w:r>
    </w:p>
    <w:p w14:paraId="1DA9AAE9" w14:textId="77777777" w:rsidR="002D0E71" w:rsidRDefault="00000000">
      <w:pPr>
        <w:pStyle w:val="Normal4"/>
        <w:widowControl w:val="0"/>
        <w:spacing w:before="120" w:line="260" w:lineRule="atLeast"/>
      </w:pPr>
      <w:r>
        <w:rPr>
          <w:rFonts w:ascii="Arial" w:eastAsia="Arial" w:hAnsi="Arial" w:cs="Arial"/>
          <w:color w:val="000000"/>
          <w:sz w:val="20"/>
        </w:rPr>
        <w:t>Wright v. New York State Dep't of Corr. &amp; Cmty. Supervision, 2015 U.S. Dist. LEXIS 132310 (N.D.N.Y, Sept. 30, 2015)</w:t>
      </w:r>
    </w:p>
    <w:p w14:paraId="110E7D45" w14:textId="77777777" w:rsidR="002D0E71" w:rsidRDefault="00000000">
      <w:pPr>
        <w:pStyle w:val="Normal4"/>
        <w:widowControl w:val="0"/>
        <w:spacing w:before="240" w:line="260" w:lineRule="atLeast"/>
      </w:pPr>
      <w:bookmarkStart w:id="449" w:name="Counsel_3"/>
      <w:bookmarkEnd w:id="449"/>
      <w:r>
        <w:rPr>
          <w:rFonts w:ascii="Arial" w:eastAsia="Arial" w:hAnsi="Arial" w:cs="Arial"/>
          <w:b/>
          <w:color w:val="000000"/>
          <w:sz w:val="20"/>
        </w:rPr>
        <w:t>Counsel:</w:t>
      </w:r>
      <w:r>
        <w:rPr>
          <w:rFonts w:ascii="Arial" w:eastAsia="Arial" w:hAnsi="Arial" w:cs="Arial"/>
          <w:color w:val="000000"/>
          <w:sz w:val="20"/>
        </w:rPr>
        <w:t> JOSHUA T. COTTER, Legal Services of Central New York, Inc., Syracuse, NY, for Plaintiff-Appellant.</w:t>
      </w:r>
    </w:p>
    <w:p w14:paraId="73E8849F" w14:textId="77777777" w:rsidR="002D0E71" w:rsidRDefault="00000000">
      <w:pPr>
        <w:pStyle w:val="Normal4"/>
        <w:widowControl w:val="0"/>
        <w:spacing w:before="120" w:line="260" w:lineRule="atLeast"/>
      </w:pPr>
      <w:r>
        <w:rPr>
          <w:rFonts w:ascii="Arial" w:eastAsia="Arial" w:hAnsi="Arial" w:cs="Arial"/>
          <w:color w:val="000000"/>
          <w:sz w:val="20"/>
        </w:rPr>
        <w:t>KATE H. NEPVEU, Assistant Solicitor General (Barbara D. Underwood, Solicitor General &amp; Andrea Oser, Deputy Solicitor General, on the brief), for Eric T. Schneiderman, Attorney General of the [**2]  State of New York, Albany, NY, for Defendants-Appellees.</w:t>
      </w:r>
    </w:p>
    <w:p w14:paraId="3A34CFAF" w14:textId="77777777" w:rsidR="002D0E71" w:rsidRDefault="00000000">
      <w:pPr>
        <w:pStyle w:val="Normal4"/>
        <w:widowControl w:val="0"/>
        <w:spacing w:before="120" w:line="260" w:lineRule="atLeast"/>
      </w:pPr>
      <w:r>
        <w:rPr>
          <w:rFonts w:ascii="Arial" w:eastAsia="Arial" w:hAnsi="Arial" w:cs="Arial"/>
          <w:color w:val="000000"/>
          <w:sz w:val="20"/>
        </w:rPr>
        <w:t>CLIFF ZUCKER, Disability Advocates, Inc., Albany, NY, for Amici Curiae, Disability Rights New York, Disability Rights Vermont, State of Connecticut Office of Protection and Advocacy for Persons with Disabilities, National Disability Rights Network, Prisoners' Legal Services of New York.</w:t>
      </w:r>
    </w:p>
    <w:p w14:paraId="1710333C" w14:textId="77777777" w:rsidR="002D0E71" w:rsidRDefault="00000000">
      <w:pPr>
        <w:pStyle w:val="Normal4"/>
        <w:widowControl w:val="0"/>
        <w:spacing w:before="240" w:line="260" w:lineRule="atLeast"/>
      </w:pPr>
      <w:bookmarkStart w:id="450" w:name="Judges_3"/>
      <w:bookmarkEnd w:id="450"/>
      <w:r>
        <w:rPr>
          <w:rFonts w:ascii="Arial" w:eastAsia="Arial" w:hAnsi="Arial" w:cs="Arial"/>
          <w:b/>
          <w:color w:val="000000"/>
          <w:sz w:val="20"/>
        </w:rPr>
        <w:t>Judges:</w:t>
      </w:r>
      <w:r>
        <w:rPr>
          <w:rFonts w:ascii="Arial" w:eastAsia="Arial" w:hAnsi="Arial" w:cs="Arial"/>
          <w:color w:val="000000"/>
          <w:sz w:val="20"/>
        </w:rPr>
        <w:t> Before: WINTER, HALL, and DRONEY, Circuit Judges.</w:t>
      </w:r>
    </w:p>
    <w:p w14:paraId="638A4349" w14:textId="77777777" w:rsidR="002D0E71" w:rsidRDefault="00000000">
      <w:pPr>
        <w:pStyle w:val="Normal4"/>
        <w:widowControl w:val="0"/>
        <w:spacing w:before="240" w:line="260" w:lineRule="atLeast"/>
      </w:pPr>
      <w:bookmarkStart w:id="451" w:name="Opinion_by_2"/>
      <w:bookmarkEnd w:id="451"/>
      <w:r>
        <w:rPr>
          <w:rFonts w:ascii="Arial" w:eastAsia="Arial" w:hAnsi="Arial" w:cs="Arial"/>
          <w:b/>
          <w:color w:val="000000"/>
          <w:sz w:val="20"/>
        </w:rPr>
        <w:t>Opinion by:</w:t>
      </w:r>
      <w:r>
        <w:rPr>
          <w:rFonts w:ascii="Arial" w:eastAsia="Arial" w:hAnsi="Arial" w:cs="Arial"/>
          <w:color w:val="000000"/>
          <w:sz w:val="20"/>
        </w:rPr>
        <w:t> WINTER; HALL</w:t>
      </w:r>
    </w:p>
    <w:p w14:paraId="4A443417" w14:textId="77777777" w:rsidR="002D0E71" w:rsidRDefault="00000000">
      <w:pPr>
        <w:pStyle w:val="Normal4"/>
        <w:keepNext/>
        <w:widowControl w:val="0"/>
        <w:spacing w:before="240" w:line="340" w:lineRule="atLeast"/>
      </w:pPr>
      <w:bookmarkStart w:id="452" w:name="Opinion_3"/>
      <w:bookmarkEnd w:id="452"/>
      <w:r>
        <w:rPr>
          <w:rFonts w:ascii="Arial" w:eastAsia="Arial" w:hAnsi="Arial" w:cs="Arial"/>
          <w:b/>
          <w:color w:val="000000"/>
          <w:sz w:val="28"/>
        </w:rPr>
        <w:t>Opinion</w:t>
      </w:r>
    </w:p>
    <w:p w14:paraId="358F37C3" w14:textId="720989A8" w:rsidR="002D0E71" w:rsidRDefault="002939DF">
      <w:pPr>
        <w:pStyle w:val="Normal4"/>
        <w:spacing w:line="60" w:lineRule="exact"/>
      </w:pPr>
      <w:r>
        <w:rPr>
          <w:noProof/>
        </w:rPr>
        <mc:AlternateContent>
          <mc:Choice Requires="wps">
            <w:drawing>
              <wp:anchor distT="0" distB="0" distL="114300" distR="114300" simplePos="0" relativeHeight="251666432" behindDoc="0" locked="0" layoutInCell="1" allowOverlap="1" wp14:anchorId="1D1573F4" wp14:editId="244123DD">
                <wp:simplePos x="0" y="0"/>
                <wp:positionH relativeFrom="column">
                  <wp:posOffset>0</wp:posOffset>
                </wp:positionH>
                <wp:positionV relativeFrom="paragraph">
                  <wp:posOffset>25400</wp:posOffset>
                </wp:positionV>
                <wp:extent cx="3187700" cy="0"/>
                <wp:effectExtent l="19050" t="15875" r="12700" b="12700"/>
                <wp:wrapTopAndBottom/>
                <wp:docPr id="179839646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A282C"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525B12C6" w14:textId="77777777" w:rsidR="002D0E71" w:rsidRDefault="002D0E71">
      <w:pPr>
        <w:pStyle w:val="Normal4"/>
      </w:pPr>
    </w:p>
    <w:p w14:paraId="0AEC1518" w14:textId="77777777" w:rsidR="002D0E71" w:rsidRDefault="00000000">
      <w:pPr>
        <w:pStyle w:val="Normal4"/>
        <w:widowControl w:val="0"/>
        <w:spacing w:before="200" w:line="260" w:lineRule="atLeast"/>
        <w:jc w:val="both"/>
      </w:pPr>
      <w:bookmarkStart w:id="453" w:name="Bookmark_para_3_3"/>
      <w:bookmarkEnd w:id="453"/>
      <w:r>
        <w:rPr>
          <w:rFonts w:ascii="Arial" w:eastAsia="Arial" w:hAnsi="Arial" w:cs="Arial"/>
          <w:color w:val="000000"/>
          <w:sz w:val="20"/>
        </w:rPr>
        <w:t xml:space="preserve"> [*68]  </w:t>
      </w:r>
      <w:r>
        <w:rPr>
          <w:rFonts w:ascii="Arial" w:eastAsia="Arial" w:hAnsi="Arial" w:cs="Arial"/>
          <w:smallCaps/>
          <w:color w:val="000000"/>
          <w:sz w:val="20"/>
        </w:rPr>
        <w:t>Winter</w:t>
      </w:r>
      <w:r>
        <w:rPr>
          <w:rFonts w:ascii="Arial" w:eastAsia="Arial" w:hAnsi="Arial" w:cs="Arial"/>
          <w:color w:val="000000"/>
          <w:sz w:val="20"/>
        </w:rPr>
        <w:t xml:space="preserve"> and </w:t>
      </w:r>
      <w:r>
        <w:rPr>
          <w:rFonts w:ascii="Arial" w:eastAsia="Arial" w:hAnsi="Arial" w:cs="Arial"/>
          <w:smallCaps/>
          <w:color w:val="000000"/>
          <w:sz w:val="20"/>
        </w:rPr>
        <w:t>Hall</w:t>
      </w:r>
      <w:r>
        <w:rPr>
          <w:rFonts w:ascii="Arial" w:eastAsia="Arial" w:hAnsi="Arial" w:cs="Arial"/>
          <w:color w:val="000000"/>
          <w:sz w:val="20"/>
        </w:rPr>
        <w:t xml:space="preserve">, </w:t>
      </w:r>
      <w:r>
        <w:rPr>
          <w:rFonts w:ascii="Arial" w:eastAsia="Arial" w:hAnsi="Arial" w:cs="Arial"/>
          <w:i/>
          <w:color w:val="000000"/>
          <w:sz w:val="20"/>
        </w:rPr>
        <w:t>Circuit Judges</w:t>
      </w:r>
      <w:r>
        <w:rPr>
          <w:rFonts w:ascii="Arial" w:eastAsia="Arial" w:hAnsi="Arial" w:cs="Arial"/>
          <w:color w:val="000000"/>
          <w:sz w:val="20"/>
        </w:rPr>
        <w:t>:</w:t>
      </w:r>
    </w:p>
    <w:p w14:paraId="1DF1E10F" w14:textId="77777777" w:rsidR="002D0E71" w:rsidRDefault="00000000">
      <w:pPr>
        <w:pStyle w:val="Normal4"/>
        <w:widowControl w:val="0"/>
        <w:spacing w:before="200" w:line="260" w:lineRule="atLeast"/>
        <w:jc w:val="both"/>
      </w:pPr>
      <w:bookmarkStart w:id="454" w:name="Bookmark_para_4_3"/>
      <w:bookmarkEnd w:id="454"/>
      <w:r>
        <w:rPr>
          <w:rFonts w:ascii="Arial" w:eastAsia="Arial" w:hAnsi="Arial" w:cs="Arial"/>
          <w:color w:val="000000"/>
          <w:sz w:val="20"/>
        </w:rPr>
        <w:t>Appellant Nathaniel Wright, a mobility-impaired inmate who suffers from cerebral palsy and scoliosis, brought suit against the New York State Department of Corrections and Community Supervision and certain of its officers (collectively, "DOCCS") under Title II of the Americans with Disabilities Act ("ADA") and Section 504 of the Rehabilitation Act ("RA") seeking declaratory and injunctive relief allowing him to use his motorized wheelchair within DOCCS facilities. Wright makes three arguments: (1) DOCCS's mobility assistance program is not a reasonable accommodation for his disability, (2) allowing him to use his motorized wheelchair would not unduly burden DOCCS, and (3) DOCCS's blanket ban on motorized wheelchairs violates the ADA and RA. After discovery, the district court granted summary judgment in favor of DOCCS and determined that the mobility assistance program gives Wright meaningful access to prison programs, benefits, and services.</w:t>
      </w:r>
    </w:p>
    <w:p w14:paraId="6353BDC9" w14:textId="77777777" w:rsidR="002D0E71" w:rsidRDefault="00000000">
      <w:pPr>
        <w:pStyle w:val="Normal4"/>
        <w:widowControl w:val="0"/>
        <w:spacing w:before="200" w:line="260" w:lineRule="atLeast"/>
        <w:jc w:val="both"/>
      </w:pPr>
      <w:bookmarkStart w:id="455" w:name="Bookmark_para_5_3"/>
      <w:bookmarkEnd w:id="455"/>
      <w:r>
        <w:rPr>
          <w:rFonts w:ascii="Arial" w:eastAsia="Arial" w:hAnsi="Arial" w:cs="Arial"/>
          <w:color w:val="000000"/>
          <w:sz w:val="20"/>
        </w:rPr>
        <w:t>We hold that the district court erred by granting summary judgment in favor of DOCCS because there is a genuine [**3]  dispute  [*69]  of material fact as to whether the mobility assistance program provides Wright meaningful access to DOCCS services and as to whether allowing Wright the use of his motorized wheelchair would unduly burden DOCCS. In arriving at this conclusion, we further hold that DOCCS's blanket ban on motorized wheelchairs—without an individualized inquiry into the risks of allowing a mobility-impaired inmate to use his or her motorized wheelchair—violates the ADA and the RA. We therefore vacate the grant of summary judgment and remand for further proceedings consistent with this opinion.</w:t>
      </w:r>
    </w:p>
    <w:p w14:paraId="1EA4B0D9" w14:textId="77777777" w:rsidR="002D0E71" w:rsidRDefault="00000000">
      <w:pPr>
        <w:pStyle w:val="Normal4"/>
        <w:widowControl w:val="0"/>
        <w:spacing w:before="240" w:line="260" w:lineRule="atLeast"/>
      </w:pPr>
      <w:r>
        <w:br/>
      </w:r>
      <w:r>
        <w:rPr>
          <w:rFonts w:ascii="Arial" w:eastAsia="Arial" w:hAnsi="Arial" w:cs="Arial"/>
          <w:b/>
          <w:color w:val="000000"/>
          <w:sz w:val="20"/>
        </w:rPr>
        <w:t>BACKGROUND</w:t>
      </w:r>
    </w:p>
    <w:p w14:paraId="2F212CBB" w14:textId="77777777" w:rsidR="002D0E71" w:rsidRDefault="00000000">
      <w:pPr>
        <w:pStyle w:val="Normal4"/>
        <w:widowControl w:val="0"/>
        <w:spacing w:before="200" w:line="260" w:lineRule="atLeast"/>
        <w:jc w:val="both"/>
      </w:pPr>
      <w:bookmarkStart w:id="456" w:name="Bookmark_para_6_3"/>
      <w:bookmarkEnd w:id="456"/>
      <w:r>
        <w:rPr>
          <w:rFonts w:ascii="Arial" w:eastAsia="Arial" w:hAnsi="Arial" w:cs="Arial"/>
          <w:color w:val="000000"/>
          <w:sz w:val="20"/>
        </w:rPr>
        <w:t>Wright has lived with cerebral palsy and scoliosis all his life. As a result of cerebral palsy, Wright's legs are severely deformed. He can walk only for very short distances and only with the aid of a cane. Since April 2012, Wright has been incarcerated in various New York state jails and prisons. For twenty years prior to incarceration, however, he enjoyed a self-sufficient life through the use of a doctor-prescribed, and Medicaid-provided, motorized wheelchair. His expressed need to continue using his motorized wheelchair while in prison is the impetus for this lawsuit.</w:t>
      </w:r>
    </w:p>
    <w:p w14:paraId="26BDC8BE" w14:textId="77777777" w:rsidR="002D0E71" w:rsidRDefault="00000000">
      <w:pPr>
        <w:pStyle w:val="Normal4"/>
        <w:widowControl w:val="0"/>
        <w:spacing w:before="200" w:line="260" w:lineRule="atLeast"/>
        <w:jc w:val="both"/>
      </w:pPr>
      <w:bookmarkStart w:id="457" w:name="Bookmark_para_7_3"/>
      <w:bookmarkEnd w:id="457"/>
      <w:r>
        <w:rPr>
          <w:rFonts w:ascii="Arial" w:eastAsia="Arial" w:hAnsi="Arial" w:cs="Arial"/>
          <w:color w:val="000000"/>
          <w:sz w:val="20"/>
        </w:rPr>
        <w:t>Wright was initially incarcerated [**4]  in Monroe County Jail, where he was allowed to use his motorized wheelchair in the general population without incident. In October 2012, he was transferred to DOCCS custody at the Elmira Correctional Facility ("Elmira"). After a prison nurse practitioner examined him, Wright was deemed to have a "permanent limitation," given a medical restriction permit, and allowed to use his motorized wheelchair while in the infirmary ward. Joint App'x at 49. After a brief two-week stay at Elmira, Wright was transferred to Marcy Correctional Facility ("Marcy"). About a year later Wright was transferred to Franklin Correctional Facility ("Franklin") where he remains incarcerated. Wright's claims are premised on his time at both Marcy and Franklin.</w:t>
      </w:r>
    </w:p>
    <w:p w14:paraId="59CAED73" w14:textId="77777777" w:rsidR="002D0E71" w:rsidRDefault="00000000">
      <w:pPr>
        <w:pStyle w:val="Normal4"/>
        <w:widowControl w:val="0"/>
        <w:spacing w:before="200" w:line="260" w:lineRule="atLeast"/>
        <w:jc w:val="both"/>
      </w:pPr>
      <w:bookmarkStart w:id="458" w:name="Bookmark_para_8_3"/>
      <w:bookmarkEnd w:id="458"/>
      <w:r>
        <w:rPr>
          <w:rFonts w:ascii="Arial" w:eastAsia="Arial" w:hAnsi="Arial" w:cs="Arial"/>
          <w:color w:val="000000"/>
          <w:sz w:val="20"/>
        </w:rPr>
        <w:t xml:space="preserve">Upon arrival at Marcy, DOCCS personnel seized Wright's motorized wheelchair and provided him with a manual wheelchair and a quad cane. Wright was also provided knee pads and was allowed to use his customized chair cushion with his DOCCS-issued manual wheelchair. DOCCS informed Wright that he would be assigned an inmate mobility aide to move him around the facility. Shortly after his motorized wheelchair was confiscated, Wright filed a prison grievance seeking "reasonable [**5]  accommodations needed to get around the facility independently (i.e. [his] power wheelchair)." </w:t>
      </w:r>
      <w:r>
        <w:rPr>
          <w:rFonts w:ascii="Arial" w:eastAsia="Arial" w:hAnsi="Arial" w:cs="Arial"/>
          <w:color w:val="000000"/>
          <w:sz w:val="20"/>
          <w:u w:val="single"/>
        </w:rPr>
        <w:t>Id.</w:t>
      </w:r>
      <w:r>
        <w:rPr>
          <w:rFonts w:ascii="Arial" w:eastAsia="Arial" w:hAnsi="Arial" w:cs="Arial"/>
          <w:color w:val="000000"/>
          <w:sz w:val="20"/>
        </w:rPr>
        <w:t xml:space="preserve"> at 23. Marcy Superintendent Kelly denied the grievance, finding that Wright's needs were already met. Superintendent Kelly also declared that, because "the possession/use of a motorized wheelchair in a correctional setting includes numerous safety &amp; security issues, Departmental policy is to preclude the use of such items by offenders." </w:t>
      </w:r>
      <w:r>
        <w:rPr>
          <w:rFonts w:ascii="Arial" w:eastAsia="Arial" w:hAnsi="Arial" w:cs="Arial"/>
          <w:color w:val="000000"/>
          <w:sz w:val="20"/>
          <w:u w:val="single"/>
        </w:rPr>
        <w:t>Id.</w:t>
      </w:r>
      <w:r>
        <w:rPr>
          <w:rFonts w:ascii="Arial" w:eastAsia="Arial" w:hAnsi="Arial" w:cs="Arial"/>
          <w:color w:val="000000"/>
          <w:sz w:val="20"/>
        </w:rPr>
        <w:t xml:space="preserve"> This decision was later upheld on appeal by DOCCS's Central Office Review Committee ("CORC"), which noted that "the motorized wheelchair was appropriately denied for legitimate security concerns regarding the strength of the battery, massive amount of wiring, etc." </w:t>
      </w:r>
      <w:r>
        <w:rPr>
          <w:rFonts w:ascii="Arial" w:eastAsia="Arial" w:hAnsi="Arial" w:cs="Arial"/>
          <w:color w:val="000000"/>
          <w:sz w:val="20"/>
          <w:u w:val="single"/>
        </w:rPr>
        <w:t>Id.</w:t>
      </w:r>
      <w:r>
        <w:rPr>
          <w:rFonts w:ascii="Arial" w:eastAsia="Arial" w:hAnsi="Arial" w:cs="Arial"/>
          <w:color w:val="000000"/>
          <w:sz w:val="20"/>
        </w:rPr>
        <w:t xml:space="preserve"> at 25. CORC stated that Wright's needs were already being reasonably accommodated because he had been given a manual wheelchair and was "assigned another inmate who is programmed as a mobility aide to assist him with daily living activities and movement within the facility." </w:t>
      </w:r>
      <w:r>
        <w:rPr>
          <w:rFonts w:ascii="Arial" w:eastAsia="Arial" w:hAnsi="Arial" w:cs="Arial"/>
          <w:color w:val="000000"/>
          <w:sz w:val="20"/>
          <w:u w:val="single"/>
        </w:rPr>
        <w:t>Id.</w:t>
      </w:r>
    </w:p>
    <w:p w14:paraId="5904391B" w14:textId="77777777" w:rsidR="002D0E71" w:rsidRDefault="00000000">
      <w:pPr>
        <w:pStyle w:val="Normal4"/>
        <w:widowControl w:val="0"/>
        <w:spacing w:before="200" w:line="260" w:lineRule="atLeast"/>
        <w:jc w:val="both"/>
      </w:pPr>
      <w:bookmarkStart w:id="459" w:name="Bookmark_para_9_3"/>
      <w:bookmarkEnd w:id="459"/>
      <w:r>
        <w:rPr>
          <w:rFonts w:ascii="Arial" w:eastAsia="Arial" w:hAnsi="Arial" w:cs="Arial"/>
          <w:color w:val="000000"/>
          <w:sz w:val="20"/>
        </w:rPr>
        <w:t xml:space="preserve">DOCCS has a blanket policy that precludes the use of motorized wheelchairs by inmates. Mobility-impaired inmates who cannot propel themselves in a manual  [*70]  wheelchair must rely upon inmate mobility aides to move throughout the facility [**6]  and to attend programs and services. At Marcy, Wright was assigned a specific mobility aide who knew Wright's general schedule and for whom other aides would substitute as necessary. At Franklin, however, Wright was not assigned specific mobility aides; instead, he received assistance from a pool of trained inmates. Franklin provides four trained mobility aides for each mobility-impaired inmate. In both facilities Wright could utilize mobility aides only if he put in a request for assistance with "Housing Unit Officers well in advance." </w:t>
      </w:r>
      <w:r>
        <w:rPr>
          <w:rFonts w:ascii="Arial" w:eastAsia="Arial" w:hAnsi="Arial" w:cs="Arial"/>
          <w:color w:val="000000"/>
          <w:sz w:val="20"/>
          <w:u w:val="single"/>
        </w:rPr>
        <w:t>Id.</w:t>
      </w:r>
      <w:r>
        <w:rPr>
          <w:rFonts w:ascii="Arial" w:eastAsia="Arial" w:hAnsi="Arial" w:cs="Arial"/>
          <w:color w:val="000000"/>
          <w:sz w:val="20"/>
        </w:rPr>
        <w:t xml:space="preserve"> at 308.</w:t>
      </w:r>
    </w:p>
    <w:p w14:paraId="120FA2F8" w14:textId="77777777" w:rsidR="002D0E71" w:rsidRDefault="00000000">
      <w:pPr>
        <w:pStyle w:val="Normal4"/>
        <w:widowControl w:val="0"/>
        <w:spacing w:before="200" w:line="260" w:lineRule="atLeast"/>
        <w:jc w:val="both"/>
      </w:pPr>
      <w:bookmarkStart w:id="460" w:name="Bookmark_para_10_3"/>
      <w:bookmarkEnd w:id="460"/>
      <w:r>
        <w:rPr>
          <w:rFonts w:ascii="Arial" w:eastAsia="Arial" w:hAnsi="Arial" w:cs="Arial"/>
          <w:color w:val="000000"/>
          <w:sz w:val="20"/>
        </w:rPr>
        <w:t>Wright alleges that the mobility assistance program does not provide him meaningful access to prison programs and services. According to Wright, his disability is such that he is only able to move himself in a manual wheelchair for short periods of time and for short distances because using a manual wheelchair causes him physical pain. As a result, he is almost entirely dependent on the mobility assistance program, which he attests is unreliable and ineffective.</w:t>
      </w:r>
    </w:p>
    <w:p w14:paraId="7CEBB59E" w14:textId="77777777" w:rsidR="002D0E71" w:rsidRDefault="00000000">
      <w:pPr>
        <w:pStyle w:val="Normal4"/>
        <w:widowControl w:val="0"/>
        <w:spacing w:before="200" w:line="260" w:lineRule="atLeast"/>
        <w:jc w:val="both"/>
      </w:pPr>
      <w:bookmarkStart w:id="461" w:name="Bookmark_para_11_3"/>
      <w:bookmarkEnd w:id="461"/>
      <w:r>
        <w:rPr>
          <w:rFonts w:ascii="Arial" w:eastAsia="Arial" w:hAnsi="Arial" w:cs="Arial"/>
          <w:color w:val="000000"/>
          <w:sz w:val="20"/>
        </w:rPr>
        <w:t>For example, Wright, at times, has had to ask as many as six mobility aides for help before finding a willing aide. On multiple occasions he has been unable to go to the law library and missed [**7]  morning sick calls, doctor appointments, and meals. Late at night, he often does not "bother" the mobility aides and instead attempts to propel himself to the bathroom. Joint App'x at 155. Even though his cell is about thirty feet from the bathroom, making this trip on his own causes him a great deal of pain, and, on more than one occasion, he has defecated or urinated on himself. Wright has been unable to perform a number of jobs that he would otherwise be able to perform if he had access to his motorized wheelchair, including being a part of the lawn and grounds crew. Finally, Wright avoids recreational time in the yard because he fears he would be unable to escape quickly in the event of a prison fight, and when he is forced to spend recreational time in the yard, he is physically and socially isolated because no inmates are willing to push him around.</w:t>
      </w:r>
    </w:p>
    <w:p w14:paraId="79A37112" w14:textId="77777777" w:rsidR="002D0E71" w:rsidRDefault="00000000">
      <w:pPr>
        <w:pStyle w:val="Normal4"/>
        <w:widowControl w:val="0"/>
        <w:spacing w:before="200" w:line="260" w:lineRule="atLeast"/>
        <w:jc w:val="both"/>
      </w:pPr>
      <w:bookmarkStart w:id="462" w:name="Bookmark_para_12_3"/>
      <w:bookmarkEnd w:id="462"/>
      <w:r>
        <w:rPr>
          <w:rFonts w:ascii="Arial" w:eastAsia="Arial" w:hAnsi="Arial" w:cs="Arial"/>
          <w:color w:val="000000"/>
          <w:sz w:val="20"/>
        </w:rPr>
        <w:t>While Wright has testified that the mobility assistance program has caused him, among other things, indignity and embarrassment, he has never filed a grievance identifying a specific aide who refused to push him. He did file one grievance at Franklin alleging that he missed a doctor's appointment because no mobility aide was willing to push him. An [**8]  investigation later found, however, that Wright missed this appointment as a result of a facility inmate count, not because a mobility aide was unavailable. According to Wright, he has chosen not to identify shirking mobility aides because a person in his "condition [] can't afford being labeled a snitch." Joint App'x at 189.</w:t>
      </w:r>
    </w:p>
    <w:p w14:paraId="0E35B75A" w14:textId="77777777" w:rsidR="002D0E71" w:rsidRDefault="00000000">
      <w:pPr>
        <w:pStyle w:val="Normal4"/>
        <w:widowControl w:val="0"/>
        <w:spacing w:before="200" w:line="260" w:lineRule="atLeast"/>
        <w:jc w:val="both"/>
      </w:pPr>
      <w:bookmarkStart w:id="463" w:name="Bookmark_para_13_3"/>
      <w:bookmarkStart w:id="464" w:name="Bookmark_I5KHTXRR2HM6210020000400"/>
      <w:bookmarkEnd w:id="463"/>
      <w:bookmarkEnd w:id="464"/>
      <w:r>
        <w:rPr>
          <w:rFonts w:ascii="Arial" w:eastAsia="Arial" w:hAnsi="Arial" w:cs="Arial"/>
          <w:color w:val="000000"/>
          <w:sz w:val="20"/>
        </w:rPr>
        <w:t xml:space="preserve">On May 15, 2013, Wright commenced this action, alleging that DOCCS discriminated against him and failed to provide him with a reasonable accommodation in violation of the ADA and the RA. On July 1, 2013, he moved for a preliminary injunction seeking the return of his motorized wheelchair pending a determination of his suit on the merits. The District Court denied the motion. We affirmed this decision by summary order, determining that "the District Court did not abuse its discretion in denying Wright's preliminary injunction." </w:t>
      </w:r>
      <w:bookmarkStart w:id="465" w:name="Bookmark_I5KHTXRR2HM6210010000400"/>
      <w:bookmarkEnd w:id="465"/>
      <w:r>
        <w:rPr>
          <w:rFonts w:ascii="Arial" w:eastAsia="Arial" w:hAnsi="Arial" w:cs="Arial"/>
          <w:color w:val="000000"/>
          <w:sz w:val="20"/>
          <w:u w:val="single"/>
        </w:rPr>
        <w:t>Wright v. Dep't of Corr. &amp; Cmty. Supervision</w:t>
      </w:r>
      <w:r>
        <w:rPr>
          <w:rFonts w:ascii="Arial" w:eastAsia="Arial" w:hAnsi="Arial" w:cs="Arial"/>
          <w:color w:val="000000"/>
          <w:sz w:val="20"/>
        </w:rPr>
        <w:t xml:space="preserve">, 568 Fed. App'x 53, 55 (2d Cir. 2014). We declined, however, to give a "view on the merits" of Wright's ADA and RA claims and "encourage[d] the District Court to consider whether DOCCS is an outlier among state prison systems in denying  [*71]  prisoners the use of motorized wheelchairs." </w:t>
      </w:r>
      <w:r>
        <w:rPr>
          <w:rFonts w:ascii="Arial" w:eastAsia="Arial" w:hAnsi="Arial" w:cs="Arial"/>
          <w:color w:val="000000"/>
          <w:sz w:val="20"/>
          <w:u w:val="single"/>
        </w:rPr>
        <w:t>Id.</w:t>
      </w:r>
    </w:p>
    <w:p w14:paraId="3DC7BC41" w14:textId="77777777" w:rsidR="002D0E71" w:rsidRDefault="00000000">
      <w:pPr>
        <w:pStyle w:val="Normal4"/>
        <w:widowControl w:val="0"/>
        <w:spacing w:before="200" w:line="260" w:lineRule="atLeast"/>
        <w:jc w:val="both"/>
      </w:pPr>
      <w:bookmarkStart w:id="466" w:name="Bookmark_para_14_3"/>
      <w:bookmarkEnd w:id="466"/>
      <w:r>
        <w:rPr>
          <w:rFonts w:ascii="Arial" w:eastAsia="Arial" w:hAnsi="Arial" w:cs="Arial"/>
          <w:color w:val="000000"/>
          <w:sz w:val="20"/>
        </w:rPr>
        <w:t>On July 3, 2014, Wright filed a second amended complaint "seek[ing] declaratory and injunctive relief to compel [DOCCS] to allow [Wright [**9]  the] use of his personal motorized wheelchair within DOCCS facilities." Joint App'x at 63. Wright set forth evidence that thirty state prison systems and the Federal Bureau of Prisons allow mobility-impaired inmates to use motorized wheelchairs, at the very least, on a case-by-case basis. Only eleven states, including New York, have a blanket ban on the use of motorized wheelchairs.</w:t>
      </w:r>
    </w:p>
    <w:p w14:paraId="328DEB2C" w14:textId="77777777" w:rsidR="002D0E71" w:rsidRDefault="00000000">
      <w:pPr>
        <w:pStyle w:val="Normal4"/>
        <w:widowControl w:val="0"/>
        <w:spacing w:before="200" w:line="260" w:lineRule="atLeast"/>
        <w:jc w:val="both"/>
      </w:pPr>
      <w:bookmarkStart w:id="467" w:name="Bookmark_para_15_3"/>
      <w:bookmarkEnd w:id="467"/>
      <w:r>
        <w:rPr>
          <w:rFonts w:ascii="Arial" w:eastAsia="Arial" w:hAnsi="Arial" w:cs="Arial"/>
          <w:color w:val="000000"/>
          <w:sz w:val="20"/>
        </w:rPr>
        <w:t>DOCCS employees outlined a number of security concerns with motorized wheelchairs beyond their potential use as a weapon, including the following: (1) motorized wheelchairs are heavy, weighing between 228 and 278 pounds, and can injure individuals who are inadvertently hit by them; (2) they are complex machines that cannot easily be inspected and can be used to hide contraband; and (3) motorized wheelchairs are powered by potentially dangerous acid batteries.</w:t>
      </w:r>
    </w:p>
    <w:p w14:paraId="0983BD7F" w14:textId="77777777" w:rsidR="002D0E71" w:rsidRDefault="00000000">
      <w:pPr>
        <w:pStyle w:val="Normal4"/>
        <w:widowControl w:val="0"/>
        <w:spacing w:before="200" w:line="260" w:lineRule="atLeast"/>
        <w:jc w:val="both"/>
      </w:pPr>
      <w:bookmarkStart w:id="468" w:name="Bookmark_para_16_3"/>
      <w:bookmarkEnd w:id="468"/>
      <w:r>
        <w:rPr>
          <w:rFonts w:ascii="Arial" w:eastAsia="Arial" w:hAnsi="Arial" w:cs="Arial"/>
          <w:color w:val="000000"/>
          <w:sz w:val="20"/>
        </w:rPr>
        <w:t>In response, Wright produced evidence to counter these security concerns. He provided a DOCCS directive stating that prisoners are allowed to have electric typewriters, lamps, audio equipment, and hair dryers—devices which have wires or batteries and in which contraband could be hidden. Wright provided an affidavit from Eldon Vail, a former Secretary for the Washington [**10]  State Department of Corrections, who stated that the Washington prison system allows motorized wheelchairs on a case-by-case basis and that he was unaware of a single incident or problem involving an inmate's use of a motorized wheelchair. Vail also noted that mobility-impaired inmates who use motorized chairs are easier to manage, and he observed that DOCCS had not actually assessed the individualized risks associated with allowing Wright to use his motorized wheelchair. He also stated that had DOCCS staff actually inspected Wright's motorized wheelchair, they would have found that the battery and wiring of the wheelchair are "secured in such a way that tools are required to access them." Joint App'x at 103. Vail also asserted that because Wright has had no behavioral problems while incarcerated, Wright's use of a motorized wheelchair was unlikely to be a security concern.</w:t>
      </w:r>
    </w:p>
    <w:p w14:paraId="1E0961B1" w14:textId="77777777" w:rsidR="002D0E71" w:rsidRDefault="00000000">
      <w:pPr>
        <w:pStyle w:val="Normal4"/>
        <w:widowControl w:val="0"/>
        <w:spacing w:before="200" w:line="260" w:lineRule="atLeast"/>
        <w:jc w:val="both"/>
      </w:pPr>
      <w:bookmarkStart w:id="469" w:name="Bookmark_para_17_2"/>
      <w:bookmarkStart w:id="470" w:name="Bookmark_I5KHTXRR2HM6210040000400"/>
      <w:bookmarkEnd w:id="469"/>
      <w:bookmarkEnd w:id="470"/>
      <w:r>
        <w:rPr>
          <w:rFonts w:ascii="Arial" w:eastAsia="Arial" w:hAnsi="Arial" w:cs="Arial"/>
          <w:color w:val="000000"/>
          <w:sz w:val="20"/>
        </w:rPr>
        <w:t xml:space="preserve">After discovery, the parties cross-moved for summary judgment. </w:t>
      </w:r>
      <w:bookmarkStart w:id="471" w:name="Bookmark_I5KHTXRR28T44Y0010000400"/>
      <w:bookmarkEnd w:id="471"/>
      <w:r>
        <w:rPr>
          <w:rFonts w:ascii="Arial" w:eastAsia="Arial" w:hAnsi="Arial" w:cs="Arial"/>
          <w:color w:val="000000"/>
          <w:sz w:val="20"/>
        </w:rPr>
        <w:t xml:space="preserve">On September 30, 2015, the district court denied Wright's motion and granted DOCCS's cross-motion. The court first found that Wright had not established that DOCCS's "blanket policy prohibiting the use of motorized wheelchairs within their prisons violates his [] rights [**11]  under the ADA/RA . . . ." </w:t>
      </w:r>
      <w:bookmarkStart w:id="472" w:name="Bookmark_I5KHTXRR2HM6210030000400"/>
      <w:bookmarkEnd w:id="472"/>
      <w:r>
        <w:rPr>
          <w:rFonts w:ascii="Arial" w:eastAsia="Arial" w:hAnsi="Arial" w:cs="Arial"/>
          <w:color w:val="000000"/>
          <w:sz w:val="20"/>
          <w:u w:val="single"/>
        </w:rPr>
        <w:t>Wright v. Dep't of Corr. &amp; Cmty. Supervision</w:t>
      </w:r>
      <w:r>
        <w:rPr>
          <w:rFonts w:ascii="Arial" w:eastAsia="Arial" w:hAnsi="Arial" w:cs="Arial"/>
          <w:color w:val="000000"/>
          <w:sz w:val="20"/>
        </w:rPr>
        <w:t xml:space="preserve">, No. 9:13-cv-564, 2015 U.S. Dist. LEXIS 132310, 2015 WL 5751064, at *15 (Sept. 30, 2015). </w:t>
      </w:r>
      <w:bookmarkStart w:id="473" w:name="Bookmark_I5KHTXRR28T44Y0010000400_2"/>
      <w:bookmarkEnd w:id="473"/>
      <w:r>
        <w:rPr>
          <w:rFonts w:ascii="Arial" w:eastAsia="Arial" w:hAnsi="Arial" w:cs="Arial"/>
          <w:color w:val="000000"/>
          <w:sz w:val="20"/>
        </w:rPr>
        <w:t xml:space="preserve">The district court then held that the mobility assistance program was a reasonable accommodation for Wright's disability, determining that it "gave him meaningful access to the [prison] facilities' programs, benefits, and services." </w:t>
      </w:r>
      <w:r>
        <w:rPr>
          <w:rFonts w:ascii="Arial" w:eastAsia="Arial" w:hAnsi="Arial" w:cs="Arial"/>
          <w:color w:val="000000"/>
          <w:sz w:val="20"/>
          <w:u w:val="single"/>
        </w:rPr>
        <w:t>Id.</w:t>
      </w:r>
      <w:r>
        <w:rPr>
          <w:rFonts w:ascii="Arial" w:eastAsia="Arial" w:hAnsi="Arial" w:cs="Arial"/>
          <w:color w:val="000000"/>
          <w:sz w:val="20"/>
        </w:rPr>
        <w:t xml:space="preserve"> The district court, in the alternative, denied Wright's request for injunctive relief because he failed to issue a formal administrative complaint or engage in an interactive mediation process with DOCCS. </w:t>
      </w:r>
      <w:bookmarkStart w:id="474" w:name="Bookmark_I5KHTXRR2HM6210050000400"/>
      <w:bookmarkEnd w:id="474"/>
      <w:r>
        <w:rPr>
          <w:rFonts w:ascii="Arial" w:eastAsia="Arial" w:hAnsi="Arial" w:cs="Arial"/>
          <w:color w:val="000000"/>
          <w:sz w:val="20"/>
        </w:rPr>
        <w:t>2015 U.S. Dist. LEXIS 132310, [WL] at 16. Wright appealed.</w:t>
      </w:r>
    </w:p>
    <w:p w14:paraId="68F591C0" w14:textId="77777777" w:rsidR="002D0E71" w:rsidRDefault="00000000">
      <w:pPr>
        <w:pStyle w:val="Normal4"/>
        <w:widowControl w:val="0"/>
        <w:spacing w:before="240" w:line="260" w:lineRule="atLeast"/>
      </w:pPr>
      <w:r>
        <w:br/>
      </w:r>
      <w:r>
        <w:rPr>
          <w:rFonts w:ascii="Arial" w:eastAsia="Arial" w:hAnsi="Arial" w:cs="Arial"/>
          <w:b/>
          <w:color w:val="000000"/>
          <w:sz w:val="20"/>
        </w:rPr>
        <w:t>DISCUSSION</w:t>
      </w:r>
    </w:p>
    <w:p w14:paraId="2FE55369" w14:textId="77777777" w:rsidR="002D0E71" w:rsidRDefault="00000000">
      <w:pPr>
        <w:pStyle w:val="Normal4"/>
        <w:widowControl w:val="0"/>
        <w:spacing w:before="240" w:line="260" w:lineRule="atLeast"/>
      </w:pPr>
      <w:r>
        <w:br/>
      </w:r>
      <w:r>
        <w:rPr>
          <w:rFonts w:ascii="Arial" w:eastAsia="Arial" w:hAnsi="Arial" w:cs="Arial"/>
          <w:b/>
          <w:color w:val="000000"/>
          <w:sz w:val="20"/>
        </w:rPr>
        <w:t>a. Standard of Review</w:t>
      </w:r>
    </w:p>
    <w:p w14:paraId="0BBDA2C3" w14:textId="77777777" w:rsidR="002D0E71" w:rsidRDefault="00000000">
      <w:pPr>
        <w:pStyle w:val="Normal4"/>
        <w:widowControl w:val="0"/>
        <w:spacing w:before="200" w:line="260" w:lineRule="atLeast"/>
        <w:jc w:val="both"/>
      </w:pPr>
      <w:bookmarkStart w:id="475" w:name="Bookmark_para_18_2"/>
      <w:bookmarkStart w:id="476" w:name="Bookmark_I5KHTXRR28T44Y0030000400"/>
      <w:bookmarkStart w:id="477" w:name="Bookmark_I5KHTXRR28T44Y0050000400"/>
      <w:bookmarkStart w:id="478" w:name="Bookmark_LNHNREFclscc1_2"/>
      <w:bookmarkEnd w:id="475"/>
      <w:bookmarkEnd w:id="476"/>
      <w:bookmarkEnd w:id="477"/>
      <w:bookmarkEnd w:id="478"/>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the district court's grant of summary judgment in favor of DOCCS. </w:t>
      </w:r>
      <w:r>
        <w:rPr>
          <w:rFonts w:ascii="Arial" w:eastAsia="Arial" w:hAnsi="Arial" w:cs="Arial"/>
          <w:color w:val="000000"/>
          <w:sz w:val="20"/>
          <w:u w:val="single"/>
        </w:rPr>
        <w:t xml:space="preserve">See </w:t>
      </w:r>
      <w:bookmarkStart w:id="479" w:name="Bookmark_I5KHTXRR28T44Y0020000400"/>
      <w:bookmarkEnd w:id="479"/>
      <w:r>
        <w:rPr>
          <w:rFonts w:ascii="Arial" w:eastAsia="Arial" w:hAnsi="Arial" w:cs="Arial"/>
          <w:color w:val="000000"/>
          <w:sz w:val="20"/>
          <w:u w:val="single"/>
        </w:rPr>
        <w:t>Bermudez v. City of N. Y.</w:t>
      </w:r>
      <w:r>
        <w:rPr>
          <w:rFonts w:ascii="Arial" w:eastAsia="Arial" w:hAnsi="Arial" w:cs="Arial"/>
          <w:color w:val="000000"/>
          <w:sz w:val="20"/>
        </w:rPr>
        <w:t xml:space="preserve">, 790 F.3d 368, 373 (2d Cir. 2015). We "resolve all ambiguities and draw all permissible factual inferences in favor" of the  [*72]  non-moving party, </w:t>
      </w:r>
      <w:bookmarkStart w:id="480" w:name="Bookmark_I5KHTXRR28T44Y0040000400"/>
      <w:bookmarkEnd w:id="480"/>
      <w:r>
        <w:rPr>
          <w:rFonts w:ascii="Arial" w:eastAsia="Arial" w:hAnsi="Arial" w:cs="Arial"/>
          <w:color w:val="000000"/>
          <w:sz w:val="20"/>
          <w:u w:val="single"/>
        </w:rPr>
        <w:t>Patterson v. Cty. of Oneida, N.Y.</w:t>
      </w:r>
      <w:r>
        <w:rPr>
          <w:rFonts w:ascii="Arial" w:eastAsia="Arial" w:hAnsi="Arial" w:cs="Arial"/>
          <w:color w:val="000000"/>
          <w:sz w:val="20"/>
        </w:rPr>
        <w:t>, 375 F.3d 206, 219 (2d Cir. 2004), and will affirm summary judgment only if the moving party shows that "there is no genuine dispute as to any material fact and the movant is entitled to judgment as a matter of law[,]" Fed. R. Civ. P. 56(a).</w:t>
      </w:r>
    </w:p>
    <w:p w14:paraId="0519CE7D" w14:textId="77777777" w:rsidR="002D0E71" w:rsidRDefault="00000000">
      <w:pPr>
        <w:pStyle w:val="Normal4"/>
        <w:widowControl w:val="0"/>
        <w:spacing w:before="240" w:line="260" w:lineRule="atLeast"/>
      </w:pPr>
      <w:r>
        <w:br/>
      </w:r>
      <w:r>
        <w:rPr>
          <w:rFonts w:ascii="Arial" w:eastAsia="Arial" w:hAnsi="Arial" w:cs="Arial"/>
          <w:b/>
          <w:color w:val="000000"/>
          <w:sz w:val="20"/>
        </w:rPr>
        <w:t>b. ADA and RA Claims</w:t>
      </w:r>
    </w:p>
    <w:p w14:paraId="4A133500" w14:textId="77777777" w:rsidR="002D0E71" w:rsidRDefault="00000000">
      <w:pPr>
        <w:pStyle w:val="Normal4"/>
        <w:widowControl w:val="0"/>
        <w:spacing w:before="200" w:line="260" w:lineRule="atLeast"/>
        <w:jc w:val="both"/>
      </w:pPr>
      <w:bookmarkStart w:id="481" w:name="Bookmark_para_19_2"/>
      <w:bookmarkStart w:id="482" w:name="Bookmark_I5KHTXRR2D6NKV0020000400"/>
      <w:bookmarkEnd w:id="481"/>
      <w:bookmarkEnd w:id="482"/>
      <w:r>
        <w:rPr>
          <w:rFonts w:ascii="Arial" w:eastAsia="Arial" w:hAnsi="Arial" w:cs="Arial"/>
          <w:color w:val="000000"/>
          <w:sz w:val="20"/>
        </w:rPr>
        <w:t xml:space="preserve">Title II of the ADA requires that </w:t>
      </w:r>
      <w:bookmarkStart w:id="483" w:name="Bookmark_LNHNREFclscc2_2"/>
      <w:bookmarkEnd w:id="483"/>
      <w:r>
        <w:rPr>
          <w:rFonts w:ascii="Arial" w:eastAsia="Arial" w:hAnsi="Arial" w:cs="Arial"/>
          <w:color w:val="000000"/>
          <w:sz w:val="20"/>
        </w:rPr>
        <w:t xml:space="preserve">"no qualified individual with a disability shall, by reason of such disability, be excluded from participation in or be denied the benefits of the services, [**12]  programs, or activities of a public entity, or be subjected to discrimination by any such entity." 42 U.S.C. § 12132. Section 504 of the RA requires that </w:t>
      </w:r>
      <w:bookmarkStart w:id="484" w:name="Bookmark_LNHNREFclscc3_2"/>
      <w:bookmarkEnd w:id="484"/>
      <w:r>
        <w:rPr>
          <w:rFonts w:ascii="Arial" w:eastAsia="Arial" w:hAnsi="Arial" w:cs="Arial"/>
          <w:color w:val="000000"/>
          <w:sz w:val="20"/>
        </w:rPr>
        <w:t xml:space="preserve">"[n]o otherwise qualified individual with a disability . . . shall, solely by reason of her or his disability, be excluded from the participation in, be denied the benefits of, or be subjected to discrimination under any program or activity receiving Federal financial assistance . . . ." 29 U.S.C. § 794(a). Because the standards under both statutes are generally the same and the subtle distinctions between the statutes are not implicated in this case, "we treat claims under the two statutes identically." </w:t>
      </w:r>
      <w:bookmarkStart w:id="485" w:name="Bookmark_I5KHTXRR2D6NKV0010000400"/>
      <w:bookmarkEnd w:id="485"/>
      <w:r>
        <w:rPr>
          <w:rFonts w:ascii="Arial" w:eastAsia="Arial" w:hAnsi="Arial" w:cs="Arial"/>
          <w:color w:val="000000"/>
          <w:sz w:val="20"/>
          <w:u w:val="single"/>
        </w:rPr>
        <w:t>Henrietta D. v. Bloomberg</w:t>
      </w:r>
      <w:r>
        <w:rPr>
          <w:rFonts w:ascii="Arial" w:eastAsia="Arial" w:hAnsi="Arial" w:cs="Arial"/>
          <w:color w:val="000000"/>
          <w:sz w:val="20"/>
        </w:rPr>
        <w:t>, 331 F.3d 261, 272 (2d Cir. 2003).</w:t>
      </w:r>
    </w:p>
    <w:p w14:paraId="5DE5258D" w14:textId="77777777" w:rsidR="002D0E71" w:rsidRDefault="00000000">
      <w:pPr>
        <w:pStyle w:val="Normal4"/>
        <w:widowControl w:val="0"/>
        <w:spacing w:before="200" w:line="260" w:lineRule="atLeast"/>
        <w:jc w:val="both"/>
      </w:pPr>
      <w:bookmarkStart w:id="486" w:name="Bookmark_para_20_1"/>
      <w:bookmarkStart w:id="487" w:name="Bookmark_I5KHTXRR2D6NKV0040000400"/>
      <w:bookmarkStart w:id="488" w:name="Bookmark_LNHNREFclscc4_2"/>
      <w:bookmarkEnd w:id="486"/>
      <w:bookmarkEnd w:id="487"/>
      <w:bookmarkEnd w:id="488"/>
      <w:r>
        <w:rPr>
          <w:rFonts w:ascii="Arial" w:eastAsia="Arial" w:hAnsi="Arial" w:cs="Arial"/>
          <w:color w:val="000000"/>
          <w:sz w:val="20"/>
        </w:rPr>
        <w:t xml:space="preserve">In order to establish a prima facie violation under these acts, Wright must show that 1) he is a qualified individual with a disability; 2) DOCCS is an entity subject to the acts; and 3) he was denied the opportunity to participate in or benefit from DOCCS's services, programs, or activities or DOCCS otherwise discriminated against him by reason of his disability. </w:t>
      </w:r>
      <w:r>
        <w:rPr>
          <w:rFonts w:ascii="Arial" w:eastAsia="Arial" w:hAnsi="Arial" w:cs="Arial"/>
          <w:color w:val="000000"/>
          <w:sz w:val="20"/>
          <w:u w:val="single"/>
        </w:rPr>
        <w:t>Id.</w:t>
      </w:r>
      <w:r>
        <w:rPr>
          <w:rFonts w:ascii="Arial" w:eastAsia="Arial" w:hAnsi="Arial" w:cs="Arial"/>
          <w:color w:val="000000"/>
          <w:sz w:val="20"/>
        </w:rPr>
        <w:t xml:space="preserve"> Wright undoubtedly satisfies the first two elements: DOCCS does not dispute that Wright is a qualified individual because he suffers from cerebral palsy and scoliosis or that DOCCS is an entity that is subject to the [**13]  statutes. </w:t>
      </w:r>
      <w:bookmarkStart w:id="489" w:name="Bookmark_I5KHTXRR2N1PTX0010000400"/>
      <w:bookmarkStart w:id="490" w:name="Bookmark_I5KHTXRR2D6NKV0030000400"/>
      <w:bookmarkEnd w:id="489"/>
      <w:bookmarkEnd w:id="490"/>
      <w:r>
        <w:rPr>
          <w:rFonts w:ascii="Arial" w:eastAsia="Arial" w:hAnsi="Arial" w:cs="Arial"/>
          <w:color w:val="000000"/>
          <w:sz w:val="20"/>
          <w:u w:val="single"/>
        </w:rPr>
        <w:t>Fulton v. Goord</w:t>
      </w:r>
      <w:r>
        <w:rPr>
          <w:rFonts w:ascii="Arial" w:eastAsia="Arial" w:hAnsi="Arial" w:cs="Arial"/>
          <w:color w:val="000000"/>
          <w:sz w:val="20"/>
        </w:rPr>
        <w:t xml:space="preserve">, 591 F.3d 37, 43 (2d Cir. 2009) (recognizing that DOCCS is subject to the ADA and RA). </w:t>
      </w:r>
      <w:bookmarkStart w:id="491" w:name="Bookmark_I5KHTXRR2N1PTX0010000400_2"/>
      <w:bookmarkEnd w:id="491"/>
      <w:r>
        <w:rPr>
          <w:rFonts w:ascii="Arial" w:eastAsia="Arial" w:hAnsi="Arial" w:cs="Arial"/>
          <w:color w:val="000000"/>
          <w:sz w:val="20"/>
        </w:rPr>
        <w:t xml:space="preserve">Both the ADA and the RA undoubtedly apply to state prisons and their prisoners. </w:t>
      </w:r>
      <w:r>
        <w:rPr>
          <w:rFonts w:ascii="Arial" w:eastAsia="Arial" w:hAnsi="Arial" w:cs="Arial"/>
          <w:color w:val="000000"/>
          <w:sz w:val="20"/>
          <w:u w:val="single"/>
        </w:rPr>
        <w:t xml:space="preserve">See </w:t>
      </w:r>
      <w:bookmarkStart w:id="492" w:name="Bookmark_I5KHTXRR2D6NKV0050000400"/>
      <w:bookmarkEnd w:id="492"/>
      <w:r>
        <w:rPr>
          <w:rFonts w:ascii="Arial" w:eastAsia="Arial" w:hAnsi="Arial" w:cs="Arial"/>
          <w:color w:val="000000"/>
          <w:sz w:val="20"/>
          <w:u w:val="single"/>
        </w:rPr>
        <w:t>Pa. Dep't of Corr. v. Yeskey</w:t>
      </w:r>
      <w:r>
        <w:rPr>
          <w:rFonts w:ascii="Arial" w:eastAsia="Arial" w:hAnsi="Arial" w:cs="Arial"/>
          <w:color w:val="000000"/>
          <w:sz w:val="20"/>
        </w:rPr>
        <w:t xml:space="preserve">, 524 U.S. 206, 209, 118 S. Ct. 1952, 141 L. Ed. 2d 215 (1998) (holding the ADA "unmistakably includes State prisons and prisoners within its coverage"). </w:t>
      </w:r>
      <w:bookmarkStart w:id="493" w:name="Bookmark_I5KHTXRR2N1PTX0030000400"/>
      <w:bookmarkEnd w:id="493"/>
      <w:r>
        <w:rPr>
          <w:rFonts w:ascii="Arial" w:eastAsia="Arial" w:hAnsi="Arial" w:cs="Arial"/>
          <w:color w:val="000000"/>
          <w:sz w:val="20"/>
        </w:rPr>
        <w:t xml:space="preserve">The parties, however, dispute the third element: whether DOCCS denies Wright the opportunity to participate in or benefit from prison services, programs, or activities. Wright asserts that DOCCS discriminated against him under a "failure to make a reasonable accommodation" theory. </w:t>
      </w:r>
      <w:bookmarkStart w:id="494" w:name="Bookmark_I5KHTXRR2N1PTX0020000400"/>
      <w:bookmarkEnd w:id="494"/>
      <w:r>
        <w:rPr>
          <w:rFonts w:ascii="Arial" w:eastAsia="Arial" w:hAnsi="Arial" w:cs="Arial"/>
          <w:color w:val="000000"/>
          <w:sz w:val="20"/>
          <w:u w:val="single"/>
        </w:rPr>
        <w:t>Fulton</w:t>
      </w:r>
      <w:r>
        <w:rPr>
          <w:rFonts w:ascii="Arial" w:eastAsia="Arial" w:hAnsi="Arial" w:cs="Arial"/>
          <w:color w:val="000000"/>
          <w:sz w:val="20"/>
        </w:rPr>
        <w:t>, 591 F.3d at 43 (internal quotation omitted).</w:t>
      </w:r>
    </w:p>
    <w:p w14:paraId="3ADE8949" w14:textId="77777777" w:rsidR="002D0E71" w:rsidRDefault="00000000">
      <w:pPr>
        <w:pStyle w:val="Normal4"/>
        <w:widowControl w:val="0"/>
        <w:spacing w:before="200" w:line="260" w:lineRule="atLeast"/>
        <w:jc w:val="both"/>
      </w:pPr>
      <w:bookmarkStart w:id="495" w:name="Bookmark_para_21_1"/>
      <w:bookmarkStart w:id="496" w:name="Bookmark_I5KHTXRR2N1PTX0050000400"/>
      <w:bookmarkStart w:id="497" w:name="Bookmark_I5KHTXRR2HM6230020000400"/>
      <w:bookmarkStart w:id="498" w:name="Bookmark_I5KHTXRR2HM6230040000400"/>
      <w:bookmarkStart w:id="499" w:name="Bookmark_LNHNREFclscc5_2"/>
      <w:bookmarkEnd w:id="495"/>
      <w:bookmarkEnd w:id="496"/>
      <w:bookmarkEnd w:id="497"/>
      <w:bookmarkEnd w:id="498"/>
      <w:bookmarkEnd w:id="499"/>
      <w:r>
        <w:rPr>
          <w:rFonts w:ascii="Arial" w:eastAsia="Arial" w:hAnsi="Arial" w:cs="Arial"/>
          <w:color w:val="000000"/>
          <w:sz w:val="20"/>
        </w:rPr>
        <w:t xml:space="preserve">In examining this claim, we ask whether a plaintiff with disabilities "as a practical matter" was denied "meaningful access" to services, programs or activities to which he or she was "legally entitled." </w:t>
      </w:r>
      <w:bookmarkStart w:id="500" w:name="Bookmark_I5KHTXRR2N1PTX0040000400"/>
      <w:bookmarkEnd w:id="500"/>
      <w:r>
        <w:rPr>
          <w:rFonts w:ascii="Arial" w:eastAsia="Arial" w:hAnsi="Arial" w:cs="Arial"/>
          <w:color w:val="000000"/>
          <w:sz w:val="20"/>
          <w:u w:val="single"/>
        </w:rPr>
        <w:t>Henrietta D.</w:t>
      </w:r>
      <w:r>
        <w:rPr>
          <w:rFonts w:ascii="Arial" w:eastAsia="Arial" w:hAnsi="Arial" w:cs="Arial"/>
          <w:color w:val="000000"/>
          <w:sz w:val="20"/>
        </w:rPr>
        <w:t xml:space="preserve">, 331 F.3d at 273. </w:t>
      </w:r>
      <w:bookmarkStart w:id="501" w:name="Bookmark_I5KHTXRR28T4500010000400"/>
      <w:bookmarkEnd w:id="501"/>
      <w:r>
        <w:rPr>
          <w:rFonts w:ascii="Arial" w:eastAsia="Arial" w:hAnsi="Arial" w:cs="Arial"/>
          <w:color w:val="000000"/>
          <w:sz w:val="20"/>
        </w:rPr>
        <w:t xml:space="preserve">DOCCS implements "programs, services, or activities" because, among other things, they "provide inmates with many recreational 'activities,' medical 'services,' and educational and vocational programs . . . .'" </w:t>
      </w:r>
      <w:bookmarkStart w:id="502" w:name="Bookmark_I5KHTXRR2HM6230010000400"/>
      <w:bookmarkEnd w:id="502"/>
      <w:r>
        <w:rPr>
          <w:rFonts w:ascii="Arial" w:eastAsia="Arial" w:hAnsi="Arial" w:cs="Arial"/>
          <w:color w:val="000000"/>
          <w:sz w:val="20"/>
          <w:u w:val="single"/>
        </w:rPr>
        <w:t>Yeskey</w:t>
      </w:r>
      <w:r>
        <w:rPr>
          <w:rFonts w:ascii="Arial" w:eastAsia="Arial" w:hAnsi="Arial" w:cs="Arial"/>
          <w:color w:val="000000"/>
          <w:sz w:val="20"/>
        </w:rPr>
        <w:t xml:space="preserve">, 524 U.S. at 210. </w:t>
      </w:r>
      <w:bookmarkStart w:id="503" w:name="Bookmark_I5KHTXRR28T4500030000400"/>
      <w:bookmarkEnd w:id="503"/>
      <w:r>
        <w:rPr>
          <w:rFonts w:ascii="Arial" w:eastAsia="Arial" w:hAnsi="Arial" w:cs="Arial"/>
          <w:color w:val="000000"/>
          <w:sz w:val="20"/>
        </w:rPr>
        <w:t xml:space="preserve">In order "to assure meaningful access, reasonable accommodations in the [] program[s] or benefit[s] may have to be made." </w:t>
      </w:r>
      <w:bookmarkStart w:id="504" w:name="Bookmark_I5KHTXRR2HM6230030000400"/>
      <w:bookmarkEnd w:id="504"/>
      <w:r>
        <w:rPr>
          <w:rFonts w:ascii="Arial" w:eastAsia="Arial" w:hAnsi="Arial" w:cs="Arial"/>
          <w:color w:val="000000"/>
          <w:sz w:val="20"/>
          <w:u w:val="single"/>
        </w:rPr>
        <w:t>Alexander v. Choate</w:t>
      </w:r>
      <w:r>
        <w:rPr>
          <w:rFonts w:ascii="Arial" w:eastAsia="Arial" w:hAnsi="Arial" w:cs="Arial"/>
          <w:color w:val="000000"/>
          <w:sz w:val="20"/>
        </w:rPr>
        <w:t xml:space="preserve">, 469 U.S. 287, 301, 105 S. Ct. 712, 83 L. Ed. 2d 661 (1985). </w:t>
      </w:r>
      <w:bookmarkStart w:id="505" w:name="Bookmark_I5KHTXRR28T4500030000400_2"/>
      <w:bookmarkStart w:id="506" w:name="Bookmark_I5KHTXRR28T4500010000400_2"/>
      <w:bookmarkStart w:id="507" w:name="Bookmark_I5KHTXRR28T4500050000400"/>
      <w:bookmarkEnd w:id="505"/>
      <w:bookmarkEnd w:id="506"/>
      <w:bookmarkEnd w:id="507"/>
      <w:r>
        <w:rPr>
          <w:rFonts w:ascii="Arial" w:eastAsia="Arial" w:hAnsi="Arial" w:cs="Arial"/>
          <w:color w:val="000000"/>
          <w:sz w:val="20"/>
        </w:rPr>
        <w:t xml:space="preserve">"The hallmark of a reasonable accommodation is effectiveness." </w:t>
      </w:r>
      <w:bookmarkStart w:id="508" w:name="Bookmark_I5KHTXRR2HM6230050000400"/>
      <w:bookmarkEnd w:id="508"/>
      <w:r>
        <w:rPr>
          <w:rFonts w:ascii="Arial" w:eastAsia="Arial" w:hAnsi="Arial" w:cs="Arial"/>
          <w:color w:val="000000"/>
          <w:sz w:val="20"/>
          <w:u w:val="single"/>
        </w:rPr>
        <w:t>Dean v. Univ. at Buffalo Sch. of Med. &amp; Biomedical Scis.</w:t>
      </w:r>
      <w:r>
        <w:rPr>
          <w:rFonts w:ascii="Arial" w:eastAsia="Arial" w:hAnsi="Arial" w:cs="Arial"/>
          <w:color w:val="000000"/>
          <w:sz w:val="20"/>
        </w:rPr>
        <w:t xml:space="preserve">, 804 F.3d 178, 189 (2d Cir. 2015). </w:t>
      </w:r>
      <w:bookmarkStart w:id="509" w:name="Bookmark_I5KHTXRR28T4500050000400_2"/>
      <w:bookmarkStart w:id="510" w:name="Bookmark_I5KHTXRR28T4510020000400"/>
      <w:bookmarkEnd w:id="509"/>
      <w:bookmarkEnd w:id="510"/>
      <w:r>
        <w:rPr>
          <w:rFonts w:ascii="Arial" w:eastAsia="Arial" w:hAnsi="Arial" w:cs="Arial"/>
          <w:color w:val="000000"/>
          <w:sz w:val="20"/>
        </w:rPr>
        <w:t xml:space="preserve">Specifically, a reasonable "accommodation need not be 'perfect' [**14]  or the one 'most strongly preferred' by the []plaintiff, but it still must be 'effective[.]'" </w:t>
      </w:r>
      <w:r>
        <w:rPr>
          <w:rFonts w:ascii="Arial" w:eastAsia="Arial" w:hAnsi="Arial" w:cs="Arial"/>
          <w:color w:val="000000"/>
          <w:sz w:val="20"/>
          <w:u w:val="single"/>
        </w:rPr>
        <w:t>Id.</w:t>
      </w:r>
      <w:r>
        <w:rPr>
          <w:rFonts w:ascii="Arial" w:eastAsia="Arial" w:hAnsi="Arial" w:cs="Arial"/>
          <w:color w:val="000000"/>
          <w:sz w:val="20"/>
        </w:rPr>
        <w:t xml:space="preserve"> (quoting </w:t>
      </w:r>
      <w:bookmarkStart w:id="511" w:name="Bookmark_I5KHTXRR28T4500020000400"/>
      <w:bookmarkEnd w:id="511"/>
      <w:r>
        <w:rPr>
          <w:rFonts w:ascii="Arial" w:eastAsia="Arial" w:hAnsi="Arial" w:cs="Arial"/>
          <w:color w:val="000000"/>
          <w:sz w:val="20"/>
          <w:u w:val="single"/>
        </w:rPr>
        <w:t>Noll v. Int'l Bus. Machs. Corp.</w:t>
      </w:r>
      <w:r>
        <w:rPr>
          <w:rFonts w:ascii="Arial" w:eastAsia="Arial" w:hAnsi="Arial" w:cs="Arial"/>
          <w:color w:val="000000"/>
          <w:sz w:val="20"/>
        </w:rPr>
        <w:t xml:space="preserve">, 787 F.3d 89, 95 (2d Cir. 2015)). </w:t>
      </w:r>
      <w:bookmarkStart w:id="512" w:name="Bookmark_I5KHTXRR28T4510020000400_2"/>
      <w:bookmarkStart w:id="513" w:name="Bookmark_I5KHTXRR28T4500050000400_3"/>
      <w:bookmarkEnd w:id="512"/>
      <w:bookmarkEnd w:id="513"/>
      <w:r>
        <w:rPr>
          <w:rFonts w:ascii="Arial" w:eastAsia="Arial" w:hAnsi="Arial" w:cs="Arial"/>
          <w:color w:val="000000"/>
          <w:sz w:val="20"/>
        </w:rPr>
        <w:t xml:space="preserve">Determining the "reasonableness of an [] accommodation is a 'fact-specific'  [*73]  question that often must be resolved by a factfinder." </w:t>
      </w:r>
      <w:bookmarkStart w:id="514" w:name="Bookmark_I5KHTXRR28T4500040000400"/>
      <w:bookmarkEnd w:id="514"/>
      <w:r>
        <w:rPr>
          <w:rFonts w:ascii="Arial" w:eastAsia="Arial" w:hAnsi="Arial" w:cs="Arial"/>
          <w:color w:val="000000"/>
          <w:sz w:val="20"/>
          <w:u w:val="single"/>
        </w:rPr>
        <w:t>Noll</w:t>
      </w:r>
      <w:r>
        <w:rPr>
          <w:rFonts w:ascii="Arial" w:eastAsia="Arial" w:hAnsi="Arial" w:cs="Arial"/>
          <w:color w:val="000000"/>
          <w:sz w:val="20"/>
        </w:rPr>
        <w:t xml:space="preserve">, 787 F.3d at 94 (internal quotation omitted). A defendant is "entitled to summary judgment only if the undisputed record reveals that the plaintiff was accorded a 'plainly reasonable' accommodation." </w:t>
      </w:r>
      <w:bookmarkStart w:id="515" w:name="Bookmark_I5KHTXRR28T4510010000400"/>
      <w:bookmarkEnd w:id="515"/>
      <w:r>
        <w:rPr>
          <w:rFonts w:ascii="Arial" w:eastAsia="Arial" w:hAnsi="Arial" w:cs="Arial"/>
          <w:color w:val="000000"/>
          <w:sz w:val="20"/>
          <w:u w:val="single"/>
        </w:rPr>
        <w:t>Dean</w:t>
      </w:r>
      <w:r>
        <w:rPr>
          <w:rFonts w:ascii="Arial" w:eastAsia="Arial" w:hAnsi="Arial" w:cs="Arial"/>
          <w:color w:val="000000"/>
          <w:sz w:val="20"/>
        </w:rPr>
        <w:t xml:space="preserve">, 804 F.3d at 189 (quoting </w:t>
      </w:r>
      <w:bookmarkStart w:id="516" w:name="Bookmark_I5KHTXRR28T4510030000400"/>
      <w:bookmarkEnd w:id="516"/>
      <w:r>
        <w:rPr>
          <w:rFonts w:ascii="Arial" w:eastAsia="Arial" w:hAnsi="Arial" w:cs="Arial"/>
          <w:color w:val="000000"/>
          <w:sz w:val="20"/>
          <w:u w:val="single"/>
        </w:rPr>
        <w:t>Noll</w:t>
      </w:r>
      <w:r>
        <w:rPr>
          <w:rFonts w:ascii="Arial" w:eastAsia="Arial" w:hAnsi="Arial" w:cs="Arial"/>
          <w:color w:val="000000"/>
          <w:sz w:val="20"/>
        </w:rPr>
        <w:t>, 787 F.3d at 94).</w:t>
      </w:r>
    </w:p>
    <w:p w14:paraId="0645810D" w14:textId="77777777" w:rsidR="002D0E71" w:rsidRDefault="00000000">
      <w:pPr>
        <w:pStyle w:val="Normal4"/>
        <w:widowControl w:val="0"/>
        <w:spacing w:before="240" w:line="260" w:lineRule="atLeast"/>
      </w:pPr>
      <w:r>
        <w:br/>
      </w:r>
      <w:r>
        <w:rPr>
          <w:rFonts w:ascii="Arial" w:eastAsia="Arial" w:hAnsi="Arial" w:cs="Arial"/>
          <w:b/>
          <w:color w:val="000000"/>
          <w:sz w:val="20"/>
        </w:rPr>
        <w:t>1. Reasonableness of DOCCS's accommodation</w:t>
      </w:r>
    </w:p>
    <w:p w14:paraId="337486CC" w14:textId="77777777" w:rsidR="002D0E71" w:rsidRDefault="00000000">
      <w:pPr>
        <w:pStyle w:val="Normal4"/>
        <w:widowControl w:val="0"/>
        <w:spacing w:before="200" w:line="260" w:lineRule="atLeast"/>
        <w:jc w:val="both"/>
      </w:pPr>
      <w:bookmarkStart w:id="517" w:name="Bookmark_para_22_1"/>
      <w:bookmarkStart w:id="518" w:name="Bookmark_I5KHTXRR2D6NKY0010000400"/>
      <w:bookmarkStart w:id="519" w:name="Bookmark_LNHNREFclscc6_2"/>
      <w:bookmarkEnd w:id="517"/>
      <w:bookmarkEnd w:id="518"/>
      <w:bookmarkEnd w:id="519"/>
      <w:r>
        <w:rPr>
          <w:rFonts w:ascii="Arial" w:eastAsia="Arial" w:hAnsi="Arial" w:cs="Arial"/>
          <w:color w:val="000000"/>
          <w:sz w:val="20"/>
        </w:rPr>
        <w:t xml:space="preserve">A reasonable accommodation must provide effective access to prison activities and programs. </w:t>
      </w:r>
      <w:bookmarkStart w:id="520" w:name="Bookmark_I5KHTXRR2D6NKY0030000400"/>
      <w:bookmarkEnd w:id="520"/>
      <w:r>
        <w:rPr>
          <w:rFonts w:ascii="Arial" w:eastAsia="Arial" w:hAnsi="Arial" w:cs="Arial"/>
          <w:color w:val="000000"/>
          <w:sz w:val="20"/>
          <w:u w:val="single"/>
        </w:rPr>
        <w:t xml:space="preserve">See, e.g., </w:t>
      </w:r>
      <w:bookmarkStart w:id="521" w:name="Bookmark_I5KHTXRR28T4510050000400"/>
      <w:bookmarkEnd w:id="521"/>
      <w:r>
        <w:rPr>
          <w:rFonts w:ascii="Arial" w:eastAsia="Arial" w:hAnsi="Arial" w:cs="Arial"/>
          <w:color w:val="000000"/>
          <w:sz w:val="20"/>
          <w:u w:val="single"/>
        </w:rPr>
        <w:t>Randolph v. Rodgers</w:t>
      </w:r>
      <w:r>
        <w:rPr>
          <w:rFonts w:ascii="Arial" w:eastAsia="Arial" w:hAnsi="Arial" w:cs="Arial"/>
          <w:color w:val="000000"/>
          <w:sz w:val="20"/>
        </w:rPr>
        <w:t xml:space="preserve">, 170 F.3d 850, 858 (8th Cir. 1999) (holding a deaf inmate's "limited participation" in activities does not support a finding that although he did not have an interpreter, he "enjoyed meaningful access"). </w:t>
      </w:r>
      <w:bookmarkStart w:id="522" w:name="Bookmark_I5KHTXRR2D6NKY0050000400"/>
      <w:bookmarkEnd w:id="522"/>
      <w:r>
        <w:rPr>
          <w:rFonts w:ascii="Arial" w:eastAsia="Arial" w:hAnsi="Arial" w:cs="Arial"/>
          <w:color w:val="000000"/>
          <w:sz w:val="20"/>
        </w:rPr>
        <w:t xml:space="preserve">That is, the accommodation must overcome structural impediments and non-trivial temporal delays that limit access to programs, services, and activities. </w:t>
      </w:r>
      <w:bookmarkStart w:id="523" w:name="Bookmark_I5KHTXRR2D6NKY0050000400_2"/>
      <w:bookmarkStart w:id="524" w:name="Bookmark_I5KHTXRR2D6NKY0030000400_2"/>
      <w:bookmarkEnd w:id="523"/>
      <w:bookmarkEnd w:id="524"/>
      <w:r>
        <w:rPr>
          <w:rFonts w:ascii="Arial" w:eastAsia="Arial" w:hAnsi="Arial" w:cs="Arial"/>
          <w:color w:val="000000"/>
          <w:sz w:val="20"/>
          <w:u w:val="single"/>
        </w:rPr>
        <w:t xml:space="preserve">See </w:t>
      </w:r>
      <w:bookmarkStart w:id="525" w:name="Bookmark_I5KHTXRR2D6NKY0020000400"/>
      <w:bookmarkEnd w:id="525"/>
      <w:r>
        <w:rPr>
          <w:rFonts w:ascii="Arial" w:eastAsia="Arial" w:hAnsi="Arial" w:cs="Arial"/>
          <w:color w:val="000000"/>
          <w:sz w:val="20"/>
          <w:u w:val="single"/>
        </w:rPr>
        <w:t>Celeste v. E. Meadow Union Free Sch. Dist.</w:t>
      </w:r>
      <w:r>
        <w:rPr>
          <w:rFonts w:ascii="Arial" w:eastAsia="Arial" w:hAnsi="Arial" w:cs="Arial"/>
          <w:color w:val="000000"/>
          <w:sz w:val="20"/>
        </w:rPr>
        <w:t xml:space="preserve">, 373 Fed. App'x. 85, 88 (2d Cir. 2010) (finding sufficient evidence for a jury to conclude that a mobility-impaired student was denied meaningful access because he was "forced [] to take a ten minute detour" in order to participate as the manager of his school's football team). An accommodation is not plainly reasonable if it is [**15]  so inadequate that it deters the plaintiff from attempting to access the services otherwise available to him. </w:t>
      </w:r>
      <w:r>
        <w:rPr>
          <w:rFonts w:ascii="Arial" w:eastAsia="Arial" w:hAnsi="Arial" w:cs="Arial"/>
          <w:color w:val="000000"/>
          <w:sz w:val="20"/>
          <w:u w:val="single"/>
        </w:rPr>
        <w:t xml:space="preserve">See </w:t>
      </w:r>
      <w:bookmarkStart w:id="526" w:name="Bookmark_I5KHTXRR2D6NKY0040000400"/>
      <w:bookmarkEnd w:id="526"/>
      <w:r>
        <w:rPr>
          <w:rFonts w:ascii="Arial" w:eastAsia="Arial" w:hAnsi="Arial" w:cs="Arial"/>
          <w:color w:val="000000"/>
          <w:sz w:val="20"/>
          <w:u w:val="single"/>
        </w:rPr>
        <w:t>Disabled in Action v. Bd of Elections in City of N. Y.</w:t>
      </w:r>
      <w:r>
        <w:rPr>
          <w:rFonts w:ascii="Arial" w:eastAsia="Arial" w:hAnsi="Arial" w:cs="Arial"/>
          <w:color w:val="000000"/>
          <w:sz w:val="20"/>
        </w:rPr>
        <w:t xml:space="preserve">, 752 F.3d 189, 200 (2d Cir. 2014) (recognizing that "deterrence constitutes an injury under the ADA" (quoting </w:t>
      </w:r>
      <w:bookmarkStart w:id="527" w:name="Bookmark_I5KHTXRR2HM6240010000400"/>
      <w:bookmarkEnd w:id="527"/>
      <w:r>
        <w:rPr>
          <w:rFonts w:ascii="Arial" w:eastAsia="Arial" w:hAnsi="Arial" w:cs="Arial"/>
          <w:color w:val="000000"/>
          <w:sz w:val="20"/>
          <w:u w:val="single"/>
        </w:rPr>
        <w:t>Kreisler v. Second Ave. Diner Corp.</w:t>
      </w:r>
      <w:r>
        <w:rPr>
          <w:rFonts w:ascii="Arial" w:eastAsia="Arial" w:hAnsi="Arial" w:cs="Arial"/>
          <w:color w:val="000000"/>
          <w:sz w:val="20"/>
        </w:rPr>
        <w:t xml:space="preserve">, 731 F.3d 184, 188 (2d Cir. 2013))). In short, providing meaningful access requires just that—granting inmates </w:t>
      </w:r>
      <w:r>
        <w:rPr>
          <w:rFonts w:ascii="Arial" w:eastAsia="Arial" w:hAnsi="Arial" w:cs="Arial"/>
          <w:i/>
          <w:color w:val="000000"/>
          <w:sz w:val="20"/>
        </w:rPr>
        <w:t>meaningful</w:t>
      </w:r>
      <w:r>
        <w:rPr>
          <w:rFonts w:ascii="Arial" w:eastAsia="Arial" w:hAnsi="Arial" w:cs="Arial"/>
          <w:color w:val="000000"/>
          <w:sz w:val="20"/>
        </w:rPr>
        <w:t xml:space="preserve"> participation in prison activities and programs.</w:t>
      </w:r>
    </w:p>
    <w:p w14:paraId="186406FF" w14:textId="77777777" w:rsidR="002D0E71" w:rsidRDefault="00000000">
      <w:pPr>
        <w:pStyle w:val="Normal4"/>
        <w:widowControl w:val="0"/>
        <w:spacing w:before="200" w:line="260" w:lineRule="atLeast"/>
        <w:jc w:val="both"/>
      </w:pPr>
      <w:bookmarkStart w:id="528" w:name="Bookmark_para_23_1"/>
      <w:bookmarkStart w:id="529" w:name="Bookmark_I5KHTXRR2HM6240040000400"/>
      <w:bookmarkEnd w:id="528"/>
      <w:bookmarkEnd w:id="529"/>
      <w:r>
        <w:rPr>
          <w:rFonts w:ascii="Arial" w:eastAsia="Arial" w:hAnsi="Arial" w:cs="Arial"/>
          <w:color w:val="000000"/>
          <w:sz w:val="20"/>
        </w:rPr>
        <w:t xml:space="preserve">In order to accommodate Wright's disability, DOCCS provided Wright a quad cane, a manual wheelchair, use of his customized cushion, knee pads, wheelchair accessible living space, and access to mobility aides from the mobility assistance program. The district court determined that this accommodation was reasonable and that there were no material disputes of fact over whether DOCCS "provided [Wright] with reasonable accommodations that gave him meaningful access to [prison] programs, benefits, and services." </w:t>
      </w:r>
      <w:bookmarkStart w:id="530" w:name="Bookmark_I5KHTXRR2HM6240030000400"/>
      <w:bookmarkEnd w:id="530"/>
      <w:r>
        <w:rPr>
          <w:rFonts w:ascii="Arial" w:eastAsia="Arial" w:hAnsi="Arial" w:cs="Arial"/>
          <w:color w:val="000000"/>
          <w:sz w:val="20"/>
          <w:u w:val="single"/>
        </w:rPr>
        <w:t>Wright</w:t>
      </w:r>
      <w:r>
        <w:rPr>
          <w:rFonts w:ascii="Arial" w:eastAsia="Arial" w:hAnsi="Arial" w:cs="Arial"/>
          <w:color w:val="000000"/>
          <w:sz w:val="20"/>
        </w:rPr>
        <w:t>, 2015 U.S. Dist. LEXIS 132310, 2015 WL 5751064 at *15. We disagree. On this record, we cannot determine that DOCCS's accommodations are plainly reasonable and effectively provide Wright meaningful access to prison programs, benefits, and services because there is evidence that indicates the mobility assistance program fails to allow Wright to move freely throughout the DOCCS facility and discourages his participation [**16]  in prison activities.</w:t>
      </w:r>
    </w:p>
    <w:p w14:paraId="506D11AB" w14:textId="77777777" w:rsidR="002D0E71" w:rsidRDefault="00000000">
      <w:pPr>
        <w:pStyle w:val="Normal4"/>
        <w:widowControl w:val="0"/>
        <w:spacing w:before="200" w:line="260" w:lineRule="atLeast"/>
        <w:jc w:val="both"/>
      </w:pPr>
      <w:bookmarkStart w:id="531" w:name="Bookmark_para_24_1"/>
      <w:bookmarkEnd w:id="531"/>
      <w:r>
        <w:rPr>
          <w:rFonts w:ascii="Arial" w:eastAsia="Arial" w:hAnsi="Arial" w:cs="Arial"/>
          <w:color w:val="000000"/>
          <w:sz w:val="20"/>
        </w:rPr>
        <w:t xml:space="preserve">Wright testified that while at the Marcy and Franklin facilities he has been unable to access programs, services, and activities that other inmates routinely access. He stated that he has been, at times, unable to visit the law library and has missed multiple morning sick calls, doctor appointments, and meals. </w:t>
      </w:r>
      <w:bookmarkStart w:id="532" w:name="Bookmark_I5KHTXRR2SF7MH0010000400"/>
      <w:bookmarkEnd w:id="532"/>
      <w:r>
        <w:rPr>
          <w:rFonts w:ascii="Arial" w:eastAsia="Arial" w:hAnsi="Arial" w:cs="Arial"/>
          <w:color w:val="000000"/>
          <w:sz w:val="20"/>
        </w:rPr>
        <w:t xml:space="preserve">He states that he defecated or urinated on himself on more than one occasion, because he was unable to propel himself to a bathroom. A number of jobs that he hoped to perform—such as being a member of the lawn and grounds crew—are unavailable to him. Finally, he attests that he avoids recreational time in the prison yard because he fears he would be unable to escape quickly in the event of a prison fight and he feels socially isolated without the ability to move about the yard. Undoubtedly, these shortcomings are examples of Wright being denied meaningful access to prison services, programs, and activities. </w:t>
      </w:r>
      <w:r>
        <w:rPr>
          <w:rFonts w:ascii="Arial" w:eastAsia="Arial" w:hAnsi="Arial" w:cs="Arial"/>
          <w:color w:val="000000"/>
          <w:sz w:val="20"/>
          <w:u w:val="single"/>
        </w:rPr>
        <w:t xml:space="preserve">See, e.g., </w:t>
      </w:r>
      <w:bookmarkStart w:id="533" w:name="Bookmark_I5KHTXRR2HM6240050000400"/>
      <w:bookmarkEnd w:id="533"/>
      <w:r>
        <w:rPr>
          <w:rFonts w:ascii="Arial" w:eastAsia="Arial" w:hAnsi="Arial" w:cs="Arial"/>
          <w:color w:val="000000"/>
          <w:sz w:val="20"/>
          <w:u w:val="single"/>
        </w:rPr>
        <w:t>Randolph</w:t>
      </w:r>
      <w:r>
        <w:rPr>
          <w:rFonts w:ascii="Arial" w:eastAsia="Arial" w:hAnsi="Arial" w:cs="Arial"/>
          <w:color w:val="000000"/>
          <w:sz w:val="20"/>
        </w:rPr>
        <w:t>, 170 F.3d at 858.</w:t>
      </w:r>
    </w:p>
    <w:p w14:paraId="034BAD55" w14:textId="77777777" w:rsidR="002D0E71" w:rsidRDefault="00000000">
      <w:pPr>
        <w:pStyle w:val="Normal4"/>
        <w:widowControl w:val="0"/>
        <w:spacing w:before="200" w:line="260" w:lineRule="atLeast"/>
        <w:jc w:val="both"/>
      </w:pPr>
      <w:bookmarkStart w:id="534" w:name="Bookmark_para_25_1"/>
      <w:bookmarkEnd w:id="534"/>
      <w:r>
        <w:rPr>
          <w:rFonts w:ascii="Arial" w:eastAsia="Arial" w:hAnsi="Arial" w:cs="Arial"/>
          <w:color w:val="000000"/>
          <w:sz w:val="20"/>
        </w:rPr>
        <w:t xml:space="preserve"> [*74]  This lack of meaningful access, moreover, appears to be a direct result of the ineffectiveness—in design and implementation—of the mobility assistance program. </w:t>
      </w:r>
      <w:bookmarkStart w:id="535" w:name="Bookmark_I5KHTXRR2SF7MH0030000400"/>
      <w:bookmarkEnd w:id="535"/>
      <w:r>
        <w:rPr>
          <w:rFonts w:ascii="Arial" w:eastAsia="Arial" w:hAnsi="Arial" w:cs="Arial"/>
          <w:color w:val="000000"/>
          <w:sz w:val="20"/>
        </w:rPr>
        <w:t xml:space="preserve">Indeed, at both Franklin and Marcy the mobility assistance program required Wright [**17]  to request mobility aides from "Housing Unit Officers </w:t>
      </w:r>
      <w:r>
        <w:rPr>
          <w:rFonts w:ascii="Arial" w:eastAsia="Arial" w:hAnsi="Arial" w:cs="Arial"/>
          <w:i/>
          <w:color w:val="000000"/>
          <w:sz w:val="20"/>
        </w:rPr>
        <w:t>well in advance</w:t>
      </w:r>
      <w:r>
        <w:rPr>
          <w:rFonts w:ascii="Arial" w:eastAsia="Arial" w:hAnsi="Arial" w:cs="Arial"/>
          <w:color w:val="000000"/>
          <w:sz w:val="20"/>
        </w:rPr>
        <w:t xml:space="preserve">." Joint App'x at 308 (emphasis added). This aspect of the program prevents Wright from effectively moving about the facility and discourages him from participating in prison activities. </w:t>
      </w:r>
      <w:r>
        <w:rPr>
          <w:rFonts w:ascii="Arial" w:eastAsia="Arial" w:hAnsi="Arial" w:cs="Arial"/>
          <w:color w:val="000000"/>
          <w:sz w:val="20"/>
          <w:u w:val="single"/>
        </w:rPr>
        <w:t xml:space="preserve">See </w:t>
      </w:r>
      <w:bookmarkStart w:id="536" w:name="Bookmark_I5KHTXRR2SF7MH0020000400"/>
      <w:bookmarkEnd w:id="536"/>
      <w:r>
        <w:rPr>
          <w:rFonts w:ascii="Arial" w:eastAsia="Arial" w:hAnsi="Arial" w:cs="Arial"/>
          <w:color w:val="000000"/>
          <w:sz w:val="20"/>
          <w:u w:val="single"/>
        </w:rPr>
        <w:t>Disabled in Action</w:t>
      </w:r>
      <w:r>
        <w:rPr>
          <w:rFonts w:ascii="Arial" w:eastAsia="Arial" w:hAnsi="Arial" w:cs="Arial"/>
          <w:color w:val="000000"/>
          <w:sz w:val="20"/>
        </w:rPr>
        <w:t>, 752 F.3d at 200. A mobility-impaired inmate that must book a mobility aide "well in advance" will be unlikely, for example, to obtain assistance when a sudden need to use the restroom arises and will probably avoid the prison yard, lest he or she be unable to escape a prison fight quickly.</w:t>
      </w:r>
    </w:p>
    <w:p w14:paraId="0945520D" w14:textId="77777777" w:rsidR="002D0E71" w:rsidRDefault="00000000">
      <w:pPr>
        <w:pStyle w:val="Normal4"/>
        <w:widowControl w:val="0"/>
        <w:spacing w:before="200" w:line="260" w:lineRule="atLeast"/>
        <w:jc w:val="both"/>
      </w:pPr>
      <w:bookmarkStart w:id="537" w:name="Bookmark_para_26_1"/>
      <w:bookmarkStart w:id="538" w:name="Bookmark_I5KHTXRR2SF7MH0050000400"/>
      <w:bookmarkEnd w:id="537"/>
      <w:bookmarkEnd w:id="538"/>
      <w:r>
        <w:rPr>
          <w:rFonts w:ascii="Arial" w:eastAsia="Arial" w:hAnsi="Arial" w:cs="Arial"/>
          <w:color w:val="000000"/>
          <w:sz w:val="20"/>
        </w:rPr>
        <w:t xml:space="preserve">Wright's deposition testimony, when credited, leads to the further conclusion that the mobility assistance program, in practice, is ineffective because it requires Wright to seek out and rely upon the cooperation of other inmates. </w:t>
      </w:r>
      <w:r>
        <w:rPr>
          <w:rFonts w:ascii="Arial" w:eastAsia="Arial" w:hAnsi="Arial" w:cs="Arial"/>
          <w:color w:val="000000"/>
          <w:sz w:val="20"/>
          <w:u w:val="single"/>
        </w:rPr>
        <w:t xml:space="preserve">See </w:t>
      </w:r>
      <w:bookmarkStart w:id="539" w:name="Bookmark_I5KHTXRR2SF7MH0040000400"/>
      <w:bookmarkEnd w:id="539"/>
      <w:r>
        <w:rPr>
          <w:rFonts w:ascii="Arial" w:eastAsia="Arial" w:hAnsi="Arial" w:cs="Arial"/>
          <w:color w:val="000000"/>
          <w:sz w:val="20"/>
          <w:u w:val="single"/>
        </w:rPr>
        <w:t>Am. Council of the Blind v. Paulson</w:t>
      </w:r>
      <w:r>
        <w:rPr>
          <w:rFonts w:ascii="Arial" w:eastAsia="Arial" w:hAnsi="Arial" w:cs="Arial"/>
          <w:color w:val="000000"/>
          <w:sz w:val="20"/>
        </w:rPr>
        <w:t>, 525 F.3d 1256, 1269, 381 U.S. App. D.C. 162 (D.C. Cir. 2008) (noting that the ADA and RA emphasize that for disabled individuals the "enjoyment of a public benefit is not contingent upon the cooperation of third persons"). Wright has, at times, had to ask as many as six mobility aides for help before finding a willing inmate. While the district court faults Wright for failing to request mobility aides in advance and for informally requesting help from mobility aides whenever he needed one, as noted above, [**18]  by requiring inmates to make a formal request in advance for an aide, DOCCS has created a system which fails to provide inmates with mobility assistants in situations where their need to move cannot be contemplated in advance. In other words, rather than constituting a reason to fault Wright's efforts to obtain help, Wright's informal requests for assistance are a reasonable response to the mobility assistance program's inadequate procedures to meet Wright's spontaneous needs. Wright's sporadic use of the formal requests thus does not diminish his argument that the mobility assistance program is not plainly reasonable.</w:t>
      </w:r>
    </w:p>
    <w:p w14:paraId="43696ABB" w14:textId="77777777" w:rsidR="002D0E71" w:rsidRDefault="00000000">
      <w:pPr>
        <w:pStyle w:val="Normal4"/>
        <w:widowControl w:val="0"/>
        <w:spacing w:before="200" w:line="260" w:lineRule="atLeast"/>
        <w:jc w:val="both"/>
      </w:pPr>
      <w:bookmarkStart w:id="540" w:name="Bookmark_para_27_1"/>
      <w:bookmarkStart w:id="541" w:name="Bookmark_I5KHTXRR2HM6250020000400"/>
      <w:bookmarkStart w:id="542" w:name="Bookmark_I5KHTXRR2HM6250040000400"/>
      <w:bookmarkEnd w:id="540"/>
      <w:bookmarkEnd w:id="541"/>
      <w:bookmarkEnd w:id="542"/>
      <w:r>
        <w:rPr>
          <w:rFonts w:ascii="Arial" w:eastAsia="Arial" w:hAnsi="Arial" w:cs="Arial"/>
          <w:color w:val="000000"/>
          <w:sz w:val="20"/>
        </w:rPr>
        <w:t xml:space="preserve">The district court granted summary judgment in favor of DOCCS, in part, because it did not credit Wright's deposition testimony and concluded that it was "entirely implausible that incidents such as [those alleged by Wright] would not be documented by the prison staff in some way." </w:t>
      </w:r>
      <w:bookmarkStart w:id="543" w:name="Bookmark_I5KHTXRR2HM6250010000400"/>
      <w:bookmarkEnd w:id="543"/>
      <w:r>
        <w:rPr>
          <w:rFonts w:ascii="Arial" w:eastAsia="Arial" w:hAnsi="Arial" w:cs="Arial"/>
          <w:color w:val="000000"/>
          <w:sz w:val="20"/>
          <w:u w:val="single"/>
        </w:rPr>
        <w:t>Wright</w:t>
      </w:r>
      <w:r>
        <w:rPr>
          <w:rFonts w:ascii="Arial" w:eastAsia="Arial" w:hAnsi="Arial" w:cs="Arial"/>
          <w:color w:val="000000"/>
          <w:sz w:val="20"/>
        </w:rPr>
        <w:t xml:space="preserve">, 2015 U.S. Dist. LEXIS 132310, 2015 WL 5751064 at *11. But, as we repeatedly iterate, </w:t>
      </w:r>
      <w:bookmarkStart w:id="544" w:name="Bookmark_LNHNREFclscc7_2"/>
      <w:bookmarkEnd w:id="544"/>
      <w:r>
        <w:rPr>
          <w:rFonts w:ascii="Arial" w:eastAsia="Arial" w:hAnsi="Arial" w:cs="Arial"/>
          <w:color w:val="000000"/>
          <w:sz w:val="20"/>
        </w:rPr>
        <w:t xml:space="preserve">"[i]n determining whether summary judgment [is] appropriate, we must resolve all ambiguities and draw all inferences" in Wright's favor. </w:t>
      </w:r>
      <w:bookmarkStart w:id="545" w:name="Bookmark_I5KHTXRR2HM6250030000400"/>
      <w:bookmarkEnd w:id="545"/>
      <w:r>
        <w:rPr>
          <w:rFonts w:ascii="Arial" w:eastAsia="Arial" w:hAnsi="Arial" w:cs="Arial"/>
          <w:color w:val="000000"/>
          <w:sz w:val="20"/>
          <w:u w:val="single"/>
        </w:rPr>
        <w:t>Parker v. Columbia Pictures Indus.</w:t>
      </w:r>
      <w:r>
        <w:rPr>
          <w:rFonts w:ascii="Arial" w:eastAsia="Arial" w:hAnsi="Arial" w:cs="Arial"/>
          <w:color w:val="000000"/>
          <w:sz w:val="20"/>
        </w:rPr>
        <w:t xml:space="preserve">, 204 F.3d 326, 332 (2d Cir. 2000); </w:t>
      </w:r>
      <w:r>
        <w:rPr>
          <w:rFonts w:ascii="Arial" w:eastAsia="Arial" w:hAnsi="Arial" w:cs="Arial"/>
          <w:color w:val="000000"/>
          <w:sz w:val="20"/>
          <w:u w:val="single"/>
        </w:rPr>
        <w:t xml:space="preserve">see also </w:t>
      </w:r>
      <w:bookmarkStart w:id="546" w:name="Bookmark_I5KHTXRR2HM6250050000400"/>
      <w:bookmarkEnd w:id="546"/>
      <w:r>
        <w:rPr>
          <w:rFonts w:ascii="Arial" w:eastAsia="Arial" w:hAnsi="Arial" w:cs="Arial"/>
          <w:color w:val="000000"/>
          <w:sz w:val="20"/>
          <w:u w:val="single"/>
        </w:rPr>
        <w:t>Simpson v. City of N. Y.</w:t>
      </w:r>
      <w:r>
        <w:rPr>
          <w:rFonts w:ascii="Arial" w:eastAsia="Arial" w:hAnsi="Arial" w:cs="Arial"/>
          <w:color w:val="000000"/>
          <w:sz w:val="20"/>
        </w:rPr>
        <w:t>, 793 F.3d 259, 265 (2d Cir. 2015) ("Assessments of credibility and choices between conflicting versions of the events are matters for the jury, not [**19]  for the court on summary judgment." (internal quotation omitted)). Contrary to the district court's views, it is entirely plausible that these incidents went undocumented because Wright did not report them. Understandably, a mobility-impaired inmate—who must rely in large part on his fellow prisoners for basic assistance—may hesitate to report instances of neglect. It takes no imagination to conclude that making such a report would likely require identifying a less than responsive mobility aide which at worst could put Wright in danger and at best further inhibit future assistance. Wright testified as much, stating that he did not complain about the program because an inmate "in [his] condition [could not] afford being labeled a snitch." Joint App'x at 189. In any event, whether the mobility assistance program functions in the manner that Wright describes  [*75]  is a question of fact to be determined at trial.</w:t>
      </w:r>
    </w:p>
    <w:p w14:paraId="3E3066A2" w14:textId="77777777" w:rsidR="002D0E71" w:rsidRDefault="00000000">
      <w:pPr>
        <w:pStyle w:val="Normal4"/>
        <w:widowControl w:val="0"/>
        <w:spacing w:before="200" w:line="260" w:lineRule="atLeast"/>
        <w:jc w:val="both"/>
      </w:pPr>
      <w:bookmarkStart w:id="547" w:name="Bookmark_para_28_1"/>
      <w:bookmarkStart w:id="548" w:name="Bookmark_I5KHTXRR2N1PV00030000400"/>
      <w:bookmarkStart w:id="549" w:name="Bookmark_I5KHTXRR2N1PV00050000400"/>
      <w:bookmarkEnd w:id="547"/>
      <w:bookmarkEnd w:id="548"/>
      <w:bookmarkEnd w:id="549"/>
      <w:r>
        <w:rPr>
          <w:rFonts w:ascii="Arial" w:eastAsia="Arial" w:hAnsi="Arial" w:cs="Arial"/>
          <w:color w:val="000000"/>
          <w:sz w:val="20"/>
        </w:rPr>
        <w:t xml:space="preserve">While it is true that allowing "a party to defeat a motion for summary judgment by offering purely conclusory allegations of discrimination, absent any concrete particulars, would necessitate a trial" in all discrimination actions, </w:t>
      </w:r>
      <w:bookmarkStart w:id="550" w:name="Bookmark_I5KHTXRR2N1PV00020000400"/>
      <w:bookmarkEnd w:id="550"/>
      <w:r>
        <w:rPr>
          <w:rFonts w:ascii="Arial" w:eastAsia="Arial" w:hAnsi="Arial" w:cs="Arial"/>
          <w:color w:val="000000"/>
          <w:sz w:val="20"/>
          <w:u w:val="single"/>
        </w:rPr>
        <w:t>Meiri v. Dacon</w:t>
      </w:r>
      <w:r>
        <w:rPr>
          <w:rFonts w:ascii="Arial" w:eastAsia="Arial" w:hAnsi="Arial" w:cs="Arial"/>
          <w:color w:val="000000"/>
          <w:sz w:val="20"/>
        </w:rPr>
        <w:t xml:space="preserve">, 759 F.2d 989, 998 (2d Cir. 1985), here—with the exception of a missed doctor appointment that appears [**20]  to have been the result of a facility inmate count rather than shirking by mobility aides—DOCCS has provided no evidence contradicting any of Wright's examples of the mobility assistance program's shortcomings. </w:t>
      </w:r>
      <w:r>
        <w:rPr>
          <w:rFonts w:ascii="Arial" w:eastAsia="Arial" w:hAnsi="Arial" w:cs="Arial"/>
          <w:color w:val="000000"/>
          <w:sz w:val="20"/>
          <w:u w:val="single"/>
        </w:rPr>
        <w:t xml:space="preserve">Cf. </w:t>
      </w:r>
      <w:bookmarkStart w:id="551" w:name="Bookmark_I5KHTXRR2N1PV00040000400"/>
      <w:bookmarkEnd w:id="551"/>
      <w:r>
        <w:rPr>
          <w:rFonts w:ascii="Arial" w:eastAsia="Arial" w:hAnsi="Arial" w:cs="Arial"/>
          <w:color w:val="000000"/>
          <w:sz w:val="20"/>
          <w:u w:val="single"/>
        </w:rPr>
        <w:t>id.</w:t>
      </w:r>
      <w:r>
        <w:rPr>
          <w:rFonts w:ascii="Arial" w:eastAsia="Arial" w:hAnsi="Arial" w:cs="Arial"/>
          <w:color w:val="000000"/>
          <w:sz w:val="20"/>
        </w:rPr>
        <w:t xml:space="preserve"> at 997-98 (affirming summary judgment where testimony contained "numerous undisputed examples of inappropriate behavior exhibited [by the appellant]").</w:t>
      </w:r>
    </w:p>
    <w:p w14:paraId="61DE362F" w14:textId="77777777" w:rsidR="002D0E71" w:rsidRDefault="00000000">
      <w:pPr>
        <w:pStyle w:val="Normal4"/>
        <w:widowControl w:val="0"/>
        <w:spacing w:before="200" w:line="260" w:lineRule="atLeast"/>
        <w:jc w:val="both"/>
      </w:pPr>
      <w:bookmarkStart w:id="552" w:name="Bookmark_para_29_1"/>
      <w:bookmarkStart w:id="553" w:name="Bookmark_I13MH91DN5Y0007952M002YC"/>
      <w:bookmarkStart w:id="554" w:name="Bookmark_I5KHTXRR28T4520020000400"/>
      <w:bookmarkStart w:id="555" w:name="Bookmark_I5KHTXRR28T4520040000400"/>
      <w:bookmarkEnd w:id="552"/>
      <w:bookmarkEnd w:id="553"/>
      <w:bookmarkEnd w:id="554"/>
      <w:bookmarkEnd w:id="555"/>
      <w:r>
        <w:rPr>
          <w:rFonts w:ascii="Arial" w:eastAsia="Arial" w:hAnsi="Arial" w:cs="Arial"/>
          <w:color w:val="000000"/>
          <w:sz w:val="20"/>
        </w:rPr>
        <w:t xml:space="preserve">DOCCS and the district court rely on </w:t>
      </w:r>
      <w:bookmarkStart w:id="556" w:name="Bookmark_I5KHTXRR28T4520010000400"/>
      <w:bookmarkEnd w:id="556"/>
      <w:r>
        <w:rPr>
          <w:rFonts w:ascii="Arial" w:eastAsia="Arial" w:hAnsi="Arial" w:cs="Arial"/>
          <w:color w:val="000000"/>
          <w:sz w:val="20"/>
          <w:u w:val="single"/>
        </w:rPr>
        <w:t>Mason v. Correctional Medical Services, Inc.</w:t>
      </w:r>
      <w:r>
        <w:rPr>
          <w:rFonts w:ascii="Arial" w:eastAsia="Arial" w:hAnsi="Arial" w:cs="Arial"/>
          <w:color w:val="000000"/>
          <w:sz w:val="20"/>
        </w:rPr>
        <w:t xml:space="preserve">, 559 F.3d 880 (8th Cir. 2009), as an example of a court upholding as adequate for a disabled individual an accommodation comparable to the mobility assistance program. The facts of </w:t>
      </w:r>
      <w:r>
        <w:rPr>
          <w:rFonts w:ascii="Arial" w:eastAsia="Arial" w:hAnsi="Arial" w:cs="Arial"/>
          <w:color w:val="000000"/>
          <w:sz w:val="20"/>
          <w:u w:val="single"/>
        </w:rPr>
        <w:t>Mason</w:t>
      </w:r>
      <w:r>
        <w:rPr>
          <w:rFonts w:ascii="Arial" w:eastAsia="Arial" w:hAnsi="Arial" w:cs="Arial"/>
          <w:color w:val="000000"/>
          <w:sz w:val="20"/>
        </w:rPr>
        <w:t xml:space="preserve">, however, are easily distinguishable. The Eighth Circuit ruled that a state prison need not furnish Mason, a blind inmate, with computer dictation software because there was no dispute that his prison-assigned reader provided him with "meaningful access to prison benefits." </w:t>
      </w:r>
      <w:bookmarkStart w:id="557" w:name="Bookmark_I5KHTXRR28T4520030000400"/>
      <w:bookmarkEnd w:id="557"/>
      <w:r>
        <w:rPr>
          <w:rFonts w:ascii="Arial" w:eastAsia="Arial" w:hAnsi="Arial" w:cs="Arial"/>
          <w:color w:val="000000"/>
          <w:sz w:val="20"/>
          <w:u w:val="single"/>
        </w:rPr>
        <w:t>Id.</w:t>
      </w:r>
      <w:r>
        <w:rPr>
          <w:rFonts w:ascii="Arial" w:eastAsia="Arial" w:hAnsi="Arial" w:cs="Arial"/>
          <w:color w:val="000000"/>
          <w:sz w:val="20"/>
        </w:rPr>
        <w:t xml:space="preserve"> at 887. Unlike Wright and the mobility aides, Mason was able to choose his reader, who "escort[ed] him everywhere he [went] and assist[ed] him with anything that he need[ed]." </w:t>
      </w:r>
      <w:r>
        <w:rPr>
          <w:rFonts w:ascii="Arial" w:eastAsia="Arial" w:hAnsi="Arial" w:cs="Arial"/>
          <w:color w:val="000000"/>
          <w:sz w:val="20"/>
          <w:u w:val="single"/>
        </w:rPr>
        <w:t>Id.</w:t>
      </w:r>
      <w:r>
        <w:rPr>
          <w:rFonts w:ascii="Arial" w:eastAsia="Arial" w:hAnsi="Arial" w:cs="Arial"/>
          <w:color w:val="000000"/>
          <w:sz w:val="20"/>
        </w:rPr>
        <w:t xml:space="preserve"> Even though Mason did complain that his reader was not always available, Mason cited only one example of such unavailability. </w:t>
      </w:r>
      <w:r>
        <w:rPr>
          <w:rFonts w:ascii="Arial" w:eastAsia="Arial" w:hAnsi="Arial" w:cs="Arial"/>
          <w:color w:val="000000"/>
          <w:sz w:val="20"/>
          <w:u w:val="single"/>
        </w:rPr>
        <w:t>Id.</w:t>
      </w:r>
      <w:r>
        <w:rPr>
          <w:rFonts w:ascii="Arial" w:eastAsia="Arial" w:hAnsi="Arial" w:cs="Arial"/>
          <w:color w:val="000000"/>
          <w:sz w:val="20"/>
        </w:rPr>
        <w:t xml:space="preserve"> Here, by contrast, the record viewed in the light most favorable to Wright demonstrates that mobility [**21]  aides were often unavailable and certainly did not escort him everywhere, assisting him with everything he needed; in Franklin, moreover, Wright was not given a dedicated mobility aide.</w:t>
      </w:r>
    </w:p>
    <w:p w14:paraId="24D1810B" w14:textId="77777777" w:rsidR="002D0E71" w:rsidRDefault="00000000">
      <w:pPr>
        <w:pStyle w:val="Normal4"/>
        <w:widowControl w:val="0"/>
        <w:spacing w:before="200" w:line="260" w:lineRule="atLeast"/>
        <w:jc w:val="both"/>
      </w:pPr>
      <w:bookmarkStart w:id="558" w:name="Bookmark_para_30_1"/>
      <w:bookmarkStart w:id="559" w:name="Bookmark_I5KHTXRR2N1PV10010000400"/>
      <w:bookmarkStart w:id="560" w:name="Bookmark_I5KHTXRR2N1PV10050000400"/>
      <w:bookmarkEnd w:id="558"/>
      <w:bookmarkEnd w:id="559"/>
      <w:bookmarkEnd w:id="560"/>
      <w:r>
        <w:rPr>
          <w:rFonts w:ascii="Arial" w:eastAsia="Arial" w:hAnsi="Arial" w:cs="Arial"/>
          <w:color w:val="000000"/>
          <w:sz w:val="20"/>
        </w:rPr>
        <w:t xml:space="preserve">Put simply, an examination of the record—with reasonable inferences drawn in Wright's favor—demonstrates that the mobility assistance program is fundamentally in tension with the ADA and RA's "emphasis on independent living and self-sufficiency[, which] ensures that, for the disabled, the enjoyment of a public benefit is not contingent upon the cooperation of third persons." </w:t>
      </w:r>
      <w:bookmarkStart w:id="561" w:name="Bookmark_I5KHTXRR28T4520050000400"/>
      <w:bookmarkEnd w:id="561"/>
      <w:r>
        <w:rPr>
          <w:rFonts w:ascii="Arial" w:eastAsia="Arial" w:hAnsi="Arial" w:cs="Arial"/>
          <w:color w:val="000000"/>
          <w:sz w:val="20"/>
          <w:u w:val="single"/>
        </w:rPr>
        <w:t>Paulson</w:t>
      </w:r>
      <w:r>
        <w:rPr>
          <w:rFonts w:ascii="Arial" w:eastAsia="Arial" w:hAnsi="Arial" w:cs="Arial"/>
          <w:color w:val="000000"/>
          <w:sz w:val="20"/>
        </w:rPr>
        <w:t xml:space="preserve">, 525 F.3d at 1269; </w:t>
      </w:r>
      <w:r>
        <w:rPr>
          <w:rFonts w:ascii="Arial" w:eastAsia="Arial" w:hAnsi="Arial" w:cs="Arial"/>
          <w:color w:val="000000"/>
          <w:sz w:val="20"/>
          <w:u w:val="single"/>
        </w:rPr>
        <w:t xml:space="preserve">see </w:t>
      </w:r>
      <w:bookmarkStart w:id="562" w:name="Bookmark_I5KHTXRR2N1PV10020000400"/>
      <w:bookmarkEnd w:id="562"/>
      <w:r>
        <w:rPr>
          <w:rFonts w:ascii="Arial" w:eastAsia="Arial" w:hAnsi="Arial" w:cs="Arial"/>
          <w:color w:val="000000"/>
          <w:sz w:val="20"/>
          <w:u w:val="single"/>
        </w:rPr>
        <w:t>Disabled in Action</w:t>
      </w:r>
      <w:r>
        <w:rPr>
          <w:rFonts w:ascii="Arial" w:eastAsia="Arial" w:hAnsi="Arial" w:cs="Arial"/>
          <w:color w:val="000000"/>
          <w:sz w:val="20"/>
        </w:rPr>
        <w:t xml:space="preserve">, 752 F.3d at 200 (upholding district court's grant of summary judgment to mobility and vision-impaired voter plaintiffs against defendant-city board of elections because although plaintiffs "were ultimately able to cast their vote with the fortuitous assistance of others, the purpose of the Rehabilitation Act is 'to empower individuals with disabilities to maximize employment, economic self-sufficiency, </w:t>
      </w:r>
      <w:r>
        <w:rPr>
          <w:rFonts w:ascii="Arial" w:eastAsia="Arial" w:hAnsi="Arial" w:cs="Arial"/>
          <w:i/>
          <w:color w:val="000000"/>
          <w:sz w:val="20"/>
        </w:rPr>
        <w:t>independence</w:t>
      </w:r>
      <w:r>
        <w:rPr>
          <w:rFonts w:ascii="Arial" w:eastAsia="Arial" w:hAnsi="Arial" w:cs="Arial"/>
          <w:color w:val="000000"/>
          <w:sz w:val="20"/>
        </w:rPr>
        <w:t xml:space="preserve">, and inclusion and integration into society'" (quoting 29 U.S.C. § 701(b)(1))). While we are sensitive to the fact that prisons are unique environments with heightened security and safety concerns, </w:t>
      </w:r>
      <w:r>
        <w:rPr>
          <w:rFonts w:ascii="Arial" w:eastAsia="Arial" w:hAnsi="Arial" w:cs="Arial"/>
          <w:color w:val="000000"/>
          <w:sz w:val="20"/>
          <w:u w:val="single"/>
        </w:rPr>
        <w:t xml:space="preserve">see </w:t>
      </w:r>
      <w:bookmarkStart w:id="563" w:name="Bookmark_I5KHTXRR2N1PV10040000400"/>
      <w:bookmarkEnd w:id="563"/>
      <w:r>
        <w:rPr>
          <w:rFonts w:ascii="Arial" w:eastAsia="Arial" w:hAnsi="Arial" w:cs="Arial"/>
          <w:color w:val="000000"/>
          <w:sz w:val="20"/>
          <w:u w:val="single"/>
        </w:rPr>
        <w:t>Pierce v. Cty. of Orange</w:t>
      </w:r>
      <w:r>
        <w:rPr>
          <w:rFonts w:ascii="Arial" w:eastAsia="Arial" w:hAnsi="Arial" w:cs="Arial"/>
          <w:color w:val="000000"/>
          <w:sz w:val="20"/>
        </w:rPr>
        <w:t xml:space="preserve">, 526 F.3d 1190, 1216-17 (9th Cir. 2008), because the ADA and RA "unmistakably" apply [**22]  to State prisons and prisoners, </w:t>
      </w:r>
      <w:bookmarkStart w:id="564" w:name="Bookmark_I5KHTXRS2D6NM00010000400"/>
      <w:bookmarkEnd w:id="564"/>
      <w:r>
        <w:rPr>
          <w:rFonts w:ascii="Arial" w:eastAsia="Arial" w:hAnsi="Arial" w:cs="Arial"/>
          <w:color w:val="000000"/>
          <w:sz w:val="20"/>
          <w:u w:val="single"/>
        </w:rPr>
        <w:t>Yeskey</w:t>
      </w:r>
      <w:r>
        <w:rPr>
          <w:rFonts w:ascii="Arial" w:eastAsia="Arial" w:hAnsi="Arial" w:cs="Arial"/>
          <w:color w:val="000000"/>
          <w:sz w:val="20"/>
        </w:rPr>
        <w:t>, 524 U.S. at 209, DOCCS is statutorily required to ensure that all of their inmates, including Wright, have the opportunity effectively to access the services and programs DOCCS provides.</w:t>
      </w:r>
      <w:r>
        <w:rPr>
          <w:rFonts w:ascii="Arial" w:eastAsia="Arial" w:hAnsi="Arial" w:cs="Arial"/>
          <w:vertAlign w:val="superscript"/>
        </w:rPr>
        <w:footnoteReference w:customMarkFollows="1" w:id="11"/>
        <w:t>1</w:t>
      </w:r>
      <w:r>
        <w:rPr>
          <w:rFonts w:ascii="Arial" w:eastAsia="Arial" w:hAnsi="Arial" w:cs="Arial"/>
          <w:color w:val="000000"/>
          <w:sz w:val="20"/>
        </w:rPr>
        <w:t xml:space="preserve"> Viewing the record through the lens we are required to employ, there remain disputes of fact as to whether the mobility assistance program is a plainly  [*76]  reasonable accommodation to meet Wright's needs. As a matter of law, it is not.</w:t>
      </w:r>
    </w:p>
    <w:p w14:paraId="14503FEA" w14:textId="77777777" w:rsidR="002D0E71" w:rsidRDefault="00000000">
      <w:pPr>
        <w:pStyle w:val="Normal4"/>
        <w:widowControl w:val="0"/>
        <w:spacing w:before="200" w:line="260" w:lineRule="atLeast"/>
        <w:jc w:val="both"/>
      </w:pPr>
      <w:bookmarkStart w:id="566" w:name="Bookmark_para_31_1"/>
      <w:bookmarkStart w:id="567" w:name="Bookmark_I5KHTXRS2D6NM00040000400"/>
      <w:bookmarkStart w:id="568" w:name="Bookmark_I5KHTXRS28T4530010000400"/>
      <w:bookmarkEnd w:id="566"/>
      <w:bookmarkEnd w:id="567"/>
      <w:bookmarkEnd w:id="568"/>
      <w:r>
        <w:rPr>
          <w:rFonts w:ascii="Arial" w:eastAsia="Arial" w:hAnsi="Arial" w:cs="Arial"/>
          <w:color w:val="000000"/>
          <w:sz w:val="20"/>
        </w:rPr>
        <w:t xml:space="preserve">Even though we conclude that the mobility assistance program is not plainly reasonable as a matter of law, </w:t>
      </w:r>
      <w:bookmarkStart w:id="569" w:name="Bookmark_LNHNREFclscc8_2"/>
      <w:bookmarkEnd w:id="569"/>
      <w:r>
        <w:rPr>
          <w:rFonts w:ascii="Arial" w:eastAsia="Arial" w:hAnsi="Arial" w:cs="Arial"/>
          <w:color w:val="000000"/>
          <w:sz w:val="20"/>
        </w:rPr>
        <w:t xml:space="preserve">we may affirm a grant of summary judgment on any basis that finds "sufficient support in the record, including grounds not relied on by the district court." </w:t>
      </w:r>
      <w:bookmarkStart w:id="570" w:name="Bookmark_I5KHTXRS2D6NM00030000400"/>
      <w:bookmarkEnd w:id="570"/>
      <w:r>
        <w:rPr>
          <w:rFonts w:ascii="Arial" w:eastAsia="Arial" w:hAnsi="Arial" w:cs="Arial"/>
          <w:color w:val="000000"/>
          <w:sz w:val="20"/>
          <w:u w:val="single"/>
        </w:rPr>
        <w:t>Lotes Co., Ltd. v. Hon Hai Precision Indus. Co.</w:t>
      </w:r>
      <w:r>
        <w:rPr>
          <w:rFonts w:ascii="Arial" w:eastAsia="Arial" w:hAnsi="Arial" w:cs="Arial"/>
          <w:color w:val="000000"/>
          <w:sz w:val="20"/>
        </w:rPr>
        <w:t xml:space="preserve">, 753 F.3d 395, 413 (2d Cir. 2014) (internal quotation omitted). We thus consider further whether, "under the applicable burden [] shifting framework elaborated below," Wright's "proposed accommodation would have been reasonable." </w:t>
      </w:r>
      <w:bookmarkStart w:id="571" w:name="Bookmark_I5KHTXRS2D6NM00050000400"/>
      <w:bookmarkEnd w:id="571"/>
      <w:r>
        <w:rPr>
          <w:rFonts w:ascii="Arial" w:eastAsia="Arial" w:hAnsi="Arial" w:cs="Arial"/>
          <w:color w:val="000000"/>
          <w:sz w:val="20"/>
          <w:u w:val="single"/>
        </w:rPr>
        <w:t>Dean</w:t>
      </w:r>
      <w:r>
        <w:rPr>
          <w:rFonts w:ascii="Arial" w:eastAsia="Arial" w:hAnsi="Arial" w:cs="Arial"/>
          <w:color w:val="000000"/>
          <w:sz w:val="20"/>
        </w:rPr>
        <w:t>, 804 F.3d at 189.</w:t>
      </w:r>
    </w:p>
    <w:p w14:paraId="65B0C155" w14:textId="77777777" w:rsidR="002D0E71" w:rsidRDefault="00000000">
      <w:pPr>
        <w:pStyle w:val="Normal4"/>
        <w:widowControl w:val="0"/>
        <w:spacing w:before="240" w:line="260" w:lineRule="atLeast"/>
      </w:pPr>
      <w:r>
        <w:br/>
      </w:r>
      <w:r>
        <w:rPr>
          <w:rFonts w:ascii="Arial" w:eastAsia="Arial" w:hAnsi="Arial" w:cs="Arial"/>
          <w:b/>
          <w:color w:val="000000"/>
          <w:sz w:val="20"/>
        </w:rPr>
        <w:t>2. Reasonableness of allowing Wright to use his motorized wheelchair</w:t>
      </w:r>
    </w:p>
    <w:p w14:paraId="48F5C51A" w14:textId="77777777" w:rsidR="002D0E71" w:rsidRDefault="00000000">
      <w:pPr>
        <w:pStyle w:val="Normal4"/>
        <w:widowControl w:val="0"/>
        <w:spacing w:before="200" w:line="260" w:lineRule="atLeast"/>
        <w:jc w:val="both"/>
      </w:pPr>
      <w:bookmarkStart w:id="572" w:name="Bookmark_para_32_1"/>
      <w:bookmarkStart w:id="573" w:name="Bookmark_I13MH91DT130007952M002YD"/>
      <w:bookmarkStart w:id="574" w:name="Bookmark_I13MH91F03Y0007952M002YF"/>
      <w:bookmarkStart w:id="575" w:name="Bookmark_I5KHTXRS28T4530030000400"/>
      <w:bookmarkStart w:id="576" w:name="Bookmark_I5KHTXRS2SF7MJ0020000400"/>
      <w:bookmarkEnd w:id="572"/>
      <w:bookmarkEnd w:id="573"/>
      <w:bookmarkEnd w:id="574"/>
      <w:bookmarkEnd w:id="575"/>
      <w:bookmarkEnd w:id="576"/>
      <w:r>
        <w:rPr>
          <w:rFonts w:ascii="Arial" w:eastAsia="Arial" w:hAnsi="Arial" w:cs="Arial"/>
          <w:color w:val="000000"/>
          <w:sz w:val="20"/>
        </w:rPr>
        <w:t xml:space="preserve">We have not previously [**23]  applied the ADA and RA burden shifting framework to a proposed reasonable accommodation in the prison context. However, we routinely employ this framework in the employment context, </w:t>
      </w:r>
      <w:r>
        <w:rPr>
          <w:rFonts w:ascii="Arial" w:eastAsia="Arial" w:hAnsi="Arial" w:cs="Arial"/>
          <w:color w:val="000000"/>
          <w:sz w:val="20"/>
          <w:u w:val="single"/>
        </w:rPr>
        <w:t xml:space="preserve">see </w:t>
      </w:r>
      <w:bookmarkStart w:id="577" w:name="Bookmark_I5KHTXRS28T4530020000400"/>
      <w:bookmarkEnd w:id="577"/>
      <w:r>
        <w:rPr>
          <w:rFonts w:ascii="Arial" w:eastAsia="Arial" w:hAnsi="Arial" w:cs="Arial"/>
          <w:color w:val="000000"/>
          <w:sz w:val="20"/>
          <w:u w:val="single"/>
        </w:rPr>
        <w:t>Borkowski v. Valley Cent. Sch. Dist.</w:t>
      </w:r>
      <w:r>
        <w:rPr>
          <w:rFonts w:ascii="Arial" w:eastAsia="Arial" w:hAnsi="Arial" w:cs="Arial"/>
          <w:color w:val="000000"/>
          <w:sz w:val="20"/>
        </w:rPr>
        <w:t xml:space="preserve">, 63 F.3d 131, 137-39 (2d Cir. 1995), and recently extended it to the educational context, </w:t>
      </w:r>
      <w:r>
        <w:rPr>
          <w:rFonts w:ascii="Arial" w:eastAsia="Arial" w:hAnsi="Arial" w:cs="Arial"/>
          <w:color w:val="000000"/>
          <w:sz w:val="20"/>
          <w:u w:val="single"/>
        </w:rPr>
        <w:t xml:space="preserve">see </w:t>
      </w:r>
      <w:bookmarkStart w:id="578" w:name="Bookmark_I5KHTXRS28T4530040000400"/>
      <w:bookmarkEnd w:id="578"/>
      <w:r>
        <w:rPr>
          <w:rFonts w:ascii="Arial" w:eastAsia="Arial" w:hAnsi="Arial" w:cs="Arial"/>
          <w:color w:val="000000"/>
          <w:sz w:val="20"/>
          <w:u w:val="single"/>
        </w:rPr>
        <w:t>Dean</w:t>
      </w:r>
      <w:r>
        <w:rPr>
          <w:rFonts w:ascii="Arial" w:eastAsia="Arial" w:hAnsi="Arial" w:cs="Arial"/>
          <w:color w:val="000000"/>
          <w:sz w:val="20"/>
        </w:rPr>
        <w:t xml:space="preserve">, 804 F.3d at 190. </w:t>
      </w:r>
      <w:bookmarkStart w:id="579" w:name="Bookmark_LNHNREFclscc9_1"/>
      <w:bookmarkEnd w:id="579"/>
      <w:r>
        <w:rPr>
          <w:rFonts w:ascii="Arial" w:eastAsia="Arial" w:hAnsi="Arial" w:cs="Arial"/>
          <w:color w:val="000000"/>
          <w:sz w:val="20"/>
        </w:rPr>
        <w:t xml:space="preserve">Adopting the well-established ADA and RA burden shifting framework here, the plaintiff "bears the initial burdens of both production and persuasion as to the existence of an accommodation" that is "facial[ly] reasonable[]." </w:t>
      </w:r>
      <w:r>
        <w:rPr>
          <w:rFonts w:ascii="Arial" w:eastAsia="Arial" w:hAnsi="Arial" w:cs="Arial"/>
          <w:color w:val="000000"/>
          <w:sz w:val="20"/>
          <w:u w:val="single"/>
        </w:rPr>
        <w:t>Id.</w:t>
      </w:r>
      <w:r>
        <w:rPr>
          <w:rFonts w:ascii="Arial" w:eastAsia="Arial" w:hAnsi="Arial" w:cs="Arial"/>
          <w:color w:val="000000"/>
          <w:sz w:val="20"/>
        </w:rPr>
        <w:t xml:space="preserve"> The burden of persuasion then shifts to the defendant to "rebut the reasonableness of the proposed accommodation." </w:t>
      </w:r>
      <w:r>
        <w:rPr>
          <w:rFonts w:ascii="Arial" w:eastAsia="Arial" w:hAnsi="Arial" w:cs="Arial"/>
          <w:color w:val="000000"/>
          <w:sz w:val="20"/>
          <w:u w:val="single"/>
        </w:rPr>
        <w:t>Id.</w:t>
      </w:r>
      <w:r>
        <w:rPr>
          <w:rFonts w:ascii="Arial" w:eastAsia="Arial" w:hAnsi="Arial" w:cs="Arial"/>
          <w:color w:val="000000"/>
          <w:sz w:val="20"/>
        </w:rPr>
        <w:t xml:space="preserve"> "This burden of non-persuasion is in essence equivalent to the 'burden of showing, as an affirmative defense, that the proposed accommodation would cause [the defendant] to suffer an undue hardship.'" </w:t>
      </w:r>
      <w:r>
        <w:rPr>
          <w:rFonts w:ascii="Arial" w:eastAsia="Arial" w:hAnsi="Arial" w:cs="Arial"/>
          <w:color w:val="000000"/>
          <w:sz w:val="20"/>
          <w:u w:val="single"/>
        </w:rPr>
        <w:t>Id.</w:t>
      </w:r>
      <w:r>
        <w:rPr>
          <w:rFonts w:ascii="Arial" w:eastAsia="Arial" w:hAnsi="Arial" w:cs="Arial"/>
          <w:color w:val="000000"/>
          <w:sz w:val="20"/>
        </w:rPr>
        <w:t xml:space="preserve"> (quoting </w:t>
      </w:r>
      <w:bookmarkStart w:id="580" w:name="Bookmark_I5KHTXRS2SF7MJ0010000400"/>
      <w:bookmarkEnd w:id="580"/>
      <w:r>
        <w:rPr>
          <w:rFonts w:ascii="Arial" w:eastAsia="Arial" w:hAnsi="Arial" w:cs="Arial"/>
          <w:color w:val="000000"/>
          <w:sz w:val="20"/>
          <w:u w:val="single"/>
        </w:rPr>
        <w:t>Borkowski</w:t>
      </w:r>
      <w:r>
        <w:rPr>
          <w:rFonts w:ascii="Arial" w:eastAsia="Arial" w:hAnsi="Arial" w:cs="Arial"/>
          <w:color w:val="000000"/>
          <w:sz w:val="20"/>
        </w:rPr>
        <w:t>, 63 F.3d at 138). We now apply this framework to determine whether Wright's requested accommodation—the use of his motorized wheelchair—would have been reasonable.</w:t>
      </w:r>
    </w:p>
    <w:p w14:paraId="17974D84" w14:textId="77777777" w:rsidR="002D0E71" w:rsidRDefault="00000000">
      <w:pPr>
        <w:pStyle w:val="Normal4"/>
        <w:widowControl w:val="0"/>
        <w:spacing w:before="200" w:line="260" w:lineRule="atLeast"/>
        <w:jc w:val="both"/>
      </w:pPr>
      <w:bookmarkStart w:id="581" w:name="Bookmark_para_33_1"/>
      <w:bookmarkStart w:id="582" w:name="Bookmark_I5KHTXRS2SF7MJ0040000400"/>
      <w:bookmarkEnd w:id="581"/>
      <w:bookmarkEnd w:id="582"/>
      <w:r>
        <w:rPr>
          <w:rFonts w:ascii="Arial" w:eastAsia="Arial" w:hAnsi="Arial" w:cs="Arial"/>
          <w:color w:val="000000"/>
          <w:sz w:val="20"/>
        </w:rPr>
        <w:t xml:space="preserve">Wright faces only a "'light burden of production' as to the facial reasonableness of [his proposed] accommodation." </w:t>
      </w:r>
      <w:bookmarkStart w:id="583" w:name="Bookmark_I5KHTXRS2SF7MJ0030000400"/>
      <w:bookmarkEnd w:id="583"/>
      <w:r>
        <w:rPr>
          <w:rFonts w:ascii="Arial" w:eastAsia="Arial" w:hAnsi="Arial" w:cs="Arial"/>
          <w:color w:val="000000"/>
          <w:sz w:val="20"/>
          <w:u w:val="single"/>
        </w:rPr>
        <w:t>Dean</w:t>
      </w:r>
      <w:r>
        <w:rPr>
          <w:rFonts w:ascii="Arial" w:eastAsia="Arial" w:hAnsi="Arial" w:cs="Arial"/>
          <w:color w:val="000000"/>
          <w:sz w:val="20"/>
        </w:rPr>
        <w:t>, 804 F.3d at 190 (internal quotation omitted). On this record, Wright has met that burden. It is undisputed that Wright lived a self-sufficient life with [**24]  the aid of his motorized wheelchair for fifteen years prior to his incarceration. When he first entered DOCCS custody, a prison nurse determined that Wright has a "permanent limitation," and, he was allowed, on a temporary basis, to use his motorized wheelchair. Finally, Wright testified that, because of his cerebral palsy, he cannot turn his wrists sufficiently to operate a manual wheelchair. The evidence, therefore, supports the conclusion that a motorized wheelchair would allow Wright meaningful access to prison services, programs, and activities. Indeed, thirty state prison systems and the Federal Bureau of Prisons allow, at least on a case-by-case basis, mobility-impaired prisoners to use motorized wheelchairs. We hold this to be persuasive evidence that Wright's request for a motorized wheelchair is a facially reasonable accommodation.</w:t>
      </w:r>
    </w:p>
    <w:p w14:paraId="228576FB" w14:textId="77777777" w:rsidR="002D0E71" w:rsidRDefault="00000000">
      <w:pPr>
        <w:pStyle w:val="Normal4"/>
        <w:widowControl w:val="0"/>
        <w:spacing w:before="200" w:line="260" w:lineRule="atLeast"/>
        <w:jc w:val="both"/>
      </w:pPr>
      <w:bookmarkStart w:id="584" w:name="Bookmark_para_34_1"/>
      <w:bookmarkStart w:id="585" w:name="Bookmark_I5KHTXRS2D6NM10010000400"/>
      <w:bookmarkEnd w:id="584"/>
      <w:bookmarkEnd w:id="585"/>
      <w:r>
        <w:rPr>
          <w:rFonts w:ascii="Arial" w:eastAsia="Arial" w:hAnsi="Arial" w:cs="Arial"/>
          <w:color w:val="000000"/>
          <w:sz w:val="20"/>
        </w:rPr>
        <w:t xml:space="preserve">The burden of non-persuasion then falls to DOCCS to show that allowing Wright to use his motorized wheelchair would "impose undue hardship on the operation of [its] service[s], program[s], or activit[ies.]" </w:t>
      </w:r>
      <w:bookmarkStart w:id="586" w:name="Bookmark_I5KHTXRS2SF7MJ0050000400"/>
      <w:bookmarkEnd w:id="586"/>
      <w:r>
        <w:rPr>
          <w:rFonts w:ascii="Arial" w:eastAsia="Arial" w:hAnsi="Arial" w:cs="Arial"/>
          <w:color w:val="000000"/>
          <w:sz w:val="20"/>
          <w:u w:val="single"/>
        </w:rPr>
        <w:t>Dean</w:t>
      </w:r>
      <w:r>
        <w:rPr>
          <w:rFonts w:ascii="Arial" w:eastAsia="Arial" w:hAnsi="Arial" w:cs="Arial"/>
          <w:color w:val="000000"/>
          <w:sz w:val="20"/>
        </w:rPr>
        <w:t>, 804 F.3d at 190. In arguing that DOCCS would be unduly burdened by allowing Wright to use his motorized wheelchair, DOCCS relies primarily on its policy of banning all motorized [**25]  wheelchairs in its facilities. We hold that DOCCS's blanket ban on motorized wheelchairs violates the ADA and the RA because it precludes DOCCS from having to make an individualized assessment of a disabled inmate's  [*77]  particular needs. On the record before us, however, there is a dispute of material fact as to whether DOCCS, in this case, would suffer an undue hardship if it allowed Wright to use his motorized wheelchair in its facilities.</w:t>
      </w:r>
    </w:p>
    <w:p w14:paraId="75322D3C" w14:textId="77777777" w:rsidR="002D0E71" w:rsidRDefault="00000000">
      <w:pPr>
        <w:pStyle w:val="Normal4"/>
        <w:widowControl w:val="0"/>
        <w:spacing w:before="240" w:line="260" w:lineRule="atLeast"/>
      </w:pPr>
      <w:r>
        <w:br/>
      </w:r>
      <w:r>
        <w:rPr>
          <w:rFonts w:ascii="Arial" w:eastAsia="Arial" w:hAnsi="Arial" w:cs="Arial"/>
          <w:b/>
          <w:color w:val="000000"/>
          <w:sz w:val="20"/>
        </w:rPr>
        <w:t>a. Blanket Ban</w:t>
      </w:r>
    </w:p>
    <w:p w14:paraId="20FE3D87" w14:textId="77777777" w:rsidR="002D0E71" w:rsidRDefault="00000000">
      <w:pPr>
        <w:pStyle w:val="Normal4"/>
        <w:widowControl w:val="0"/>
        <w:spacing w:before="200" w:line="260" w:lineRule="atLeast"/>
        <w:jc w:val="both"/>
      </w:pPr>
      <w:bookmarkStart w:id="587" w:name="Bookmark_para_35_1"/>
      <w:bookmarkStart w:id="588" w:name="Bookmark_I13MH91F3Y30007952M002YG"/>
      <w:bookmarkStart w:id="589" w:name="Bookmark_I5KHTXRS2D6NM10030000400"/>
      <w:bookmarkEnd w:id="587"/>
      <w:bookmarkEnd w:id="588"/>
      <w:bookmarkEnd w:id="589"/>
      <w:r>
        <w:rPr>
          <w:rFonts w:ascii="Arial" w:eastAsia="Arial" w:hAnsi="Arial" w:cs="Arial"/>
          <w:color w:val="000000"/>
          <w:sz w:val="20"/>
        </w:rPr>
        <w:t xml:space="preserve">The Supreme Court has held that Title III of the ADA requires that </w:t>
      </w:r>
      <w:bookmarkStart w:id="590" w:name="Bookmark_LNHNREFclscc10_1"/>
      <w:bookmarkEnd w:id="590"/>
      <w:r>
        <w:rPr>
          <w:rFonts w:ascii="Arial" w:eastAsia="Arial" w:hAnsi="Arial" w:cs="Arial"/>
          <w:color w:val="000000"/>
          <w:sz w:val="20"/>
        </w:rPr>
        <w:t xml:space="preserve">"an individualized inquiry must be made to determine whether a specific modification for a particular person's disability would be reasonable under the circumstances . . . ." </w:t>
      </w:r>
      <w:bookmarkStart w:id="591" w:name="Bookmark_I5KHTXRS2D6NM10020000400"/>
      <w:bookmarkEnd w:id="591"/>
      <w:r>
        <w:rPr>
          <w:rFonts w:ascii="Arial" w:eastAsia="Arial" w:hAnsi="Arial" w:cs="Arial"/>
          <w:color w:val="000000"/>
          <w:sz w:val="20"/>
          <w:u w:val="single"/>
        </w:rPr>
        <w:t>PGA Tour, Inc. v. Martin</w:t>
      </w:r>
      <w:r>
        <w:rPr>
          <w:rFonts w:ascii="Arial" w:eastAsia="Arial" w:hAnsi="Arial" w:cs="Arial"/>
          <w:color w:val="000000"/>
          <w:sz w:val="20"/>
        </w:rPr>
        <w:t xml:space="preserve">, 532 U.S. 661, 688, 121 S. Ct. 1879, 149 L. Ed. 2d 904 (2001). This is so because the "refusal to consider [an individual's] personal circumstances in deciding whether to accommodate his disability runs counter to the clear language and purpose of the ADA." </w:t>
      </w:r>
      <w:r>
        <w:rPr>
          <w:rFonts w:ascii="Arial" w:eastAsia="Arial" w:hAnsi="Arial" w:cs="Arial"/>
          <w:color w:val="000000"/>
          <w:sz w:val="20"/>
          <w:u w:val="single"/>
        </w:rPr>
        <w:t>Id.</w:t>
      </w:r>
      <w:r>
        <w:rPr>
          <w:rFonts w:ascii="Arial" w:eastAsia="Arial" w:hAnsi="Arial" w:cs="Arial"/>
          <w:color w:val="000000"/>
          <w:sz w:val="20"/>
        </w:rPr>
        <w:t xml:space="preserve"> Although </w:t>
      </w:r>
      <w:r>
        <w:rPr>
          <w:rFonts w:ascii="Arial" w:eastAsia="Arial" w:hAnsi="Arial" w:cs="Arial"/>
          <w:color w:val="000000"/>
          <w:sz w:val="20"/>
          <w:u w:val="single"/>
        </w:rPr>
        <w:t>Martin</w:t>
      </w:r>
      <w:r>
        <w:rPr>
          <w:rFonts w:ascii="Arial" w:eastAsia="Arial" w:hAnsi="Arial" w:cs="Arial"/>
          <w:color w:val="000000"/>
          <w:sz w:val="20"/>
        </w:rPr>
        <w:t xml:space="preserve"> was decided in the context of Title III of the ADA, we conclude that the individualized inquiry requirement is applicable to failure to accommodate actions under Title II of the ADA as well.</w:t>
      </w:r>
    </w:p>
    <w:p w14:paraId="548B18B7" w14:textId="77777777" w:rsidR="002D0E71" w:rsidRDefault="00000000">
      <w:pPr>
        <w:pStyle w:val="Normal4"/>
        <w:widowControl w:val="0"/>
        <w:spacing w:before="200" w:line="260" w:lineRule="atLeast"/>
        <w:jc w:val="both"/>
      </w:pPr>
      <w:bookmarkStart w:id="592" w:name="Bookmark_para_36_1"/>
      <w:bookmarkEnd w:id="592"/>
      <w:r>
        <w:rPr>
          <w:rFonts w:ascii="Arial" w:eastAsia="Arial" w:hAnsi="Arial" w:cs="Arial"/>
          <w:color w:val="000000"/>
          <w:sz w:val="20"/>
        </w:rPr>
        <w:t>"[T]he ADA was enacted to eliminate discrimination against '</w:t>
      </w:r>
      <w:r>
        <w:rPr>
          <w:rFonts w:ascii="Arial" w:eastAsia="Arial" w:hAnsi="Arial" w:cs="Arial"/>
          <w:i/>
          <w:color w:val="000000"/>
          <w:sz w:val="20"/>
        </w:rPr>
        <w:t>individuals</w:t>
      </w:r>
      <w:r>
        <w:rPr>
          <w:rFonts w:ascii="Arial" w:eastAsia="Arial" w:hAnsi="Arial" w:cs="Arial"/>
          <w:color w:val="000000"/>
          <w:sz w:val="20"/>
        </w:rPr>
        <w:t xml:space="preserve">' with disabilities." </w:t>
      </w:r>
      <w:r>
        <w:rPr>
          <w:rFonts w:ascii="Arial" w:eastAsia="Arial" w:hAnsi="Arial" w:cs="Arial"/>
          <w:color w:val="000000"/>
          <w:sz w:val="20"/>
          <w:u w:val="single"/>
        </w:rPr>
        <w:t>Id.</w:t>
      </w:r>
      <w:r>
        <w:rPr>
          <w:rFonts w:ascii="Arial" w:eastAsia="Arial" w:hAnsi="Arial" w:cs="Arial"/>
          <w:color w:val="000000"/>
          <w:sz w:val="20"/>
        </w:rPr>
        <w:t xml:space="preserve"> (emphasis [**26]  added). The ADA's legislative history, furthermore, makes evident that the ADA requires public entities to engage in an individualized inquiry before denying a disabled individual's proposed accommodation. The House Committee on Education and Labor's report on the ADA, states that, under Title III, public accommodations "are required to make decisions based on facts applicable to individuals." H.R. Rep. No. 101-485, pt. 2, at 102. Similarly, the Committee, in outlining the "[s]pecific forms of discrimination prohibited" under Title I, explained that employers "are required to make employment decisions based on facts applicable to individual applicants or employees, and not on the basis of presumptions as to what a class of individuals with disabilities can or cannot do." </w:t>
      </w:r>
      <w:r>
        <w:rPr>
          <w:rFonts w:ascii="Arial" w:eastAsia="Arial" w:hAnsi="Arial" w:cs="Arial"/>
          <w:color w:val="000000"/>
          <w:sz w:val="20"/>
          <w:u w:val="single"/>
        </w:rPr>
        <w:t>Id.</w:t>
      </w:r>
      <w:r>
        <w:rPr>
          <w:rFonts w:ascii="Arial" w:eastAsia="Arial" w:hAnsi="Arial" w:cs="Arial"/>
          <w:color w:val="000000"/>
          <w:sz w:val="20"/>
        </w:rPr>
        <w:t xml:space="preserve"> at 58. In examining Title II, the Committee strongly suggested that the individualized inquiry requirements of Title I and III also apply to Title II, stating "that the forms of discrimination prohibited by [Title II are] identical to those set out in the applicable provisions of titles I and III of this legislation." </w:t>
      </w:r>
      <w:r>
        <w:rPr>
          <w:rFonts w:ascii="Arial" w:eastAsia="Arial" w:hAnsi="Arial" w:cs="Arial"/>
          <w:color w:val="000000"/>
          <w:sz w:val="20"/>
          <w:u w:val="single"/>
        </w:rPr>
        <w:t>Id.</w:t>
      </w:r>
      <w:r>
        <w:rPr>
          <w:rFonts w:ascii="Arial" w:eastAsia="Arial" w:hAnsi="Arial" w:cs="Arial"/>
          <w:color w:val="000000"/>
          <w:sz w:val="20"/>
        </w:rPr>
        <w:t xml:space="preserve"> at 84.</w:t>
      </w:r>
    </w:p>
    <w:p w14:paraId="774018EA" w14:textId="77777777" w:rsidR="002D0E71" w:rsidRDefault="00000000">
      <w:pPr>
        <w:pStyle w:val="Normal4"/>
        <w:widowControl w:val="0"/>
        <w:spacing w:before="200" w:line="260" w:lineRule="atLeast"/>
        <w:jc w:val="both"/>
      </w:pPr>
      <w:bookmarkStart w:id="593" w:name="Bookmark_para_37_1"/>
      <w:bookmarkStart w:id="594" w:name="Bookmark_I5KHTXRS2D6NM10050000400"/>
      <w:bookmarkEnd w:id="593"/>
      <w:bookmarkEnd w:id="594"/>
      <w:r>
        <w:rPr>
          <w:rFonts w:ascii="Arial" w:eastAsia="Arial" w:hAnsi="Arial" w:cs="Arial"/>
          <w:color w:val="000000"/>
          <w:sz w:val="20"/>
        </w:rPr>
        <w:t xml:space="preserve">Since </w:t>
      </w:r>
      <w:r>
        <w:rPr>
          <w:rFonts w:ascii="Arial" w:eastAsia="Arial" w:hAnsi="Arial" w:cs="Arial"/>
          <w:color w:val="000000"/>
          <w:sz w:val="20"/>
          <w:u w:val="single"/>
        </w:rPr>
        <w:t>Martin</w:t>
      </w:r>
      <w:r>
        <w:rPr>
          <w:rFonts w:ascii="Arial" w:eastAsia="Arial" w:hAnsi="Arial" w:cs="Arial"/>
          <w:color w:val="000000"/>
          <w:sz w:val="20"/>
        </w:rPr>
        <w:t xml:space="preserve">, a number of courts have held that Title II requires public entities to engage in an individualized [**27]  inquiry when determining whether an accommodation is reasonable. </w:t>
      </w:r>
      <w:bookmarkStart w:id="595" w:name="Bookmark_I5KHTXRS2HM6270010000400"/>
      <w:bookmarkEnd w:id="595"/>
      <w:r>
        <w:rPr>
          <w:rFonts w:ascii="Arial" w:eastAsia="Arial" w:hAnsi="Arial" w:cs="Arial"/>
          <w:color w:val="000000"/>
          <w:sz w:val="20"/>
          <w:u w:val="single"/>
        </w:rPr>
        <w:t xml:space="preserve">See </w:t>
      </w:r>
      <w:bookmarkStart w:id="596" w:name="Bookmark_I5KHTXRS2D6NM10040000400"/>
      <w:bookmarkEnd w:id="596"/>
      <w:r>
        <w:rPr>
          <w:rFonts w:ascii="Arial" w:eastAsia="Arial" w:hAnsi="Arial" w:cs="Arial"/>
          <w:color w:val="000000"/>
          <w:sz w:val="20"/>
          <w:u w:val="single"/>
        </w:rPr>
        <w:t>Starego v. New Jersey State Interscholastic Athletic Ass'n</w:t>
      </w:r>
      <w:r>
        <w:rPr>
          <w:rFonts w:ascii="Arial" w:eastAsia="Arial" w:hAnsi="Arial" w:cs="Arial"/>
          <w:color w:val="000000"/>
          <w:sz w:val="20"/>
        </w:rPr>
        <w:t xml:space="preserve">, 970 F. Supp. 2d 303, 309 (D. N.J. 2013) ("While </w:t>
      </w:r>
      <w:r>
        <w:rPr>
          <w:rFonts w:ascii="Arial" w:eastAsia="Arial" w:hAnsi="Arial" w:cs="Arial"/>
          <w:color w:val="000000"/>
          <w:sz w:val="20"/>
          <w:u w:val="single"/>
        </w:rPr>
        <w:t>Martin</w:t>
      </w:r>
      <w:r>
        <w:rPr>
          <w:rFonts w:ascii="Arial" w:eastAsia="Arial" w:hAnsi="Arial" w:cs="Arial"/>
          <w:color w:val="000000"/>
          <w:sz w:val="20"/>
        </w:rPr>
        <w:t xml:space="preserve">'s analysis concerned Title III of the ADA, its import, at least as to the individualized inquiry aspect of that decision, applies with equal force to Title II."); </w:t>
      </w:r>
      <w:bookmarkStart w:id="597" w:name="Bookmark_I5KHTXRS2SF7MK0010000400"/>
      <w:bookmarkEnd w:id="597"/>
      <w:r>
        <w:rPr>
          <w:rFonts w:ascii="Arial" w:eastAsia="Arial" w:hAnsi="Arial" w:cs="Arial"/>
          <w:color w:val="000000"/>
          <w:sz w:val="20"/>
          <w:u w:val="single"/>
        </w:rPr>
        <w:t>Cruz ex rel. Cruz v. Pa. Interscholastic Athletic Ass'n, Inc.</w:t>
      </w:r>
      <w:r>
        <w:rPr>
          <w:rFonts w:ascii="Arial" w:eastAsia="Arial" w:hAnsi="Arial" w:cs="Arial"/>
          <w:color w:val="000000"/>
          <w:sz w:val="20"/>
        </w:rPr>
        <w:t xml:space="preserve">, 157 F. Supp. 2d 485, 498-99 (E.D. Pa. 2001) ("[I]n </w:t>
      </w:r>
      <w:r>
        <w:rPr>
          <w:rFonts w:ascii="Arial" w:eastAsia="Arial" w:hAnsi="Arial" w:cs="Arial"/>
          <w:color w:val="000000"/>
          <w:sz w:val="20"/>
          <w:u w:val="single"/>
        </w:rPr>
        <w:t>Martin</w:t>
      </w:r>
      <w:r>
        <w:rPr>
          <w:rFonts w:ascii="Arial" w:eastAsia="Arial" w:hAnsi="Arial" w:cs="Arial"/>
          <w:color w:val="000000"/>
          <w:sz w:val="20"/>
        </w:rPr>
        <w:t xml:space="preserve">, the Supreme Court made clear that a basic requirement of the ADA is the evaluation of a disabled person on an individual basis."); </w:t>
      </w:r>
      <w:r>
        <w:rPr>
          <w:rFonts w:ascii="Arial" w:eastAsia="Arial" w:hAnsi="Arial" w:cs="Arial"/>
          <w:color w:val="000000"/>
          <w:sz w:val="20"/>
          <w:u w:val="single"/>
        </w:rPr>
        <w:t xml:space="preserve">cf. </w:t>
      </w:r>
      <w:bookmarkStart w:id="598" w:name="Bookmark_I5KHTXRS2SF7MK0030000400"/>
      <w:bookmarkEnd w:id="598"/>
      <w:r>
        <w:rPr>
          <w:rFonts w:ascii="Arial" w:eastAsia="Arial" w:hAnsi="Arial" w:cs="Arial"/>
          <w:color w:val="000000"/>
          <w:sz w:val="20"/>
          <w:u w:val="single"/>
        </w:rPr>
        <w:t>Kapche v. City of San Antonio</w:t>
      </w:r>
      <w:r>
        <w:rPr>
          <w:rFonts w:ascii="Arial" w:eastAsia="Arial" w:hAnsi="Arial" w:cs="Arial"/>
          <w:color w:val="000000"/>
          <w:sz w:val="20"/>
        </w:rPr>
        <w:t xml:space="preserve">, 304 F.3d 493, 499 (5th Cir. 2002) (noting, in a Title I case, that "intervening Supreme Court cases consistently point to an individualized assessment mandated by the ADA under various sections of the Act."). More specifically, courts have applied an individualized inquiry requirement in the prison context. </w:t>
      </w:r>
      <w:bookmarkStart w:id="599" w:name="Bookmark_I5KHTXRS2HM6270010000400_2"/>
      <w:bookmarkEnd w:id="599"/>
      <w:r>
        <w:rPr>
          <w:rFonts w:ascii="Arial" w:eastAsia="Arial" w:hAnsi="Arial" w:cs="Arial"/>
          <w:color w:val="000000"/>
          <w:sz w:val="20"/>
          <w:u w:val="single"/>
        </w:rPr>
        <w:t xml:space="preserve">See </w:t>
      </w:r>
      <w:bookmarkStart w:id="600" w:name="Bookmark_I5KHTXRS2SF7MK0050000400"/>
      <w:bookmarkEnd w:id="600"/>
      <w:r>
        <w:rPr>
          <w:rFonts w:ascii="Arial" w:eastAsia="Arial" w:hAnsi="Arial" w:cs="Arial"/>
          <w:color w:val="000000"/>
          <w:sz w:val="20"/>
          <w:u w:val="single"/>
        </w:rPr>
        <w:t>Pierce v. District of Columbia</w:t>
      </w:r>
      <w:r>
        <w:rPr>
          <w:rFonts w:ascii="Arial" w:eastAsia="Arial" w:hAnsi="Arial" w:cs="Arial"/>
          <w:color w:val="000000"/>
          <w:sz w:val="20"/>
        </w:rPr>
        <w:t xml:space="preserve">, 128 F. Supp. 3d 250, 254 (D.D.C. 2015) (finding that state denied a deaf prison inmate "meaningful access to prison services" where prison employees "did </w:t>
      </w:r>
      <w:r>
        <w:rPr>
          <w:rFonts w:ascii="Arial" w:eastAsia="Arial" w:hAnsi="Arial" w:cs="Arial"/>
          <w:i/>
          <w:color w:val="000000"/>
          <w:sz w:val="20"/>
        </w:rPr>
        <w:t>nothing</w:t>
      </w:r>
      <w:r>
        <w:rPr>
          <w:rFonts w:ascii="Arial" w:eastAsia="Arial" w:hAnsi="Arial" w:cs="Arial"/>
          <w:color w:val="000000"/>
          <w:sz w:val="20"/>
        </w:rPr>
        <w:t xml:space="preserve"> to evaluate [plaintiff's] need for accommodation" and did not "engage in any meaningful assessment of his needs").  [*78]  While these cases are not binding on this court, we find the reasoning underlying these decisions to be persuasive.</w:t>
      </w:r>
    </w:p>
    <w:p w14:paraId="7108D38C" w14:textId="77777777" w:rsidR="002D0E71" w:rsidRDefault="00000000">
      <w:pPr>
        <w:pStyle w:val="Normal4"/>
        <w:widowControl w:val="0"/>
        <w:spacing w:before="200" w:line="260" w:lineRule="atLeast"/>
        <w:jc w:val="both"/>
      </w:pPr>
      <w:bookmarkStart w:id="601" w:name="Bookmark_para_38_0"/>
      <w:bookmarkStart w:id="602" w:name="Bookmark_I5KHTXRS2HM6270030000400"/>
      <w:bookmarkEnd w:id="601"/>
      <w:bookmarkEnd w:id="602"/>
      <w:r>
        <w:rPr>
          <w:rFonts w:ascii="Arial" w:eastAsia="Arial" w:hAnsi="Arial" w:cs="Arial"/>
          <w:color w:val="000000"/>
          <w:sz w:val="20"/>
        </w:rPr>
        <w:t xml:space="preserve">Requiring an individualized inquiry under Title II is also consistent with Title II's implementing regulations, which guide us "[i]n interpreting the statutory terms" of the ADA. [**28]  </w:t>
      </w:r>
      <w:bookmarkStart w:id="603" w:name="Bookmark_I5KHTXRS2HM6270020000400"/>
      <w:bookmarkEnd w:id="603"/>
      <w:r>
        <w:rPr>
          <w:rFonts w:ascii="Arial" w:eastAsia="Arial" w:hAnsi="Arial" w:cs="Arial"/>
          <w:color w:val="000000"/>
          <w:sz w:val="20"/>
          <w:u w:val="single"/>
        </w:rPr>
        <w:t>Henrietta D.</w:t>
      </w:r>
      <w:r>
        <w:rPr>
          <w:rFonts w:ascii="Arial" w:eastAsia="Arial" w:hAnsi="Arial" w:cs="Arial"/>
          <w:color w:val="000000"/>
          <w:sz w:val="20"/>
        </w:rPr>
        <w:t xml:space="preserve">, 331 F.3d at 273-74. For example, </w:t>
      </w:r>
      <w:bookmarkStart w:id="604" w:name="Bookmark_LNHNREFclscc11_0"/>
      <w:bookmarkEnd w:id="604"/>
      <w:r>
        <w:rPr>
          <w:rFonts w:ascii="Arial" w:eastAsia="Arial" w:hAnsi="Arial" w:cs="Arial"/>
          <w:color w:val="000000"/>
          <w:sz w:val="20"/>
        </w:rPr>
        <w:t xml:space="preserve">a public entity need not allow an "individual to participate in or benefit from the services, programs, or activities of that public entity" if it concludes, after "an individualized assessment," that the individual "poses a direct threat to the health or safety of others." 28 C.F.R. § 35.139. Similarly, "[a] public entity may impose legitimate safety requirements necessary for the safe operation of its services, programs, or activities[; h]owever, [it] must ensure that its safety requirements are based on </w:t>
      </w:r>
      <w:r>
        <w:rPr>
          <w:rFonts w:ascii="Arial" w:eastAsia="Arial" w:hAnsi="Arial" w:cs="Arial"/>
          <w:i/>
          <w:color w:val="000000"/>
          <w:sz w:val="20"/>
        </w:rPr>
        <w:t>actual risks, not on mere speculation, stereotypes, or generalizations about individuals with disabilities</w:t>
      </w:r>
      <w:r>
        <w:rPr>
          <w:rFonts w:ascii="Arial" w:eastAsia="Arial" w:hAnsi="Arial" w:cs="Arial"/>
          <w:color w:val="000000"/>
          <w:sz w:val="20"/>
        </w:rPr>
        <w:t>." 28 C.F.R. § 35.130(h) (emphasis added).</w:t>
      </w:r>
    </w:p>
    <w:p w14:paraId="7AA89C84" w14:textId="77777777" w:rsidR="002D0E71" w:rsidRDefault="00000000">
      <w:pPr>
        <w:pStyle w:val="Normal4"/>
        <w:widowControl w:val="0"/>
        <w:spacing w:before="200" w:line="260" w:lineRule="atLeast"/>
        <w:jc w:val="both"/>
      </w:pPr>
      <w:bookmarkStart w:id="605" w:name="Bookmark_para_39_0"/>
      <w:bookmarkStart w:id="606" w:name="Bookmark_LNHNREFclscc12_0"/>
      <w:bookmarkEnd w:id="605"/>
      <w:bookmarkEnd w:id="606"/>
      <w:r>
        <w:rPr>
          <w:rFonts w:ascii="Arial" w:eastAsia="Arial" w:hAnsi="Arial" w:cs="Arial"/>
          <w:color w:val="000000"/>
          <w:sz w:val="20"/>
        </w:rPr>
        <w:t>Title II of the ADA, therefore, requires that once a disabled prisoner requests a non-frivolous accommodation, the accommodation should not be denied without an individualized inquiry into its reasonableness. Here, the record is clear that DOCCS has engaged in no such assessment. Instead, when denying Wright's request to use his motorized wheelchair, DOCCS relied on general safety and administrative concerns unconnected to Wright's specific situation. For example, Superintendent Kelly stated that because "the possession/use of a motorized wheelchair in a correctional [**29]  setting includes numerous safety &amp; security issues, Departmental policy is to preclude the use of such items by offenders." Joint App'x at 23. DOCCS did not evaluate Wright's actual motorized wheelchair. Nor did DOCCS perform an appraisal of Wright himself, i.e. there was no examination of his propensity to commit acts of violence, his disciplinary record, his past crimes, or his physical needs.</w:t>
      </w:r>
      <w:r>
        <w:rPr>
          <w:rFonts w:ascii="Arial" w:eastAsia="Arial" w:hAnsi="Arial" w:cs="Arial"/>
          <w:vertAlign w:val="superscript"/>
        </w:rPr>
        <w:footnoteReference w:customMarkFollows="1" w:id="12"/>
        <w:t>2</w:t>
      </w:r>
      <w:r>
        <w:rPr>
          <w:rFonts w:ascii="Arial" w:eastAsia="Arial" w:hAnsi="Arial" w:cs="Arial"/>
          <w:color w:val="000000"/>
          <w:sz w:val="20"/>
        </w:rPr>
        <w:t xml:space="preserve"> In short, DOCCS's reasons for rejecting Wright's accommodation—to be able to use his motorized wheelchair—were not responsive to Wright's specific request and individual circumstances. As such the response was deficient and violated Title II of the ADA and Section 504 of the RA.</w:t>
      </w:r>
    </w:p>
    <w:p w14:paraId="31895B21" w14:textId="77777777" w:rsidR="002D0E71" w:rsidRDefault="00000000">
      <w:pPr>
        <w:pStyle w:val="Normal4"/>
        <w:widowControl w:val="0"/>
        <w:spacing w:before="240" w:line="260" w:lineRule="atLeast"/>
      </w:pPr>
      <w:r>
        <w:br/>
      </w:r>
      <w:r>
        <w:rPr>
          <w:rFonts w:ascii="Arial" w:eastAsia="Arial" w:hAnsi="Arial" w:cs="Arial"/>
          <w:b/>
          <w:color w:val="000000"/>
          <w:sz w:val="20"/>
        </w:rPr>
        <w:t>b. Dispute of Material Fact</w:t>
      </w:r>
    </w:p>
    <w:p w14:paraId="7D79DF78" w14:textId="77777777" w:rsidR="002D0E71" w:rsidRDefault="00000000">
      <w:pPr>
        <w:pStyle w:val="Normal4"/>
        <w:widowControl w:val="0"/>
        <w:spacing w:before="200" w:line="260" w:lineRule="atLeast"/>
        <w:jc w:val="both"/>
      </w:pPr>
      <w:bookmarkStart w:id="608" w:name="Bookmark_para_40_0"/>
      <w:bookmarkStart w:id="609" w:name="Bookmark_I5KHTXRS2HM6270050000400"/>
      <w:bookmarkStart w:id="610" w:name="Bookmark_I5KHTXRS2N1PV20020000400"/>
      <w:bookmarkStart w:id="611" w:name="Bookmark_I5KHTXRS28T4540030000400"/>
      <w:bookmarkEnd w:id="608"/>
      <w:bookmarkEnd w:id="609"/>
      <w:bookmarkEnd w:id="610"/>
      <w:bookmarkEnd w:id="611"/>
      <w:r>
        <w:rPr>
          <w:rFonts w:ascii="Arial" w:eastAsia="Arial" w:hAnsi="Arial" w:cs="Arial"/>
          <w:color w:val="000000"/>
          <w:sz w:val="20"/>
        </w:rPr>
        <w:t xml:space="preserve">In considering whether DOCCS has shown, as a matter of law, that it would [**30]  be unduly burdened by allowing Wright the use of his motorized wheelchair, we are cognizant that </w:t>
      </w:r>
      <w:bookmarkStart w:id="612" w:name="Bookmark_LNHNREFclscc13_0"/>
      <w:bookmarkEnd w:id="612"/>
      <w:r>
        <w:rPr>
          <w:rFonts w:ascii="Arial" w:eastAsia="Arial" w:hAnsi="Arial" w:cs="Arial"/>
          <w:color w:val="000000"/>
          <w:sz w:val="20"/>
        </w:rPr>
        <w:t xml:space="preserve">prisons are unique environments where "deference to the expert views" of prison administrators is the norm. </w:t>
      </w:r>
      <w:bookmarkStart w:id="613" w:name="Bookmark_I5KHTXRS2HM6270040000400"/>
      <w:bookmarkEnd w:id="613"/>
      <w:r>
        <w:rPr>
          <w:rFonts w:ascii="Arial" w:eastAsia="Arial" w:hAnsi="Arial" w:cs="Arial"/>
          <w:color w:val="000000"/>
          <w:sz w:val="20"/>
          <w:u w:val="single"/>
        </w:rPr>
        <w:t>Pierce</w:t>
      </w:r>
      <w:r>
        <w:rPr>
          <w:rFonts w:ascii="Arial" w:eastAsia="Arial" w:hAnsi="Arial" w:cs="Arial"/>
          <w:color w:val="000000"/>
          <w:sz w:val="20"/>
        </w:rPr>
        <w:t xml:space="preserve">, 526 F.3d at 1217. In particular, administrators are well suited to determine whether an accommodation would undermine prison "security and order" or hinder facilities from "operating . . . in a manageable fashion." </w:t>
      </w:r>
      <w:r>
        <w:rPr>
          <w:rFonts w:ascii="Arial" w:eastAsia="Arial" w:hAnsi="Arial" w:cs="Arial"/>
          <w:color w:val="000000"/>
          <w:sz w:val="20"/>
          <w:u w:val="single"/>
        </w:rPr>
        <w:t>Id.</w:t>
      </w:r>
      <w:r>
        <w:rPr>
          <w:rFonts w:ascii="Arial" w:eastAsia="Arial" w:hAnsi="Arial" w:cs="Arial"/>
          <w:color w:val="000000"/>
          <w:sz w:val="20"/>
        </w:rPr>
        <w:t xml:space="preserve"> (quoting </w:t>
      </w:r>
      <w:bookmarkStart w:id="614" w:name="Bookmark_I5KHTXRS2N1PV20010000400"/>
      <w:bookmarkEnd w:id="614"/>
      <w:r>
        <w:rPr>
          <w:rFonts w:ascii="Arial" w:eastAsia="Arial" w:hAnsi="Arial" w:cs="Arial"/>
          <w:color w:val="000000"/>
          <w:sz w:val="20"/>
          <w:u w:val="single"/>
        </w:rPr>
        <w:t>Bell v. Wolfish</w:t>
      </w:r>
      <w:r>
        <w:rPr>
          <w:rFonts w:ascii="Arial" w:eastAsia="Arial" w:hAnsi="Arial" w:cs="Arial"/>
          <w:color w:val="000000"/>
          <w:sz w:val="20"/>
        </w:rPr>
        <w:t xml:space="preserve">, 441 U.S. 520, 540 n. 23, 99 S. Ct. 1861, 60 L. Ed. 2d 447 (1979)); </w:t>
      </w:r>
      <w:r>
        <w:rPr>
          <w:rFonts w:ascii="Arial" w:eastAsia="Arial" w:hAnsi="Arial" w:cs="Arial"/>
          <w:color w:val="000000"/>
          <w:sz w:val="20"/>
          <w:u w:val="single"/>
        </w:rPr>
        <w:t xml:space="preserve">see also </w:t>
      </w:r>
      <w:bookmarkStart w:id="615" w:name="Bookmark_I5KHTXRS2N1PV20030000400"/>
      <w:bookmarkEnd w:id="615"/>
      <w:r>
        <w:rPr>
          <w:rFonts w:ascii="Arial" w:eastAsia="Arial" w:hAnsi="Arial" w:cs="Arial"/>
          <w:color w:val="000000"/>
          <w:sz w:val="20"/>
          <w:u w:val="single"/>
        </w:rPr>
        <w:t>Crawford v. Indiana Dep't of Corr.</w:t>
      </w:r>
      <w:r>
        <w:rPr>
          <w:rFonts w:ascii="Arial" w:eastAsia="Arial" w:hAnsi="Arial" w:cs="Arial"/>
          <w:color w:val="000000"/>
          <w:sz w:val="20"/>
        </w:rPr>
        <w:t xml:space="preserve">, 115 F.3d 481, 487 (7th Cir. 1997), </w:t>
      </w:r>
      <w:r>
        <w:rPr>
          <w:rFonts w:ascii="Arial" w:eastAsia="Arial" w:hAnsi="Arial" w:cs="Arial"/>
          <w:i/>
          <w:color w:val="000000"/>
          <w:sz w:val="20"/>
        </w:rPr>
        <w:t>abrogated on other grounds by</w:t>
      </w:r>
      <w:r>
        <w:rPr>
          <w:rFonts w:ascii="Arial" w:eastAsia="Arial" w:hAnsi="Arial" w:cs="Arial"/>
          <w:color w:val="000000"/>
          <w:sz w:val="20"/>
        </w:rPr>
        <w:t xml:space="preserve"> </w:t>
      </w:r>
      <w:bookmarkStart w:id="616" w:name="Bookmark_I5KHTXRS2N1PV20050000400"/>
      <w:bookmarkEnd w:id="616"/>
      <w:r>
        <w:rPr>
          <w:rFonts w:ascii="Arial" w:eastAsia="Arial" w:hAnsi="Arial" w:cs="Arial"/>
          <w:color w:val="000000"/>
          <w:sz w:val="20"/>
          <w:u w:val="single"/>
        </w:rPr>
        <w:t>Erickson v. Bd. of Governors of State Colls. &amp; Univs. for Ne. Ill. Univ.</w:t>
      </w:r>
      <w:r>
        <w:rPr>
          <w:rFonts w:ascii="Arial" w:eastAsia="Arial" w:hAnsi="Arial" w:cs="Arial"/>
          <w:color w:val="000000"/>
          <w:sz w:val="20"/>
        </w:rPr>
        <w:t xml:space="preserve">, 207 F.3d 945 (7th Cir. 2000) ("Terms like 'reasonable' and 'undue' are relative to circumstances, and the circumstances of a  [*79]  prison are different from those of a school, an office, or a factory, as the Supreme Court has emphasized in the parallel setting of prisoners' constitutional rights."). Indeed, in the prison context we often exhibit judicial restraint, "noting that courts are ill equipped to deal with the increasingly urgent problems of prison administration and reform." </w:t>
      </w:r>
      <w:bookmarkStart w:id="617" w:name="Bookmark_I5KHTXRS28T4540020000400"/>
      <w:bookmarkEnd w:id="617"/>
      <w:r>
        <w:rPr>
          <w:rFonts w:ascii="Arial" w:eastAsia="Arial" w:hAnsi="Arial" w:cs="Arial"/>
          <w:color w:val="000000"/>
          <w:sz w:val="20"/>
          <w:u w:val="single"/>
        </w:rPr>
        <w:t>Giano v. Senkowski</w:t>
      </w:r>
      <w:r>
        <w:rPr>
          <w:rFonts w:ascii="Arial" w:eastAsia="Arial" w:hAnsi="Arial" w:cs="Arial"/>
          <w:color w:val="000000"/>
          <w:sz w:val="20"/>
        </w:rPr>
        <w:t>, 54 F.3d 1050, 1053 (2d Cir. 1995) (internal quotation omitted).</w:t>
      </w:r>
    </w:p>
    <w:p w14:paraId="477F00AB" w14:textId="77777777" w:rsidR="002D0E71" w:rsidRDefault="00000000">
      <w:pPr>
        <w:pStyle w:val="Normal4"/>
        <w:widowControl w:val="0"/>
        <w:spacing w:before="200" w:line="260" w:lineRule="atLeast"/>
        <w:jc w:val="both"/>
      </w:pPr>
      <w:bookmarkStart w:id="618" w:name="Bookmark_para_41_0"/>
      <w:bookmarkStart w:id="619" w:name="Bookmark_I5KHTXRS28T4540050000400"/>
      <w:bookmarkEnd w:id="618"/>
      <w:bookmarkEnd w:id="619"/>
      <w:r>
        <w:rPr>
          <w:rFonts w:ascii="Arial" w:eastAsia="Arial" w:hAnsi="Arial" w:cs="Arial"/>
          <w:color w:val="000000"/>
          <w:sz w:val="20"/>
        </w:rPr>
        <w:t xml:space="preserve">Here, however, Wright has presented evidence suggesting that the risks and costs of allowing him to use a motorized wheelchair are relatively low. To begin, Wright is not requesting that DOCCS incur financial costs by providing him with a motorized wheelchair—he [**31]  has his own. </w:t>
      </w:r>
      <w:r>
        <w:rPr>
          <w:rFonts w:ascii="Arial" w:eastAsia="Arial" w:hAnsi="Arial" w:cs="Arial"/>
          <w:color w:val="000000"/>
          <w:sz w:val="20"/>
          <w:u w:val="single"/>
        </w:rPr>
        <w:t xml:space="preserve">Cf. </w:t>
      </w:r>
      <w:bookmarkStart w:id="620" w:name="Bookmark_I5KHTXRS28T4540040000400"/>
      <w:bookmarkEnd w:id="620"/>
      <w:r>
        <w:rPr>
          <w:rFonts w:ascii="Arial" w:eastAsia="Arial" w:hAnsi="Arial" w:cs="Arial"/>
          <w:color w:val="000000"/>
          <w:sz w:val="20"/>
          <w:u w:val="single"/>
        </w:rPr>
        <w:t>Cade v. Williams</w:t>
      </w:r>
      <w:r>
        <w:rPr>
          <w:rFonts w:ascii="Arial" w:eastAsia="Arial" w:hAnsi="Arial" w:cs="Arial"/>
          <w:color w:val="000000"/>
          <w:sz w:val="20"/>
        </w:rPr>
        <w:t>, No. 5:14-cv-46, 2014 U.S. Dist. LEXIS 154610, 2014 WL 5529743, at *3 (E.D. Ark. Oct. 31, 2014) (finding blind prisoner failed to plead a plausible ADA claim where he was asking the prison system to teach him how to read Braille). Vail, a former Secretary for the Washington State Department of Corrections, moreover, testified that Wright's particular motorized wheelchair is relatively safe, requiring tools to access its battery and wiring. Even if the battery and wiring in Wright's motorized wheelchair were accessible, DOCCS already permits prisoners to use a number of electronic devices that have wires and batteries. This suggests that one of DOCCS's proffered security concerns—introducing potentially dangerous materials into the facility—may be overstated. As for whether the motorized wheelchair could be used to ram other inmates and staff, because Wright has no history of behavioral problems while in custody, there is a basis from which to conclude that the risk of ramming is particularly low here.</w:t>
      </w:r>
    </w:p>
    <w:p w14:paraId="6E49868C" w14:textId="77777777" w:rsidR="002D0E71" w:rsidRDefault="00000000">
      <w:pPr>
        <w:pStyle w:val="Normal4"/>
        <w:widowControl w:val="0"/>
        <w:spacing w:before="200" w:line="260" w:lineRule="atLeast"/>
        <w:jc w:val="both"/>
      </w:pPr>
      <w:bookmarkStart w:id="621" w:name="Bookmark_para_42_0"/>
      <w:bookmarkEnd w:id="621"/>
      <w:r>
        <w:rPr>
          <w:rFonts w:ascii="Arial" w:eastAsia="Arial" w:hAnsi="Arial" w:cs="Arial"/>
          <w:color w:val="000000"/>
          <w:sz w:val="20"/>
        </w:rPr>
        <w:t xml:space="preserve">DOCCS disputes all of this, presenting its own evidence that allowing Wright to use his motorized wheelchairs would be unduly burdensome. For example, DOCCS argues that motorized wheelchairs [**32]  are quite heavy; thereby suggesting that even an inadvertent bump could result in injury to others. To the extent that the Franklin Facility, where Wright is currently located, has narrow hallways, the weight of his motorized wheelchair is of concern, and may pose a safety risk. Similarly, DOCCS argues that allowing Wright to use a motorized wheelchair will result in a number of administrative burdens, including frequent inspections of the device, requiring transportation to a technician for maintenance. These may be reasonable concerns and could, as a factual matter, inform the analysis of whether DOCCS is unduly burdened by Wright's use of his motorized wheelchair. To be clear, however, DOCCS may not rely upon general safety and security concerns to show that it is unduly burdened by Wright's request. In whatever evidentiary presentation it chooses to make before the district court on remand, DOCCS must proffer specific reasons why allowing Wright the use of </w:t>
      </w:r>
      <w:r>
        <w:rPr>
          <w:rFonts w:ascii="Arial" w:eastAsia="Arial" w:hAnsi="Arial" w:cs="Arial"/>
          <w:i/>
          <w:color w:val="000000"/>
          <w:sz w:val="20"/>
        </w:rPr>
        <w:t>his</w:t>
      </w:r>
      <w:r>
        <w:rPr>
          <w:rFonts w:ascii="Arial" w:eastAsia="Arial" w:hAnsi="Arial" w:cs="Arial"/>
          <w:color w:val="000000"/>
          <w:sz w:val="20"/>
        </w:rPr>
        <w:t xml:space="preserve"> motorized wheelchair would be unduly burdensome.</w:t>
      </w:r>
    </w:p>
    <w:p w14:paraId="15BB8E51" w14:textId="77777777" w:rsidR="002D0E71" w:rsidRDefault="00000000">
      <w:pPr>
        <w:pStyle w:val="Normal4"/>
        <w:widowControl w:val="0"/>
        <w:spacing w:before="200" w:line="260" w:lineRule="atLeast"/>
        <w:jc w:val="both"/>
      </w:pPr>
      <w:bookmarkStart w:id="622" w:name="Bookmark_para_43_0"/>
      <w:bookmarkEnd w:id="622"/>
      <w:r>
        <w:rPr>
          <w:rFonts w:ascii="Arial" w:eastAsia="Arial" w:hAnsi="Arial" w:cs="Arial"/>
          <w:color w:val="000000"/>
          <w:sz w:val="20"/>
        </w:rPr>
        <w:t>A reasonable fact-finder could conclude that safety and administrative worries are sufficient bases to find in DOCCS's favor. But, a reasonable fact-finder could also find for [**33]  Wright—determining that DOCCS would not be unduly burdened by allowing Wright the use of his motorized wheelchair. We therefore vacate the district court's grant of summary judgment in favor of DOCCS on Wright's ADA and RA claims and remand the case for further proceedings consistent with this opinion.</w:t>
      </w:r>
    </w:p>
    <w:p w14:paraId="574F6ACD" w14:textId="77777777" w:rsidR="002D0E71" w:rsidRDefault="00000000">
      <w:pPr>
        <w:pStyle w:val="Normal4"/>
        <w:widowControl w:val="0"/>
        <w:spacing w:before="240" w:line="260" w:lineRule="atLeast"/>
      </w:pPr>
      <w:r>
        <w:br/>
      </w:r>
      <w:r>
        <w:rPr>
          <w:rFonts w:ascii="Arial" w:eastAsia="Arial" w:hAnsi="Arial" w:cs="Arial"/>
          <w:b/>
          <w:color w:val="000000"/>
          <w:sz w:val="20"/>
        </w:rPr>
        <w:t>3. Failure to Grieve</w:t>
      </w:r>
    </w:p>
    <w:p w14:paraId="1CC12F37" w14:textId="77777777" w:rsidR="002D0E71" w:rsidRDefault="00000000">
      <w:pPr>
        <w:pStyle w:val="Normal4"/>
        <w:widowControl w:val="0"/>
        <w:spacing w:before="200" w:line="260" w:lineRule="atLeast"/>
        <w:jc w:val="both"/>
      </w:pPr>
      <w:bookmarkStart w:id="623" w:name="Bookmark_para_44"/>
      <w:bookmarkStart w:id="624" w:name="Bookmark_I5KHTXRS2N1PV30020000400"/>
      <w:bookmarkEnd w:id="623"/>
      <w:bookmarkEnd w:id="624"/>
      <w:r>
        <w:rPr>
          <w:rFonts w:ascii="Arial" w:eastAsia="Arial" w:hAnsi="Arial" w:cs="Arial"/>
          <w:color w:val="000000"/>
          <w:sz w:val="20"/>
        </w:rPr>
        <w:t xml:space="preserve">We note that the district court granted DOCCS summary judgment on an alternative ground: because Wright "refused to engage in an interactive process"  [*80]  with DOCCS and failed adequately to grieve the mobility assistance program, Wright did not follow the underlying policy of the ADA such that granting injunctive relief was particularly inappropriate in this case. </w:t>
      </w:r>
      <w:bookmarkStart w:id="625" w:name="Bookmark_I5KHTXRS2N1PV30010000400"/>
      <w:bookmarkEnd w:id="625"/>
      <w:r>
        <w:rPr>
          <w:rFonts w:ascii="Arial" w:eastAsia="Arial" w:hAnsi="Arial" w:cs="Arial"/>
          <w:color w:val="000000"/>
          <w:sz w:val="20"/>
          <w:u w:val="single"/>
        </w:rPr>
        <w:t>Wright</w:t>
      </w:r>
      <w:r>
        <w:rPr>
          <w:rFonts w:ascii="Arial" w:eastAsia="Arial" w:hAnsi="Arial" w:cs="Arial"/>
          <w:color w:val="000000"/>
          <w:sz w:val="20"/>
        </w:rPr>
        <w:t>, 2015 U.S. Dist. LEXIS 132310, 2015 WL 5751064, at *16. We disagree with the district court's assessment in this regard. Wright did not refuse to engage with DOCCS in an interactive process. Rather, Wright informally complained to correction officers, and his counsel wrote four unanswered letters attempting to resolve the conflict prior to initiating litigation. On this record, it appears that DOCCS was well aware of Wright's issues with the mobility assistance program but, as noted above, did not evaluate Wright's specific individual needs. DOCCS's failure to engage [**34]  in an interactive process with Wright and his attorney is DOCCS's shortcoming, not Wright's. This lack of interactive process is no basis for granting summary judgment in favor of the defendants.</w:t>
      </w:r>
    </w:p>
    <w:p w14:paraId="3A3D044F" w14:textId="77777777" w:rsidR="002D0E71" w:rsidRDefault="00000000">
      <w:pPr>
        <w:pStyle w:val="Normal4"/>
        <w:widowControl w:val="0"/>
        <w:spacing w:before="240" w:line="260" w:lineRule="atLeast"/>
      </w:pPr>
      <w:r>
        <w:br/>
      </w:r>
      <w:r>
        <w:rPr>
          <w:rFonts w:ascii="Arial" w:eastAsia="Arial" w:hAnsi="Arial" w:cs="Arial"/>
          <w:b/>
          <w:color w:val="000000"/>
          <w:sz w:val="20"/>
        </w:rPr>
        <w:t>CONCLUSION</w:t>
      </w:r>
    </w:p>
    <w:p w14:paraId="51DB0E6F" w14:textId="77777777" w:rsidR="002D0E71" w:rsidRDefault="00000000">
      <w:pPr>
        <w:pStyle w:val="Normal4"/>
        <w:widowControl w:val="0"/>
        <w:spacing w:before="200" w:line="260" w:lineRule="atLeast"/>
        <w:jc w:val="both"/>
      </w:pPr>
      <w:bookmarkStart w:id="626" w:name="Bookmark_para_45"/>
      <w:bookmarkEnd w:id="626"/>
      <w:r>
        <w:rPr>
          <w:rFonts w:ascii="Arial" w:eastAsia="Arial" w:hAnsi="Arial" w:cs="Arial"/>
          <w:color w:val="000000"/>
          <w:sz w:val="20"/>
        </w:rPr>
        <w:t>For the foregoing reasons, we vacate and remand for further proceedings consistent with this opinion.</w:t>
      </w:r>
    </w:p>
    <w:p w14:paraId="5BC599F4" w14:textId="77777777" w:rsidR="002D0E71" w:rsidRDefault="002D0E71">
      <w:pPr>
        <w:pStyle w:val="Normal4"/>
      </w:pPr>
    </w:p>
    <w:p w14:paraId="46B0197B" w14:textId="57258C96" w:rsidR="002D0E71" w:rsidRDefault="00000000">
      <w:pPr>
        <w:pStyle w:val="Normal4"/>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67456" behindDoc="0" locked="0" layoutInCell="1" allowOverlap="1" wp14:anchorId="5B0E24BE" wp14:editId="73246AE3">
                <wp:simplePos x="0" y="0"/>
                <wp:positionH relativeFrom="column">
                  <wp:posOffset>0</wp:posOffset>
                </wp:positionH>
                <wp:positionV relativeFrom="paragraph">
                  <wp:posOffset>127000</wp:posOffset>
                </wp:positionV>
                <wp:extent cx="6502400" cy="0"/>
                <wp:effectExtent l="9525" t="12700" r="12700" b="6350"/>
                <wp:wrapNone/>
                <wp:docPr id="101869471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359E9A"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CCE567A" w14:textId="77777777" w:rsidR="002D0E71" w:rsidRDefault="002D0E71">
      <w:pPr>
        <w:pStyle w:val="Normal5"/>
        <w:sectPr w:rsidR="002D0E71">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gutter="0"/>
          <w:cols w:space="720"/>
          <w:titlePg/>
        </w:sectPr>
      </w:pPr>
    </w:p>
    <w:p w14:paraId="42D87B82" w14:textId="77777777" w:rsidR="002D0E71" w:rsidRDefault="002D0E71">
      <w:pPr>
        <w:pStyle w:val="Normal5"/>
      </w:pPr>
    </w:p>
    <w:p w14:paraId="0607075E" w14:textId="77777777" w:rsidR="002D0E71" w:rsidRDefault="00000000">
      <w:pPr>
        <w:pStyle w:val="Heading14"/>
        <w:keepNext w:val="0"/>
        <w:widowControl w:val="0"/>
        <w:spacing w:after="200" w:line="340" w:lineRule="atLeast"/>
        <w:jc w:val="center"/>
      </w:pPr>
      <w:r>
        <w:rPr>
          <w:rFonts w:eastAsia="Arial"/>
          <w:color w:val="000000"/>
          <w:sz w:val="28"/>
        </w:rPr>
        <w:t>Binno v. ABA</w:t>
      </w:r>
    </w:p>
    <w:p w14:paraId="56B24C28" w14:textId="77777777" w:rsidR="002D0E71" w:rsidRDefault="00000000">
      <w:pPr>
        <w:pStyle w:val="Normal5"/>
        <w:widowControl w:val="0"/>
        <w:spacing w:before="120" w:line="260" w:lineRule="atLeast"/>
        <w:jc w:val="center"/>
      </w:pPr>
      <w:r>
        <w:rPr>
          <w:rFonts w:ascii="Arial" w:eastAsia="Arial" w:hAnsi="Arial" w:cs="Arial"/>
          <w:color w:val="000000"/>
          <w:sz w:val="20"/>
        </w:rPr>
        <w:t>United States Court of Appeals for the Sixth Circuit</w:t>
      </w:r>
    </w:p>
    <w:p w14:paraId="11207E6A" w14:textId="77777777" w:rsidR="002D0E71" w:rsidRDefault="00000000">
      <w:pPr>
        <w:pStyle w:val="Normal5"/>
        <w:widowControl w:val="0"/>
        <w:spacing w:before="120" w:line="260" w:lineRule="atLeast"/>
        <w:jc w:val="center"/>
      </w:pPr>
      <w:r>
        <w:rPr>
          <w:rFonts w:ascii="Arial" w:eastAsia="Arial" w:hAnsi="Arial" w:cs="Arial"/>
          <w:color w:val="000000"/>
          <w:sz w:val="20"/>
        </w:rPr>
        <w:t>October 8, 2015, Argued; June 16, 2016, Decided; June 16, 2016, Filed</w:t>
      </w:r>
    </w:p>
    <w:p w14:paraId="269E60DB" w14:textId="77777777" w:rsidR="002D0E71" w:rsidRDefault="00000000">
      <w:pPr>
        <w:pStyle w:val="Normal5"/>
        <w:widowControl w:val="0"/>
        <w:spacing w:before="120" w:line="260" w:lineRule="atLeast"/>
        <w:jc w:val="center"/>
      </w:pPr>
      <w:r>
        <w:rPr>
          <w:rFonts w:ascii="Arial" w:eastAsia="Arial" w:hAnsi="Arial" w:cs="Arial"/>
          <w:color w:val="000000"/>
          <w:sz w:val="20"/>
        </w:rPr>
        <w:t>File Name: 16a0140p.06</w:t>
      </w:r>
    </w:p>
    <w:p w14:paraId="24F67BD1" w14:textId="77777777" w:rsidR="002D0E71" w:rsidRDefault="00000000">
      <w:pPr>
        <w:pStyle w:val="Normal5"/>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12-2263</w:t>
      </w:r>
    </w:p>
    <w:p w14:paraId="1EF8B4A1" w14:textId="77777777" w:rsidR="002D0E71" w:rsidRDefault="002D0E71">
      <w:pPr>
        <w:pStyle w:val="Normal5"/>
        <w:widowControl w:val="0"/>
        <w:spacing w:line="240" w:lineRule="atLeast"/>
        <w:jc w:val="both"/>
      </w:pPr>
      <w:bookmarkStart w:id="627" w:name="Bookmark_6"/>
      <w:bookmarkEnd w:id="627"/>
    </w:p>
    <w:p w14:paraId="463644B4" w14:textId="77777777" w:rsidR="002D0E71" w:rsidRDefault="00000000">
      <w:pPr>
        <w:pStyle w:val="Normal5"/>
        <w:widowControl w:val="0"/>
        <w:spacing w:before="200" w:line="240" w:lineRule="atLeast"/>
      </w:pPr>
      <w:bookmarkStart w:id="628" w:name="Reporter_4"/>
      <w:bookmarkEnd w:id="628"/>
      <w:r>
        <w:rPr>
          <w:rFonts w:ascii="Arial" w:eastAsia="Arial" w:hAnsi="Arial" w:cs="Arial"/>
          <w:b/>
          <w:color w:val="000000"/>
          <w:sz w:val="18"/>
        </w:rPr>
        <w:t>Reporter</w:t>
      </w:r>
    </w:p>
    <w:p w14:paraId="2AF67A6B" w14:textId="77777777" w:rsidR="002D0E71" w:rsidRDefault="00000000">
      <w:pPr>
        <w:pStyle w:val="Normal5"/>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826 F.3d 338 *; 2016 U.S. App. LEXIS 10887 **; 2016 FED App. 0140P (6th Cir.)</w:t>
      </w:r>
    </w:p>
    <w:p w14:paraId="4CC32A38" w14:textId="77777777" w:rsidR="002D0E71" w:rsidRDefault="00000000">
      <w:pPr>
        <w:pStyle w:val="Normal5"/>
        <w:widowControl w:val="0"/>
        <w:spacing w:before="120" w:line="260" w:lineRule="atLeast"/>
      </w:pPr>
      <w:r>
        <w:rPr>
          <w:rFonts w:ascii="Arial" w:eastAsia="Arial" w:hAnsi="Arial" w:cs="Arial"/>
          <w:color w:val="000000"/>
          <w:sz w:val="20"/>
        </w:rPr>
        <w:t>ANGELO BINNO, Plaintiff-Appellant, v. THE AMERICAN BAR ASSOCIATION, Defendant-Appellee.</w:t>
      </w:r>
    </w:p>
    <w:p w14:paraId="76378DE4" w14:textId="77777777" w:rsidR="002D0E71" w:rsidRDefault="00000000">
      <w:pPr>
        <w:pStyle w:val="Normal5"/>
        <w:widowControl w:val="0"/>
        <w:spacing w:before="240" w:line="260" w:lineRule="atLeast"/>
      </w:pPr>
      <w:bookmarkStart w:id="629" w:name="Subsequent_History_1"/>
      <w:bookmarkEnd w:id="629"/>
      <w:r>
        <w:rPr>
          <w:rFonts w:ascii="Arial" w:eastAsia="Arial" w:hAnsi="Arial" w:cs="Arial"/>
          <w:b/>
          <w:color w:val="000000"/>
          <w:sz w:val="20"/>
        </w:rPr>
        <w:t>Subsequent History:</w:t>
      </w:r>
      <w:r>
        <w:rPr>
          <w:rFonts w:ascii="Arial" w:eastAsia="Arial" w:hAnsi="Arial" w:cs="Arial"/>
          <w:color w:val="000000"/>
          <w:sz w:val="20"/>
        </w:rPr>
        <w:t> Rehearing, en banc, denied by Binno v. ABA, 2016 U.S. App. LEXIS 15685 (6th Cir., July 22, 2016)</w:t>
      </w:r>
    </w:p>
    <w:p w14:paraId="4C4B6514" w14:textId="77777777" w:rsidR="002D0E71" w:rsidRDefault="00000000">
      <w:pPr>
        <w:pStyle w:val="Normal5"/>
        <w:widowControl w:val="0"/>
        <w:spacing w:before="120" w:line="260" w:lineRule="atLeast"/>
      </w:pPr>
      <w:r>
        <w:rPr>
          <w:rFonts w:ascii="Arial" w:eastAsia="Arial" w:hAnsi="Arial" w:cs="Arial"/>
          <w:color w:val="000000"/>
          <w:sz w:val="20"/>
        </w:rPr>
        <w:t>US Supreme Court certiorari denied by Binno v. ABA, 2017 U.S. LEXIS 2048 (U.S., Mar. 27, 2017)</w:t>
      </w:r>
    </w:p>
    <w:p w14:paraId="037196D9" w14:textId="77777777" w:rsidR="002D0E71" w:rsidRDefault="00000000">
      <w:pPr>
        <w:pStyle w:val="Normal5"/>
        <w:widowControl w:val="0"/>
        <w:spacing w:before="240" w:line="260" w:lineRule="atLeast"/>
        <w:jc w:val="both"/>
      </w:pPr>
      <w:bookmarkStart w:id="630" w:name="Prior_History_4"/>
      <w:bookmarkEnd w:id="630"/>
      <w:r>
        <w:rPr>
          <w:rFonts w:ascii="Arial" w:eastAsia="Arial" w:hAnsi="Arial" w:cs="Arial"/>
          <w:b/>
          <w:color w:val="000000"/>
          <w:sz w:val="20"/>
        </w:rPr>
        <w:t>Prior History:</w:t>
      </w:r>
      <w:r>
        <w:rPr>
          <w:rFonts w:ascii="Arial" w:eastAsia="Arial" w:hAnsi="Arial" w:cs="Arial"/>
          <w:color w:val="000000"/>
          <w:sz w:val="20"/>
        </w:rPr>
        <w:t> </w:t>
      </w:r>
      <w:bookmarkStart w:id="631" w:name="Bookmark_para_1_4"/>
      <w:bookmarkEnd w:id="631"/>
      <w:r>
        <w:rPr>
          <w:rFonts w:ascii="Arial" w:eastAsia="Arial" w:hAnsi="Arial" w:cs="Arial"/>
          <w:color w:val="000000"/>
          <w:sz w:val="20"/>
        </w:rPr>
        <w:t> [**1] Appeal from the United States District Court for the Eastern District of Michigan at Detroit. No. 2:11-cv-12247—Denise Page Hood, Chief District Judge.</w:t>
      </w:r>
    </w:p>
    <w:p w14:paraId="37B4A97F" w14:textId="77777777" w:rsidR="002D0E71" w:rsidRDefault="00000000">
      <w:pPr>
        <w:pStyle w:val="Normal5"/>
        <w:widowControl w:val="0"/>
        <w:spacing w:before="120" w:line="260" w:lineRule="atLeast"/>
      </w:pPr>
      <w:r>
        <w:rPr>
          <w:rFonts w:ascii="Arial" w:eastAsia="Arial" w:hAnsi="Arial" w:cs="Arial"/>
          <w:color w:val="000000"/>
          <w:sz w:val="20"/>
        </w:rPr>
        <w:t>Binno v. ABA, 2012 U.S. Dist. LEXIS 141371 ( E.D. Mich., Sept. 30, 2012)</w:t>
      </w:r>
    </w:p>
    <w:p w14:paraId="28D73C7D" w14:textId="77777777" w:rsidR="002D0E71" w:rsidRDefault="00000000">
      <w:pPr>
        <w:pStyle w:val="Normal5"/>
        <w:widowControl w:val="0"/>
        <w:spacing w:before="240" w:line="260" w:lineRule="atLeast"/>
      </w:pPr>
      <w:bookmarkStart w:id="632" w:name="Counsel_4"/>
      <w:bookmarkEnd w:id="632"/>
      <w:r>
        <w:rPr>
          <w:rFonts w:ascii="Arial" w:eastAsia="Arial" w:hAnsi="Arial" w:cs="Arial"/>
          <w:b/>
          <w:color w:val="000000"/>
          <w:sz w:val="20"/>
        </w:rPr>
        <w:t>Counsel:</w:t>
      </w:r>
      <w:r>
        <w:rPr>
          <w:rFonts w:ascii="Arial" w:eastAsia="Arial" w:hAnsi="Arial" w:cs="Arial"/>
          <w:color w:val="000000"/>
          <w:sz w:val="20"/>
        </w:rPr>
        <w:t> ARGUED: Jason Marc Turkish, NYMAN TURKISH PC, Southfield, Michigan, for Appellant. Anne E. Rea, SIDLEY AUSTIN LLP, Chicago, Illinois, for Appellee.</w:t>
      </w:r>
    </w:p>
    <w:p w14:paraId="64384899" w14:textId="77777777" w:rsidR="002D0E71" w:rsidRDefault="00000000">
      <w:pPr>
        <w:pStyle w:val="Normal5"/>
        <w:widowControl w:val="0"/>
        <w:spacing w:before="120" w:line="260" w:lineRule="atLeast"/>
      </w:pPr>
      <w:r>
        <w:rPr>
          <w:rFonts w:ascii="Arial" w:eastAsia="Arial" w:hAnsi="Arial" w:cs="Arial"/>
          <w:color w:val="000000"/>
          <w:sz w:val="20"/>
        </w:rPr>
        <w:t>Ann M. Sherman, OFFICE OF THE MICHIGAN ATTORNEY GENERAL, Lansing, Michigan, for Amicus Curiae.</w:t>
      </w:r>
    </w:p>
    <w:p w14:paraId="5E45F078" w14:textId="77777777" w:rsidR="002D0E71" w:rsidRDefault="00000000">
      <w:pPr>
        <w:pStyle w:val="Normal5"/>
        <w:widowControl w:val="0"/>
        <w:spacing w:before="120" w:line="260" w:lineRule="atLeast"/>
      </w:pPr>
      <w:r>
        <w:rPr>
          <w:rFonts w:ascii="Arial" w:eastAsia="Arial" w:hAnsi="Arial" w:cs="Arial"/>
          <w:color w:val="000000"/>
          <w:sz w:val="20"/>
        </w:rPr>
        <w:t>ON BRIEF: Jason Marc Turkish, NYMAN TURKISH PC, Southfield, Michigan, Melissa M. Nyman, Rocklin, California, Richard H. Bernstein, THE SAM BERNSTEIN LAW FIRM, Farmington Hills, Michigan, for Appellant.</w:t>
      </w:r>
    </w:p>
    <w:p w14:paraId="3C271219" w14:textId="77777777" w:rsidR="002D0E71" w:rsidRDefault="00000000">
      <w:pPr>
        <w:pStyle w:val="Normal5"/>
        <w:widowControl w:val="0"/>
        <w:spacing w:before="120" w:line="260" w:lineRule="atLeast"/>
      </w:pPr>
      <w:r>
        <w:rPr>
          <w:rFonts w:ascii="Arial" w:eastAsia="Arial" w:hAnsi="Arial" w:cs="Arial"/>
          <w:color w:val="000000"/>
          <w:sz w:val="20"/>
        </w:rPr>
        <w:t>Anne E. Rea, Tacy F. Flint, John M. Skakun III, Steven J. Horowitz, SIDLEY AUSTIN LLP, Chicago, Illinois, for Appellee.</w:t>
      </w:r>
    </w:p>
    <w:p w14:paraId="41EE0F24" w14:textId="77777777" w:rsidR="002D0E71" w:rsidRDefault="00000000">
      <w:pPr>
        <w:pStyle w:val="Normal5"/>
        <w:widowControl w:val="0"/>
        <w:spacing w:before="120" w:line="260" w:lineRule="atLeast"/>
      </w:pPr>
      <w:r>
        <w:rPr>
          <w:rFonts w:ascii="Arial" w:eastAsia="Arial" w:hAnsi="Arial" w:cs="Arial"/>
          <w:color w:val="000000"/>
          <w:sz w:val="20"/>
        </w:rPr>
        <w:t>Ann M. Sherman, OFFICE OF THE MICHIGAN ATTORNEY GENERAL, Lansing, Michigan, for Amicus Curiae.</w:t>
      </w:r>
    </w:p>
    <w:p w14:paraId="64C7AB8C" w14:textId="77777777" w:rsidR="002D0E71" w:rsidRDefault="00000000">
      <w:pPr>
        <w:pStyle w:val="Normal5"/>
        <w:widowControl w:val="0"/>
        <w:spacing w:before="240" w:line="260" w:lineRule="atLeast"/>
      </w:pPr>
      <w:bookmarkStart w:id="633" w:name="Judges_4"/>
      <w:bookmarkEnd w:id="633"/>
      <w:r>
        <w:rPr>
          <w:rFonts w:ascii="Arial" w:eastAsia="Arial" w:hAnsi="Arial" w:cs="Arial"/>
          <w:b/>
          <w:color w:val="000000"/>
          <w:sz w:val="20"/>
        </w:rPr>
        <w:t>Judges:</w:t>
      </w:r>
      <w:r>
        <w:rPr>
          <w:rFonts w:ascii="Arial" w:eastAsia="Arial" w:hAnsi="Arial" w:cs="Arial"/>
          <w:color w:val="000000"/>
          <w:sz w:val="20"/>
        </w:rPr>
        <w:t> Before: MERRITT, DAUGHTREY, and GRIFFIN, Circuit Judges. DAUGHTREY, J., delivered the opinion of the court in which MERRITT, J., joined and GRIFFIN, J., joined in the result. GRIFFIN, J., delivered a separate opinion concurring in the judgment.</w:t>
      </w:r>
    </w:p>
    <w:p w14:paraId="5B0D0109" w14:textId="77777777" w:rsidR="002D0E71" w:rsidRDefault="00000000">
      <w:pPr>
        <w:pStyle w:val="Normal5"/>
        <w:widowControl w:val="0"/>
        <w:spacing w:before="240" w:line="260" w:lineRule="atLeast"/>
      </w:pPr>
      <w:bookmarkStart w:id="634" w:name="Opinion_by_3"/>
      <w:bookmarkEnd w:id="634"/>
      <w:r>
        <w:rPr>
          <w:rFonts w:ascii="Arial" w:eastAsia="Arial" w:hAnsi="Arial" w:cs="Arial"/>
          <w:b/>
          <w:color w:val="000000"/>
          <w:sz w:val="20"/>
        </w:rPr>
        <w:t>Opinion by:</w:t>
      </w:r>
      <w:r>
        <w:rPr>
          <w:rFonts w:ascii="Arial" w:eastAsia="Arial" w:hAnsi="Arial" w:cs="Arial"/>
          <w:color w:val="000000"/>
          <w:sz w:val="20"/>
        </w:rPr>
        <w:t> MARTHA CRAIG DAUGHTREY</w:t>
      </w:r>
    </w:p>
    <w:p w14:paraId="1CED94AF" w14:textId="77777777" w:rsidR="002D0E71" w:rsidRDefault="00000000">
      <w:pPr>
        <w:pStyle w:val="Normal5"/>
        <w:keepNext/>
        <w:widowControl w:val="0"/>
        <w:spacing w:before="240" w:line="340" w:lineRule="atLeast"/>
      </w:pPr>
      <w:bookmarkStart w:id="635" w:name="Opinion_4"/>
      <w:bookmarkEnd w:id="635"/>
      <w:r>
        <w:rPr>
          <w:rFonts w:ascii="Arial" w:eastAsia="Arial" w:hAnsi="Arial" w:cs="Arial"/>
          <w:b/>
          <w:color w:val="000000"/>
          <w:sz w:val="28"/>
        </w:rPr>
        <w:t>Opinion</w:t>
      </w:r>
    </w:p>
    <w:p w14:paraId="616DABF4" w14:textId="2C52D18F" w:rsidR="002D0E71" w:rsidRDefault="002939DF">
      <w:pPr>
        <w:pStyle w:val="Normal5"/>
        <w:spacing w:line="60" w:lineRule="exact"/>
      </w:pPr>
      <w:r>
        <w:rPr>
          <w:noProof/>
        </w:rPr>
        <mc:AlternateContent>
          <mc:Choice Requires="wps">
            <w:drawing>
              <wp:anchor distT="0" distB="0" distL="114300" distR="114300" simplePos="0" relativeHeight="251668480" behindDoc="0" locked="0" layoutInCell="1" allowOverlap="1" wp14:anchorId="48A46357" wp14:editId="1FB6366E">
                <wp:simplePos x="0" y="0"/>
                <wp:positionH relativeFrom="column">
                  <wp:posOffset>0</wp:posOffset>
                </wp:positionH>
                <wp:positionV relativeFrom="paragraph">
                  <wp:posOffset>25400</wp:posOffset>
                </wp:positionV>
                <wp:extent cx="3187700" cy="0"/>
                <wp:effectExtent l="19050" t="15875" r="12700" b="12700"/>
                <wp:wrapTopAndBottom/>
                <wp:docPr id="28720372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2D101E" id="Line 1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76A9A30" w14:textId="77777777" w:rsidR="002D0E71" w:rsidRDefault="002D0E71">
      <w:pPr>
        <w:pStyle w:val="Normal5"/>
      </w:pPr>
    </w:p>
    <w:p w14:paraId="5FAA0884" w14:textId="77777777" w:rsidR="002D0E71" w:rsidRDefault="00000000">
      <w:pPr>
        <w:pStyle w:val="Normal5"/>
        <w:widowControl w:val="0"/>
        <w:spacing w:before="200" w:line="260" w:lineRule="atLeast"/>
        <w:jc w:val="both"/>
      </w:pPr>
      <w:bookmarkStart w:id="636" w:name="Bookmark_para_2_4"/>
      <w:bookmarkEnd w:id="636"/>
      <w:r>
        <w:rPr>
          <w:rFonts w:ascii="Arial" w:eastAsia="Arial" w:hAnsi="Arial" w:cs="Arial"/>
          <w:color w:val="000000"/>
          <w:sz w:val="20"/>
        </w:rPr>
        <w:t> [*341]  MARTHA CRAIG DAUGHTREY, Circuit Judge. Plaintiff Angelo Binno is a legally blind individual who applied for admission [**2]  to several law schools, unsuccessfully, and thereafter filed an action against the American Bar Association (ABA), under the Americans with Disabilities Act (ADA), claiming that his lack of success was due to a discriminatory admissions test "mandated" by the ABA. The admissions examination in question, utilized by nearly all law schools in the United States, is the Law School Admissions Test (LSAT). Binno contends that the questions on the LSAT have a discriminatory effect on the blind and visually impaired because a quarter of those questions "require spatial reasoning and visual diagramming for successful completion." He alleges that his poor performance on the LSAT has prevented him from being admitted to accredited law schools, in violation of Titles III and V of the ADA. The district court granted the ABA's motion to dismiss, finding that plaintiff Binno lacked standing to sue the ABA and, alternatively, that his amended complaint failed to state a claim for relief under either Title III or Title V of the ADA as a matter of law. We affirm, concluding that Binno does not have standing to sue the ABA because his injury was not caused by the ABA and because it is unlikely  [*342]  that his [**3]  injury would be redressed by a favorable decision against the ABA. Moreover, even if Binno could establish standing, the district court correctly dismissed his Title III and Title V claims for failure to state claims for which relief may be granted.</w:t>
      </w:r>
    </w:p>
    <w:p w14:paraId="19158B12" w14:textId="77777777" w:rsidR="002D0E71" w:rsidRDefault="00000000">
      <w:pPr>
        <w:pStyle w:val="Normal5"/>
        <w:widowControl w:val="0"/>
        <w:spacing w:before="240" w:line="260" w:lineRule="atLeast"/>
      </w:pPr>
      <w:r>
        <w:br/>
      </w:r>
      <w:r>
        <w:rPr>
          <w:rFonts w:ascii="Arial" w:eastAsia="Arial" w:hAnsi="Arial" w:cs="Arial"/>
          <w:b/>
          <w:color w:val="000000"/>
          <w:sz w:val="20"/>
        </w:rPr>
        <w:t>I. FACTUAL AND PROCEDURAL BACKGROUND</w:t>
      </w:r>
    </w:p>
    <w:p w14:paraId="6A84E038" w14:textId="77777777" w:rsidR="002D0E71" w:rsidRDefault="00000000">
      <w:pPr>
        <w:pStyle w:val="Normal5"/>
        <w:widowControl w:val="0"/>
        <w:spacing w:before="200" w:line="260" w:lineRule="atLeast"/>
        <w:jc w:val="both"/>
      </w:pPr>
      <w:bookmarkStart w:id="637" w:name="Bookmark_para_3_4"/>
      <w:bookmarkEnd w:id="637"/>
      <w:r>
        <w:rPr>
          <w:rFonts w:ascii="Arial" w:eastAsia="Arial" w:hAnsi="Arial" w:cs="Arial"/>
          <w:color w:val="000000"/>
          <w:sz w:val="20"/>
        </w:rPr>
        <w:t>Defendant ABA is a voluntary professional organization that, among other things, is certified by the federal Department of Education as the national legal-education accreditation agency in the United States.</w:t>
      </w:r>
      <w:r>
        <w:rPr>
          <w:rFonts w:ascii="Arial" w:eastAsia="Arial" w:hAnsi="Arial" w:cs="Arial"/>
          <w:vertAlign w:val="superscript"/>
        </w:rPr>
        <w:footnoteReference w:customMarkFollows="1" w:id="13"/>
        <w:t>1</w:t>
      </w:r>
      <w:r>
        <w:rPr>
          <w:rFonts w:ascii="Arial" w:eastAsia="Arial" w:hAnsi="Arial" w:cs="Arial"/>
          <w:color w:val="000000"/>
          <w:sz w:val="20"/>
        </w:rPr>
        <w:t xml:space="preserve"> A majority of state high courts rely on the ABA's approval of a law school to determine whether that state's legal-education requirement for admission to the bar is satisfied. The ABA promulgates standards that are binding on law schools in order to gain and maintain accreditation. Noncompliance with the ABA Standards may result in sanctions, including loss of a law school's ABA-accreditation status. Relevant to this litigation, ABA Standard 503 provides, in relevant part, "A law school shall require each applicant for admission as a first-year J.D. degree student to take a valid and reliable admission test to assist the school and the applicant in assessing the applicant's capability of satisfactorily [**4]  completing the school's program of legal admission."</w:t>
      </w:r>
    </w:p>
    <w:p w14:paraId="069AA468" w14:textId="77777777" w:rsidR="002D0E71" w:rsidRDefault="00000000">
      <w:pPr>
        <w:pStyle w:val="Normal5"/>
        <w:widowControl w:val="0"/>
        <w:spacing w:before="200" w:line="260" w:lineRule="atLeast"/>
        <w:jc w:val="both"/>
      </w:pPr>
      <w:bookmarkStart w:id="639" w:name="Bookmark_para_4_4"/>
      <w:bookmarkStart w:id="640" w:name="Bookmark_I5K6ND512HM6GF0020000400"/>
      <w:bookmarkEnd w:id="639"/>
      <w:bookmarkEnd w:id="640"/>
      <w:r>
        <w:rPr>
          <w:rFonts w:ascii="Arial" w:eastAsia="Arial" w:hAnsi="Arial" w:cs="Arial"/>
          <w:color w:val="000000"/>
          <w:sz w:val="20"/>
        </w:rPr>
        <w:t>In their admissions process, most American law schools utilize the LSAT as an admissions test, which is the only one that the ABA presumes to be "valid and reliable" under its interpretation of Standard 503.</w:t>
      </w:r>
      <w:r>
        <w:rPr>
          <w:rFonts w:ascii="Arial" w:eastAsia="Arial" w:hAnsi="Arial" w:cs="Arial"/>
          <w:vertAlign w:val="superscript"/>
        </w:rPr>
        <w:footnoteReference w:customMarkFollows="1" w:id="14"/>
        <w:t>2</w:t>
      </w:r>
      <w:r>
        <w:rPr>
          <w:rFonts w:ascii="Arial" w:eastAsia="Arial" w:hAnsi="Arial" w:cs="Arial"/>
          <w:color w:val="000000"/>
          <w:sz w:val="20"/>
        </w:rPr>
        <w:t xml:space="preserve"> The LSAT currently has sections that test analytical reasoning, reading comprehension, and logical reasoning, and it requires a writing sample. The questions in the analytical-reasoning section also are known as "logic games," which, according to Binno's complaint, "require spatial reasoning and diagramming of visual concepts."</w:t>
      </w:r>
      <w:r>
        <w:rPr>
          <w:rFonts w:ascii="Arial" w:eastAsia="Arial" w:hAnsi="Arial" w:cs="Arial"/>
          <w:vertAlign w:val="superscript"/>
        </w:rPr>
        <w:footnoteReference w:customMarkFollows="1" w:id="15"/>
        <w:t>3</w:t>
      </w:r>
      <w:r>
        <w:rPr>
          <w:rFonts w:ascii="Arial" w:eastAsia="Arial" w:hAnsi="Arial" w:cs="Arial"/>
          <w:color w:val="000000"/>
          <w:sz w:val="20"/>
        </w:rPr>
        <w:t xml:space="preserve"> Binno alleges that because he is  [*343]  blind, he is "incapable of perceiving spatial relationships or performing the necessary diagramming to successfully complete the logic-games questions on [**5]  the LSAT at a competitive level." He alleges that the analytical-reasoning section thus caused him "substantial embarrassment, emotional distress, and mental anguish during the exam," which negatively impacted his overall performance on the exam. By "offering" such a discriminatory admissions test, Binno, alleges, the ABA has caused "significant injury and irreparable harm to the Plaintiff, and others with disabilities, in violation of the ADA.</w:t>
      </w:r>
    </w:p>
    <w:p w14:paraId="75A1D802" w14:textId="77777777" w:rsidR="002D0E71" w:rsidRDefault="00000000">
      <w:pPr>
        <w:pStyle w:val="Normal5"/>
        <w:widowControl w:val="0"/>
        <w:spacing w:before="200" w:line="260" w:lineRule="atLeast"/>
        <w:jc w:val="both"/>
      </w:pPr>
      <w:bookmarkStart w:id="644" w:name="Bookmark_para_5_4"/>
      <w:bookmarkEnd w:id="644"/>
      <w:r>
        <w:rPr>
          <w:rFonts w:ascii="Arial" w:eastAsia="Arial" w:hAnsi="Arial" w:cs="Arial"/>
          <w:color w:val="000000"/>
          <w:sz w:val="20"/>
        </w:rPr>
        <w:t>The ABA responds that although it accepts the LSAT as "valid and reliable," the test is not an ABA product. Instead, the LSAT is written, administered, and scored by the Law School Admission Council (LSAC), an entity that is not part of the [**7]  ABA. The LSAC provides accommodations for persons with disabilities who wish to take the LSAT. These accommodations include, but are not limited to, additional time to complete the test and the use of a reader during the examination. ABA Interpretation 503-1 allows a law school to "use[] an admission exam other than the [LSAT]" but requires the school to establish that the other test is "valid and reliable." ABA Interpretation 503-2 provides that Standard 503 "does not prescribe the particular weight that a law school should give to an applicant's admission test score in deciding whether to admit or deny admission to the applicant."</w:t>
      </w:r>
      <w:r>
        <w:rPr>
          <w:rFonts w:ascii="Arial" w:eastAsia="Arial" w:hAnsi="Arial" w:cs="Arial"/>
          <w:vertAlign w:val="superscript"/>
        </w:rPr>
        <w:footnoteReference w:customMarkFollows="1" w:id="16"/>
        <w:t>4</w:t>
      </w:r>
    </w:p>
    <w:p w14:paraId="5CE8C7B3" w14:textId="77777777" w:rsidR="002D0E71" w:rsidRDefault="00000000">
      <w:pPr>
        <w:pStyle w:val="Normal5"/>
        <w:widowControl w:val="0"/>
        <w:spacing w:before="200" w:line="260" w:lineRule="atLeast"/>
        <w:jc w:val="both"/>
      </w:pPr>
      <w:bookmarkStart w:id="646" w:name="Bookmark_para_6_4"/>
      <w:bookmarkEnd w:id="646"/>
      <w:r>
        <w:rPr>
          <w:rFonts w:ascii="Arial" w:eastAsia="Arial" w:hAnsi="Arial" w:cs="Arial"/>
          <w:color w:val="000000"/>
          <w:sz w:val="20"/>
        </w:rPr>
        <w:t>Without relevant documentation, but nevertheless convinced that he had been denied admission [**8]  to three law schools in Michigan because of poor LSAT scores that were the result of discriminatory testing, Binno sued the ABA, alleging violation of Section 309 of the ADA's Title III, 42 U.S.C. § 12189, and Section 503 of Title V, 42 U.S.C. § 12203(b). In his amended complaint, Binno claimed that the ABA "has 'offered' and continues to 'offer' a discriminatory examination" in violation of Title III of the ADA. In the alternative, Binno alleged that ABA Standard 503 "interferes" with his ADA rights in violation of Title V of the ADA. Binno requested only equitable relief: (1) a declaration that the ABA has violated Binno's rights under the ADA; (2) an injunction preventing the ABA from accrediting law schools until the ABA "ceases its implementation of Standard 503"; (3) an injunction preventing the ABA from applying Standard 503 to Binno and other legally blind or visually impaired individuals; and (4) an injunction "restraining the [ABA] from discriminating against individuals with disabilities" and requiring that the ABA "provide individuals with disabilities with full and equal access to the programs and services" of law schools.</w:t>
      </w:r>
    </w:p>
    <w:p w14:paraId="69420B58" w14:textId="77777777" w:rsidR="002D0E71" w:rsidRDefault="00000000">
      <w:pPr>
        <w:pStyle w:val="Normal5"/>
        <w:widowControl w:val="0"/>
        <w:spacing w:before="200" w:line="260" w:lineRule="atLeast"/>
        <w:jc w:val="both"/>
      </w:pPr>
      <w:bookmarkStart w:id="647" w:name="Bookmark_para_7_4"/>
      <w:bookmarkEnd w:id="647"/>
      <w:r>
        <w:rPr>
          <w:rFonts w:ascii="Arial" w:eastAsia="Arial" w:hAnsi="Arial" w:cs="Arial"/>
          <w:color w:val="000000"/>
          <w:sz w:val="20"/>
        </w:rPr>
        <w:t>The ABA moved to dismiss Binno's complaint or, alternatively, for summary judgment. The district court judge granted the ABA's motion [**9]  to dismiss, holding that Binno had sued the wrong party, that he lacked standing to bring his action, and that if he did have standing, Binno failed  [*344]  to state claims for relief under Title III and Title V of the ADA. Binno now appeals, challenging those determinations.</w:t>
      </w:r>
    </w:p>
    <w:p w14:paraId="25BA2FB3" w14:textId="77777777" w:rsidR="002D0E71" w:rsidRDefault="00000000">
      <w:pPr>
        <w:pStyle w:val="Normal5"/>
        <w:widowControl w:val="0"/>
        <w:spacing w:before="240" w:line="260" w:lineRule="atLeast"/>
      </w:pPr>
      <w:r>
        <w:br/>
      </w:r>
      <w:r>
        <w:rPr>
          <w:rFonts w:ascii="Arial" w:eastAsia="Arial" w:hAnsi="Arial" w:cs="Arial"/>
          <w:b/>
          <w:color w:val="000000"/>
          <w:sz w:val="20"/>
        </w:rPr>
        <w:t>II. DISCUSSION</w:t>
      </w:r>
    </w:p>
    <w:p w14:paraId="72C49BC0" w14:textId="77777777" w:rsidR="002D0E71" w:rsidRDefault="00000000">
      <w:pPr>
        <w:pStyle w:val="Normal5"/>
        <w:widowControl w:val="0"/>
        <w:spacing w:before="240" w:line="260" w:lineRule="atLeast"/>
      </w:pPr>
      <w:r>
        <w:br/>
      </w:r>
      <w:r>
        <w:rPr>
          <w:rFonts w:ascii="Arial" w:eastAsia="Arial" w:hAnsi="Arial" w:cs="Arial"/>
          <w:b/>
          <w:color w:val="000000"/>
          <w:sz w:val="20"/>
        </w:rPr>
        <w:t xml:space="preserve">A. </w:t>
      </w:r>
      <w:r>
        <w:rPr>
          <w:rFonts w:ascii="Arial" w:eastAsia="Arial" w:hAnsi="Arial" w:cs="Arial"/>
          <w:b/>
          <w:color w:val="000000"/>
          <w:sz w:val="20"/>
          <w:u w:val="single"/>
        </w:rPr>
        <w:t>Standing</w:t>
      </w:r>
    </w:p>
    <w:p w14:paraId="7B97F7A7" w14:textId="77777777" w:rsidR="002D0E71" w:rsidRDefault="00000000">
      <w:pPr>
        <w:pStyle w:val="Normal5"/>
        <w:widowControl w:val="0"/>
        <w:spacing w:before="200" w:line="260" w:lineRule="atLeast"/>
        <w:jc w:val="both"/>
      </w:pPr>
      <w:bookmarkStart w:id="648" w:name="Bookmark_para_8_4"/>
      <w:bookmarkStart w:id="649" w:name="Bookmark_I5K6ND512HM6GF0040000400"/>
      <w:bookmarkEnd w:id="648"/>
      <w:bookmarkEnd w:id="649"/>
      <w:r>
        <w:rPr>
          <w:rFonts w:ascii="Arial" w:eastAsia="Arial" w:hAnsi="Arial" w:cs="Arial"/>
          <w:color w:val="000000"/>
          <w:sz w:val="20"/>
        </w:rPr>
        <w:t xml:space="preserve">Binno argues that the district court erred in dismissing his case for lack of standing under Article III of the United States Constitution. </w:t>
      </w:r>
      <w:bookmarkStart w:id="650" w:name="Bookmark_LNHNREFclscc1_3"/>
      <w:bookmarkEnd w:id="650"/>
      <w:r>
        <w:rPr>
          <w:rFonts w:ascii="Arial" w:eastAsia="Arial" w:hAnsi="Arial" w:cs="Arial"/>
          <w:color w:val="000000"/>
          <w:sz w:val="20"/>
        </w:rPr>
        <w:t xml:space="preserve">Standing is, of course, a threshold requirement for federal jurisdiction. </w:t>
      </w:r>
      <w:bookmarkStart w:id="651" w:name="Bookmark_I71FBS597FB00002PHK00396"/>
      <w:bookmarkStart w:id="652" w:name="Bookmark_I71FBS59GGY00002PHK00398"/>
      <w:bookmarkStart w:id="653" w:name="Bookmark_I5K6ND512HM6GG0010000400"/>
      <w:bookmarkEnd w:id="651"/>
      <w:bookmarkEnd w:id="652"/>
      <w:bookmarkEnd w:id="653"/>
      <w:r>
        <w:rPr>
          <w:rFonts w:ascii="Arial" w:eastAsia="Arial" w:hAnsi="Arial" w:cs="Arial"/>
          <w:color w:val="000000"/>
          <w:sz w:val="20"/>
        </w:rPr>
        <w:t xml:space="preserve">If a party does not have standing to bring an action, then the court has no authority to hear the matter and must dismiss the case. </w:t>
      </w:r>
      <w:bookmarkStart w:id="654" w:name="Bookmark_I5K6ND512HM6GF0030000400"/>
      <w:bookmarkEnd w:id="654"/>
      <w:r>
        <w:rPr>
          <w:rFonts w:ascii="Arial" w:eastAsia="Arial" w:hAnsi="Arial" w:cs="Arial"/>
          <w:i/>
          <w:color w:val="000000"/>
          <w:sz w:val="20"/>
        </w:rPr>
        <w:t>Imhoff Inv., L.L.C. v. Alfoccino, Inc.</w:t>
      </w:r>
      <w:r>
        <w:rPr>
          <w:rFonts w:ascii="Arial" w:eastAsia="Arial" w:hAnsi="Arial" w:cs="Arial"/>
          <w:color w:val="000000"/>
          <w:sz w:val="20"/>
        </w:rPr>
        <w:t xml:space="preserve">, 792 F.3d 627, 631 (6th Cir. 2015). </w:t>
      </w:r>
      <w:bookmarkStart w:id="655" w:name="Bookmark_I0MVJR8KRPC000VXMY1000XG"/>
      <w:bookmarkStart w:id="656" w:name="Bookmark_I0MVJR8M1BN000VXMY10036S"/>
      <w:bookmarkStart w:id="657" w:name="Bookmark_I5K6ND512HM6GG0010000400_2"/>
      <w:bookmarkStart w:id="658" w:name="Bookmark_I0MVJR8MB8N000VXMY1000XM"/>
      <w:bookmarkStart w:id="659" w:name="Bookmark_I5K6ND512HM6GG0050000400"/>
      <w:bookmarkEnd w:id="655"/>
      <w:bookmarkEnd w:id="656"/>
      <w:bookmarkEnd w:id="657"/>
      <w:bookmarkEnd w:id="658"/>
      <w:bookmarkEnd w:id="659"/>
      <w:r>
        <w:rPr>
          <w:rFonts w:ascii="Arial" w:eastAsia="Arial" w:hAnsi="Arial" w:cs="Arial"/>
          <w:color w:val="000000"/>
          <w:sz w:val="20"/>
        </w:rPr>
        <w:t xml:space="preserve">To establish Article III standing, the plaintiff must allege that: (1) he has suffered an injury-in-fact that is both "(a) concrete and particularized, and (b) actual or imminent, not conjectural or hypothetical"; (2) the injury is fairly traceable to the defendant's conduct; and (3) it is likely that the injury will be redressed by a favorable decision. </w:t>
      </w:r>
      <w:bookmarkStart w:id="660" w:name="Bookmark_I5K6ND512D6MSH0020000400"/>
      <w:bookmarkStart w:id="661" w:name="Bookmark_I5K6ND512HM6GF0050000400"/>
      <w:bookmarkEnd w:id="660"/>
      <w:bookmarkEnd w:id="661"/>
      <w:r>
        <w:rPr>
          <w:rFonts w:ascii="Arial" w:eastAsia="Arial" w:hAnsi="Arial" w:cs="Arial"/>
          <w:i/>
          <w:color w:val="000000"/>
          <w:sz w:val="20"/>
        </w:rPr>
        <w:t>Lujan v. Defenders of Wildlife</w:t>
      </w:r>
      <w:r>
        <w:rPr>
          <w:rFonts w:ascii="Arial" w:eastAsia="Arial" w:hAnsi="Arial" w:cs="Arial"/>
          <w:color w:val="000000"/>
          <w:sz w:val="20"/>
        </w:rPr>
        <w:t xml:space="preserve">, 504 U.S. 555, 560-61, 112 S. Ct. 2130, 119 L. Ed. 2d 351 (1992); </w:t>
      </w:r>
      <w:bookmarkStart w:id="662" w:name="Bookmark_I5K6ND512HM6GG0020000400"/>
      <w:bookmarkEnd w:id="662"/>
      <w:r>
        <w:rPr>
          <w:rFonts w:ascii="Arial" w:eastAsia="Arial" w:hAnsi="Arial" w:cs="Arial"/>
          <w:i/>
          <w:color w:val="000000"/>
          <w:sz w:val="20"/>
        </w:rPr>
        <w:t>Coyne v. Am. Tobacco Co.</w:t>
      </w:r>
      <w:r>
        <w:rPr>
          <w:rFonts w:ascii="Arial" w:eastAsia="Arial" w:hAnsi="Arial" w:cs="Arial"/>
          <w:color w:val="000000"/>
          <w:sz w:val="20"/>
        </w:rPr>
        <w:t xml:space="preserve">, 183 F.3d 488, 494 (6th Cir. 1999). </w:t>
      </w:r>
      <w:bookmarkStart w:id="663" w:name="Bookmark_I5K6ND512D6MSH0020000400_2"/>
      <w:bookmarkStart w:id="664" w:name="Bookmark_I5K6ND512HM6GG0050000400_2"/>
      <w:bookmarkEnd w:id="663"/>
      <w:bookmarkEnd w:id="664"/>
      <w:r>
        <w:rPr>
          <w:rFonts w:ascii="Arial" w:eastAsia="Arial" w:hAnsi="Arial" w:cs="Arial"/>
          <w:color w:val="000000"/>
          <w:sz w:val="20"/>
        </w:rPr>
        <w:t xml:space="preserve">In the case of a plaintiff seeking equitable relief, as Binno does here, the claimant must allege "actual present harm or a significant possibility of future harm in order to demonstrate the need for pre-enforcement review." </w:t>
      </w:r>
      <w:bookmarkStart w:id="665" w:name="Bookmark_I5K6ND512HM6GG0040000400"/>
      <w:bookmarkEnd w:id="665"/>
      <w:r>
        <w:rPr>
          <w:rFonts w:ascii="Arial" w:eastAsia="Arial" w:hAnsi="Arial" w:cs="Arial"/>
          <w:i/>
          <w:color w:val="000000"/>
          <w:sz w:val="20"/>
        </w:rPr>
        <w:t>Daubenmire v. City of Columbus</w:t>
      </w:r>
      <w:r>
        <w:rPr>
          <w:rFonts w:ascii="Arial" w:eastAsia="Arial" w:hAnsi="Arial" w:cs="Arial"/>
          <w:color w:val="000000"/>
          <w:sz w:val="20"/>
        </w:rPr>
        <w:t xml:space="preserve">, 507 F.3d 383, 388 (6th Cir. 2007) (internal quotation [**10]  marks and citation omitted). "The party seeking to invoke federal jurisdiction bears the burden to demonstrate standing and he 'must plead its components with specificity.'" </w:t>
      </w:r>
      <w:r>
        <w:rPr>
          <w:rFonts w:ascii="Arial" w:eastAsia="Arial" w:hAnsi="Arial" w:cs="Arial"/>
          <w:i/>
          <w:color w:val="000000"/>
          <w:sz w:val="20"/>
        </w:rPr>
        <w:t>Id.</w:t>
      </w:r>
      <w:r>
        <w:rPr>
          <w:rFonts w:ascii="Arial" w:eastAsia="Arial" w:hAnsi="Arial" w:cs="Arial"/>
          <w:color w:val="000000"/>
          <w:sz w:val="20"/>
        </w:rPr>
        <w:t xml:space="preserve"> (quoting </w:t>
      </w:r>
      <w:bookmarkStart w:id="666" w:name="Bookmark_I5K6ND512D6MSH0010000400"/>
      <w:bookmarkEnd w:id="666"/>
      <w:r>
        <w:rPr>
          <w:rFonts w:ascii="Arial" w:eastAsia="Arial" w:hAnsi="Arial" w:cs="Arial"/>
          <w:i/>
          <w:color w:val="000000"/>
          <w:sz w:val="20"/>
        </w:rPr>
        <w:t>Coyne</w:t>
      </w:r>
      <w:r>
        <w:rPr>
          <w:rFonts w:ascii="Arial" w:eastAsia="Arial" w:hAnsi="Arial" w:cs="Arial"/>
          <w:color w:val="000000"/>
          <w:sz w:val="20"/>
        </w:rPr>
        <w:t>, 183 F.3d at 494).</w:t>
      </w:r>
    </w:p>
    <w:p w14:paraId="1004B8E2" w14:textId="77777777" w:rsidR="002D0E71" w:rsidRDefault="00000000">
      <w:pPr>
        <w:pStyle w:val="Normal5"/>
        <w:widowControl w:val="0"/>
        <w:spacing w:before="200" w:line="260" w:lineRule="atLeast"/>
        <w:jc w:val="both"/>
      </w:pPr>
      <w:bookmarkStart w:id="667" w:name="Bookmark_para_9_4"/>
      <w:bookmarkStart w:id="668" w:name="Bookmark_I5K6ND512D6MSH0040000400"/>
      <w:bookmarkStart w:id="669" w:name="Bookmark_LNHNREFclscc2_3"/>
      <w:bookmarkEnd w:id="667"/>
      <w:bookmarkEnd w:id="668"/>
      <w:bookmarkEnd w:id="669"/>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a district court's determination of Article III standing. </w:t>
      </w:r>
      <w:bookmarkStart w:id="670" w:name="Bookmark_I5K6ND512SF82V0010000400"/>
      <w:bookmarkStart w:id="671" w:name="Bookmark_I5K6ND512D6MSH0030000400"/>
      <w:bookmarkEnd w:id="670"/>
      <w:bookmarkEnd w:id="671"/>
      <w:r>
        <w:rPr>
          <w:rFonts w:ascii="Arial" w:eastAsia="Arial" w:hAnsi="Arial" w:cs="Arial"/>
          <w:i/>
          <w:color w:val="000000"/>
          <w:sz w:val="20"/>
        </w:rPr>
        <w:t>Murray v. U.S. Dep't of Treasury</w:t>
      </w:r>
      <w:r>
        <w:rPr>
          <w:rFonts w:ascii="Arial" w:eastAsia="Arial" w:hAnsi="Arial" w:cs="Arial"/>
          <w:color w:val="000000"/>
          <w:sz w:val="20"/>
        </w:rPr>
        <w:t xml:space="preserve">, 681 F.3d 744, 748 (6th Cir. 2012). In reviewing a challenge to standing, we may consider the complaint and any accompanying materials. </w:t>
      </w:r>
      <w:bookmarkStart w:id="672" w:name="Bookmark_I5K6ND512SF82V0010000400_2"/>
      <w:bookmarkEnd w:id="672"/>
      <w:r>
        <w:rPr>
          <w:rFonts w:ascii="Arial" w:eastAsia="Arial" w:hAnsi="Arial" w:cs="Arial"/>
          <w:i/>
          <w:color w:val="000000"/>
          <w:sz w:val="20"/>
        </w:rPr>
        <w:t>Id.</w:t>
      </w:r>
      <w:r>
        <w:rPr>
          <w:rFonts w:ascii="Arial" w:eastAsia="Arial" w:hAnsi="Arial" w:cs="Arial"/>
          <w:color w:val="000000"/>
          <w:sz w:val="20"/>
        </w:rPr>
        <w:t xml:space="preserve"> </w:t>
      </w:r>
      <w:bookmarkStart w:id="673" w:name="Bookmark_LNHNREFclscc3_3"/>
      <w:bookmarkEnd w:id="673"/>
      <w:r>
        <w:rPr>
          <w:rFonts w:ascii="Arial" w:eastAsia="Arial" w:hAnsi="Arial" w:cs="Arial"/>
          <w:color w:val="000000"/>
          <w:sz w:val="20"/>
        </w:rPr>
        <w:t xml:space="preserve">In evaluating a motion to dismiss, "both the trial and reviewing courts must accept as true all material allegations of the complaint, and must construe the complaint in favor of the complaining party." </w:t>
      </w:r>
      <w:bookmarkStart w:id="674" w:name="Bookmark_I5K6ND512D6MSH0050000400"/>
      <w:bookmarkEnd w:id="674"/>
      <w:r>
        <w:rPr>
          <w:rFonts w:ascii="Arial" w:eastAsia="Arial" w:hAnsi="Arial" w:cs="Arial"/>
          <w:i/>
          <w:color w:val="000000"/>
          <w:sz w:val="20"/>
        </w:rPr>
        <w:t>Warth</w:t>
      </w:r>
      <w:r>
        <w:rPr>
          <w:rFonts w:ascii="Arial" w:eastAsia="Arial" w:hAnsi="Arial" w:cs="Arial"/>
          <w:color w:val="000000"/>
          <w:sz w:val="20"/>
        </w:rPr>
        <w:t>, 422 U.S. at 501.</w:t>
      </w:r>
    </w:p>
    <w:p w14:paraId="20356948" w14:textId="77777777" w:rsidR="002D0E71" w:rsidRDefault="00000000">
      <w:pPr>
        <w:pStyle w:val="Normal5"/>
        <w:widowControl w:val="0"/>
        <w:spacing w:before="240" w:line="260" w:lineRule="atLeast"/>
      </w:pPr>
      <w:r>
        <w:br/>
      </w:r>
      <w:r>
        <w:rPr>
          <w:rFonts w:ascii="Arial" w:eastAsia="Arial" w:hAnsi="Arial" w:cs="Arial"/>
          <w:b/>
          <w:color w:val="000000"/>
          <w:sz w:val="20"/>
        </w:rPr>
        <w:t>1. Injury-In-Fact</w:t>
      </w:r>
    </w:p>
    <w:p w14:paraId="3C14A4F5" w14:textId="77777777" w:rsidR="002D0E71" w:rsidRDefault="00000000">
      <w:pPr>
        <w:pStyle w:val="Normal5"/>
        <w:widowControl w:val="0"/>
        <w:spacing w:before="200" w:line="260" w:lineRule="atLeast"/>
        <w:jc w:val="both"/>
      </w:pPr>
      <w:bookmarkStart w:id="675" w:name="Bookmark_para_10_4"/>
      <w:bookmarkStart w:id="676" w:name="Bookmark_I5K6ND512SF82V0030000400"/>
      <w:bookmarkStart w:id="677" w:name="Bookmark_LNHNREFclscc4_3"/>
      <w:bookmarkEnd w:id="675"/>
      <w:bookmarkEnd w:id="676"/>
      <w:bookmarkEnd w:id="677"/>
      <w:r>
        <w:rPr>
          <w:rFonts w:ascii="Arial" w:eastAsia="Arial" w:hAnsi="Arial" w:cs="Arial"/>
          <w:color w:val="000000"/>
          <w:sz w:val="20"/>
        </w:rPr>
        <w:t xml:space="preserve">To establish Article III standing, a plaintiff first must demonstrate that he has suffered an injury-in-fact that is both "concrete and particularized" and "actual or imminent," </w:t>
      </w:r>
      <w:bookmarkStart w:id="678" w:name="Bookmark_I5K6ND512SF82V0020000400"/>
      <w:bookmarkEnd w:id="678"/>
      <w:r>
        <w:rPr>
          <w:rFonts w:ascii="Arial" w:eastAsia="Arial" w:hAnsi="Arial" w:cs="Arial"/>
          <w:i/>
          <w:color w:val="000000"/>
          <w:sz w:val="20"/>
        </w:rPr>
        <w:t>Lujan</w:t>
      </w:r>
      <w:r>
        <w:rPr>
          <w:rFonts w:ascii="Arial" w:eastAsia="Arial" w:hAnsi="Arial" w:cs="Arial"/>
          <w:color w:val="000000"/>
          <w:sz w:val="20"/>
        </w:rPr>
        <w:t xml:space="preserve">, 504 U.S. at 560-61, based on facts that are both "specific" and "concrete." </w:t>
      </w:r>
      <w:bookmarkStart w:id="679" w:name="Bookmark_I5K6ND512SF82V0040000400"/>
      <w:bookmarkEnd w:id="679"/>
      <w:r>
        <w:rPr>
          <w:rFonts w:ascii="Arial" w:eastAsia="Arial" w:hAnsi="Arial" w:cs="Arial"/>
          <w:i/>
          <w:color w:val="000000"/>
          <w:sz w:val="20"/>
        </w:rPr>
        <w:t>Warth</w:t>
      </w:r>
      <w:r>
        <w:rPr>
          <w:rFonts w:ascii="Arial" w:eastAsia="Arial" w:hAnsi="Arial" w:cs="Arial"/>
          <w:color w:val="000000"/>
          <w:sz w:val="20"/>
        </w:rPr>
        <w:t xml:space="preserve">, 422 U.S. at 508. Conclusory allegations do not satisfy the requirements of Article III. </w:t>
      </w:r>
      <w:r>
        <w:rPr>
          <w:rFonts w:ascii="Arial" w:eastAsia="Arial" w:hAnsi="Arial" w:cs="Arial"/>
          <w:i/>
          <w:color w:val="000000"/>
          <w:sz w:val="20"/>
        </w:rPr>
        <w:t>See id.</w:t>
      </w:r>
    </w:p>
    <w:p w14:paraId="7F090E83" w14:textId="77777777" w:rsidR="002D0E71" w:rsidRDefault="00000000">
      <w:pPr>
        <w:pStyle w:val="Normal5"/>
        <w:widowControl w:val="0"/>
        <w:spacing w:before="200" w:line="260" w:lineRule="atLeast"/>
        <w:jc w:val="both"/>
      </w:pPr>
      <w:bookmarkStart w:id="680" w:name="Bookmark_para_11_4"/>
      <w:bookmarkEnd w:id="680"/>
      <w:r>
        <w:rPr>
          <w:rFonts w:ascii="Arial" w:eastAsia="Arial" w:hAnsi="Arial" w:cs="Arial"/>
          <w:color w:val="000000"/>
          <w:sz w:val="20"/>
        </w:rPr>
        <w:t xml:space="preserve">In terms of injury, Binno alleges that he is "forced to take an examination [that] discriminates against blind and visually impaired persons" because it includes analytical questions that he cannot answer competitively, </w:t>
      </w:r>
      <w:r>
        <w:rPr>
          <w:rFonts w:ascii="Arial" w:eastAsia="Arial" w:hAnsi="Arial" w:cs="Arial"/>
          <w:i/>
          <w:color w:val="000000"/>
          <w:sz w:val="20"/>
        </w:rPr>
        <w:t>i.e.</w:t>
      </w:r>
      <w:r>
        <w:rPr>
          <w:rFonts w:ascii="Arial" w:eastAsia="Arial" w:hAnsi="Arial" w:cs="Arial"/>
          <w:color w:val="000000"/>
          <w:sz w:val="20"/>
        </w:rPr>
        <w:t>, on equal footing with other law school applicants, which in turn causes [**11]  him emotional distress that affects his performance on the rest of the test. Because the ABA does not appear to contest that Binno has a legally cognizable injuryin-fact, we move on to consider the remaining two standing factors, the existence of which the ABA does dispute.</w:t>
      </w:r>
    </w:p>
    <w:p w14:paraId="197EAAAF" w14:textId="77777777" w:rsidR="002D0E71" w:rsidRDefault="00000000">
      <w:pPr>
        <w:pStyle w:val="Normal5"/>
        <w:widowControl w:val="0"/>
        <w:spacing w:before="240" w:line="260" w:lineRule="atLeast"/>
      </w:pPr>
      <w:r>
        <w:br/>
      </w:r>
      <w:r>
        <w:rPr>
          <w:rFonts w:ascii="Arial" w:eastAsia="Arial" w:hAnsi="Arial" w:cs="Arial"/>
          <w:b/>
          <w:color w:val="000000"/>
          <w:sz w:val="20"/>
        </w:rPr>
        <w:t>2. Causation</w:t>
      </w:r>
    </w:p>
    <w:p w14:paraId="2B66AF0D" w14:textId="77777777" w:rsidR="002D0E71" w:rsidRDefault="00000000">
      <w:pPr>
        <w:pStyle w:val="Normal5"/>
        <w:widowControl w:val="0"/>
        <w:spacing w:before="200" w:line="260" w:lineRule="atLeast"/>
        <w:jc w:val="both"/>
      </w:pPr>
      <w:bookmarkStart w:id="681" w:name="Bookmark_para_12_4"/>
      <w:bookmarkStart w:id="682" w:name="Bookmark_I5K6ND512D6MSJ0020000400"/>
      <w:bookmarkStart w:id="683" w:name="Bookmark_LNHNREFclscc5_3"/>
      <w:bookmarkEnd w:id="681"/>
      <w:bookmarkEnd w:id="682"/>
      <w:bookmarkEnd w:id="683"/>
      <w:r>
        <w:rPr>
          <w:rFonts w:ascii="Arial" w:eastAsia="Arial" w:hAnsi="Arial" w:cs="Arial"/>
          <w:color w:val="000000"/>
          <w:sz w:val="20"/>
        </w:rPr>
        <w:t xml:space="preserve">To establish Article III standing, Binno also must demonstrate a causal connection between his injury and the defendant's conduct. </w:t>
      </w:r>
      <w:bookmarkStart w:id="684" w:name="Bookmark_I5K6ND512D6MSJ0010000400"/>
      <w:bookmarkEnd w:id="684"/>
      <w:r>
        <w:rPr>
          <w:rFonts w:ascii="Arial" w:eastAsia="Arial" w:hAnsi="Arial" w:cs="Arial"/>
          <w:i/>
          <w:color w:val="000000"/>
          <w:sz w:val="20"/>
        </w:rPr>
        <w:t>Lujan</w:t>
      </w:r>
      <w:r>
        <w:rPr>
          <w:rFonts w:ascii="Arial" w:eastAsia="Arial" w:hAnsi="Arial" w:cs="Arial"/>
          <w:color w:val="000000"/>
          <w:sz w:val="20"/>
        </w:rPr>
        <w:t>, 504 U.S. at 560-61. Binno argues that his injury is fairly traceable to the actions of the ABA because ABA Standard 503 effectively compels law schools to require the LSAT. In response, the ABA argues that because it is neither responsible for the  [*345]  content of the LSAT nor for law schools' use of the LSAT in law school admissions, Binno's injury is not caused by the ABA's actions. The district court found that Binno did not establish causation because the "facts set forth in the Amended Complaint allege that Binno's injuries are from the questions posed on the LSAT, not [from] the ABA Standard 503." We agree with this assessment.</w:t>
      </w:r>
    </w:p>
    <w:p w14:paraId="1D565766" w14:textId="77777777" w:rsidR="002D0E71" w:rsidRDefault="00000000">
      <w:pPr>
        <w:pStyle w:val="Normal5"/>
        <w:widowControl w:val="0"/>
        <w:spacing w:before="200" w:line="260" w:lineRule="atLeast"/>
        <w:jc w:val="both"/>
      </w:pPr>
      <w:bookmarkStart w:id="685" w:name="Bookmark_para_13_4"/>
      <w:bookmarkEnd w:id="685"/>
      <w:r>
        <w:rPr>
          <w:rFonts w:ascii="Arial" w:eastAsia="Arial" w:hAnsi="Arial" w:cs="Arial"/>
          <w:color w:val="000000"/>
          <w:sz w:val="20"/>
        </w:rPr>
        <w:t xml:space="preserve">Binno contends that his injury is traceable to the ABA because ABA Standard 503 </w:t>
      </w:r>
      <w:r>
        <w:rPr>
          <w:rFonts w:ascii="Arial" w:eastAsia="Arial" w:hAnsi="Arial" w:cs="Arial"/>
          <w:i/>
          <w:color w:val="000000"/>
          <w:sz w:val="20"/>
        </w:rPr>
        <w:t>compels</w:t>
      </w:r>
      <w:r>
        <w:rPr>
          <w:rFonts w:ascii="Arial" w:eastAsia="Arial" w:hAnsi="Arial" w:cs="Arial"/>
          <w:color w:val="000000"/>
          <w:sz w:val="20"/>
        </w:rPr>
        <w:t xml:space="preserve"> law schools to require the LSAT in law school admissions. However, this argument [**12]  is not supported by the record, including allegations in the amended complaint. Under Standard 503, a "valid and reliable" admission test must be taken by all law school applicants as a requirement for a school's accreditation, and in Interpretation 503-1, the ABA does accord the LSAT presumptive validity. But that policy explicitly allows law schools to use an admission exam other than the LSAT and, most significant in terms of Binno's plight, Interpretation 503-2 provides that the weight given an individual applicant's exam score is to be determined at the discretion of the law school. It is thus clear that the ABA does not actually "mandate" use of the LSAT and, moreover, nothing in the standards gives the ABA authority to prescribe its content. In that sense, the district court correctly noted that Binno had sued the wrong party. The law schools to which he applied, not the ABA, determine what weight, if any, to give Binno's LSAT score, and the entity in control of the LSAT's content and format is not the ABA but the LSAC. As the district court found, "There are no allegations that the ABA, itself, directed these questions to be included on the LSAT."</w:t>
      </w:r>
    </w:p>
    <w:p w14:paraId="14639715" w14:textId="77777777" w:rsidR="002D0E71" w:rsidRDefault="00000000">
      <w:pPr>
        <w:pStyle w:val="Normal5"/>
        <w:widowControl w:val="0"/>
        <w:spacing w:before="240" w:line="260" w:lineRule="atLeast"/>
      </w:pPr>
      <w:r>
        <w:br/>
      </w:r>
      <w:r>
        <w:rPr>
          <w:rFonts w:ascii="Arial" w:eastAsia="Arial" w:hAnsi="Arial" w:cs="Arial"/>
          <w:b/>
          <w:color w:val="000000"/>
          <w:sz w:val="20"/>
        </w:rPr>
        <w:t>3. Redressability</w:t>
      </w:r>
    </w:p>
    <w:p w14:paraId="4BA7CEDB" w14:textId="77777777" w:rsidR="002D0E71" w:rsidRDefault="00000000">
      <w:pPr>
        <w:pStyle w:val="Normal5"/>
        <w:widowControl w:val="0"/>
        <w:spacing w:before="200" w:line="260" w:lineRule="atLeast"/>
        <w:jc w:val="both"/>
      </w:pPr>
      <w:bookmarkStart w:id="686" w:name="Bookmark_para_14_4"/>
      <w:bookmarkStart w:id="687" w:name="Bookmark_I5K6ND512D6MSJ0040000400"/>
      <w:bookmarkStart w:id="688" w:name="Bookmark_LNHNREFclscc6_3"/>
      <w:bookmarkEnd w:id="686"/>
      <w:bookmarkEnd w:id="687"/>
      <w:bookmarkEnd w:id="688"/>
      <w:r>
        <w:rPr>
          <w:rFonts w:ascii="Arial" w:eastAsia="Arial" w:hAnsi="Arial" w:cs="Arial"/>
          <w:color w:val="000000"/>
          <w:sz w:val="20"/>
        </w:rPr>
        <w:t xml:space="preserve">The third [**13]  prong of an Article III standing analysis considers whether it is likely that the plaintiff's injury will be redressed by a favorable decision. </w:t>
      </w:r>
      <w:bookmarkStart w:id="689" w:name="Bookmark_I5K6ND512D6MSJ0030000400"/>
      <w:bookmarkEnd w:id="689"/>
      <w:r>
        <w:rPr>
          <w:rFonts w:ascii="Arial" w:eastAsia="Arial" w:hAnsi="Arial" w:cs="Arial"/>
          <w:i/>
          <w:color w:val="000000"/>
          <w:sz w:val="20"/>
        </w:rPr>
        <w:t>Lujan</w:t>
      </w:r>
      <w:r>
        <w:rPr>
          <w:rFonts w:ascii="Arial" w:eastAsia="Arial" w:hAnsi="Arial" w:cs="Arial"/>
          <w:color w:val="000000"/>
          <w:sz w:val="20"/>
        </w:rPr>
        <w:t xml:space="preserve">, 504 U.S. at 560. Binno fails to establish redressability for many of the same reasons that he cannot demonstrate causation. Even if we were to grant Binno's requested relief by somehow making Standard 503 optional, law schools still could choose to require the LSAT in their admissions process. Because Binno's relief depends on action by the law schools—third parties that are not before the court—a favorable decision by this court is not likely to redress Binno's injury. </w:t>
      </w:r>
      <w:r>
        <w:rPr>
          <w:rFonts w:ascii="Arial" w:eastAsia="Arial" w:hAnsi="Arial" w:cs="Arial"/>
          <w:i/>
          <w:color w:val="000000"/>
          <w:sz w:val="20"/>
        </w:rPr>
        <w:t>See id.</w:t>
      </w:r>
    </w:p>
    <w:p w14:paraId="7FB7734F" w14:textId="77777777" w:rsidR="002D0E71" w:rsidRDefault="00000000">
      <w:pPr>
        <w:pStyle w:val="Normal5"/>
        <w:widowControl w:val="0"/>
        <w:spacing w:before="200" w:line="260" w:lineRule="atLeast"/>
        <w:jc w:val="both"/>
      </w:pPr>
      <w:bookmarkStart w:id="690" w:name="Bookmark_para_15_4"/>
      <w:bookmarkEnd w:id="690"/>
      <w:r>
        <w:rPr>
          <w:rFonts w:ascii="Arial" w:eastAsia="Arial" w:hAnsi="Arial" w:cs="Arial"/>
          <w:color w:val="000000"/>
          <w:sz w:val="20"/>
        </w:rPr>
        <w:t>Thus, even if we accept the unchallenged proposition that Binno has demonstrated injury-in-fact, we nevertheless must conclude that he has failed to establish the required causation and redressability that would support his standing to bring this action against the ABA. Moreover, even if we could find that Binno has standing, our review of the statutory bases he proposes would lead us to affirm the district court's decision to dismiss.</w:t>
      </w:r>
    </w:p>
    <w:p w14:paraId="3BCF900A" w14:textId="77777777" w:rsidR="002D0E71" w:rsidRDefault="00000000">
      <w:pPr>
        <w:pStyle w:val="Normal5"/>
        <w:widowControl w:val="0"/>
        <w:spacing w:before="240" w:line="260" w:lineRule="atLeast"/>
      </w:pPr>
      <w:r>
        <w:br/>
      </w:r>
      <w:r>
        <w:rPr>
          <w:rFonts w:ascii="Arial" w:eastAsia="Arial" w:hAnsi="Arial" w:cs="Arial"/>
          <w:b/>
          <w:color w:val="000000"/>
          <w:sz w:val="20"/>
        </w:rPr>
        <w:t xml:space="preserve">B. </w:t>
      </w:r>
      <w:r>
        <w:rPr>
          <w:rFonts w:ascii="Arial" w:eastAsia="Arial" w:hAnsi="Arial" w:cs="Arial"/>
          <w:b/>
          <w:color w:val="000000"/>
          <w:sz w:val="20"/>
          <w:u w:val="single"/>
        </w:rPr>
        <w:t>The ADA Claims</w:t>
      </w:r>
    </w:p>
    <w:p w14:paraId="24D5B0AB" w14:textId="77777777" w:rsidR="002D0E71" w:rsidRDefault="00000000">
      <w:pPr>
        <w:pStyle w:val="Normal5"/>
        <w:widowControl w:val="0"/>
        <w:spacing w:before="240" w:line="260" w:lineRule="atLeast"/>
      </w:pPr>
      <w:r>
        <w:br/>
      </w:r>
      <w:r>
        <w:rPr>
          <w:rFonts w:ascii="Arial" w:eastAsia="Arial" w:hAnsi="Arial" w:cs="Arial"/>
          <w:b/>
          <w:color w:val="000000"/>
          <w:sz w:val="20"/>
        </w:rPr>
        <w:t>1. Title III</w:t>
      </w:r>
    </w:p>
    <w:p w14:paraId="34E74C37" w14:textId="77777777" w:rsidR="002D0E71" w:rsidRDefault="00000000">
      <w:pPr>
        <w:pStyle w:val="Normal5"/>
        <w:widowControl w:val="0"/>
        <w:spacing w:before="200" w:line="260" w:lineRule="atLeast"/>
        <w:jc w:val="both"/>
      </w:pPr>
      <w:bookmarkStart w:id="691" w:name="Bookmark_para_16_4"/>
      <w:bookmarkStart w:id="692" w:name="Bookmark_I5K6ND5128T4N90010000400"/>
      <w:bookmarkStart w:id="693" w:name="Bookmark_I5K6ND5128T4N90030000400"/>
      <w:bookmarkStart w:id="694" w:name="Bookmark_LNHNREFclscc7_3"/>
      <w:bookmarkEnd w:id="691"/>
      <w:bookmarkEnd w:id="692"/>
      <w:bookmarkEnd w:id="693"/>
      <w:bookmarkEnd w:id="694"/>
      <w:r>
        <w:rPr>
          <w:rFonts w:ascii="Arial" w:eastAsia="Arial" w:hAnsi="Arial" w:cs="Arial"/>
          <w:color w:val="000000"/>
          <w:sz w:val="20"/>
        </w:rPr>
        <w:t xml:space="preserve">To survive a motion to dismiss, a plaintiff must allege facts with sufficient specificity to state a claim for relief that [**14]  is plausible on its face. </w:t>
      </w:r>
      <w:bookmarkStart w:id="695" w:name="Bookmark_I5K6ND512D6MSJ0050000400"/>
      <w:bookmarkEnd w:id="695"/>
      <w:r>
        <w:rPr>
          <w:rFonts w:ascii="Arial" w:eastAsia="Arial" w:hAnsi="Arial" w:cs="Arial"/>
          <w:i/>
          <w:color w:val="000000"/>
          <w:sz w:val="20"/>
        </w:rPr>
        <w:t>Ashcroft v. Iqbal</w:t>
      </w:r>
      <w:r>
        <w:rPr>
          <w:rFonts w:ascii="Arial" w:eastAsia="Arial" w:hAnsi="Arial" w:cs="Arial"/>
          <w:color w:val="000000"/>
          <w:sz w:val="20"/>
        </w:rPr>
        <w:t xml:space="preserve">, 556 U.S. 662, 678-79, 129 S. Ct. 1937, 173 L. Ed. 2d 868 (2009). </w:t>
      </w:r>
      <w:bookmarkStart w:id="696" w:name="Bookmark_I5K6ND5128T4N90050000400"/>
      <w:bookmarkEnd w:id="696"/>
      <w:r>
        <w:rPr>
          <w:rFonts w:ascii="Arial" w:eastAsia="Arial" w:hAnsi="Arial" w:cs="Arial"/>
          <w:color w:val="000000"/>
          <w:sz w:val="20"/>
        </w:rPr>
        <w:t xml:space="preserve">The plausibility standard "asks for more than a sheer possibility that a defendant has acted unlawfully," </w:t>
      </w:r>
      <w:r>
        <w:rPr>
          <w:rFonts w:ascii="Arial" w:eastAsia="Arial" w:hAnsi="Arial" w:cs="Arial"/>
          <w:i/>
          <w:color w:val="000000"/>
          <w:sz w:val="20"/>
        </w:rPr>
        <w:t>id.</w:t>
      </w:r>
      <w:r>
        <w:rPr>
          <w:rFonts w:ascii="Arial" w:eastAsia="Arial" w:hAnsi="Arial" w:cs="Arial"/>
          <w:color w:val="000000"/>
          <w:sz w:val="20"/>
        </w:rPr>
        <w:t xml:space="preserve">, and instead "calls for enough fact to raise a reasonable expectation that discovery will reveal evidence of [unlawful conduct]." </w:t>
      </w:r>
      <w:bookmarkStart w:id="697" w:name="Bookmark_I5K6ND5128T4N90020000400"/>
      <w:bookmarkEnd w:id="697"/>
      <w:r>
        <w:rPr>
          <w:rFonts w:ascii="Arial" w:eastAsia="Arial" w:hAnsi="Arial" w:cs="Arial"/>
          <w:i/>
          <w:color w:val="000000"/>
          <w:sz w:val="20"/>
        </w:rPr>
        <w:t>Bell Atl. Corp. v. Twombly</w:t>
      </w:r>
      <w:r>
        <w:rPr>
          <w:rFonts w:ascii="Arial" w:eastAsia="Arial" w:hAnsi="Arial" w:cs="Arial"/>
          <w:color w:val="000000"/>
          <w:sz w:val="20"/>
        </w:rPr>
        <w:t xml:space="preserve">, 550 U.S. 544, 556, 127 S. Ct. 1955, 167 L. Ed. 2d 929 (2007). Under the standard set out in </w:t>
      </w:r>
      <w:r>
        <w:rPr>
          <w:rFonts w:ascii="Arial" w:eastAsia="Arial" w:hAnsi="Arial" w:cs="Arial"/>
          <w:i/>
          <w:color w:val="000000"/>
          <w:sz w:val="20"/>
        </w:rPr>
        <w:t>Iqbal</w:t>
      </w:r>
      <w:r>
        <w:rPr>
          <w:rFonts w:ascii="Arial" w:eastAsia="Arial" w:hAnsi="Arial" w:cs="Arial"/>
          <w:color w:val="000000"/>
          <w:sz w:val="20"/>
        </w:rPr>
        <w:t xml:space="preserve"> and </w:t>
      </w:r>
      <w:r>
        <w:rPr>
          <w:rFonts w:ascii="Arial" w:eastAsia="Arial" w:hAnsi="Arial" w:cs="Arial"/>
          <w:i/>
          <w:color w:val="000000"/>
          <w:sz w:val="20"/>
        </w:rPr>
        <w:t>Twombly</w:t>
      </w:r>
      <w:r>
        <w:rPr>
          <w:rFonts w:ascii="Arial" w:eastAsia="Arial" w:hAnsi="Arial" w:cs="Arial"/>
          <w:color w:val="000000"/>
          <w:sz w:val="20"/>
        </w:rPr>
        <w:t xml:space="preserve">, a court accepts as true all factual allegations, but the court does not apply this presumption of truth to  [*346]  conclusory or legal assertions. </w:t>
      </w:r>
      <w:bookmarkStart w:id="698" w:name="Bookmark_I5K6ND5128T4N90050000400_2"/>
      <w:bookmarkStart w:id="699" w:name="Bookmark_I5K6ND512HM6GH0020000400"/>
      <w:bookmarkStart w:id="700" w:name="Bookmark_I5K6ND5128T4N90040000400"/>
      <w:bookmarkEnd w:id="698"/>
      <w:bookmarkEnd w:id="699"/>
      <w:bookmarkEnd w:id="700"/>
      <w:r>
        <w:rPr>
          <w:rFonts w:ascii="Arial" w:eastAsia="Arial" w:hAnsi="Arial" w:cs="Arial"/>
          <w:i/>
          <w:color w:val="000000"/>
          <w:sz w:val="20"/>
        </w:rPr>
        <w:t>Iqbal</w:t>
      </w:r>
      <w:r>
        <w:rPr>
          <w:rFonts w:ascii="Arial" w:eastAsia="Arial" w:hAnsi="Arial" w:cs="Arial"/>
          <w:color w:val="000000"/>
          <w:sz w:val="20"/>
        </w:rPr>
        <w:t xml:space="preserve">, 556 at 678-79. </w:t>
      </w:r>
      <w:bookmarkStart w:id="701" w:name="Bookmark_I5K6ND512HM6GH0020000400_2"/>
      <w:bookmarkEnd w:id="701"/>
      <w:r>
        <w:rPr>
          <w:rFonts w:ascii="Arial" w:eastAsia="Arial" w:hAnsi="Arial" w:cs="Arial"/>
          <w:color w:val="000000"/>
          <w:sz w:val="20"/>
        </w:rPr>
        <w:t xml:space="preserve">If the plaintiff's facts, accepted as true, do not state a claim that has facial plausibility, the plaintiff has not satisfied the pleading requirements under Rule 8, and the complaint will be dismissed. </w:t>
      </w:r>
      <w:bookmarkStart w:id="702" w:name="Bookmark_LNHNREFclscc8_3"/>
      <w:bookmarkEnd w:id="702"/>
      <w:r>
        <w:rPr>
          <w:rFonts w:ascii="Arial" w:eastAsia="Arial" w:hAnsi="Arial" w:cs="Arial"/>
          <w:color w:val="000000"/>
          <w:sz w:val="20"/>
        </w:rPr>
        <w:t xml:space="preserve">We review the district court's ruling on a motion to dismiss </w:t>
      </w:r>
      <w:r>
        <w:rPr>
          <w:rFonts w:ascii="Arial" w:eastAsia="Arial" w:hAnsi="Arial" w:cs="Arial"/>
          <w:i/>
          <w:color w:val="000000"/>
          <w:sz w:val="20"/>
        </w:rPr>
        <w:t xml:space="preserve">de novo. </w:t>
      </w:r>
      <w:bookmarkStart w:id="703" w:name="Bookmark_I5K6ND512HM6GH0010000400"/>
      <w:bookmarkEnd w:id="703"/>
      <w:r>
        <w:rPr>
          <w:rFonts w:ascii="Arial" w:eastAsia="Arial" w:hAnsi="Arial" w:cs="Arial"/>
          <w:i/>
          <w:color w:val="000000"/>
          <w:sz w:val="20"/>
        </w:rPr>
        <w:t>In re NM Holdings Co.</w:t>
      </w:r>
      <w:r>
        <w:rPr>
          <w:rFonts w:ascii="Arial" w:eastAsia="Arial" w:hAnsi="Arial" w:cs="Arial"/>
          <w:color w:val="000000"/>
          <w:sz w:val="20"/>
        </w:rPr>
        <w:t>, 622 F.3d 613, 618 (6th Cir. 2010).</w:t>
      </w:r>
    </w:p>
    <w:p w14:paraId="2863A762" w14:textId="77777777" w:rsidR="002D0E71" w:rsidRDefault="00000000">
      <w:pPr>
        <w:pStyle w:val="Normal5"/>
        <w:widowControl w:val="0"/>
        <w:spacing w:before="200" w:line="260" w:lineRule="atLeast"/>
        <w:jc w:val="both"/>
      </w:pPr>
      <w:bookmarkStart w:id="704" w:name="Bookmark_para_17_3"/>
      <w:bookmarkEnd w:id="704"/>
      <w:r>
        <w:rPr>
          <w:rFonts w:ascii="Arial" w:eastAsia="Arial" w:hAnsi="Arial" w:cs="Arial"/>
          <w:color w:val="000000"/>
          <w:sz w:val="20"/>
        </w:rPr>
        <w:t xml:space="preserve">Here, Binno first argues that the district court incorrectly dismissed his claim brought pursuant to the provisions of Title III of the ADA. </w:t>
      </w:r>
      <w:bookmarkStart w:id="705" w:name="Bookmark_LNHNREFclscc9_2"/>
      <w:bookmarkEnd w:id="705"/>
      <w:r>
        <w:rPr>
          <w:rFonts w:ascii="Arial" w:eastAsia="Arial" w:hAnsi="Arial" w:cs="Arial"/>
          <w:color w:val="000000"/>
          <w:sz w:val="20"/>
        </w:rPr>
        <w:t>Title III requires a private entity that "offers" admissions examinations to provide such examinations "in a place and manner accessible to persons with disabilities" or to offer alternative accommodations for such persons. 42 U.S.C. § 12189.</w:t>
      </w:r>
      <w:r>
        <w:rPr>
          <w:rFonts w:ascii="Arial" w:eastAsia="Arial" w:hAnsi="Arial" w:cs="Arial"/>
          <w:vertAlign w:val="superscript"/>
        </w:rPr>
        <w:footnoteReference w:customMarkFollows="1" w:id="17"/>
        <w:t>5</w:t>
      </w:r>
      <w:r>
        <w:rPr>
          <w:rFonts w:ascii="Arial" w:eastAsia="Arial" w:hAnsi="Arial" w:cs="Arial"/>
          <w:color w:val="000000"/>
          <w:sz w:val="20"/>
        </w:rPr>
        <w:t xml:space="preserve"> Binno contends that, consistent with the remedial purpose of the ADA, the term "offer" [**15]  should be interpreted broadly to mean that the ABA "offers" the LSAT, because pursuant to accreditation Standard 503, the ABA "fully reviews, verifies, and mandates the LSAT" in law school admissions. In response, the ABA points out that the it cannot be said to offer the LSAT because it does not make the examination available to test-takers, nor does it exert any control over the "place and manner" of the test's administration. The district court found that because Binno had not pleaded facts to indicate that the ABA administered, developed, or controlled the format of the LSAT, he had failed to state a claim under Title III of the ADA.</w:t>
      </w:r>
    </w:p>
    <w:p w14:paraId="1219266F" w14:textId="77777777" w:rsidR="002D0E71" w:rsidRDefault="00000000">
      <w:pPr>
        <w:pStyle w:val="Normal5"/>
        <w:widowControl w:val="0"/>
        <w:spacing w:before="200" w:line="260" w:lineRule="atLeast"/>
        <w:jc w:val="both"/>
      </w:pPr>
      <w:bookmarkStart w:id="708" w:name="Bookmark_para_18_3"/>
      <w:bookmarkStart w:id="709" w:name="Bookmark_I5K6ND512HM6GH0040000400"/>
      <w:bookmarkStart w:id="710" w:name="Bookmark_I5K6ND522SF82W0010000400"/>
      <w:bookmarkStart w:id="711" w:name="Bookmark_LNHNREFclscc11_1"/>
      <w:bookmarkEnd w:id="708"/>
      <w:bookmarkEnd w:id="709"/>
      <w:bookmarkEnd w:id="710"/>
      <w:bookmarkEnd w:id="711"/>
      <w:r>
        <w:rPr>
          <w:rFonts w:ascii="Arial" w:eastAsia="Arial" w:hAnsi="Arial" w:cs="Arial"/>
          <w:color w:val="000000"/>
          <w:sz w:val="20"/>
        </w:rPr>
        <w:t xml:space="preserve">In interpreting a statute, we begin with its text. </w:t>
      </w:r>
      <w:bookmarkStart w:id="712" w:name="Bookmark_I5K6ND512HM6GH0030000400"/>
      <w:bookmarkEnd w:id="712"/>
      <w:r>
        <w:rPr>
          <w:rFonts w:ascii="Arial" w:eastAsia="Arial" w:hAnsi="Arial" w:cs="Arial"/>
          <w:i/>
          <w:color w:val="000000"/>
          <w:sz w:val="20"/>
        </w:rPr>
        <w:t>BedRoc Ltd. v. United States</w:t>
      </w:r>
      <w:r>
        <w:rPr>
          <w:rFonts w:ascii="Arial" w:eastAsia="Arial" w:hAnsi="Arial" w:cs="Arial"/>
          <w:color w:val="000000"/>
          <w:sz w:val="20"/>
        </w:rPr>
        <w:t xml:space="preserve">, 541 U.S. 176, 183, 124 S. Ct. 1587, 158 L. Ed. 2d 338 (2004) ("[O]ur inquiry begins with the statutory text, and ends there as well if the text is unambiguous."). If a term in a statute is [**16]  undefined, it is interpreted using its ordinary meaning. </w:t>
      </w:r>
      <w:bookmarkStart w:id="713" w:name="Bookmark_I5K6ND522SF82W0030000400"/>
      <w:bookmarkStart w:id="714" w:name="Bookmark_I5K6ND512HM6GH0050000400"/>
      <w:bookmarkEnd w:id="713"/>
      <w:bookmarkEnd w:id="714"/>
      <w:r>
        <w:rPr>
          <w:rFonts w:ascii="Arial" w:eastAsia="Arial" w:hAnsi="Arial" w:cs="Arial"/>
          <w:i/>
          <w:color w:val="000000"/>
          <w:sz w:val="20"/>
        </w:rPr>
        <w:t>F.D.I.C. v. Meyer</w:t>
      </w:r>
      <w:r>
        <w:rPr>
          <w:rFonts w:ascii="Arial" w:eastAsia="Arial" w:hAnsi="Arial" w:cs="Arial"/>
          <w:color w:val="000000"/>
          <w:sz w:val="20"/>
        </w:rPr>
        <w:t xml:space="preserve">, 510 U.S. 471, 476, 114 S. Ct. 996, 127 L. Ed. 2d 308 (1994). </w:t>
      </w:r>
      <w:bookmarkStart w:id="715" w:name="Bookmark_I5K6ND522SF82W0030000400_2"/>
      <w:bookmarkStart w:id="716" w:name="Bookmark_I5K6ND522SF82W0050000400"/>
      <w:bookmarkEnd w:id="715"/>
      <w:bookmarkEnd w:id="716"/>
      <w:r>
        <w:rPr>
          <w:rFonts w:ascii="Arial" w:eastAsia="Arial" w:hAnsi="Arial" w:cs="Arial"/>
          <w:color w:val="000000"/>
          <w:sz w:val="20"/>
        </w:rPr>
        <w:t xml:space="preserve">If a term is used multiple times in the same statute, we presume that it has the same meaning wherever it is used in the statute. </w:t>
      </w:r>
      <w:bookmarkStart w:id="717" w:name="Bookmark_I5K6ND522SF82W0020000400"/>
      <w:bookmarkEnd w:id="717"/>
      <w:r>
        <w:rPr>
          <w:rFonts w:ascii="Arial" w:eastAsia="Arial" w:hAnsi="Arial" w:cs="Arial"/>
          <w:i/>
          <w:color w:val="000000"/>
          <w:sz w:val="20"/>
        </w:rPr>
        <w:t>Util. Air Regulatory Grp. v. E.P.A.</w:t>
      </w:r>
      <w:r>
        <w:rPr>
          <w:rFonts w:ascii="Arial" w:eastAsia="Arial" w:hAnsi="Arial" w:cs="Arial"/>
          <w:color w:val="000000"/>
          <w:sz w:val="20"/>
        </w:rPr>
        <w:t xml:space="preserve">, 134 S. Ct. 2427, 2441, 189 L. Ed. 2d 372 (2014) ("One ordinarily assumes that identical words used in different parts of the same act are intended to have the same meaning.") (internal citation and quotation marksomitted)). </w:t>
      </w:r>
      <w:bookmarkStart w:id="718" w:name="Bookmark_I5K6ND522SF82W0050000400_2"/>
      <w:bookmarkEnd w:id="718"/>
      <w:r>
        <w:rPr>
          <w:rFonts w:ascii="Arial" w:eastAsia="Arial" w:hAnsi="Arial" w:cs="Arial"/>
          <w:color w:val="000000"/>
          <w:sz w:val="20"/>
        </w:rPr>
        <w:t xml:space="preserve">"Analysis of the statutory text, aided by established principles of interpretation, controls." </w:t>
      </w:r>
      <w:bookmarkStart w:id="719" w:name="Bookmark_I5K6ND522SF82W0040000400"/>
      <w:bookmarkEnd w:id="719"/>
      <w:r>
        <w:rPr>
          <w:rFonts w:ascii="Arial" w:eastAsia="Arial" w:hAnsi="Arial" w:cs="Arial"/>
          <w:i/>
          <w:color w:val="000000"/>
          <w:sz w:val="20"/>
        </w:rPr>
        <w:t>POM Wonderful LLC v. Coca-Cola Co.</w:t>
      </w:r>
      <w:r>
        <w:rPr>
          <w:rFonts w:ascii="Arial" w:eastAsia="Arial" w:hAnsi="Arial" w:cs="Arial"/>
          <w:color w:val="000000"/>
          <w:sz w:val="20"/>
        </w:rPr>
        <w:t>, 134 S. Ct. 2228, 2236, 189 L. Ed. 2d 141 (2014).</w:t>
      </w:r>
    </w:p>
    <w:p w14:paraId="69E41CE8" w14:textId="77777777" w:rsidR="002D0E71" w:rsidRDefault="00000000">
      <w:pPr>
        <w:pStyle w:val="Normal5"/>
        <w:widowControl w:val="0"/>
        <w:spacing w:before="200" w:line="260" w:lineRule="atLeast"/>
        <w:jc w:val="both"/>
      </w:pPr>
      <w:bookmarkStart w:id="720" w:name="Bookmark_para_19_3"/>
      <w:bookmarkStart w:id="721" w:name="Bookmark_LNHNREFclscc12_1"/>
      <w:bookmarkEnd w:id="720"/>
      <w:bookmarkEnd w:id="721"/>
      <w:r>
        <w:rPr>
          <w:rFonts w:ascii="Arial" w:eastAsia="Arial" w:hAnsi="Arial" w:cs="Arial"/>
          <w:color w:val="000000"/>
          <w:sz w:val="20"/>
        </w:rPr>
        <w:t xml:space="preserve">The term "offer" is not defined in Section 309, nor is it defined elsewhere in the ADA. However, the term is used three times within Section 309: "Any [private entity] that </w:t>
      </w:r>
      <w:r>
        <w:rPr>
          <w:rFonts w:ascii="Arial" w:eastAsia="Arial" w:hAnsi="Arial" w:cs="Arial"/>
          <w:i/>
          <w:color w:val="000000"/>
          <w:sz w:val="20"/>
        </w:rPr>
        <w:t>offers</w:t>
      </w:r>
      <w:r>
        <w:rPr>
          <w:rFonts w:ascii="Arial" w:eastAsia="Arial" w:hAnsi="Arial" w:cs="Arial"/>
          <w:color w:val="000000"/>
          <w:sz w:val="20"/>
        </w:rPr>
        <w:t xml:space="preserve"> examinations . . . shall </w:t>
      </w:r>
      <w:r>
        <w:rPr>
          <w:rFonts w:ascii="Arial" w:eastAsia="Arial" w:hAnsi="Arial" w:cs="Arial"/>
          <w:i/>
          <w:color w:val="000000"/>
          <w:sz w:val="20"/>
        </w:rPr>
        <w:t>offer</w:t>
      </w:r>
      <w:r>
        <w:rPr>
          <w:rFonts w:ascii="Arial" w:eastAsia="Arial" w:hAnsi="Arial" w:cs="Arial"/>
          <w:color w:val="000000"/>
          <w:sz w:val="20"/>
        </w:rPr>
        <w:t xml:space="preserve"> such examinations or courses in a place and manner accessible to persons with disabilities or </w:t>
      </w:r>
      <w:r>
        <w:rPr>
          <w:rFonts w:ascii="Arial" w:eastAsia="Arial" w:hAnsi="Arial" w:cs="Arial"/>
          <w:i/>
          <w:color w:val="000000"/>
          <w:sz w:val="20"/>
        </w:rPr>
        <w:t>offer</w:t>
      </w:r>
      <w:r>
        <w:rPr>
          <w:rFonts w:ascii="Arial" w:eastAsia="Arial" w:hAnsi="Arial" w:cs="Arial"/>
          <w:color w:val="000000"/>
          <w:sz w:val="20"/>
        </w:rPr>
        <w:t xml:space="preserve"> alternative accessible arrangements for such individuals." 42 U.S.C. § 12189 (emphasis added). The context indicates that an entity that "offers examinations" under this provision must be able to provide an accessible "place and manner" for administration of the tests, or arrange for alternative, accessible accommodations.</w:t>
      </w:r>
    </w:p>
    <w:p w14:paraId="6F35CD0A" w14:textId="77777777" w:rsidR="002D0E71" w:rsidRDefault="00000000">
      <w:pPr>
        <w:pStyle w:val="Normal5"/>
        <w:widowControl w:val="0"/>
        <w:spacing w:before="200" w:line="260" w:lineRule="atLeast"/>
        <w:jc w:val="both"/>
      </w:pPr>
      <w:bookmarkStart w:id="722" w:name="Bookmark_para_20_2"/>
      <w:bookmarkEnd w:id="722"/>
      <w:r>
        <w:rPr>
          <w:rFonts w:ascii="Arial" w:eastAsia="Arial" w:hAnsi="Arial" w:cs="Arial"/>
          <w:color w:val="000000"/>
          <w:sz w:val="20"/>
        </w:rPr>
        <w:t>The regulations that implement Section 309 discuss the administration of the exam and, accordingly, support the interpretation  [*347]  that an entity offering the [**17]  exam must have significant control over its administration or accommodation.</w:t>
      </w:r>
      <w:r>
        <w:rPr>
          <w:rFonts w:ascii="Arial" w:eastAsia="Arial" w:hAnsi="Arial" w:cs="Arial"/>
          <w:vertAlign w:val="superscript"/>
        </w:rPr>
        <w:footnoteReference w:customMarkFollows="1" w:id="18"/>
        <w:t>6</w:t>
      </w:r>
      <w:r>
        <w:rPr>
          <w:rFonts w:ascii="Arial" w:eastAsia="Arial" w:hAnsi="Arial" w:cs="Arial"/>
          <w:color w:val="000000"/>
          <w:sz w:val="20"/>
        </w:rPr>
        <w:t xml:space="preserve"> Binno argues that because the word "selected" is used within the implementing regulations,</w:t>
      </w:r>
      <w:r>
        <w:rPr>
          <w:rFonts w:ascii="Arial" w:eastAsia="Arial" w:hAnsi="Arial" w:cs="Arial"/>
          <w:vertAlign w:val="superscript"/>
        </w:rPr>
        <w:footnoteReference w:customMarkFollows="1" w:id="19"/>
        <w:t>7</w:t>
      </w:r>
      <w:r>
        <w:rPr>
          <w:rFonts w:ascii="Arial" w:eastAsia="Arial" w:hAnsi="Arial" w:cs="Arial"/>
          <w:color w:val="000000"/>
          <w:sz w:val="20"/>
        </w:rPr>
        <w:t xml:space="preserve"> an entity that "selects" the exam also "offers" it. However, in doing so, he ignores the fact that the term "selects" refers only to entities that "offer" an examination under Section 309.</w:t>
      </w:r>
    </w:p>
    <w:p w14:paraId="7E07F3E3" w14:textId="77777777" w:rsidR="002D0E71" w:rsidRDefault="00000000">
      <w:pPr>
        <w:pStyle w:val="Normal5"/>
        <w:widowControl w:val="0"/>
        <w:spacing w:before="200" w:line="260" w:lineRule="atLeast"/>
        <w:jc w:val="both"/>
      </w:pPr>
      <w:bookmarkStart w:id="727" w:name="Bookmark_para_21_2"/>
      <w:bookmarkStart w:id="728" w:name="Bookmark_I5K6ND5228T4NB0020000400"/>
      <w:bookmarkStart w:id="729" w:name="Bookmark_LNHNREFclscc15"/>
      <w:bookmarkEnd w:id="727"/>
      <w:bookmarkEnd w:id="728"/>
      <w:bookmarkEnd w:id="729"/>
      <w:r>
        <w:rPr>
          <w:rFonts w:ascii="Arial" w:eastAsia="Arial" w:hAnsi="Arial" w:cs="Arial"/>
          <w:color w:val="000000"/>
          <w:sz w:val="20"/>
        </w:rPr>
        <w:t xml:space="preserve">Binno also insists that an entity that "reviews, verifies, and mandates the LSAT" must be held to offer the exam for the purposes of Section 309, but this argument is not supported by either the text of the statute or the cases interpreting the statute. Even if we construe it broadly because of the remedial nature of the statute at issue, </w:t>
      </w:r>
      <w:r>
        <w:rPr>
          <w:rFonts w:ascii="Arial" w:eastAsia="Arial" w:hAnsi="Arial" w:cs="Arial"/>
          <w:i/>
          <w:color w:val="000000"/>
          <w:sz w:val="20"/>
        </w:rPr>
        <w:t xml:space="preserve">see, e.g., </w:t>
      </w:r>
      <w:bookmarkStart w:id="730" w:name="Bookmark_I5K6ND5228T4NB0010000400"/>
      <w:bookmarkEnd w:id="730"/>
      <w:r>
        <w:rPr>
          <w:rFonts w:ascii="Arial" w:eastAsia="Arial" w:hAnsi="Arial" w:cs="Arial"/>
          <w:i/>
          <w:color w:val="000000"/>
          <w:sz w:val="20"/>
        </w:rPr>
        <w:t>Tcherepnin v. Knight</w:t>
      </w:r>
      <w:r>
        <w:rPr>
          <w:rFonts w:ascii="Arial" w:eastAsia="Arial" w:hAnsi="Arial" w:cs="Arial"/>
          <w:color w:val="000000"/>
          <w:sz w:val="20"/>
        </w:rPr>
        <w:t>, 389 U.S. 332, 336, 88 S. Ct. 548, 19 L. Ed. 2d 564 (1967), the term "offer" nevertheless must be interpreted so that Section 309 is not meaningless. Because the statute states that an entity that "offers" exams must do so "in a place and manner accessible" to disabled persons or else offer alternative accommodations, the entity must have some ability to grant those accommodations in the administration of the exam. An entity without the authority to grant such accommodations would not be able to effectuate the purpose of Section 309.</w:t>
      </w:r>
      <w:r>
        <w:rPr>
          <w:rFonts w:ascii="Arial" w:eastAsia="Arial" w:hAnsi="Arial" w:cs="Arial"/>
          <w:vertAlign w:val="superscript"/>
        </w:rPr>
        <w:footnoteReference w:customMarkFollows="1" w:id="20"/>
        <w:t>8</w:t>
      </w:r>
    </w:p>
    <w:p w14:paraId="12244407" w14:textId="77777777" w:rsidR="002D0E71" w:rsidRDefault="00000000">
      <w:pPr>
        <w:pStyle w:val="Normal5"/>
        <w:widowControl w:val="0"/>
        <w:spacing w:before="200" w:line="260" w:lineRule="atLeast"/>
        <w:jc w:val="both"/>
      </w:pPr>
      <w:bookmarkStart w:id="733" w:name="Bookmark_para_22_2"/>
      <w:bookmarkStart w:id="734" w:name="Bookmark_I0MVJR8MKXY000VXMY1000XP"/>
      <w:bookmarkStart w:id="735" w:name="Bookmark_I0MVJR8WD0C000VXMY1000Y6"/>
      <w:bookmarkStart w:id="736" w:name="Bookmark_I5K6ND5228T4NB0040000400"/>
      <w:bookmarkEnd w:id="733"/>
      <w:bookmarkEnd w:id="734"/>
      <w:bookmarkEnd w:id="735"/>
      <w:bookmarkEnd w:id="736"/>
      <w:r>
        <w:rPr>
          <w:rFonts w:ascii="Arial" w:eastAsia="Arial" w:hAnsi="Arial" w:cs="Arial"/>
          <w:color w:val="000000"/>
          <w:sz w:val="20"/>
        </w:rPr>
        <w:t xml:space="preserve">Indeed, Binno apparently concedes that the ABA is subject to Section 309 only "to the extent that [the ABA] exercises control over the manner in which the examination is given," but he then fails to allege the manner in which that control is actually exercised by the ABA. Binno cites </w:t>
      </w:r>
      <w:bookmarkStart w:id="737" w:name="Bookmark_I5K6ND5228T4NB0030000400"/>
      <w:bookmarkEnd w:id="737"/>
      <w:r>
        <w:rPr>
          <w:rFonts w:ascii="Arial" w:eastAsia="Arial" w:hAnsi="Arial" w:cs="Arial"/>
          <w:i/>
          <w:color w:val="000000"/>
          <w:sz w:val="20"/>
        </w:rPr>
        <w:t>Bonnette v. D.C. Court of Appeals</w:t>
      </w:r>
      <w:r>
        <w:rPr>
          <w:rFonts w:ascii="Arial" w:eastAsia="Arial" w:hAnsi="Arial" w:cs="Arial"/>
          <w:color w:val="000000"/>
          <w:sz w:val="20"/>
        </w:rPr>
        <w:t xml:space="preserve">, 796 F. Supp. 2d 164 (D.D.C. 2011), and </w:t>
      </w:r>
      <w:bookmarkStart w:id="738" w:name="Bookmark_I5K6ND5228T4NB0050000400"/>
      <w:bookmarkEnd w:id="738"/>
      <w:r>
        <w:rPr>
          <w:rFonts w:ascii="Arial" w:eastAsia="Arial" w:hAnsi="Arial" w:cs="Arial"/>
          <w:i/>
          <w:color w:val="000000"/>
          <w:sz w:val="20"/>
        </w:rPr>
        <w:t>Elder v. Nat'l Conference of Bar Exam'rs</w:t>
      </w:r>
      <w:r>
        <w:rPr>
          <w:rFonts w:ascii="Arial" w:eastAsia="Arial" w:hAnsi="Arial" w:cs="Arial"/>
          <w:color w:val="000000"/>
          <w:sz w:val="20"/>
        </w:rPr>
        <w:t>, C-11-00199-SI, 2011 U.S. Dist. LEXIS 15787, 2011 WL 672662 (N.D. Cal. Feb 16, 2011), to argue that Title III claims may be asserted against entities that do not administer an exam. However, in both these cases, defendant National Conference of Bar Examiners developed the content and format of the examination in question and had the actual ability to influence  [*348]  the manner and administration of the exam. [**20] </w:t>
      </w:r>
    </w:p>
    <w:p w14:paraId="14527E10" w14:textId="77777777" w:rsidR="002D0E71" w:rsidRDefault="00000000">
      <w:pPr>
        <w:pStyle w:val="Normal5"/>
        <w:widowControl w:val="0"/>
        <w:spacing w:before="200" w:line="260" w:lineRule="atLeast"/>
        <w:jc w:val="both"/>
      </w:pPr>
      <w:bookmarkStart w:id="739" w:name="Bookmark_para_23_2"/>
      <w:bookmarkEnd w:id="739"/>
      <w:r>
        <w:rPr>
          <w:rFonts w:ascii="Arial" w:eastAsia="Arial" w:hAnsi="Arial" w:cs="Arial"/>
          <w:color w:val="000000"/>
          <w:sz w:val="20"/>
        </w:rPr>
        <w:t>In sum, Binno has not pleaded any facts in his complaint that demonstrate that Standard 503 gives the ABA authority over the manner and administration of the LSAT. Nor has he pleaded any facts that show that the ABA has authority to grant accommodations or make other arrangements in connection with the exam. Indeed, Binno undoubtedly cannot plead such facts, because it is the LSAC, and not the ABA, that develops and administers the LSAT and grants accommodations in the testing format. Because Binno has not pleaded facts to support a facially plausible claim, his Title III claim against the ABA fails as a matter of law.</w:t>
      </w:r>
    </w:p>
    <w:p w14:paraId="3BBAE429" w14:textId="77777777" w:rsidR="002D0E71" w:rsidRDefault="00000000">
      <w:pPr>
        <w:pStyle w:val="Normal5"/>
        <w:widowControl w:val="0"/>
        <w:spacing w:before="240" w:line="260" w:lineRule="atLeast"/>
      </w:pPr>
      <w:r>
        <w:br/>
      </w:r>
      <w:r>
        <w:rPr>
          <w:rFonts w:ascii="Arial" w:eastAsia="Arial" w:hAnsi="Arial" w:cs="Arial"/>
          <w:b/>
          <w:color w:val="000000"/>
          <w:sz w:val="20"/>
        </w:rPr>
        <w:t>2. Title V</w:t>
      </w:r>
    </w:p>
    <w:p w14:paraId="0BCFC327" w14:textId="77777777" w:rsidR="002D0E71" w:rsidRDefault="00000000">
      <w:pPr>
        <w:pStyle w:val="Normal5"/>
        <w:widowControl w:val="0"/>
        <w:spacing w:before="200" w:line="260" w:lineRule="atLeast"/>
        <w:jc w:val="both"/>
      </w:pPr>
      <w:bookmarkStart w:id="740" w:name="Bookmark_para_24_2"/>
      <w:bookmarkEnd w:id="740"/>
      <w:r>
        <w:rPr>
          <w:rFonts w:ascii="Arial" w:eastAsia="Arial" w:hAnsi="Arial" w:cs="Arial"/>
          <w:color w:val="000000"/>
          <w:sz w:val="20"/>
        </w:rPr>
        <w:t xml:space="preserve">Binno next argues that the district court erred in dismissing his claim brought pursuant to </w:t>
      </w:r>
      <w:bookmarkStart w:id="741" w:name="Bookmark_LNHNREFclscc17"/>
      <w:bookmarkEnd w:id="741"/>
      <w:r>
        <w:rPr>
          <w:rFonts w:ascii="Arial" w:eastAsia="Arial" w:hAnsi="Arial" w:cs="Arial"/>
          <w:color w:val="000000"/>
          <w:sz w:val="20"/>
        </w:rPr>
        <w:t>Title V of the ADA, which prohibits, among other things, "interference" with rights granted or protected under Title III.</w:t>
      </w:r>
      <w:r>
        <w:rPr>
          <w:rFonts w:ascii="Arial" w:eastAsia="Arial" w:hAnsi="Arial" w:cs="Arial"/>
          <w:vertAlign w:val="superscript"/>
        </w:rPr>
        <w:footnoteReference w:customMarkFollows="1" w:id="21"/>
        <w:t>9</w:t>
      </w:r>
      <w:r>
        <w:rPr>
          <w:rFonts w:ascii="Arial" w:eastAsia="Arial" w:hAnsi="Arial" w:cs="Arial"/>
          <w:color w:val="000000"/>
          <w:sz w:val="20"/>
        </w:rPr>
        <w:t xml:space="preserve"> He alleges that the ABA violated Title V of the ADA because Standard 503 "interferes" with Binno's right to take an exam that is accessible to him or otherwise accommodates his disability. The district court dismissed that claim outright, reasoning that because Binno had failed to allege a violation of his rights under Title III of the ADA, he could [**21]  not claim interference with the exercise of those rights under Title V of the ADA. Although that logic is superficially appealing, we can envision, at least hypothetically, that there could be interference with the rights of a disabled individual by a third party. However, to plead a Title V violation successfully, Binno would have to allege facts to demonstrate that the ABA had interfered with the offering of the LSAT, </w:t>
      </w:r>
      <w:r>
        <w:rPr>
          <w:rFonts w:ascii="Arial" w:eastAsia="Arial" w:hAnsi="Arial" w:cs="Arial"/>
          <w:i/>
          <w:color w:val="000000"/>
          <w:sz w:val="20"/>
        </w:rPr>
        <w:t>i.e.</w:t>
      </w:r>
      <w:r>
        <w:rPr>
          <w:rFonts w:ascii="Arial" w:eastAsia="Arial" w:hAnsi="Arial" w:cs="Arial"/>
          <w:color w:val="000000"/>
          <w:sz w:val="20"/>
        </w:rPr>
        <w:t>, the administration of the test in a place and manner accessible to persons with disabilities or the provision of alternative accessible arrangements. We already have held that Standard 503 does not violate Title III, and the allegations in Binno's complaint are not sufficient to establish a claim of interference under Title V.</w:t>
      </w:r>
    </w:p>
    <w:p w14:paraId="3C7E62DE" w14:textId="77777777" w:rsidR="002D0E71" w:rsidRDefault="00000000">
      <w:pPr>
        <w:pStyle w:val="Normal5"/>
        <w:widowControl w:val="0"/>
        <w:spacing w:before="240" w:line="260" w:lineRule="atLeast"/>
      </w:pPr>
      <w:r>
        <w:br/>
      </w:r>
      <w:r>
        <w:rPr>
          <w:rFonts w:ascii="Arial" w:eastAsia="Arial" w:hAnsi="Arial" w:cs="Arial"/>
          <w:b/>
          <w:color w:val="000000"/>
          <w:sz w:val="20"/>
        </w:rPr>
        <w:t>III. CONCLUSION</w:t>
      </w:r>
    </w:p>
    <w:p w14:paraId="57A3C539" w14:textId="77777777" w:rsidR="002D0E71" w:rsidRDefault="00000000">
      <w:pPr>
        <w:pStyle w:val="Normal5"/>
        <w:widowControl w:val="0"/>
        <w:spacing w:before="200" w:line="260" w:lineRule="atLeast"/>
        <w:jc w:val="both"/>
      </w:pPr>
      <w:bookmarkStart w:id="744" w:name="Bookmark_para_25_2"/>
      <w:bookmarkStart w:id="745" w:name="Bookmark_I5K6ND522D6MSM0030000400"/>
      <w:bookmarkStart w:id="746" w:name="Bookmark_I5K6ND522HM6GJ0020000400"/>
      <w:bookmarkEnd w:id="744"/>
      <w:bookmarkEnd w:id="745"/>
      <w:bookmarkEnd w:id="746"/>
      <w:r>
        <w:rPr>
          <w:rFonts w:ascii="Arial" w:eastAsia="Arial" w:hAnsi="Arial" w:cs="Arial"/>
          <w:color w:val="000000"/>
          <w:sz w:val="20"/>
        </w:rPr>
        <w:t xml:space="preserve">For the reasons set out above, we AFFIRM the judgment of the district court. In doing so, however, we are left puzzled by Binno's failure to litigate against the LSAC, rather than the ABA. His amended [**22]  complaint, filed in August 2011, followed by over four years the ruling in </w:t>
      </w:r>
      <w:bookmarkStart w:id="747" w:name="Bookmark_I5K6ND522D6MSM0020000400"/>
      <w:bookmarkEnd w:id="747"/>
      <w:r>
        <w:rPr>
          <w:rFonts w:ascii="Arial" w:eastAsia="Arial" w:hAnsi="Arial" w:cs="Arial"/>
          <w:i/>
          <w:color w:val="000000"/>
          <w:sz w:val="20"/>
        </w:rPr>
        <w:t>Love v. Law Sch. Admission Council, Inc.</w:t>
      </w:r>
      <w:r>
        <w:rPr>
          <w:rFonts w:ascii="Arial" w:eastAsia="Arial" w:hAnsi="Arial" w:cs="Arial"/>
          <w:color w:val="000000"/>
          <w:sz w:val="20"/>
        </w:rPr>
        <w:t xml:space="preserve">, 513 F. Supp. 2d 206, 223 (E.D. Pa. 2007), that the LSAC is "a covered entity under the [ADA]," and by over a decade similar litigation in </w:t>
      </w:r>
      <w:bookmarkStart w:id="748" w:name="Bookmark_I5K6ND522D6MSM0040000400"/>
      <w:bookmarkEnd w:id="748"/>
      <w:r>
        <w:rPr>
          <w:rFonts w:ascii="Arial" w:eastAsia="Arial" w:hAnsi="Arial" w:cs="Arial"/>
          <w:i/>
          <w:color w:val="000000"/>
          <w:sz w:val="20"/>
        </w:rPr>
        <w:t>Agranoff v. LSAC, Inc.</w:t>
      </w:r>
      <w:r>
        <w:rPr>
          <w:rFonts w:ascii="Arial" w:eastAsia="Arial" w:hAnsi="Arial" w:cs="Arial"/>
          <w:color w:val="000000"/>
          <w:sz w:val="20"/>
        </w:rPr>
        <w:t xml:space="preserve">, 97 F. Supp. 2d 86, 87 (D. Mass. 1999). Indeed, in </w:t>
      </w:r>
      <w:r>
        <w:rPr>
          <w:rFonts w:ascii="Arial" w:eastAsia="Arial" w:hAnsi="Arial" w:cs="Arial"/>
          <w:i/>
          <w:color w:val="000000"/>
          <w:sz w:val="20"/>
        </w:rPr>
        <w:t>Love</w:t>
      </w:r>
      <w:r>
        <w:rPr>
          <w:rFonts w:ascii="Arial" w:eastAsia="Arial" w:hAnsi="Arial" w:cs="Arial"/>
          <w:color w:val="000000"/>
          <w:sz w:val="20"/>
        </w:rPr>
        <w:t xml:space="preserve">, the LSAC conceded that it was subject to Title III. </w:t>
      </w:r>
      <w:bookmarkStart w:id="749" w:name="Bookmark_I5K6ND522HM6GJ0010000400"/>
      <w:bookmarkEnd w:id="749"/>
      <w:r>
        <w:rPr>
          <w:rFonts w:ascii="Arial" w:eastAsia="Arial" w:hAnsi="Arial" w:cs="Arial"/>
          <w:i/>
          <w:color w:val="000000"/>
          <w:sz w:val="20"/>
        </w:rPr>
        <w:t>Love</w:t>
      </w:r>
      <w:r>
        <w:rPr>
          <w:rFonts w:ascii="Arial" w:eastAsia="Arial" w:hAnsi="Arial" w:cs="Arial"/>
          <w:color w:val="000000"/>
          <w:sz w:val="20"/>
        </w:rPr>
        <w:t>, 513 F. Supp. 2d at 223. By contrast, we have been pointed to no cases in which a Title III or Title V claim has been brought against the ABA, successfully or otherwise.</w:t>
      </w:r>
    </w:p>
    <w:p w14:paraId="40D20F19" w14:textId="77777777" w:rsidR="002D0E71" w:rsidRDefault="00000000">
      <w:pPr>
        <w:pStyle w:val="Normal5"/>
        <w:widowControl w:val="0"/>
        <w:spacing w:before="200" w:line="260" w:lineRule="atLeast"/>
        <w:jc w:val="both"/>
      </w:pPr>
      <w:bookmarkStart w:id="750" w:name="Bookmark_para_26_2"/>
      <w:bookmarkStart w:id="751" w:name="Bookmark_I5K6ND522HM6GJ0040000400"/>
      <w:bookmarkStart w:id="752" w:name="Bookmark_I5K6ND522N1R8D0030000400"/>
      <w:bookmarkEnd w:id="750"/>
      <w:bookmarkEnd w:id="751"/>
      <w:bookmarkEnd w:id="752"/>
      <w:r>
        <w:rPr>
          <w:rFonts w:ascii="Arial" w:eastAsia="Arial" w:hAnsi="Arial" w:cs="Arial"/>
          <w:color w:val="000000"/>
          <w:sz w:val="20"/>
        </w:rPr>
        <w:t>In addition to other, prior litigation against the LSAC, there is now pending the ongoing administration of a nationwide consent decree in a class-action suit brought against the LSAC by the California Department of Fair Employment and Housing (DFEH) and joined by the United States Department of Justice (USDOJ). The original action sought damages and injunctive relief stemming from alleged failures of the LSAC to provide reasonable  [*349]  accommodations to impaired test-takers of the LSAT, in violation of the ADA.</w:t>
      </w:r>
      <w:r>
        <w:rPr>
          <w:rFonts w:ascii="Arial" w:eastAsia="Arial" w:hAnsi="Arial" w:cs="Arial"/>
          <w:i/>
          <w:color w:val="000000"/>
          <w:sz w:val="20"/>
        </w:rPr>
        <w:t xml:space="preserve"> See </w:t>
      </w:r>
      <w:bookmarkStart w:id="753" w:name="Bookmark_I5K6ND522HM6GJ0030000400"/>
      <w:bookmarkEnd w:id="753"/>
      <w:r>
        <w:rPr>
          <w:rFonts w:ascii="Arial" w:eastAsia="Arial" w:hAnsi="Arial" w:cs="Arial"/>
          <w:i/>
          <w:color w:val="000000"/>
          <w:sz w:val="20"/>
        </w:rPr>
        <w:t>Dep't of Fair Emp't &amp; Hous. v. Law Sch. Admissions Council, Inc.</w:t>
      </w:r>
      <w:r>
        <w:rPr>
          <w:rFonts w:ascii="Arial" w:eastAsia="Arial" w:hAnsi="Arial" w:cs="Arial"/>
          <w:color w:val="000000"/>
          <w:sz w:val="20"/>
        </w:rPr>
        <w:t xml:space="preserve">, No. 12-cv-01830-JCS, 2015 U.S. Dist. LEXIS 104751, 2015 WL 4719613 (N.D. Cal. Aug. 7, 2015); </w:t>
      </w:r>
      <w:r>
        <w:rPr>
          <w:rFonts w:ascii="Arial" w:eastAsia="Arial" w:hAnsi="Arial" w:cs="Arial"/>
          <w:i/>
          <w:color w:val="000000"/>
          <w:sz w:val="20"/>
        </w:rPr>
        <w:t xml:space="preserve">see also </w:t>
      </w:r>
      <w:bookmarkStart w:id="754" w:name="Bookmark_I5K6ND522HM6GJ0050000400"/>
      <w:bookmarkEnd w:id="754"/>
      <w:r>
        <w:rPr>
          <w:rFonts w:ascii="Arial" w:eastAsia="Arial" w:hAnsi="Arial" w:cs="Arial"/>
          <w:i/>
          <w:color w:val="000000"/>
          <w:sz w:val="20"/>
        </w:rPr>
        <w:t>Dep't of Fair Emp't &amp; Hous. v. Law Sch. Admission Council Inc.</w:t>
      </w:r>
      <w:r>
        <w:rPr>
          <w:rFonts w:ascii="Arial" w:eastAsia="Arial" w:hAnsi="Arial" w:cs="Arial"/>
          <w:color w:val="000000"/>
          <w:sz w:val="20"/>
        </w:rPr>
        <w:t xml:space="preserve">, 896 F.Supp.2d 849 (N.D. Cal. 2012). In its most recent opinion, the district court considered and approved recommendations from a panel of five experts concerning how the LSAC should accommodate individuals with visual impairments in [**23]  the "analytical reasoning section of the LSAT exam because of its reliance on visual-spatial abilities." </w:t>
      </w:r>
      <w:bookmarkStart w:id="755" w:name="Bookmark_I5K6ND522N1R8D0020000400"/>
      <w:bookmarkEnd w:id="755"/>
      <w:r>
        <w:rPr>
          <w:rFonts w:ascii="Arial" w:eastAsia="Arial" w:hAnsi="Arial" w:cs="Arial"/>
          <w:color w:val="000000"/>
          <w:sz w:val="20"/>
        </w:rPr>
        <w:t>2015 U.S. Dist. LEXIS 104751, 2015 WL 4719613 at *12. Unless Binno is seeking to be relieved altogether of the obligation of taking the LSAT, a more practical approach to achieving admission to law school than years of fruitless litigation against a remote accrediting body might well be to take advantage of the consent decree that the DFEH and the USDOJ have entered with LSAC.</w:t>
      </w:r>
    </w:p>
    <w:p w14:paraId="559A016E" w14:textId="77777777" w:rsidR="002D0E71" w:rsidRDefault="00000000">
      <w:pPr>
        <w:pStyle w:val="Normal5"/>
        <w:widowControl w:val="0"/>
        <w:spacing w:before="240" w:line="260" w:lineRule="atLeast"/>
      </w:pPr>
      <w:bookmarkStart w:id="756" w:name="Concur_by"/>
      <w:bookmarkEnd w:id="756"/>
      <w:r>
        <w:rPr>
          <w:rFonts w:ascii="Arial" w:eastAsia="Arial" w:hAnsi="Arial" w:cs="Arial"/>
          <w:b/>
          <w:color w:val="000000"/>
          <w:sz w:val="20"/>
        </w:rPr>
        <w:t>Concur by:</w:t>
      </w:r>
      <w:r>
        <w:rPr>
          <w:rFonts w:ascii="Arial" w:eastAsia="Arial" w:hAnsi="Arial" w:cs="Arial"/>
          <w:color w:val="000000"/>
          <w:sz w:val="20"/>
        </w:rPr>
        <w:t> GRIFFIN</w:t>
      </w:r>
    </w:p>
    <w:p w14:paraId="1035C084" w14:textId="77777777" w:rsidR="002D0E71" w:rsidRDefault="00000000">
      <w:pPr>
        <w:pStyle w:val="Normal5"/>
        <w:keepNext/>
        <w:widowControl w:val="0"/>
        <w:spacing w:before="240" w:line="340" w:lineRule="atLeast"/>
      </w:pPr>
      <w:bookmarkStart w:id="757" w:name="Concur"/>
      <w:bookmarkEnd w:id="757"/>
      <w:r>
        <w:rPr>
          <w:rFonts w:ascii="Arial" w:eastAsia="Arial" w:hAnsi="Arial" w:cs="Arial"/>
          <w:b/>
          <w:color w:val="000000"/>
          <w:sz w:val="28"/>
        </w:rPr>
        <w:t>Concur</w:t>
      </w:r>
    </w:p>
    <w:p w14:paraId="79273C7A" w14:textId="05B6C2AA" w:rsidR="002D0E71" w:rsidRDefault="002939DF">
      <w:pPr>
        <w:pStyle w:val="Normal5"/>
        <w:spacing w:line="60" w:lineRule="exact"/>
      </w:pPr>
      <w:r>
        <w:rPr>
          <w:noProof/>
        </w:rPr>
        <mc:AlternateContent>
          <mc:Choice Requires="wps">
            <w:drawing>
              <wp:anchor distT="0" distB="0" distL="114300" distR="114300" simplePos="0" relativeHeight="251669504" behindDoc="0" locked="0" layoutInCell="1" allowOverlap="1" wp14:anchorId="6583E409" wp14:editId="468C0C0A">
                <wp:simplePos x="0" y="0"/>
                <wp:positionH relativeFrom="column">
                  <wp:posOffset>0</wp:posOffset>
                </wp:positionH>
                <wp:positionV relativeFrom="paragraph">
                  <wp:posOffset>25400</wp:posOffset>
                </wp:positionV>
                <wp:extent cx="3187700" cy="0"/>
                <wp:effectExtent l="19050" t="15875" r="12700" b="12700"/>
                <wp:wrapTopAndBottom/>
                <wp:docPr id="1358295120"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2C8061" id="Line 1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147FAD2" w14:textId="77777777" w:rsidR="002D0E71" w:rsidRDefault="002D0E71">
      <w:pPr>
        <w:pStyle w:val="Normal5"/>
        <w:spacing w:line="120" w:lineRule="exact"/>
      </w:pPr>
    </w:p>
    <w:p w14:paraId="716E36B5" w14:textId="77777777" w:rsidR="002D0E71" w:rsidRDefault="00000000">
      <w:pPr>
        <w:pStyle w:val="Normal5"/>
        <w:widowControl w:val="0"/>
        <w:spacing w:before="240" w:line="260" w:lineRule="atLeast"/>
      </w:pPr>
      <w:r>
        <w:br/>
      </w:r>
      <w:r>
        <w:rPr>
          <w:rFonts w:ascii="Arial" w:eastAsia="Arial" w:hAnsi="Arial" w:cs="Arial"/>
          <w:b/>
          <w:color w:val="000000"/>
          <w:sz w:val="20"/>
        </w:rPr>
        <w:t>CONCURRENCE IN THE JUDGMENT</w:t>
      </w:r>
    </w:p>
    <w:p w14:paraId="2C35B7AA" w14:textId="77777777" w:rsidR="002D0E71" w:rsidRDefault="00000000">
      <w:pPr>
        <w:pStyle w:val="Normal5"/>
        <w:widowControl w:val="0"/>
        <w:spacing w:before="200" w:line="260" w:lineRule="atLeast"/>
        <w:jc w:val="both"/>
      </w:pPr>
      <w:bookmarkStart w:id="758" w:name="Bookmark_para_27_2"/>
      <w:bookmarkEnd w:id="758"/>
      <w:r>
        <w:rPr>
          <w:rFonts w:ascii="Arial" w:eastAsia="Arial" w:hAnsi="Arial" w:cs="Arial"/>
          <w:color w:val="000000"/>
          <w:sz w:val="20"/>
        </w:rPr>
        <w:t>GRIFFIN, Circuit Judge, concurring in the judgment. Plaintiff alleges that the American Bar Association (ABA) has monopolized the law school entrance exam market. As the entity that controls the accreditation of every law school in this country, the ABA compels every law school applicant to take a "valid and reliable" entrance exam, while at the same time conferring the "valid and reliable" label to one test, and one test only—the LSAT. Unfortunately, it appears that a portion of the LSAT is unfairly discriminatory toward the blind and visually impaired. That puts plaintiff and all other blind people seeking to attend law school at a distinct disadvantage, both while taking the test and while competing with other applicants [**24]  in the admissions process. Plaintiff has asked law schools to waive the requirement that he take the LSAT and submit his score as part of his application; they have refused, plaintiff claims, for fear the ABA would revoke their accreditation. This is the sum and substance of the allegations in plaintiff's complaint.</w:t>
      </w:r>
    </w:p>
    <w:p w14:paraId="23D3BC9E" w14:textId="77777777" w:rsidR="002D0E71" w:rsidRDefault="00000000">
      <w:pPr>
        <w:pStyle w:val="Normal5"/>
        <w:widowControl w:val="0"/>
        <w:spacing w:before="200" w:line="260" w:lineRule="atLeast"/>
        <w:jc w:val="both"/>
      </w:pPr>
      <w:bookmarkStart w:id="759" w:name="Bookmark_para_28_2"/>
      <w:bookmarkEnd w:id="759"/>
      <w:r>
        <w:rPr>
          <w:rFonts w:ascii="Arial" w:eastAsia="Arial" w:hAnsi="Arial" w:cs="Arial"/>
          <w:color w:val="000000"/>
          <w:sz w:val="20"/>
        </w:rPr>
        <w:t>Contrary to the majority's ruling, I conclude that taken together these allegations form the necessary elements of Article III standing for plaintiff's claims against the ABA. Being required to take an unfairly discriminatory exam and submit it as part of a law school application is a judicially cognizable injury; that injury is fairly traceable to the ABA, which compels, without exception, that law schools require applicants to submit that exam score; and that injury is likely to be redressed through a judicial decision holding the entity's requirement unlawful. Because the majority concludes otherwise, I respectfully disagree with Section II.A of the majority opinion.</w:t>
      </w:r>
    </w:p>
    <w:p w14:paraId="0CF7B44C" w14:textId="77777777" w:rsidR="002D0E71" w:rsidRDefault="00000000">
      <w:pPr>
        <w:pStyle w:val="Normal5"/>
        <w:widowControl w:val="0"/>
        <w:spacing w:before="200" w:line="260" w:lineRule="atLeast"/>
        <w:jc w:val="both"/>
      </w:pPr>
      <w:bookmarkStart w:id="760" w:name="Bookmark_para_29_2"/>
      <w:bookmarkEnd w:id="760"/>
      <w:r>
        <w:rPr>
          <w:rFonts w:ascii="Arial" w:eastAsia="Arial" w:hAnsi="Arial" w:cs="Arial"/>
          <w:color w:val="000000"/>
          <w:sz w:val="20"/>
        </w:rPr>
        <w:t>The standing issue aside, I agree with my colleagues that plaintiff's allegations do not state a claim for relief under Titles III and V of the Americans with Disabilities Act. Therefore, I join Section II.B [**25]  of the majority opinion and concur in the judgment.</w:t>
      </w:r>
    </w:p>
    <w:p w14:paraId="15CC723F" w14:textId="77777777" w:rsidR="002D0E71" w:rsidRDefault="00000000">
      <w:pPr>
        <w:pStyle w:val="Normal5"/>
        <w:widowControl w:val="0"/>
        <w:spacing w:before="120" w:line="260" w:lineRule="atLeast"/>
      </w:pPr>
      <w:r>
        <w:rPr>
          <w:rFonts w:ascii="Arial" w:eastAsia="Arial" w:hAnsi="Arial" w:cs="Arial"/>
          <w:color w:val="000000"/>
          <w:sz w:val="20"/>
        </w:rPr>
        <w:t>I.</w:t>
      </w:r>
    </w:p>
    <w:p w14:paraId="5F479BEC" w14:textId="77777777" w:rsidR="002D0E71" w:rsidRDefault="00000000">
      <w:pPr>
        <w:pStyle w:val="Normal5"/>
        <w:widowControl w:val="0"/>
        <w:spacing w:before="200" w:line="260" w:lineRule="atLeast"/>
        <w:jc w:val="both"/>
      </w:pPr>
      <w:bookmarkStart w:id="761" w:name="Bookmark_para_30_2"/>
      <w:bookmarkEnd w:id="761"/>
      <w:r>
        <w:rPr>
          <w:rFonts w:ascii="Arial" w:eastAsia="Arial" w:hAnsi="Arial" w:cs="Arial"/>
          <w:color w:val="000000"/>
          <w:sz w:val="20"/>
        </w:rPr>
        <w:t>The ABA governs the accreditation of law schools in this country. To become and remain accredited, law schools must comply with certain standards promulgated by the ABA. One of those standards is Standard 503. It states that "[a] law school shall require each applicant for admission as a first year J.D. student to take a valid and reliable admission test to assist the school and the applicant in assessing the applicant's capability of satisfactorily completing the school's educational program." According to the ABA, only one test is  [*350]  presumptively "valid and reliable" for purposes of Standard 503—the Law School Admission Test (LSAT). Law schools that wish to use a different test must persuade the ABA that it is "valid and reliable." However, that option (known as a "variance") is only available on a programmatic basis, not for individual applicants. Law schools are free to give whatever weight they choose to an individual applicant's LSAT score, but they are prohibited from waiving the examination requirement for any applicant. The net result of the ABA's standards is this: virtually every American law school—though they may give [**26]  whatever weight they choose to an individual's score—requires each applicant to submit an LSAT score as part of his or her application.</w:t>
      </w:r>
    </w:p>
    <w:p w14:paraId="5935A00C" w14:textId="77777777" w:rsidR="002D0E71" w:rsidRDefault="00000000">
      <w:pPr>
        <w:pStyle w:val="Normal5"/>
        <w:widowControl w:val="0"/>
        <w:spacing w:before="200" w:line="260" w:lineRule="atLeast"/>
        <w:jc w:val="both"/>
      </w:pPr>
      <w:bookmarkStart w:id="762" w:name="Bookmark_para_31_2"/>
      <w:bookmarkEnd w:id="762"/>
      <w:r>
        <w:rPr>
          <w:rFonts w:ascii="Arial" w:eastAsia="Arial" w:hAnsi="Arial" w:cs="Arial"/>
          <w:color w:val="000000"/>
          <w:sz w:val="20"/>
        </w:rPr>
        <w:t>The LSAT contains a significant number of questions that require spatial reasoning and encourage diagramming of visual concepts. As a blind person, plaintiff is unable to conceive of spatial relationships. He is therefore at a distinct disadvantage in taking this portion of the test. Plaintiff alleges that his experience answering these discriminatory questions also negatively affects his performance on the remainder of the exam. Plaintiff has applied to three law schools, but has been denied admission as a result of his poor LSAT performance. In at least one instance, he tried to obtain an LSAT waiver, but could not "as a result of Standard 503."</w:t>
      </w:r>
    </w:p>
    <w:p w14:paraId="7949DB1A" w14:textId="77777777" w:rsidR="002D0E71" w:rsidRDefault="00000000">
      <w:pPr>
        <w:pStyle w:val="Normal5"/>
        <w:widowControl w:val="0"/>
        <w:spacing w:before="200" w:line="260" w:lineRule="atLeast"/>
        <w:jc w:val="both"/>
      </w:pPr>
      <w:bookmarkStart w:id="763" w:name="Bookmark_para_32_2"/>
      <w:bookmarkEnd w:id="763"/>
      <w:r>
        <w:rPr>
          <w:rFonts w:ascii="Arial" w:eastAsia="Arial" w:hAnsi="Arial" w:cs="Arial"/>
          <w:color w:val="000000"/>
          <w:sz w:val="20"/>
        </w:rPr>
        <w:t>In response, plaintiff brought this action against the ABA, alleging that Standard 503's prohibition on individual exam waivers violates Titles III and V of the Americans with Disabilities Act (ADA), 42 U.S.C. §§ 12189 and 12203(b), respectively. The district court dismissed plaintiff's complaint on two alternative grounds: (1) failure to establish Article III standing, and (2) failure to state a claim for relief. I agree with the majority [**27]  that the district court properly dismissed plaintiff's complaint for failure to state a claim. However, for the reasons that follow, I cannot join its conclusion that plaintiff lacks standing.</w:t>
      </w:r>
    </w:p>
    <w:p w14:paraId="2167601F" w14:textId="77777777" w:rsidR="002D0E71" w:rsidRDefault="00000000">
      <w:pPr>
        <w:pStyle w:val="Normal5"/>
        <w:widowControl w:val="0"/>
        <w:spacing w:before="120" w:line="260" w:lineRule="atLeast"/>
      </w:pPr>
      <w:r>
        <w:rPr>
          <w:rFonts w:ascii="Arial" w:eastAsia="Arial" w:hAnsi="Arial" w:cs="Arial"/>
          <w:color w:val="000000"/>
          <w:sz w:val="20"/>
        </w:rPr>
        <w:t>II.</w:t>
      </w:r>
    </w:p>
    <w:p w14:paraId="15DF397D" w14:textId="77777777" w:rsidR="002D0E71" w:rsidRDefault="00000000">
      <w:pPr>
        <w:pStyle w:val="Normal5"/>
        <w:widowControl w:val="0"/>
        <w:spacing w:before="200" w:line="260" w:lineRule="atLeast"/>
        <w:jc w:val="both"/>
      </w:pPr>
      <w:bookmarkStart w:id="764" w:name="Bookmark_para_33_2"/>
      <w:bookmarkStart w:id="765" w:name="Bookmark_I0MVJR8MRS3000VXMY1000XR"/>
      <w:bookmarkStart w:id="766" w:name="Bookmark_I5K6ND522N1R8D0050000400"/>
      <w:bookmarkEnd w:id="764"/>
      <w:bookmarkEnd w:id="765"/>
      <w:bookmarkEnd w:id="766"/>
      <w:r>
        <w:rPr>
          <w:rFonts w:ascii="Arial" w:eastAsia="Arial" w:hAnsi="Arial" w:cs="Arial"/>
          <w:color w:val="000000"/>
          <w:sz w:val="20"/>
        </w:rPr>
        <w:t xml:space="preserve">The irreducible minimum of Article III standing has three elements. </w:t>
      </w:r>
      <w:bookmarkStart w:id="767" w:name="Bookmark_I0MVJR8MXVY000VXMY1000XS"/>
      <w:bookmarkStart w:id="768" w:name="Bookmark_I5K6ND5428T4NK0020000400"/>
      <w:bookmarkStart w:id="769" w:name="Bookmark_I5K6ND522N1R8D0040000400"/>
      <w:bookmarkEnd w:id="767"/>
      <w:bookmarkEnd w:id="768"/>
      <w:bookmarkEnd w:id="769"/>
      <w:r>
        <w:rPr>
          <w:rFonts w:ascii="Arial" w:eastAsia="Arial" w:hAnsi="Arial" w:cs="Arial"/>
          <w:i/>
          <w:color w:val="000000"/>
          <w:sz w:val="20"/>
        </w:rPr>
        <w:t>Lujan v. Defs. of Wildlife</w:t>
      </w:r>
      <w:r>
        <w:rPr>
          <w:rFonts w:ascii="Arial" w:eastAsia="Arial" w:hAnsi="Arial" w:cs="Arial"/>
          <w:color w:val="000000"/>
          <w:sz w:val="20"/>
        </w:rPr>
        <w:t xml:space="preserve">, 504 U.S. 555, 560, 112 S. Ct. 2130, 119 L. Ed. 2d 351 (1992). First, the plaintiff must have suffered a concrete and particularized injury-in-fact that is either actual or imminent, as opposed to conjectural or hypothetical. </w:t>
      </w:r>
      <w:bookmarkStart w:id="770" w:name="Bookmark_I5K6ND5428T4NK0020000400_2"/>
      <w:bookmarkStart w:id="771" w:name="Bookmark_I5K6ND5428T4NK0010000400"/>
      <w:bookmarkEnd w:id="770"/>
      <w:bookmarkEnd w:id="771"/>
      <w:r>
        <w:rPr>
          <w:rFonts w:ascii="Arial" w:eastAsia="Arial" w:hAnsi="Arial" w:cs="Arial"/>
          <w:i/>
          <w:color w:val="000000"/>
          <w:sz w:val="20"/>
        </w:rPr>
        <w:t>Fieger v. Michigan Supreme Court</w:t>
      </w:r>
      <w:r>
        <w:rPr>
          <w:rFonts w:ascii="Arial" w:eastAsia="Arial" w:hAnsi="Arial" w:cs="Arial"/>
          <w:color w:val="000000"/>
          <w:sz w:val="20"/>
        </w:rPr>
        <w:t xml:space="preserve">, 553 F.3d 955, 962 (6th Cir. 2009). Second, the plaintiff's injury must be "fairly traceable" to the challenged action of the defendant. </w:t>
      </w:r>
      <w:r>
        <w:rPr>
          <w:rFonts w:ascii="Arial" w:eastAsia="Arial" w:hAnsi="Arial" w:cs="Arial"/>
          <w:i/>
          <w:color w:val="000000"/>
          <w:sz w:val="20"/>
        </w:rPr>
        <w:t>Id.</w:t>
      </w:r>
      <w:r>
        <w:rPr>
          <w:rFonts w:ascii="Arial" w:eastAsia="Arial" w:hAnsi="Arial" w:cs="Arial"/>
          <w:color w:val="000000"/>
          <w:sz w:val="20"/>
        </w:rPr>
        <w:t xml:space="preserve"> And third, it must be likely, as opposed to merely speculative, that the injury will be redressed by a favorable decision. </w:t>
      </w:r>
      <w:r>
        <w:rPr>
          <w:rFonts w:ascii="Arial" w:eastAsia="Arial" w:hAnsi="Arial" w:cs="Arial"/>
          <w:i/>
          <w:color w:val="000000"/>
          <w:sz w:val="20"/>
        </w:rPr>
        <w:t>Id.</w:t>
      </w:r>
    </w:p>
    <w:p w14:paraId="2FAD3B0A" w14:textId="77777777" w:rsidR="002D0E71" w:rsidRDefault="00000000">
      <w:pPr>
        <w:pStyle w:val="Normal5"/>
        <w:widowControl w:val="0"/>
        <w:spacing w:before="200" w:line="260" w:lineRule="atLeast"/>
        <w:jc w:val="both"/>
      </w:pPr>
      <w:bookmarkStart w:id="772" w:name="Bookmark_para_34_2"/>
      <w:bookmarkStart w:id="773" w:name="Bookmark_I0MVJR8PG77000VXMY10047K"/>
      <w:bookmarkStart w:id="774" w:name="Bookmark_I0MVJR8PNB3000VXMY10047M"/>
      <w:bookmarkStart w:id="775" w:name="Bookmark_I0MVJR8PT57000VXMY100375"/>
      <w:bookmarkStart w:id="776" w:name="Bookmark_I5K6ND5428T4NK0040000400"/>
      <w:bookmarkEnd w:id="772"/>
      <w:bookmarkEnd w:id="773"/>
      <w:bookmarkEnd w:id="774"/>
      <w:bookmarkEnd w:id="775"/>
      <w:bookmarkEnd w:id="776"/>
      <w:r>
        <w:rPr>
          <w:rFonts w:ascii="Arial" w:eastAsia="Arial" w:hAnsi="Arial" w:cs="Arial"/>
          <w:color w:val="000000"/>
          <w:sz w:val="20"/>
        </w:rPr>
        <w:t xml:space="preserve">In evaluating plaintiff's standing at the pleading stage, we must confine ourselves to the four corners of the complaint, </w:t>
      </w:r>
      <w:bookmarkStart w:id="777" w:name="Bookmark_I5K6ND5428T4NK0030000400"/>
      <w:bookmarkEnd w:id="777"/>
      <w:r>
        <w:rPr>
          <w:rFonts w:ascii="Arial" w:eastAsia="Arial" w:hAnsi="Arial" w:cs="Arial"/>
          <w:i/>
          <w:color w:val="000000"/>
          <w:sz w:val="20"/>
        </w:rPr>
        <w:t>Parsons v. U.S. Dep't of Justice</w:t>
      </w:r>
      <w:r>
        <w:rPr>
          <w:rFonts w:ascii="Arial" w:eastAsia="Arial" w:hAnsi="Arial" w:cs="Arial"/>
          <w:color w:val="000000"/>
          <w:sz w:val="20"/>
        </w:rPr>
        <w:t xml:space="preserve">, 801 F.3d 701, 706 (6th Cir. 2015), we must accept as true all material allegations relating to the elements of standing, </w:t>
      </w:r>
      <w:bookmarkStart w:id="778" w:name="Bookmark_I5K6ND5428T4NK0050000400"/>
      <w:bookmarkEnd w:id="778"/>
      <w:r>
        <w:rPr>
          <w:rFonts w:ascii="Arial" w:eastAsia="Arial" w:hAnsi="Arial" w:cs="Arial"/>
          <w:i/>
          <w:color w:val="000000"/>
          <w:sz w:val="20"/>
        </w:rPr>
        <w:t>Kardules v. City of Columbus</w:t>
      </w:r>
      <w:r>
        <w:rPr>
          <w:rFonts w:ascii="Arial" w:eastAsia="Arial" w:hAnsi="Arial" w:cs="Arial"/>
          <w:color w:val="000000"/>
          <w:sz w:val="20"/>
        </w:rPr>
        <w:t xml:space="preserve">, 95 F.3d 1335, 1346 (6th Cir. 1996), and we must construe the complaint in plaintiff's favor, </w:t>
      </w:r>
      <w:bookmarkStart w:id="779" w:name="Bookmark_I5K6ND542HM6GV0020000400"/>
      <w:bookmarkEnd w:id="779"/>
      <w:r>
        <w:rPr>
          <w:rFonts w:ascii="Arial" w:eastAsia="Arial" w:hAnsi="Arial" w:cs="Arial"/>
          <w:i/>
          <w:color w:val="000000"/>
          <w:sz w:val="20"/>
        </w:rPr>
        <w:t>Warth v. Seldin</w:t>
      </w:r>
      <w:r>
        <w:rPr>
          <w:rFonts w:ascii="Arial" w:eastAsia="Arial" w:hAnsi="Arial" w:cs="Arial"/>
          <w:color w:val="000000"/>
          <w:sz w:val="20"/>
        </w:rPr>
        <w:t>, 422 U.S. 490, 501, 95 S. Ct. 2197, 45 L. Ed. 2d 343 (1975). My basic disagreement with the majority is that it fails to observe this standard of review and, in so doing, misapplies the second and third elements of standing.</w:t>
      </w:r>
    </w:p>
    <w:p w14:paraId="23BEC52D" w14:textId="77777777" w:rsidR="002D0E71" w:rsidRDefault="00000000">
      <w:pPr>
        <w:pStyle w:val="Normal5"/>
        <w:widowControl w:val="0"/>
        <w:spacing w:before="120" w:line="260" w:lineRule="atLeast"/>
      </w:pPr>
      <w:r>
        <w:rPr>
          <w:rFonts w:ascii="Arial" w:eastAsia="Arial" w:hAnsi="Arial" w:cs="Arial"/>
          <w:color w:val="000000"/>
          <w:sz w:val="20"/>
        </w:rPr>
        <w:t>A.</w:t>
      </w:r>
    </w:p>
    <w:p w14:paraId="689F2151" w14:textId="77777777" w:rsidR="002D0E71" w:rsidRDefault="00000000">
      <w:pPr>
        <w:pStyle w:val="Normal5"/>
        <w:widowControl w:val="0"/>
        <w:spacing w:before="200" w:line="260" w:lineRule="atLeast"/>
        <w:jc w:val="both"/>
      </w:pPr>
      <w:bookmarkStart w:id="780" w:name="Bookmark_para_35_2"/>
      <w:bookmarkStart w:id="781" w:name="Bookmark_I0MVJR8WHTH000VXMY1000Y7"/>
      <w:bookmarkStart w:id="782" w:name="Bookmark_I5K6ND542HM6GV0050000400"/>
      <w:bookmarkStart w:id="783" w:name="Bookmark_I0MVJR8PY0C000VXMY10047P"/>
      <w:bookmarkStart w:id="784" w:name="Bookmark_I5K6ND542D6MSX0020000400"/>
      <w:bookmarkEnd w:id="780"/>
      <w:bookmarkEnd w:id="781"/>
      <w:bookmarkEnd w:id="782"/>
      <w:bookmarkEnd w:id="783"/>
      <w:bookmarkEnd w:id="784"/>
      <w:r>
        <w:rPr>
          <w:rFonts w:ascii="Arial" w:eastAsia="Arial" w:hAnsi="Arial" w:cs="Arial"/>
          <w:color w:val="000000"/>
          <w:sz w:val="20"/>
        </w:rPr>
        <w:t xml:space="preserve">The injury-in-fact prong of the standing doctrine requires that a judicially cognizable harm have already [**28]  occurred or be likely to occur "imminently." </w:t>
      </w:r>
      <w:bookmarkStart w:id="785" w:name="Bookmark_I5K6ND542HM6GV0040000400"/>
      <w:bookmarkEnd w:id="785"/>
      <w:r>
        <w:rPr>
          <w:rFonts w:ascii="Arial" w:eastAsia="Arial" w:hAnsi="Arial" w:cs="Arial"/>
          <w:i/>
          <w:color w:val="000000"/>
          <w:sz w:val="20"/>
        </w:rPr>
        <w:t>Parsons</w:t>
      </w:r>
      <w:r>
        <w:rPr>
          <w:rFonts w:ascii="Arial" w:eastAsia="Arial" w:hAnsi="Arial" w:cs="Arial"/>
          <w:color w:val="000000"/>
          <w:sz w:val="20"/>
        </w:rPr>
        <w:t xml:space="preserve">, 801 F.3d 710. "At the pleading stage, general factual allegations of injury resulting from the defendant's conduct may suffice,  [*351]  for on a motion to dismiss we presume that general allegations embrace those specific facts that are necessary to support the claim." </w:t>
      </w:r>
      <w:bookmarkStart w:id="786" w:name="Bookmark_I5K6ND542D6MSX0010000400"/>
      <w:bookmarkEnd w:id="786"/>
      <w:r>
        <w:rPr>
          <w:rFonts w:ascii="Arial" w:eastAsia="Arial" w:hAnsi="Arial" w:cs="Arial"/>
          <w:i/>
          <w:color w:val="000000"/>
          <w:sz w:val="20"/>
        </w:rPr>
        <w:t>Defs. of Wildlife</w:t>
      </w:r>
      <w:r>
        <w:rPr>
          <w:rFonts w:ascii="Arial" w:eastAsia="Arial" w:hAnsi="Arial" w:cs="Arial"/>
          <w:color w:val="000000"/>
          <w:sz w:val="20"/>
        </w:rPr>
        <w:t>, 504 U.S. at 561 (internal quotation marks and brackets omitted).</w:t>
      </w:r>
    </w:p>
    <w:p w14:paraId="3BCE15B0" w14:textId="77777777" w:rsidR="002D0E71" w:rsidRDefault="00000000">
      <w:pPr>
        <w:pStyle w:val="Normal5"/>
        <w:widowControl w:val="0"/>
        <w:spacing w:before="200" w:line="260" w:lineRule="atLeast"/>
        <w:jc w:val="both"/>
      </w:pPr>
      <w:bookmarkStart w:id="787" w:name="Bookmark_para_36_2"/>
      <w:bookmarkEnd w:id="787"/>
      <w:r>
        <w:rPr>
          <w:rFonts w:ascii="Arial" w:eastAsia="Arial" w:hAnsi="Arial" w:cs="Arial"/>
          <w:color w:val="000000"/>
          <w:sz w:val="20"/>
        </w:rPr>
        <w:t xml:space="preserve">Plaintiff's legal theory is that the ABA discriminates against blind law school applicants by compelling law schools to require all applicants submit an LSAT score, without the option of waiving the requirement for certain individual applicants. </w:t>
      </w:r>
      <w:bookmarkStart w:id="788" w:name="Bookmark_I0MVJR8R437000VXMY10047R"/>
      <w:bookmarkStart w:id="789" w:name="Bookmark_I0MVJR8R7XC000VXMY100377"/>
      <w:bookmarkStart w:id="790" w:name="Bookmark_I5K6ND542D6MSX0040000400"/>
      <w:bookmarkEnd w:id="788"/>
      <w:bookmarkEnd w:id="789"/>
      <w:bookmarkEnd w:id="790"/>
      <w:r>
        <w:rPr>
          <w:rFonts w:ascii="Arial" w:eastAsia="Arial" w:hAnsi="Arial" w:cs="Arial"/>
          <w:color w:val="000000"/>
          <w:sz w:val="20"/>
        </w:rPr>
        <w:t xml:space="preserve">Plaintiff alleges that he is harmed by having to sit through a discriminatory examination and by having to submit the results as part of his law school application. These are particularized injuries judicially cognizable under our standing jurisprudence. </w:t>
      </w:r>
      <w:bookmarkStart w:id="791" w:name="Bookmark_I71FBS5C7TW00002PHK0039S"/>
      <w:bookmarkStart w:id="792" w:name="Bookmark_I71FBS5CGSS00002PHK0039V"/>
      <w:bookmarkStart w:id="793" w:name="Bookmark_I5K6ND542N1R8R0030000400"/>
      <w:bookmarkEnd w:id="791"/>
      <w:bookmarkEnd w:id="792"/>
      <w:bookmarkEnd w:id="793"/>
      <w:r>
        <w:rPr>
          <w:rFonts w:ascii="Arial" w:eastAsia="Arial" w:hAnsi="Arial" w:cs="Arial"/>
          <w:i/>
          <w:color w:val="000000"/>
          <w:sz w:val="20"/>
        </w:rPr>
        <w:t xml:space="preserve">See, e.g., </w:t>
      </w:r>
      <w:bookmarkStart w:id="794" w:name="Bookmark_I5K6ND542D6MSX0030000400"/>
      <w:bookmarkEnd w:id="794"/>
      <w:r>
        <w:rPr>
          <w:rFonts w:ascii="Arial" w:eastAsia="Arial" w:hAnsi="Arial" w:cs="Arial"/>
          <w:i/>
          <w:color w:val="000000"/>
          <w:sz w:val="20"/>
        </w:rPr>
        <w:t>Gratz v. Bollinger</w:t>
      </w:r>
      <w:r>
        <w:rPr>
          <w:rFonts w:ascii="Arial" w:eastAsia="Arial" w:hAnsi="Arial" w:cs="Arial"/>
          <w:color w:val="000000"/>
          <w:sz w:val="20"/>
        </w:rPr>
        <w:t xml:space="preserve">, 539 U.S. 244, 262, 123 S. Ct. 2411, 156 L. Ed. 2d 257 (2003) (inability to compete on equal footing with other applicants a cognizable injury-in-fact); </w:t>
      </w:r>
      <w:bookmarkStart w:id="795" w:name="Bookmark_I5K6ND542D6MSX0050000400"/>
      <w:bookmarkEnd w:id="795"/>
      <w:r>
        <w:rPr>
          <w:rFonts w:ascii="Arial" w:eastAsia="Arial" w:hAnsi="Arial" w:cs="Arial"/>
          <w:i/>
          <w:color w:val="000000"/>
          <w:sz w:val="20"/>
        </w:rPr>
        <w:t>Allen v. Wright</w:t>
      </w:r>
      <w:r>
        <w:rPr>
          <w:rFonts w:ascii="Arial" w:eastAsia="Arial" w:hAnsi="Arial" w:cs="Arial"/>
          <w:color w:val="000000"/>
          <w:sz w:val="20"/>
        </w:rPr>
        <w:t xml:space="preserve">, 468 U.S. 737, 757 n.22, 104 S. Ct. 3315, 82 L. Ed. 2d 556 (1984) ("[S]tigmatic injury . . . is judicially cognizable to the extent that [the plaintiff is] personally subject to discriminatory treatment."). </w:t>
      </w:r>
      <w:bookmarkStart w:id="796" w:name="Bookmark_I5K6ND542N1R8R0030000400_2"/>
      <w:bookmarkEnd w:id="796"/>
      <w:r>
        <w:rPr>
          <w:rFonts w:ascii="Arial" w:eastAsia="Arial" w:hAnsi="Arial" w:cs="Arial"/>
          <w:color w:val="000000"/>
          <w:sz w:val="20"/>
        </w:rPr>
        <w:t xml:space="preserve">Plaintiff also alleges that he wishes to reapply to law school free of the requirement that he submit an LSAT score, thereby [**29]  establishing an "imminent" harm for purposes of seeking prospective relief. </w:t>
      </w:r>
      <w:r>
        <w:rPr>
          <w:rFonts w:ascii="Arial" w:eastAsia="Arial" w:hAnsi="Arial" w:cs="Arial"/>
          <w:i/>
          <w:color w:val="000000"/>
          <w:sz w:val="20"/>
        </w:rPr>
        <w:t xml:space="preserve">See </w:t>
      </w:r>
      <w:bookmarkStart w:id="797" w:name="Bookmark_I5K6ND542N1R8R0020000400"/>
      <w:bookmarkEnd w:id="797"/>
      <w:r>
        <w:rPr>
          <w:rFonts w:ascii="Arial" w:eastAsia="Arial" w:hAnsi="Arial" w:cs="Arial"/>
          <w:i/>
          <w:color w:val="000000"/>
          <w:sz w:val="20"/>
        </w:rPr>
        <w:t>Gratz</w:t>
      </w:r>
      <w:r>
        <w:rPr>
          <w:rFonts w:ascii="Arial" w:eastAsia="Arial" w:hAnsi="Arial" w:cs="Arial"/>
          <w:color w:val="000000"/>
          <w:sz w:val="20"/>
        </w:rPr>
        <w:t xml:space="preserve">, 539 U.S. at 262 (holding that allegation that applicant is "able and ready" to reapply is sufficient to establish standing to seek prospective relief); </w:t>
      </w:r>
      <w:bookmarkStart w:id="798" w:name="Bookmark_I5K6ND542N1R8R0040000400"/>
      <w:bookmarkEnd w:id="798"/>
      <w:r>
        <w:rPr>
          <w:rFonts w:ascii="Arial" w:eastAsia="Arial" w:hAnsi="Arial" w:cs="Arial"/>
          <w:i/>
          <w:color w:val="000000"/>
          <w:sz w:val="20"/>
        </w:rPr>
        <w:t>Friends of the Earth, Inc. v. Laidlaw Envtl. Servs. (TOC), Inc.</w:t>
      </w:r>
      <w:r>
        <w:rPr>
          <w:rFonts w:ascii="Arial" w:eastAsia="Arial" w:hAnsi="Arial" w:cs="Arial"/>
          <w:color w:val="000000"/>
          <w:sz w:val="20"/>
        </w:rPr>
        <w:t>, 528 U.S. 167, 184, 120 S. Ct. 693, 145 L. Ed. 2d 610 (2000) (rejecting the proposition that the plaintiff's conditional averments were "speculative 'some day' intentions"). Therefore, as the majority appears to agree, plaintiff has satisfied the first element of standing.</w:t>
      </w:r>
    </w:p>
    <w:p w14:paraId="6C22E50A" w14:textId="77777777" w:rsidR="002D0E71" w:rsidRDefault="00000000">
      <w:pPr>
        <w:pStyle w:val="Normal5"/>
        <w:widowControl w:val="0"/>
        <w:spacing w:before="120" w:line="260" w:lineRule="atLeast"/>
      </w:pPr>
      <w:r>
        <w:rPr>
          <w:rFonts w:ascii="Arial" w:eastAsia="Arial" w:hAnsi="Arial" w:cs="Arial"/>
          <w:color w:val="000000"/>
          <w:sz w:val="20"/>
        </w:rPr>
        <w:t>B.</w:t>
      </w:r>
    </w:p>
    <w:p w14:paraId="11B9A440" w14:textId="77777777" w:rsidR="002D0E71" w:rsidRDefault="00000000">
      <w:pPr>
        <w:pStyle w:val="Normal5"/>
        <w:widowControl w:val="0"/>
        <w:spacing w:before="200" w:line="260" w:lineRule="atLeast"/>
        <w:jc w:val="both"/>
      </w:pPr>
      <w:bookmarkStart w:id="799" w:name="Bookmark_para_37_2"/>
      <w:bookmarkStart w:id="800" w:name="Bookmark_I0MVJR8RY23000VXMY10047Y"/>
      <w:bookmarkStart w:id="801" w:name="Bookmark_I5K6ND542SF8340020000400"/>
      <w:bookmarkStart w:id="802" w:name="Bookmark_I0MVJR8S44Y000VXMY100480"/>
      <w:bookmarkStart w:id="803" w:name="Bookmark_I5K6ND542SF8340040000400"/>
      <w:bookmarkEnd w:id="799"/>
      <w:bookmarkEnd w:id="800"/>
      <w:bookmarkEnd w:id="801"/>
      <w:bookmarkEnd w:id="802"/>
      <w:bookmarkEnd w:id="803"/>
      <w:r>
        <w:rPr>
          <w:rFonts w:ascii="Arial" w:eastAsia="Arial" w:hAnsi="Arial" w:cs="Arial"/>
          <w:color w:val="000000"/>
          <w:sz w:val="20"/>
        </w:rPr>
        <w:t xml:space="preserve">The second element of standing—the so-called "causation" element—requires a plaintiff to show that his injury is "fairly traceable" to the defendant's challenged action. </w:t>
      </w:r>
      <w:bookmarkStart w:id="804" w:name="Bookmark_I5K6ND542SF8340010000400"/>
      <w:bookmarkEnd w:id="804"/>
      <w:r>
        <w:rPr>
          <w:rFonts w:ascii="Arial" w:eastAsia="Arial" w:hAnsi="Arial" w:cs="Arial"/>
          <w:i/>
          <w:color w:val="000000"/>
          <w:sz w:val="20"/>
        </w:rPr>
        <w:t>Fieger</w:t>
      </w:r>
      <w:r>
        <w:rPr>
          <w:rFonts w:ascii="Arial" w:eastAsia="Arial" w:hAnsi="Arial" w:cs="Arial"/>
          <w:color w:val="000000"/>
          <w:sz w:val="20"/>
        </w:rPr>
        <w:t xml:space="preserve">, 553 F.3d at 962. In cases in which a plaintiff is harmed by the regulation of a third party, where causation will "hinge on the response of the regulated (or regulable) third party," he or she must "adduce facts showing that those choices have been or will be made in such manner as to produce causation . . . ." </w:t>
      </w:r>
      <w:bookmarkStart w:id="805" w:name="Bookmark_I5K6ND542SF8340030000400"/>
      <w:bookmarkEnd w:id="805"/>
      <w:r>
        <w:rPr>
          <w:rFonts w:ascii="Arial" w:eastAsia="Arial" w:hAnsi="Arial" w:cs="Arial"/>
          <w:i/>
          <w:color w:val="000000"/>
          <w:sz w:val="20"/>
        </w:rPr>
        <w:t>Defs. of Wildlife</w:t>
      </w:r>
      <w:r>
        <w:rPr>
          <w:rFonts w:ascii="Arial" w:eastAsia="Arial" w:hAnsi="Arial" w:cs="Arial"/>
          <w:color w:val="000000"/>
          <w:sz w:val="20"/>
        </w:rPr>
        <w:t>, 504 U.S. at 562.</w:t>
      </w:r>
    </w:p>
    <w:p w14:paraId="19DEE938" w14:textId="77777777" w:rsidR="002D0E71" w:rsidRDefault="00000000">
      <w:pPr>
        <w:pStyle w:val="Normal5"/>
        <w:widowControl w:val="0"/>
        <w:spacing w:before="200" w:line="260" w:lineRule="atLeast"/>
        <w:jc w:val="both"/>
      </w:pPr>
      <w:bookmarkStart w:id="806" w:name="Bookmark_para_38_1"/>
      <w:bookmarkEnd w:id="806"/>
      <w:r>
        <w:rPr>
          <w:rFonts w:ascii="Arial" w:eastAsia="Arial" w:hAnsi="Arial" w:cs="Arial"/>
          <w:color w:val="000000"/>
          <w:sz w:val="20"/>
        </w:rPr>
        <w:t>Plaintiff's two-fold injury is that he must sit through a discriminatory test and must apply to law schools at a competitive disadvantage because he is required to submit the results of a test that is inherently discriminatory toward blind people. In order to establish that these injuries are traceable [**30]  to the ABA, plaintiff's complaint must allege that he requested an LSAT waiver from a law school, but that the school denied his request because of Standard 503. Paragraph 25 of his complaint does just that:</w:t>
      </w:r>
    </w:p>
    <w:p w14:paraId="17A5C524" w14:textId="77777777" w:rsidR="002D0E71" w:rsidRDefault="00000000">
      <w:pPr>
        <w:pStyle w:val="Normal5"/>
        <w:widowControl w:val="0"/>
        <w:spacing w:line="260" w:lineRule="atLeast"/>
        <w:ind w:left="400"/>
        <w:jc w:val="both"/>
      </w:pPr>
      <w:bookmarkStart w:id="807" w:name="Bookmark_para_39_1"/>
      <w:bookmarkEnd w:id="807"/>
      <w:r>
        <w:rPr>
          <w:rFonts w:ascii="Arial" w:eastAsia="Arial" w:hAnsi="Arial" w:cs="Arial"/>
          <w:color w:val="000000"/>
          <w:sz w:val="20"/>
        </w:rPr>
        <w:t>Plaintiff has endeavored in the past to obtain an LSAT waiver from one or more law schools to which he has applied but to date has been unable to secure a waiver as a result of Standard 503 promulgated by the American Bar Association.</w:t>
      </w:r>
    </w:p>
    <w:p w14:paraId="4D88A79B" w14:textId="77777777" w:rsidR="002D0E71" w:rsidRDefault="00000000">
      <w:pPr>
        <w:pStyle w:val="Normal5"/>
        <w:widowControl w:val="0"/>
        <w:spacing w:line="260" w:lineRule="atLeast"/>
        <w:jc w:val="both"/>
      </w:pPr>
      <w:r>
        <w:rPr>
          <w:rFonts w:ascii="Arial" w:eastAsia="Arial" w:hAnsi="Arial" w:cs="Arial"/>
          <w:color w:val="000000"/>
          <w:sz w:val="20"/>
        </w:rPr>
        <w:t>Even more to the point, Paragraph 27 alleges:</w:t>
      </w:r>
    </w:p>
    <w:p w14:paraId="0E92C1A0" w14:textId="77777777" w:rsidR="002D0E71" w:rsidRDefault="00000000">
      <w:pPr>
        <w:pStyle w:val="Normal5"/>
        <w:widowControl w:val="0"/>
        <w:spacing w:line="260" w:lineRule="atLeast"/>
        <w:ind w:left="400"/>
        <w:jc w:val="both"/>
      </w:pPr>
      <w:bookmarkStart w:id="808" w:name="Bookmark_para_40_1"/>
      <w:bookmarkEnd w:id="808"/>
      <w:r>
        <w:rPr>
          <w:rFonts w:ascii="Arial" w:eastAsia="Arial" w:hAnsi="Arial" w:cs="Arial"/>
          <w:color w:val="000000"/>
          <w:sz w:val="20"/>
        </w:rPr>
        <w:t>As a direct and proximate result of the Defendant's actions in implementing Standard 503, the Plaintiff is unable to request a reasonable accommodation in the form of an LSAT exemption or waiver, and instead will continue to be damaged by the Defendant's requirement that he take a discriminatory exam.</w:t>
      </w:r>
    </w:p>
    <w:p w14:paraId="2F1AC236" w14:textId="77777777" w:rsidR="002D0E71" w:rsidRDefault="00000000">
      <w:pPr>
        <w:pStyle w:val="Normal5"/>
        <w:widowControl w:val="0"/>
        <w:spacing w:before="200" w:line="260" w:lineRule="atLeast"/>
        <w:jc w:val="both"/>
      </w:pPr>
      <w:r>
        <w:rPr>
          <w:rFonts w:ascii="Arial" w:eastAsia="Arial" w:hAnsi="Arial" w:cs="Arial"/>
          <w:color w:val="000000"/>
          <w:sz w:val="20"/>
        </w:rPr>
        <w:t>These allegations are more than sufficient to satisfy the second element of the standing  [*352]  inquiry, as they draw a connection between plaintiff's injury—being required to take a discriminatory exam and submit the results as part of his application—and defendant's challenged conduct—Standard 503's rigid requirement that law schools require each applicant to submit an LSAT score or else face sanctions or loss of [**31]  accreditation.</w:t>
      </w:r>
    </w:p>
    <w:p w14:paraId="3099561A" w14:textId="77777777" w:rsidR="002D0E71" w:rsidRDefault="00000000">
      <w:pPr>
        <w:pStyle w:val="Normal5"/>
        <w:widowControl w:val="0"/>
        <w:spacing w:before="200" w:line="260" w:lineRule="atLeast"/>
        <w:jc w:val="both"/>
      </w:pPr>
      <w:bookmarkStart w:id="809" w:name="Bookmark_para_41_1"/>
      <w:bookmarkEnd w:id="809"/>
      <w:r>
        <w:rPr>
          <w:rFonts w:ascii="Arial" w:eastAsia="Arial" w:hAnsi="Arial" w:cs="Arial"/>
          <w:color w:val="000000"/>
          <w:sz w:val="20"/>
        </w:rPr>
        <w:t>The ABA counters that, because Standard 503 refers only to "a valid and reliable test," it does not compel any law school to require the LSAT, per se. This is sophistry. The ABA's own Interpretation 503-1 confers presumptive validity and reliability to the LSAT only, and it requires schools to prove the efficacy of any alternative test. Moreover, to use an alternative test, law schools must seek a "variance," which is only available on a programmatic basis. Thus, for purposes of plaintiff's claim regarding individual waivers, Standard 503 effectively compels law schools to require the LSAT.</w:t>
      </w:r>
    </w:p>
    <w:p w14:paraId="0588FE0A" w14:textId="77777777" w:rsidR="002D0E71" w:rsidRDefault="00000000">
      <w:pPr>
        <w:pStyle w:val="Normal5"/>
        <w:widowControl w:val="0"/>
        <w:spacing w:before="200" w:line="260" w:lineRule="atLeast"/>
        <w:jc w:val="both"/>
      </w:pPr>
      <w:bookmarkStart w:id="810" w:name="Bookmark_para_42_1"/>
      <w:bookmarkEnd w:id="810"/>
      <w:r>
        <w:rPr>
          <w:rFonts w:ascii="Arial" w:eastAsia="Arial" w:hAnsi="Arial" w:cs="Arial"/>
          <w:color w:val="000000"/>
          <w:sz w:val="20"/>
        </w:rPr>
        <w:t xml:space="preserve">The ABA also argues that Standard 503 does not dictate how much weight law schools must give to an applicant's LSAT score, and therefore law schools can give it no weight at all, amounting to a </w:t>
      </w:r>
      <w:r>
        <w:rPr>
          <w:rFonts w:ascii="Arial" w:eastAsia="Arial" w:hAnsi="Arial" w:cs="Arial"/>
          <w:i/>
          <w:color w:val="000000"/>
          <w:sz w:val="20"/>
        </w:rPr>
        <w:t>de facto</w:t>
      </w:r>
      <w:r>
        <w:rPr>
          <w:rFonts w:ascii="Arial" w:eastAsia="Arial" w:hAnsi="Arial" w:cs="Arial"/>
          <w:color w:val="000000"/>
          <w:sz w:val="20"/>
        </w:rPr>
        <w:t xml:space="preserve"> individual waiver. This misperceives plaintiff's injury, which is being required to take the LSAT in the first place. Furthermore, plaintiff is still at a competitive disadvantage in having to submit his results, as law schools are required to report each admitted applicant's score, regardless of the weight attributed to it, for purposes of admissions statistics and rankings.</w:t>
      </w:r>
    </w:p>
    <w:p w14:paraId="738669E5" w14:textId="77777777" w:rsidR="002D0E71" w:rsidRDefault="00000000">
      <w:pPr>
        <w:pStyle w:val="Normal5"/>
        <w:widowControl w:val="0"/>
        <w:spacing w:before="200" w:line="260" w:lineRule="atLeast"/>
        <w:jc w:val="both"/>
      </w:pPr>
      <w:bookmarkStart w:id="811" w:name="Bookmark_para_43_1"/>
      <w:bookmarkEnd w:id="811"/>
      <w:r>
        <w:rPr>
          <w:rFonts w:ascii="Arial" w:eastAsia="Arial" w:hAnsi="Arial" w:cs="Arial"/>
          <w:color w:val="000000"/>
          <w:sz w:val="20"/>
        </w:rPr>
        <w:t xml:space="preserve">The majority [**32]  takes a tack similar to the ABA. It reasons that plaintiff cannot establish causation against the ABA because his injuries are more attributable to the law schools and the creator of the LSAT, the Law School Admission Council (LSAC). </w:t>
      </w:r>
      <w:bookmarkStart w:id="812" w:name="Bookmark_I0MVJR8S803000VXMY100481"/>
      <w:bookmarkStart w:id="813" w:name="Bookmark_I5K6ND542SF8350010000400"/>
      <w:bookmarkEnd w:id="812"/>
      <w:bookmarkEnd w:id="813"/>
      <w:r>
        <w:rPr>
          <w:rFonts w:ascii="Arial" w:eastAsia="Arial" w:hAnsi="Arial" w:cs="Arial"/>
          <w:color w:val="000000"/>
          <w:sz w:val="20"/>
        </w:rPr>
        <w:t xml:space="preserve">It is certainly true that the LSAC and law schools play a role in plaintiff's admission process. But standing is not a zerosum game. Nor is it limited to the first link in the chain of causation. </w:t>
      </w:r>
      <w:bookmarkStart w:id="814" w:name="Bookmark_I5K6ND542SF8340050000400"/>
      <w:bookmarkEnd w:id="814"/>
      <w:r>
        <w:rPr>
          <w:rFonts w:ascii="Arial" w:eastAsia="Arial" w:hAnsi="Arial" w:cs="Arial"/>
          <w:i/>
          <w:color w:val="000000"/>
          <w:sz w:val="20"/>
        </w:rPr>
        <w:t>Lexmark Int'l, Inc. v. Static Control Components, Inc.</w:t>
      </w:r>
      <w:r>
        <w:rPr>
          <w:rFonts w:ascii="Arial" w:eastAsia="Arial" w:hAnsi="Arial" w:cs="Arial"/>
          <w:color w:val="000000"/>
          <w:sz w:val="20"/>
        </w:rPr>
        <w:t>, 134 S. Ct. 1377, 1391 n.6, 188 L. Ed. 2d 392 (2014) (stating that standing is not a question of proximate cause). The ABA may not be solely responsible for plaintiff's injuries, but constitutional standing requires only that an injury be "fairly traceable," not "solely traceable," to the defendant's challenged action.</w:t>
      </w:r>
    </w:p>
    <w:p w14:paraId="0699731A" w14:textId="77777777" w:rsidR="002D0E71" w:rsidRDefault="00000000">
      <w:pPr>
        <w:pStyle w:val="Normal5"/>
        <w:widowControl w:val="0"/>
        <w:spacing w:before="200" w:line="260" w:lineRule="atLeast"/>
        <w:jc w:val="both"/>
      </w:pPr>
      <w:bookmarkStart w:id="815" w:name="Bookmark_para_44_0"/>
      <w:bookmarkStart w:id="816" w:name="Bookmark_I0MVJR8SCT7000VXMY10037F"/>
      <w:bookmarkStart w:id="817" w:name="Bookmark_I5K6ND542SF8350030000400"/>
      <w:bookmarkEnd w:id="815"/>
      <w:bookmarkEnd w:id="816"/>
      <w:bookmarkEnd w:id="817"/>
      <w:r>
        <w:rPr>
          <w:rFonts w:ascii="Arial" w:eastAsia="Arial" w:hAnsi="Arial" w:cs="Arial"/>
          <w:color w:val="000000"/>
          <w:sz w:val="20"/>
        </w:rPr>
        <w:t xml:space="preserve">The majority's "solely traceable" approach to causation is out of sync with our standing jurisprudence. </w:t>
      </w:r>
      <w:bookmarkStart w:id="818" w:name="Bookmark_I0MVJR8SM5T000VXMY10037G"/>
      <w:bookmarkStart w:id="819" w:name="Bookmark_I5K6ND542SF8350050000400"/>
      <w:bookmarkEnd w:id="818"/>
      <w:bookmarkEnd w:id="819"/>
      <w:r>
        <w:rPr>
          <w:rFonts w:ascii="Arial" w:eastAsia="Arial" w:hAnsi="Arial" w:cs="Arial"/>
          <w:color w:val="000000"/>
          <w:sz w:val="20"/>
        </w:rPr>
        <w:t xml:space="preserve">Perhaps the starkest example of this incongruity is our recent decision in </w:t>
      </w:r>
      <w:bookmarkStart w:id="820" w:name="Bookmark_I5K6ND542SF8350020000400"/>
      <w:bookmarkEnd w:id="820"/>
      <w:r>
        <w:rPr>
          <w:rFonts w:ascii="Arial" w:eastAsia="Arial" w:hAnsi="Arial" w:cs="Arial"/>
          <w:i/>
          <w:color w:val="000000"/>
          <w:sz w:val="20"/>
        </w:rPr>
        <w:t>Parsons</w:t>
      </w:r>
      <w:r>
        <w:rPr>
          <w:rFonts w:ascii="Arial" w:eastAsia="Arial" w:hAnsi="Arial" w:cs="Arial"/>
          <w:color w:val="000000"/>
          <w:sz w:val="20"/>
        </w:rPr>
        <w:t xml:space="preserve">, 801 F.3d 701. In that case, a group of plaintiffs challenged the Department of Justice's (DOJ's) designation of them as a "hybrid gang" in a report disseminated to local law enforcement agencies. </w:t>
      </w:r>
      <w:bookmarkStart w:id="821" w:name="Bookmark_I5K6ND542SF8350050000400_2"/>
      <w:bookmarkStart w:id="822" w:name="Bookmark_I0MVJR8SWV3000VXMY100485"/>
      <w:bookmarkStart w:id="823" w:name="Bookmark_I5K6ND5428T4NM0020000400"/>
      <w:bookmarkStart w:id="824" w:name="Bookmark_I5K6ND542SF8350040000400"/>
      <w:bookmarkEnd w:id="821"/>
      <w:bookmarkEnd w:id="822"/>
      <w:bookmarkEnd w:id="823"/>
      <w:bookmarkEnd w:id="824"/>
      <w:r>
        <w:rPr>
          <w:rFonts w:ascii="Arial" w:eastAsia="Arial" w:hAnsi="Arial" w:cs="Arial"/>
          <w:i/>
          <w:color w:val="000000"/>
          <w:sz w:val="20"/>
        </w:rPr>
        <w:t>Id.</w:t>
      </w:r>
      <w:r>
        <w:rPr>
          <w:rFonts w:ascii="Arial" w:eastAsia="Arial" w:hAnsi="Arial" w:cs="Arial"/>
          <w:color w:val="000000"/>
          <w:sz w:val="20"/>
        </w:rPr>
        <w:t xml:space="preserve"> at 707. </w:t>
      </w:r>
      <w:bookmarkStart w:id="825" w:name="Bookmark_I5K6ND5428T4NM0020000400_2"/>
      <w:bookmarkEnd w:id="825"/>
      <w:r>
        <w:rPr>
          <w:rFonts w:ascii="Arial" w:eastAsia="Arial" w:hAnsi="Arial" w:cs="Arial"/>
          <w:color w:val="000000"/>
          <w:sz w:val="20"/>
        </w:rPr>
        <w:t xml:space="preserve">The plaintiffs sued the DOJ, alleging that local law enforcement interfered with their constitutional rights in the wake of the DOJ's designation. [**33]  The district court dismissed the case for lack of standing, holding that plaintiffs could not establish causation because the local law enforcement officials "exercised independent judgment in committing the alleged injuries." </w:t>
      </w:r>
      <w:bookmarkStart w:id="826" w:name="Bookmark_I5K6ND5428T4NM0010000400"/>
      <w:bookmarkEnd w:id="826"/>
      <w:r>
        <w:rPr>
          <w:rFonts w:ascii="Arial" w:eastAsia="Arial" w:hAnsi="Arial" w:cs="Arial"/>
          <w:i/>
          <w:color w:val="000000"/>
          <w:sz w:val="20"/>
        </w:rPr>
        <w:t>Id.</w:t>
      </w:r>
      <w:r>
        <w:rPr>
          <w:rFonts w:ascii="Arial" w:eastAsia="Arial" w:hAnsi="Arial" w:cs="Arial"/>
          <w:color w:val="000000"/>
          <w:sz w:val="20"/>
        </w:rPr>
        <w:t xml:space="preserve"> at 713. </w:t>
      </w:r>
      <w:bookmarkStart w:id="827" w:name="Bookmark_I0MVJR8T6S3000VXMY100487"/>
      <w:bookmarkStart w:id="828" w:name="Bookmark_I5K6ND5428T4NM0040000400"/>
      <w:bookmarkEnd w:id="827"/>
      <w:bookmarkEnd w:id="828"/>
      <w:r>
        <w:rPr>
          <w:rFonts w:ascii="Arial" w:eastAsia="Arial" w:hAnsi="Arial" w:cs="Arial"/>
          <w:color w:val="000000"/>
          <w:sz w:val="20"/>
        </w:rPr>
        <w:t xml:space="preserve">This court reversed. We observed that the plaintiffs had alleged that local law enforcement officials took adverse actions against them "based on" the DOJ's designation. </w:t>
      </w:r>
      <w:bookmarkStart w:id="829" w:name="Bookmark_I0MVJR8TBK7000VXMY1000XW"/>
      <w:bookmarkStart w:id="830" w:name="Bookmark_I5K6ND542D6MSY0010000400"/>
      <w:bookmarkStart w:id="831" w:name="Bookmark_I5K6ND5428T4NM0030000400"/>
      <w:bookmarkEnd w:id="829"/>
      <w:bookmarkEnd w:id="830"/>
      <w:bookmarkEnd w:id="831"/>
      <w:r>
        <w:rPr>
          <w:rFonts w:ascii="Arial" w:eastAsia="Arial" w:hAnsi="Arial" w:cs="Arial"/>
          <w:i/>
          <w:color w:val="000000"/>
          <w:sz w:val="20"/>
        </w:rPr>
        <w:t>Id.</w:t>
      </w:r>
      <w:r>
        <w:rPr>
          <w:rFonts w:ascii="Arial" w:eastAsia="Arial" w:hAnsi="Arial" w:cs="Arial"/>
          <w:color w:val="000000"/>
          <w:sz w:val="20"/>
        </w:rPr>
        <w:t xml:space="preserve"> at 713-14. </w:t>
      </w:r>
      <w:bookmarkStart w:id="832" w:name="Bookmark_I5K6ND542D6MSY0010000400_2"/>
      <w:bookmarkEnd w:id="832"/>
      <w:r>
        <w:rPr>
          <w:rFonts w:ascii="Arial" w:eastAsia="Arial" w:hAnsi="Arial" w:cs="Arial"/>
          <w:color w:val="000000"/>
          <w:sz w:val="20"/>
        </w:rPr>
        <w:t xml:space="preserve">We held that "by stating that the law enforcement officials themselves acknowledged that the DOJ gang designation had caused them to take the actions in question," the plaintiffs had sufficiently traced their injuries to the DOJ's designation. </w:t>
      </w:r>
      <w:bookmarkStart w:id="833" w:name="Bookmark_I5K6ND5428T4NM0050000400"/>
      <w:bookmarkEnd w:id="833"/>
      <w:r>
        <w:rPr>
          <w:rFonts w:ascii="Arial" w:eastAsia="Arial" w:hAnsi="Arial" w:cs="Arial"/>
          <w:i/>
          <w:color w:val="000000"/>
          <w:sz w:val="20"/>
        </w:rPr>
        <w:t>Id.</w:t>
      </w:r>
      <w:r>
        <w:rPr>
          <w:rFonts w:ascii="Arial" w:eastAsia="Arial" w:hAnsi="Arial" w:cs="Arial"/>
          <w:color w:val="000000"/>
          <w:sz w:val="20"/>
        </w:rPr>
        <w:t xml:space="preserve"> at 714.</w:t>
      </w:r>
    </w:p>
    <w:p w14:paraId="47E15821" w14:textId="77777777" w:rsidR="002D0E71" w:rsidRDefault="00000000">
      <w:pPr>
        <w:pStyle w:val="Normal5"/>
        <w:widowControl w:val="0"/>
        <w:spacing w:before="200" w:line="260" w:lineRule="atLeast"/>
        <w:jc w:val="both"/>
      </w:pPr>
      <w:bookmarkStart w:id="834" w:name="Bookmark_para_45_0"/>
      <w:bookmarkStart w:id="835" w:name="Bookmark_I0MVJR8WNMN000VXMY1000Y8"/>
      <w:bookmarkStart w:id="836" w:name="Bookmark_I5K6ND542D6MSY0030000400"/>
      <w:bookmarkEnd w:id="834"/>
      <w:bookmarkEnd w:id="835"/>
      <w:bookmarkEnd w:id="836"/>
      <w:r>
        <w:rPr>
          <w:rFonts w:ascii="Arial" w:eastAsia="Arial" w:hAnsi="Arial" w:cs="Arial"/>
          <w:color w:val="000000"/>
          <w:sz w:val="20"/>
        </w:rPr>
        <w:t xml:space="preserve">This case is indistinguishable from </w:t>
      </w:r>
      <w:bookmarkStart w:id="837" w:name="Bookmark_I5K6ND542D6MSY0020000400"/>
      <w:bookmarkEnd w:id="837"/>
      <w:r>
        <w:rPr>
          <w:rFonts w:ascii="Arial" w:eastAsia="Arial" w:hAnsi="Arial" w:cs="Arial"/>
          <w:i/>
          <w:color w:val="000000"/>
          <w:sz w:val="20"/>
        </w:rPr>
        <w:t>Parsons</w:t>
      </w:r>
      <w:bookmarkStart w:id="838" w:name="Bookmark_I0MVJR8TS2N000VXMY10037N"/>
      <w:bookmarkStart w:id="839" w:name="Bookmark_I5K6ND542D6MSY0050000400"/>
      <w:bookmarkEnd w:id="838"/>
      <w:bookmarkEnd w:id="839"/>
      <w:r>
        <w:rPr>
          <w:rFonts w:ascii="Arial" w:eastAsia="Arial" w:hAnsi="Arial" w:cs="Arial"/>
          <w:color w:val="000000"/>
          <w:sz w:val="20"/>
        </w:rPr>
        <w:t xml:space="preserve">. The connection between the ABA and plaintiff's injuries may be indirect,  [*353]  much like the connection in </w:t>
      </w:r>
      <w:r>
        <w:rPr>
          <w:rFonts w:ascii="Arial" w:eastAsia="Arial" w:hAnsi="Arial" w:cs="Arial"/>
          <w:i/>
          <w:color w:val="000000"/>
          <w:sz w:val="20"/>
        </w:rPr>
        <w:t>Parsons</w:t>
      </w:r>
      <w:r>
        <w:rPr>
          <w:rFonts w:ascii="Arial" w:eastAsia="Arial" w:hAnsi="Arial" w:cs="Arial"/>
          <w:color w:val="000000"/>
          <w:sz w:val="20"/>
        </w:rPr>
        <w:t xml:space="preserve">. </w:t>
      </w:r>
      <w:bookmarkStart w:id="840" w:name="Bookmark_I5K6ND542D6MSY0050000400_2"/>
      <w:bookmarkEnd w:id="840"/>
      <w:r>
        <w:rPr>
          <w:rFonts w:ascii="Arial" w:eastAsia="Arial" w:hAnsi="Arial" w:cs="Arial"/>
          <w:color w:val="000000"/>
          <w:sz w:val="20"/>
        </w:rPr>
        <w:t xml:space="preserve">But, "the fact that an injury is indirect does not destroy standing as a matter of course." </w:t>
      </w:r>
      <w:bookmarkStart w:id="841" w:name="Bookmark_I5K6ND542D6MSY0040000400"/>
      <w:bookmarkEnd w:id="841"/>
      <w:r>
        <w:rPr>
          <w:rFonts w:ascii="Arial" w:eastAsia="Arial" w:hAnsi="Arial" w:cs="Arial"/>
          <w:i/>
          <w:color w:val="000000"/>
          <w:sz w:val="20"/>
        </w:rPr>
        <w:t>Id.</w:t>
      </w:r>
      <w:r>
        <w:rPr>
          <w:rFonts w:ascii="Arial" w:eastAsia="Arial" w:hAnsi="Arial" w:cs="Arial"/>
          <w:color w:val="000000"/>
          <w:sz w:val="20"/>
        </w:rPr>
        <w:t xml:space="preserve"> at 713. </w:t>
      </w:r>
      <w:r>
        <w:rPr>
          <w:rFonts w:ascii="Arial" w:eastAsia="Arial" w:hAnsi="Arial" w:cs="Arial"/>
          <w:i/>
          <w:color w:val="000000"/>
          <w:sz w:val="20"/>
        </w:rPr>
        <w:t>Parsons</w:t>
      </w:r>
      <w:r>
        <w:rPr>
          <w:rFonts w:ascii="Arial" w:eastAsia="Arial" w:hAnsi="Arial" w:cs="Arial"/>
          <w:color w:val="000000"/>
          <w:sz w:val="20"/>
        </w:rPr>
        <w:t xml:space="preserve"> makes clear that causation will lie so long as the plaintiff can connect his injury to the challenged action of the defendant. The plaintiffs in </w:t>
      </w:r>
      <w:r>
        <w:rPr>
          <w:rFonts w:ascii="Arial" w:eastAsia="Arial" w:hAnsi="Arial" w:cs="Arial"/>
          <w:i/>
          <w:color w:val="000000"/>
          <w:sz w:val="20"/>
        </w:rPr>
        <w:t>Parsons</w:t>
      </w:r>
      <w:r>
        <w:rPr>
          <w:rFonts w:ascii="Arial" w:eastAsia="Arial" w:hAnsi="Arial" w:cs="Arial"/>
          <w:color w:val="000000"/>
          <w:sz w:val="20"/>
        </w:rPr>
        <w:t xml:space="preserve"> did that by alleging that local law enforcement officials acted "based on" the DOJ's designation. So, too, plaintiff has alleged that law schools [**34]  will not grant an individual waiver "as a result of Standard 503." Accepting that allegation as true (as we must), plaintiff has demonstrated that his injuries are fairly traceable to the ABA's rule compelling law schools to require the LSAT without the option of individual waivers.</w:t>
      </w:r>
    </w:p>
    <w:p w14:paraId="2AFEBFDC" w14:textId="77777777" w:rsidR="002D0E71" w:rsidRDefault="00000000">
      <w:pPr>
        <w:pStyle w:val="Normal5"/>
        <w:widowControl w:val="0"/>
        <w:spacing w:before="120" w:line="260" w:lineRule="atLeast"/>
      </w:pPr>
      <w:r>
        <w:rPr>
          <w:rFonts w:ascii="Arial" w:eastAsia="Arial" w:hAnsi="Arial" w:cs="Arial"/>
          <w:color w:val="000000"/>
          <w:sz w:val="20"/>
        </w:rPr>
        <w:t>C.</w:t>
      </w:r>
    </w:p>
    <w:p w14:paraId="0A13148C" w14:textId="77777777" w:rsidR="002D0E71" w:rsidRDefault="00000000">
      <w:pPr>
        <w:pStyle w:val="Normal5"/>
        <w:widowControl w:val="0"/>
        <w:spacing w:before="200" w:line="260" w:lineRule="atLeast"/>
        <w:jc w:val="both"/>
      </w:pPr>
      <w:bookmarkStart w:id="842" w:name="Bookmark_para_46"/>
      <w:bookmarkStart w:id="843" w:name="Bookmark_I0MVJR8V30N000VXMY10048D"/>
      <w:bookmarkStart w:id="844" w:name="Bookmark_I5K6ND5428T4NN0020000400"/>
      <w:bookmarkStart w:id="845" w:name="Bookmark_I0MVJR8V83H000VXMY10037R"/>
      <w:bookmarkStart w:id="846" w:name="Bookmark_I5K6ND5428T4NN0040000400"/>
      <w:bookmarkEnd w:id="842"/>
      <w:bookmarkEnd w:id="843"/>
      <w:bookmarkEnd w:id="844"/>
      <w:bookmarkEnd w:id="845"/>
      <w:bookmarkEnd w:id="846"/>
      <w:r>
        <w:rPr>
          <w:rFonts w:ascii="Arial" w:eastAsia="Arial" w:hAnsi="Arial" w:cs="Arial"/>
          <w:color w:val="000000"/>
          <w:sz w:val="20"/>
        </w:rPr>
        <w:t xml:space="preserve">The third element of constitutional standing is whether "it is likely, as opposed to merely speculative, that the injury will be redressed by a favorable decision." </w:t>
      </w:r>
      <w:bookmarkStart w:id="847" w:name="Bookmark_I5K6ND5428T4NN0010000400"/>
      <w:bookmarkEnd w:id="847"/>
      <w:r>
        <w:rPr>
          <w:rFonts w:ascii="Arial" w:eastAsia="Arial" w:hAnsi="Arial" w:cs="Arial"/>
          <w:i/>
          <w:color w:val="000000"/>
          <w:sz w:val="20"/>
        </w:rPr>
        <w:t>Fieger</w:t>
      </w:r>
      <w:r>
        <w:rPr>
          <w:rFonts w:ascii="Arial" w:eastAsia="Arial" w:hAnsi="Arial" w:cs="Arial"/>
          <w:color w:val="000000"/>
          <w:sz w:val="20"/>
        </w:rPr>
        <w:t xml:space="preserve">, 553 F.3d at 962. The majority concludes that plaintiff's injury is not likely to be redressed because, even if the court struck down Standard 503, "law schools could still choose to require the LSAT in their admissions process." The Supreme Court rejected precisely this line of reasoning in </w:t>
      </w:r>
      <w:bookmarkStart w:id="848" w:name="Bookmark_I5K6ND5428T4NN0030000400"/>
      <w:bookmarkEnd w:id="848"/>
      <w:r>
        <w:rPr>
          <w:rFonts w:ascii="Arial" w:eastAsia="Arial" w:hAnsi="Arial" w:cs="Arial"/>
          <w:i/>
          <w:color w:val="000000"/>
          <w:sz w:val="20"/>
        </w:rPr>
        <w:t>Federal Election Commission v. Akins</w:t>
      </w:r>
      <w:r>
        <w:rPr>
          <w:rFonts w:ascii="Arial" w:eastAsia="Arial" w:hAnsi="Arial" w:cs="Arial"/>
          <w:color w:val="000000"/>
          <w:sz w:val="20"/>
        </w:rPr>
        <w:t>, 524 U.S. 11, 118 S. Ct. 1777, 141 L. Ed. 2d 10 (1998).</w:t>
      </w:r>
    </w:p>
    <w:p w14:paraId="1907E620" w14:textId="77777777" w:rsidR="002D0E71" w:rsidRDefault="00000000">
      <w:pPr>
        <w:pStyle w:val="Normal5"/>
        <w:widowControl w:val="0"/>
        <w:spacing w:before="200" w:line="260" w:lineRule="atLeast"/>
        <w:jc w:val="both"/>
      </w:pPr>
      <w:bookmarkStart w:id="849" w:name="Bookmark_para_47"/>
      <w:bookmarkStart w:id="850" w:name="Bookmark_I0MVJR8VCXN000VXMY1000Y1"/>
      <w:bookmarkStart w:id="851" w:name="Bookmark_I5K6ND542HM6GX0010000400"/>
      <w:bookmarkStart w:id="852" w:name="Bookmark_I0MVJR8VHRT000VXMY10048H"/>
      <w:bookmarkStart w:id="853" w:name="Bookmark_I5K6ND542HM6GX0030000400"/>
      <w:bookmarkEnd w:id="849"/>
      <w:bookmarkEnd w:id="850"/>
      <w:bookmarkEnd w:id="851"/>
      <w:bookmarkEnd w:id="852"/>
      <w:bookmarkEnd w:id="853"/>
      <w:r>
        <w:rPr>
          <w:rFonts w:ascii="Arial" w:eastAsia="Arial" w:hAnsi="Arial" w:cs="Arial"/>
          <w:color w:val="000000"/>
          <w:sz w:val="20"/>
        </w:rPr>
        <w:t xml:space="preserve">In </w:t>
      </w:r>
      <w:r>
        <w:rPr>
          <w:rFonts w:ascii="Arial" w:eastAsia="Arial" w:hAnsi="Arial" w:cs="Arial"/>
          <w:i/>
          <w:color w:val="000000"/>
          <w:sz w:val="20"/>
        </w:rPr>
        <w:t>Akins</w:t>
      </w:r>
      <w:r>
        <w:rPr>
          <w:rFonts w:ascii="Arial" w:eastAsia="Arial" w:hAnsi="Arial" w:cs="Arial"/>
          <w:color w:val="000000"/>
          <w:sz w:val="20"/>
        </w:rPr>
        <w:t xml:space="preserve">, the plaintiffs filed a complaint with the Federal Election Commission (FEC), alleging that the American Israel Public Affairs Committee (AIPAC) was a "political committee" and requesting the FEC to initiate enforcement proceedings against AIPAC. </w:t>
      </w:r>
      <w:bookmarkStart w:id="854" w:name="Bookmark_I5K6ND5428T4NN0050000400"/>
      <w:bookmarkEnd w:id="854"/>
      <w:r>
        <w:rPr>
          <w:rFonts w:ascii="Arial" w:eastAsia="Arial" w:hAnsi="Arial" w:cs="Arial"/>
          <w:i/>
          <w:color w:val="000000"/>
          <w:sz w:val="20"/>
        </w:rPr>
        <w:t>Id.</w:t>
      </w:r>
      <w:r>
        <w:rPr>
          <w:rFonts w:ascii="Arial" w:eastAsia="Arial" w:hAnsi="Arial" w:cs="Arial"/>
          <w:color w:val="000000"/>
          <w:sz w:val="20"/>
        </w:rPr>
        <w:t xml:space="preserve"> at 13, 16. </w:t>
      </w:r>
      <w:bookmarkStart w:id="855" w:name="Bookmark_I0MVJR8VNJY000VXMY10037T"/>
      <w:bookmarkStart w:id="856" w:name="Bookmark_I5K6ND542HM6GX0050000400"/>
      <w:bookmarkEnd w:id="855"/>
      <w:bookmarkEnd w:id="856"/>
      <w:r>
        <w:rPr>
          <w:rFonts w:ascii="Arial" w:eastAsia="Arial" w:hAnsi="Arial" w:cs="Arial"/>
          <w:color w:val="000000"/>
          <w:sz w:val="20"/>
        </w:rPr>
        <w:t xml:space="preserve">The FEC dismissed the complaint on the basis that AIPAC did not meet the statutory definition of "political committee." </w:t>
      </w:r>
      <w:bookmarkStart w:id="857" w:name="Bookmark_I5K6ND542HM6GX0020000400"/>
      <w:bookmarkEnd w:id="857"/>
      <w:r>
        <w:rPr>
          <w:rFonts w:ascii="Arial" w:eastAsia="Arial" w:hAnsi="Arial" w:cs="Arial"/>
          <w:i/>
          <w:color w:val="000000"/>
          <w:sz w:val="20"/>
        </w:rPr>
        <w:t>Id.</w:t>
      </w:r>
      <w:r>
        <w:rPr>
          <w:rFonts w:ascii="Arial" w:eastAsia="Arial" w:hAnsi="Arial" w:cs="Arial"/>
          <w:color w:val="000000"/>
          <w:sz w:val="20"/>
        </w:rPr>
        <w:t xml:space="preserve"> at 18. </w:t>
      </w:r>
      <w:bookmarkStart w:id="858" w:name="Bookmark_I5K6ND542HM6GX0050000400_2"/>
      <w:bookmarkEnd w:id="858"/>
      <w:r>
        <w:rPr>
          <w:rFonts w:ascii="Arial" w:eastAsia="Arial" w:hAnsi="Arial" w:cs="Arial"/>
          <w:color w:val="000000"/>
          <w:sz w:val="20"/>
        </w:rPr>
        <w:t xml:space="preserve">The plaintiffs sued and the FEC challenged their standing, arguing that, even if it agreed with [**35]  the plaintiffs that AIPAC was a "political committee," it still retained the discretionary authority not to initiate proceedings against AIPAC. </w:t>
      </w:r>
      <w:bookmarkStart w:id="859" w:name="Bookmark_I5K6ND542HM6GX0040000400"/>
      <w:bookmarkEnd w:id="859"/>
      <w:r>
        <w:rPr>
          <w:rFonts w:ascii="Arial" w:eastAsia="Arial" w:hAnsi="Arial" w:cs="Arial"/>
          <w:i/>
          <w:color w:val="000000"/>
          <w:sz w:val="20"/>
        </w:rPr>
        <w:t>Id.</w:t>
      </w:r>
      <w:r>
        <w:rPr>
          <w:rFonts w:ascii="Arial" w:eastAsia="Arial" w:hAnsi="Arial" w:cs="Arial"/>
          <w:color w:val="000000"/>
          <w:sz w:val="20"/>
        </w:rPr>
        <w:t xml:space="preserve"> at 25. The Supreme Court rejected this argument: "[E]ven though the FEC might [have] reach[ed] the same result exercising its discretionary powers lawfully," the plaintiffs' injury was still fairly traceable to the FEC's decision to dismiss the complaint based on a purportedly incorrect reading of the statute, "for we cannot know that the FEC would have exercised its prosecutorial discretion in this way." </w:t>
      </w:r>
      <w:r>
        <w:rPr>
          <w:rFonts w:ascii="Arial" w:eastAsia="Arial" w:hAnsi="Arial" w:cs="Arial"/>
          <w:i/>
          <w:color w:val="000000"/>
          <w:sz w:val="20"/>
        </w:rPr>
        <w:t>Id.</w:t>
      </w:r>
      <w:r>
        <w:rPr>
          <w:rFonts w:ascii="Arial" w:eastAsia="Arial" w:hAnsi="Arial" w:cs="Arial"/>
          <w:color w:val="000000"/>
          <w:sz w:val="20"/>
        </w:rPr>
        <w:t xml:space="preserve"> "For similar reasons," the Court said, "the courts . . . can 'redress' [the plaintiffs'] 'injury in fact.'" </w:t>
      </w:r>
      <w:r>
        <w:rPr>
          <w:rFonts w:ascii="Arial" w:eastAsia="Arial" w:hAnsi="Arial" w:cs="Arial"/>
          <w:i/>
          <w:color w:val="000000"/>
          <w:sz w:val="20"/>
        </w:rPr>
        <w:t>Id.</w:t>
      </w:r>
    </w:p>
    <w:p w14:paraId="5F1413FE" w14:textId="77777777" w:rsidR="002D0E71" w:rsidRDefault="00000000">
      <w:pPr>
        <w:pStyle w:val="Normal5"/>
        <w:widowControl w:val="0"/>
        <w:spacing w:before="200" w:line="260" w:lineRule="atLeast"/>
        <w:jc w:val="both"/>
      </w:pPr>
      <w:bookmarkStart w:id="860" w:name="Bookmark_para_48"/>
      <w:bookmarkStart w:id="861" w:name="Bookmark_I0MVJR8WVRH000VXMY1000Y9"/>
      <w:bookmarkStart w:id="862" w:name="Bookmark_I5K6ND542N1R8S0020000400"/>
      <w:bookmarkStart w:id="863" w:name="Bookmark_I5K6ND542N1R8S0010000400"/>
      <w:bookmarkEnd w:id="860"/>
      <w:bookmarkEnd w:id="861"/>
      <w:bookmarkEnd w:id="862"/>
      <w:bookmarkEnd w:id="863"/>
      <w:r>
        <w:rPr>
          <w:rFonts w:ascii="Arial" w:eastAsia="Arial" w:hAnsi="Arial" w:cs="Arial"/>
          <w:i/>
          <w:color w:val="000000"/>
          <w:sz w:val="20"/>
        </w:rPr>
        <w:t>Akins</w:t>
      </w:r>
      <w:r>
        <w:rPr>
          <w:rFonts w:ascii="Arial" w:eastAsia="Arial" w:hAnsi="Arial" w:cs="Arial"/>
          <w:color w:val="000000"/>
          <w:sz w:val="20"/>
        </w:rPr>
        <w:t xml:space="preserve">' holding is equally applicable here: although a law school may retain the discretionary power to require the LSAT or deny plaintiff admission, "we cannot know that [it] would have exercised its . . . discretion in this way." </w:t>
      </w:r>
      <w:r>
        <w:rPr>
          <w:rFonts w:ascii="Arial" w:eastAsia="Arial" w:hAnsi="Arial" w:cs="Arial"/>
          <w:i/>
          <w:color w:val="000000"/>
          <w:sz w:val="20"/>
        </w:rPr>
        <w:t>Id.</w:t>
      </w:r>
      <w:r>
        <w:rPr>
          <w:rFonts w:ascii="Arial" w:eastAsia="Arial" w:hAnsi="Arial" w:cs="Arial"/>
          <w:color w:val="000000"/>
          <w:sz w:val="20"/>
        </w:rPr>
        <w:t xml:space="preserve"> The fact that law schools may deny him a waiver in their discretion does not mean plaintiff's present injury—the unavailability of waivers altogether—is not redressable by holding Standard 503 unlawful.</w:t>
      </w:r>
    </w:p>
    <w:p w14:paraId="204FE439" w14:textId="77777777" w:rsidR="002D0E71" w:rsidRDefault="00000000">
      <w:pPr>
        <w:pStyle w:val="Normal5"/>
        <w:widowControl w:val="0"/>
        <w:spacing w:before="200" w:line="260" w:lineRule="atLeast"/>
        <w:jc w:val="both"/>
      </w:pPr>
      <w:bookmarkStart w:id="864" w:name="Bookmark_para_49"/>
      <w:bookmarkStart w:id="865" w:name="Bookmark_I0MVJR8VY77000VXMY10048M"/>
      <w:bookmarkStart w:id="866" w:name="Bookmark_I5K6ND542N1R8S0040000400"/>
      <w:bookmarkEnd w:id="864"/>
      <w:bookmarkEnd w:id="865"/>
      <w:bookmarkEnd w:id="866"/>
      <w:r>
        <w:rPr>
          <w:rFonts w:ascii="Arial" w:eastAsia="Arial" w:hAnsi="Arial" w:cs="Arial"/>
          <w:color w:val="000000"/>
          <w:sz w:val="20"/>
        </w:rPr>
        <w:t xml:space="preserve">In any event, according to plaintiff's complaint, the majority's prediction is likely wrong. Plaintiff has alleged [**36]  that at least one law school to which he has applied denied him a waiver "as a result of Standard 503." Construing this allegation in plaintiff's favor, we must accept that law schools are willing to waive the LSAT score, but are fettered by Standard 503. In other words, plaintiff has alleged that, "absent [Standard 503], there is a substantial probability that . . . if the court affords the relief requested, the asserted [injury (the unavailability of waivers)] will be removed." </w:t>
      </w:r>
      <w:bookmarkStart w:id="867" w:name="Bookmark_I5K6ND542N1R8S0030000400"/>
      <w:bookmarkEnd w:id="867"/>
      <w:r>
        <w:rPr>
          <w:rFonts w:ascii="Arial" w:eastAsia="Arial" w:hAnsi="Arial" w:cs="Arial"/>
          <w:i/>
          <w:color w:val="000000"/>
          <w:sz w:val="20"/>
        </w:rPr>
        <w:t>Warth</w:t>
      </w:r>
      <w:r>
        <w:rPr>
          <w:rFonts w:ascii="Arial" w:eastAsia="Arial" w:hAnsi="Arial" w:cs="Arial"/>
          <w:color w:val="000000"/>
          <w:sz w:val="20"/>
        </w:rPr>
        <w:t>, 422 U.S. at 504. That is all that is required to satisfy  [*354]  the redressability requirement of Article III standing.</w:t>
      </w:r>
    </w:p>
    <w:p w14:paraId="33F3163B" w14:textId="77777777" w:rsidR="002D0E71" w:rsidRDefault="00000000">
      <w:pPr>
        <w:pStyle w:val="Normal5"/>
        <w:widowControl w:val="0"/>
        <w:spacing w:before="200" w:line="260" w:lineRule="atLeast"/>
        <w:jc w:val="both"/>
      </w:pPr>
      <w:bookmarkStart w:id="868" w:name="Bookmark_para_50"/>
      <w:bookmarkStart w:id="869" w:name="Bookmark_I0MVJR8W4B3000VXMY10037W"/>
      <w:bookmarkStart w:id="870" w:name="Bookmark_I5K6ND542N1R8T0010000400"/>
      <w:bookmarkEnd w:id="868"/>
      <w:bookmarkEnd w:id="869"/>
      <w:bookmarkEnd w:id="870"/>
      <w:r>
        <w:rPr>
          <w:rFonts w:ascii="Arial" w:eastAsia="Arial" w:hAnsi="Arial" w:cs="Arial"/>
          <w:color w:val="000000"/>
          <w:sz w:val="20"/>
        </w:rPr>
        <w:t xml:space="preserve">The basic thrust of the argument against plaintiff having standing is the notion that plaintiff has somehow sued the wrong party. This is the basis for the majority's parting legal advice about pursuing other, "more practical" legal remedies against the LSAC. The argument and advice expose the fundamental flaw in the majority's decision. By repackaging plaintiff's factual allegations into a new legal theory for him, the majority flips the construe-all-allegationsin-plaintiff's-favor standard on its head. </w:t>
      </w:r>
      <w:r>
        <w:rPr>
          <w:rFonts w:ascii="Arial" w:eastAsia="Arial" w:hAnsi="Arial" w:cs="Arial"/>
          <w:i/>
          <w:color w:val="000000"/>
          <w:sz w:val="20"/>
        </w:rPr>
        <w:t xml:space="preserve">See </w:t>
      </w:r>
      <w:bookmarkStart w:id="871" w:name="Bookmark_I5K6ND542N1R8S0050000400"/>
      <w:bookmarkEnd w:id="871"/>
      <w:r>
        <w:rPr>
          <w:rFonts w:ascii="Arial" w:eastAsia="Arial" w:hAnsi="Arial" w:cs="Arial"/>
          <w:i/>
          <w:color w:val="000000"/>
          <w:sz w:val="20"/>
        </w:rPr>
        <w:t>id.</w:t>
      </w:r>
      <w:r>
        <w:rPr>
          <w:rFonts w:ascii="Arial" w:eastAsia="Arial" w:hAnsi="Arial" w:cs="Arial"/>
          <w:color w:val="000000"/>
          <w:sz w:val="20"/>
        </w:rPr>
        <w:t xml:space="preserve"> at 501. Indeed, the majority assumes "Binno is [not] seeking to be relieved altogether of the obligation of taking [**37]  the LSAT," yet this is precisely the outcome plaintiff wants. Furthermore, it overlooks a critical allegation in plaintiff's complaint—the ABA used to allow law schools to give individual LSAT waivers. This fact dispels the myth that the ABA is not responsible for plaintiff's injuries. It also confirms what the foregoing discussion sought to show: that plaintiff's injury (the unavailability of LSAT waivers) is fairly traceable to Standard 503 and can be redressed through a judicial decision holding it unlawful.</w:t>
      </w:r>
    </w:p>
    <w:p w14:paraId="0FA89FC4" w14:textId="77777777" w:rsidR="002D0E71" w:rsidRDefault="00000000">
      <w:pPr>
        <w:pStyle w:val="Normal5"/>
        <w:widowControl w:val="0"/>
        <w:spacing w:before="120" w:line="260" w:lineRule="atLeast"/>
      </w:pPr>
      <w:r>
        <w:rPr>
          <w:rFonts w:ascii="Arial" w:eastAsia="Arial" w:hAnsi="Arial" w:cs="Arial"/>
          <w:color w:val="000000"/>
          <w:sz w:val="20"/>
        </w:rPr>
        <w:t>III.</w:t>
      </w:r>
    </w:p>
    <w:p w14:paraId="5305DCDF" w14:textId="77777777" w:rsidR="002D0E71" w:rsidRDefault="00000000">
      <w:pPr>
        <w:pStyle w:val="Normal5"/>
        <w:widowControl w:val="0"/>
        <w:spacing w:before="200" w:line="260" w:lineRule="atLeast"/>
        <w:jc w:val="both"/>
      </w:pPr>
      <w:bookmarkStart w:id="872" w:name="Bookmark_para_51"/>
      <w:bookmarkStart w:id="873" w:name="Bookmark_I0MVJR8W857000VXMY1000Y5"/>
      <w:bookmarkStart w:id="874" w:name="Bookmark_I5K6ND542N1R8T0030000400"/>
      <w:bookmarkEnd w:id="872"/>
      <w:bookmarkEnd w:id="873"/>
      <w:bookmarkEnd w:id="874"/>
      <w:r>
        <w:rPr>
          <w:rFonts w:ascii="Arial" w:eastAsia="Arial" w:hAnsi="Arial" w:cs="Arial"/>
          <w:color w:val="000000"/>
          <w:sz w:val="20"/>
        </w:rPr>
        <w:t xml:space="preserve">For these reasons, I would hold that plaintiff has established Article III standing to sue the ABA. I therefore respectfully disagree with the majority's ruling regarding standing. That said, whether plaintiff has Article III standing is a separate question from whether the unavailability of a waiver under Standard 503 violates the ADA. </w:t>
      </w:r>
      <w:bookmarkStart w:id="875" w:name="Bookmark_I5K6ND542N1R8T0020000400"/>
      <w:bookmarkEnd w:id="875"/>
      <w:r>
        <w:rPr>
          <w:rFonts w:ascii="Arial" w:eastAsia="Arial" w:hAnsi="Arial" w:cs="Arial"/>
          <w:i/>
          <w:color w:val="000000"/>
          <w:sz w:val="20"/>
        </w:rPr>
        <w:t>Id.</w:t>
      </w:r>
      <w:r>
        <w:rPr>
          <w:rFonts w:ascii="Arial" w:eastAsia="Arial" w:hAnsi="Arial" w:cs="Arial"/>
          <w:color w:val="000000"/>
          <w:sz w:val="20"/>
        </w:rPr>
        <w:t xml:space="preserve"> at 500. On the latter question, I agree with the majority's analysis of the Title III and Title V claims. I therefore join Section II.B of the majority opinion and concur in the judgment.</w:t>
      </w:r>
    </w:p>
    <w:p w14:paraId="22F73978" w14:textId="77777777" w:rsidR="002D0E71" w:rsidRDefault="002D0E71">
      <w:pPr>
        <w:pStyle w:val="Normal5"/>
      </w:pPr>
    </w:p>
    <w:p w14:paraId="01647E00" w14:textId="03CF9B67" w:rsidR="002D0E71" w:rsidRDefault="00000000">
      <w:pPr>
        <w:pStyle w:val="Normal5"/>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70528" behindDoc="0" locked="0" layoutInCell="1" allowOverlap="1" wp14:anchorId="0FD00889" wp14:editId="4A32395E">
                <wp:simplePos x="0" y="0"/>
                <wp:positionH relativeFrom="column">
                  <wp:posOffset>0</wp:posOffset>
                </wp:positionH>
                <wp:positionV relativeFrom="paragraph">
                  <wp:posOffset>127000</wp:posOffset>
                </wp:positionV>
                <wp:extent cx="6502400" cy="0"/>
                <wp:effectExtent l="9525" t="12700" r="12700" b="6350"/>
                <wp:wrapNone/>
                <wp:docPr id="103268836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5AE4C6" id="Line 1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7426B78" w14:textId="77777777" w:rsidR="002D0E71" w:rsidRDefault="002D0E71">
      <w:pPr>
        <w:pStyle w:val="Normal6"/>
        <w:sectPr w:rsidR="002D0E71">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gutter="0"/>
          <w:cols w:space="720"/>
          <w:titlePg/>
        </w:sectPr>
      </w:pPr>
    </w:p>
    <w:p w14:paraId="1A21872E" w14:textId="77777777" w:rsidR="002D0E71" w:rsidRDefault="002D0E71">
      <w:pPr>
        <w:pStyle w:val="Normal6"/>
      </w:pPr>
    </w:p>
    <w:p w14:paraId="134BB19D" w14:textId="77777777" w:rsidR="002D0E71" w:rsidRDefault="00000000">
      <w:pPr>
        <w:pStyle w:val="Heading15"/>
        <w:keepNext w:val="0"/>
        <w:widowControl w:val="0"/>
        <w:spacing w:after="200" w:line="340" w:lineRule="atLeast"/>
        <w:jc w:val="center"/>
      </w:pPr>
      <w:r>
        <w:rPr>
          <w:rFonts w:eastAsia="Arial"/>
          <w:color w:val="000000"/>
          <w:sz w:val="28"/>
        </w:rPr>
        <w:t>Steimel v. Wernert</w:t>
      </w:r>
    </w:p>
    <w:p w14:paraId="59E99136" w14:textId="77777777" w:rsidR="002D0E71" w:rsidRDefault="00000000">
      <w:pPr>
        <w:pStyle w:val="Normal6"/>
        <w:widowControl w:val="0"/>
        <w:spacing w:before="120" w:line="260" w:lineRule="atLeast"/>
        <w:jc w:val="center"/>
      </w:pPr>
      <w:r>
        <w:rPr>
          <w:rFonts w:ascii="Arial" w:eastAsia="Arial" w:hAnsi="Arial" w:cs="Arial"/>
          <w:color w:val="000000"/>
          <w:sz w:val="20"/>
        </w:rPr>
        <w:t>United States Court of Appeals for the Seventh Circuit</w:t>
      </w:r>
    </w:p>
    <w:p w14:paraId="7074BD83" w14:textId="77777777" w:rsidR="002D0E71" w:rsidRDefault="00000000">
      <w:pPr>
        <w:pStyle w:val="Normal6"/>
        <w:widowControl w:val="0"/>
        <w:spacing w:before="120" w:line="260" w:lineRule="atLeast"/>
        <w:jc w:val="center"/>
      </w:pPr>
      <w:r>
        <w:rPr>
          <w:rFonts w:ascii="Arial" w:eastAsia="Arial" w:hAnsi="Arial" w:cs="Arial"/>
          <w:color w:val="000000"/>
          <w:sz w:val="20"/>
        </w:rPr>
        <w:t>January 5, 2016, Argued; May 10, 2016, Decided</w:t>
      </w:r>
    </w:p>
    <w:p w14:paraId="49973A88" w14:textId="77777777" w:rsidR="002D0E71" w:rsidRDefault="00000000">
      <w:pPr>
        <w:pStyle w:val="Normal6"/>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15-2377, No. 15-2389</w:t>
      </w:r>
    </w:p>
    <w:p w14:paraId="49AD5BA2" w14:textId="77777777" w:rsidR="002D0E71" w:rsidRDefault="002D0E71">
      <w:pPr>
        <w:pStyle w:val="Normal6"/>
        <w:widowControl w:val="0"/>
        <w:spacing w:line="240" w:lineRule="atLeast"/>
        <w:jc w:val="both"/>
      </w:pPr>
      <w:bookmarkStart w:id="876" w:name="Bookmark_7"/>
      <w:bookmarkEnd w:id="876"/>
    </w:p>
    <w:p w14:paraId="1AA122BB" w14:textId="77777777" w:rsidR="002D0E71" w:rsidRDefault="00000000">
      <w:pPr>
        <w:pStyle w:val="Normal6"/>
        <w:widowControl w:val="0"/>
        <w:spacing w:before="200" w:line="240" w:lineRule="atLeast"/>
      </w:pPr>
      <w:bookmarkStart w:id="877" w:name="Reporter_5"/>
      <w:bookmarkEnd w:id="877"/>
      <w:r>
        <w:rPr>
          <w:rFonts w:ascii="Arial" w:eastAsia="Arial" w:hAnsi="Arial" w:cs="Arial"/>
          <w:b/>
          <w:color w:val="000000"/>
          <w:sz w:val="18"/>
        </w:rPr>
        <w:t>Reporter</w:t>
      </w:r>
    </w:p>
    <w:p w14:paraId="32BE2159" w14:textId="77777777" w:rsidR="002D0E71" w:rsidRDefault="00000000">
      <w:pPr>
        <w:pStyle w:val="Normal6"/>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823 F.3d 902 *; 2016 U.S. App. LEXIS 8592 **; 94 Fed. R. Serv. 3d (Callaghan) 1277</w:t>
      </w:r>
    </w:p>
    <w:p w14:paraId="43121CC3" w14:textId="77777777" w:rsidR="002D0E71" w:rsidRDefault="00000000">
      <w:pPr>
        <w:pStyle w:val="Normal6"/>
        <w:widowControl w:val="0"/>
        <w:spacing w:before="120" w:line="260" w:lineRule="atLeast"/>
      </w:pPr>
      <w:r>
        <w:rPr>
          <w:rFonts w:ascii="Arial" w:eastAsia="Arial" w:hAnsi="Arial" w:cs="Arial"/>
          <w:color w:val="000000"/>
          <w:sz w:val="20"/>
        </w:rPr>
        <w:t>KARLA STEIMEL, Plaintiff-Appellant, and THOMAS MAERTZ, et al., Intervening Plaintiffs-Appellants, v. JOHN J. WERNERT, Secretary of the Indiana Family and Social Services Administration, et al., Defendants-Appellees.MICHAEL BECKEM AND LOIS BECKEM, Plaintiffs-Appellants, v. INDIANA FAMILY AND SOCIAL SERVICES ADMINISTRATION, and JOHN J. WERNERT, Secretary of the Indiana Family and Social Services Administration, Defendants-Appellees.</w:t>
      </w:r>
    </w:p>
    <w:p w14:paraId="28E63EFB" w14:textId="77777777" w:rsidR="002D0E71" w:rsidRDefault="00000000">
      <w:pPr>
        <w:pStyle w:val="Normal6"/>
        <w:widowControl w:val="0"/>
        <w:spacing w:before="240" w:line="260" w:lineRule="atLeast"/>
        <w:jc w:val="both"/>
      </w:pPr>
      <w:bookmarkStart w:id="878" w:name="Prior_History_5"/>
      <w:bookmarkEnd w:id="878"/>
      <w:r>
        <w:rPr>
          <w:rFonts w:ascii="Arial" w:eastAsia="Arial" w:hAnsi="Arial" w:cs="Arial"/>
          <w:b/>
          <w:color w:val="000000"/>
          <w:sz w:val="20"/>
        </w:rPr>
        <w:t>Prior History:</w:t>
      </w:r>
      <w:r>
        <w:rPr>
          <w:rFonts w:ascii="Arial" w:eastAsia="Arial" w:hAnsi="Arial" w:cs="Arial"/>
          <w:color w:val="000000"/>
          <w:sz w:val="20"/>
        </w:rPr>
        <w:t> </w:t>
      </w:r>
      <w:bookmarkStart w:id="879" w:name="Bookmark_para_1_5"/>
      <w:bookmarkEnd w:id="879"/>
      <w:r>
        <w:rPr>
          <w:rFonts w:ascii="Arial" w:eastAsia="Arial" w:hAnsi="Arial" w:cs="Arial"/>
          <w:color w:val="000000"/>
          <w:sz w:val="20"/>
        </w:rPr>
        <w:t> [**1] Appeals from the United States District Court for the Southern District of Indiana, Indianapolis Division. Nos. 13-cv-00957, 14-cv-00668 — Jane E. Magnus-Stinson, Judge.</w:t>
      </w:r>
    </w:p>
    <w:p w14:paraId="240AEA5E" w14:textId="77777777" w:rsidR="002D0E71" w:rsidRDefault="00000000">
      <w:pPr>
        <w:pStyle w:val="Normal6"/>
        <w:widowControl w:val="0"/>
        <w:spacing w:before="120" w:line="260" w:lineRule="atLeast"/>
      </w:pPr>
      <w:r>
        <w:rPr>
          <w:rFonts w:ascii="Arial" w:eastAsia="Arial" w:hAnsi="Arial" w:cs="Arial"/>
          <w:color w:val="000000"/>
          <w:sz w:val="20"/>
        </w:rPr>
        <w:t>Steimel v. Minott, 2014 U.S. Dist. LEXIS 38228 (S.D. Ind., Mar. 24, 2014)</w:t>
      </w:r>
    </w:p>
    <w:p w14:paraId="51CDE10E" w14:textId="77777777" w:rsidR="002D0E71" w:rsidRDefault="00000000">
      <w:pPr>
        <w:pStyle w:val="Normal6"/>
        <w:widowControl w:val="0"/>
        <w:spacing w:before="120" w:line="260" w:lineRule="atLeast"/>
      </w:pPr>
      <w:r>
        <w:rPr>
          <w:rFonts w:ascii="Arial" w:eastAsia="Arial" w:hAnsi="Arial" w:cs="Arial"/>
          <w:color w:val="000000"/>
          <w:sz w:val="20"/>
        </w:rPr>
        <w:t>Maertz v. Minott, 2015 U.S. Dist. LEXIS 74084 (S.D. Ind., June 9, 2015)</w:t>
      </w:r>
    </w:p>
    <w:p w14:paraId="623FA5CF" w14:textId="77777777" w:rsidR="002D0E71" w:rsidRDefault="00000000">
      <w:pPr>
        <w:pStyle w:val="Normal6"/>
        <w:widowControl w:val="0"/>
        <w:spacing w:before="240" w:line="260" w:lineRule="atLeast"/>
      </w:pPr>
      <w:bookmarkStart w:id="880" w:name="Counsel_5"/>
      <w:bookmarkEnd w:id="880"/>
      <w:r>
        <w:rPr>
          <w:rFonts w:ascii="Arial" w:eastAsia="Arial" w:hAnsi="Arial" w:cs="Arial"/>
          <w:b/>
          <w:color w:val="000000"/>
          <w:sz w:val="20"/>
        </w:rPr>
        <w:t>Counsel:</w:t>
      </w:r>
      <w:r>
        <w:rPr>
          <w:rFonts w:ascii="Arial" w:eastAsia="Arial" w:hAnsi="Arial" w:cs="Arial"/>
          <w:color w:val="000000"/>
          <w:sz w:val="20"/>
        </w:rPr>
        <w:t> For KARLA STEIMEL, on her own behalf and on behalf of three (3) classes of those similarly situated, Plaintiff - Appellant (15-2377): Gavin M. Rose, Attorney, ACLU OF INDIANA, Indianapolis, IN.</w:t>
      </w:r>
    </w:p>
    <w:p w14:paraId="3EC8DA3B" w14:textId="77777777" w:rsidR="002D0E71" w:rsidRDefault="00000000">
      <w:pPr>
        <w:pStyle w:val="Normal6"/>
        <w:widowControl w:val="0"/>
        <w:spacing w:before="120" w:line="260" w:lineRule="atLeast"/>
      </w:pPr>
      <w:r>
        <w:rPr>
          <w:rFonts w:ascii="Arial" w:eastAsia="Arial" w:hAnsi="Arial" w:cs="Arial"/>
          <w:color w:val="000000"/>
          <w:sz w:val="20"/>
        </w:rPr>
        <w:t>For JOHN J. WERNERT, in his official capacity as Secretary of the Indiana Family and Social Services Administration, NICOLE NORVELL, in her official capacity as the Director of the Division of Disability and Rehabilitative Serves. of the Indiana Family and Social Services Administration, YONDA SNYDER, in her official capacity as Director of the Division of Aging of the Indiana Family and Social Services Administration, Defendants - Appellees (15-2377): Thomas M. Fisher, Attorney, OFFICE OF THE ATTORNEY GENERAL, Indianapolis, IN; Ryan M. Hurley, Attorney, Harmony Ann Mappes, Attorney, FAEGRE BAKER DANIELS LLP, Indianapolis, IN.</w:t>
      </w:r>
    </w:p>
    <w:p w14:paraId="3A68CFB8" w14:textId="77777777" w:rsidR="002D0E71" w:rsidRDefault="00000000">
      <w:pPr>
        <w:pStyle w:val="Normal6"/>
        <w:widowControl w:val="0"/>
        <w:spacing w:before="120" w:line="260" w:lineRule="atLeast"/>
      </w:pPr>
      <w:r>
        <w:rPr>
          <w:rFonts w:ascii="Arial" w:eastAsia="Arial" w:hAnsi="Arial" w:cs="Arial"/>
          <w:color w:val="000000"/>
          <w:sz w:val="20"/>
        </w:rPr>
        <w:t>For UNITED STATES OF AMERICA, Party-in-Interest (15-2377): Debra G. Richards, Attorney, OFFICE OF THE UNITED STATES ATTORNEY, Indianapolis, IN.</w:t>
      </w:r>
    </w:p>
    <w:p w14:paraId="61F587DB" w14:textId="77777777" w:rsidR="002D0E71" w:rsidRDefault="00000000">
      <w:pPr>
        <w:pStyle w:val="Normal6"/>
        <w:widowControl w:val="0"/>
        <w:spacing w:before="120" w:line="260" w:lineRule="atLeast"/>
      </w:pPr>
      <w:r>
        <w:rPr>
          <w:rFonts w:ascii="Arial" w:eastAsia="Arial" w:hAnsi="Arial" w:cs="Arial"/>
          <w:color w:val="000000"/>
          <w:sz w:val="20"/>
        </w:rPr>
        <w:t>For THOMAS MAERTZ, COLTON COLE, CODY COLE, TIMOTHY KEISTER, Intervenors [**2]  - Appellants (15-2377): Gavin M. Rose, Attorney, ACLU OF INDIANA, Indianapolis, IN.</w:t>
      </w:r>
    </w:p>
    <w:p w14:paraId="2369B760" w14:textId="77777777" w:rsidR="002D0E71" w:rsidRDefault="00000000">
      <w:pPr>
        <w:pStyle w:val="Normal6"/>
        <w:widowControl w:val="0"/>
        <w:spacing w:before="120" w:line="260" w:lineRule="atLeast"/>
      </w:pPr>
      <w:r>
        <w:rPr>
          <w:rFonts w:ascii="Arial" w:eastAsia="Arial" w:hAnsi="Arial" w:cs="Arial"/>
          <w:color w:val="000000"/>
          <w:sz w:val="20"/>
        </w:rPr>
        <w:t>For MICHAEL BECKEM, Plaintiff - Appellant (15-2389): Gavin M. Rose, Attorney, LOIS BECKEM, by their sister and next friend, Arlene Beckem-Reid, ACLU OF INDIANA, Indianapolis, IN.</w:t>
      </w:r>
    </w:p>
    <w:p w14:paraId="29AC970C" w14:textId="77777777" w:rsidR="002D0E71" w:rsidRDefault="00000000">
      <w:pPr>
        <w:pStyle w:val="Normal6"/>
        <w:widowControl w:val="0"/>
        <w:spacing w:before="120" w:line="260" w:lineRule="atLeast"/>
      </w:pPr>
      <w:r>
        <w:rPr>
          <w:rFonts w:ascii="Arial" w:eastAsia="Arial" w:hAnsi="Arial" w:cs="Arial"/>
          <w:color w:val="000000"/>
          <w:sz w:val="20"/>
        </w:rPr>
        <w:t>For INDIANA FAMILY AND SOCIAL SERVICES ADMINISTRATION, Defendant - Appellee (15-2389): Thomas M. Fisher, Attorney, OFFICE OF THE ATTORNEY GENERAL, Indianapolis, IN; Ryan M. Hurley, Attorney, Harmony Ann Mappes, Attorney, FAEGRE BAKER DANIELS LLP, Indianapolis, IN.</w:t>
      </w:r>
    </w:p>
    <w:p w14:paraId="5D2B7189" w14:textId="77777777" w:rsidR="002D0E71" w:rsidRDefault="00000000">
      <w:pPr>
        <w:pStyle w:val="Normal6"/>
        <w:widowControl w:val="0"/>
        <w:spacing w:before="120" w:line="260" w:lineRule="atLeast"/>
      </w:pPr>
      <w:r>
        <w:rPr>
          <w:rFonts w:ascii="Arial" w:eastAsia="Arial" w:hAnsi="Arial" w:cs="Arial"/>
          <w:color w:val="000000"/>
          <w:sz w:val="20"/>
        </w:rPr>
        <w:t>For JOHN J. WERNERT, Defendant - Appellee (15-2389): Ryan M. Hurley, Attorney, Harmony Ann Mappes, Attorney, FAEGRE BAKER DANIELS LLP, Indianapolis, IN.</w:t>
      </w:r>
    </w:p>
    <w:p w14:paraId="66AF8E3A" w14:textId="77777777" w:rsidR="002D0E71" w:rsidRDefault="00000000">
      <w:pPr>
        <w:pStyle w:val="Normal6"/>
        <w:widowControl w:val="0"/>
        <w:spacing w:before="240" w:line="260" w:lineRule="atLeast"/>
      </w:pPr>
      <w:bookmarkStart w:id="881" w:name="Judges_5"/>
      <w:bookmarkEnd w:id="881"/>
      <w:r>
        <w:rPr>
          <w:rFonts w:ascii="Arial" w:eastAsia="Arial" w:hAnsi="Arial" w:cs="Arial"/>
          <w:b/>
          <w:color w:val="000000"/>
          <w:sz w:val="20"/>
        </w:rPr>
        <w:t>Judges:</w:t>
      </w:r>
      <w:r>
        <w:rPr>
          <w:rFonts w:ascii="Arial" w:eastAsia="Arial" w:hAnsi="Arial" w:cs="Arial"/>
          <w:color w:val="000000"/>
          <w:sz w:val="20"/>
        </w:rPr>
        <w:t> Before WOOD, Chief Judge, and KANNE and ROVNER, Circuit Judges.</w:t>
      </w:r>
    </w:p>
    <w:p w14:paraId="77F031C4" w14:textId="77777777" w:rsidR="002D0E71" w:rsidRDefault="00000000">
      <w:pPr>
        <w:pStyle w:val="Normal6"/>
        <w:widowControl w:val="0"/>
        <w:spacing w:before="240" w:line="260" w:lineRule="atLeast"/>
      </w:pPr>
      <w:bookmarkStart w:id="882" w:name="Opinion_by_4"/>
      <w:bookmarkEnd w:id="882"/>
      <w:r>
        <w:rPr>
          <w:rFonts w:ascii="Arial" w:eastAsia="Arial" w:hAnsi="Arial" w:cs="Arial"/>
          <w:b/>
          <w:color w:val="000000"/>
          <w:sz w:val="20"/>
        </w:rPr>
        <w:t>Opinion by:</w:t>
      </w:r>
      <w:r>
        <w:rPr>
          <w:rFonts w:ascii="Arial" w:eastAsia="Arial" w:hAnsi="Arial" w:cs="Arial"/>
          <w:color w:val="000000"/>
          <w:sz w:val="20"/>
        </w:rPr>
        <w:t> WOOD</w:t>
      </w:r>
    </w:p>
    <w:p w14:paraId="54B21F38" w14:textId="77777777" w:rsidR="002D0E71" w:rsidRDefault="00000000">
      <w:pPr>
        <w:pStyle w:val="Normal6"/>
        <w:keepNext/>
        <w:widowControl w:val="0"/>
        <w:spacing w:before="240" w:line="340" w:lineRule="atLeast"/>
      </w:pPr>
      <w:bookmarkStart w:id="883" w:name="Opinion_5"/>
      <w:bookmarkEnd w:id="883"/>
      <w:r>
        <w:rPr>
          <w:rFonts w:ascii="Arial" w:eastAsia="Arial" w:hAnsi="Arial" w:cs="Arial"/>
          <w:b/>
          <w:color w:val="000000"/>
          <w:sz w:val="28"/>
        </w:rPr>
        <w:t>Opinion</w:t>
      </w:r>
    </w:p>
    <w:p w14:paraId="50647A4A" w14:textId="35F456CF" w:rsidR="002D0E71" w:rsidRDefault="002939DF">
      <w:pPr>
        <w:pStyle w:val="Normal6"/>
        <w:spacing w:line="60" w:lineRule="exact"/>
      </w:pPr>
      <w:r>
        <w:rPr>
          <w:noProof/>
        </w:rPr>
        <mc:AlternateContent>
          <mc:Choice Requires="wps">
            <w:drawing>
              <wp:anchor distT="0" distB="0" distL="114300" distR="114300" simplePos="0" relativeHeight="251671552" behindDoc="0" locked="0" layoutInCell="1" allowOverlap="1" wp14:anchorId="3AE42C63" wp14:editId="0CCD2AEC">
                <wp:simplePos x="0" y="0"/>
                <wp:positionH relativeFrom="column">
                  <wp:posOffset>0</wp:posOffset>
                </wp:positionH>
                <wp:positionV relativeFrom="paragraph">
                  <wp:posOffset>25400</wp:posOffset>
                </wp:positionV>
                <wp:extent cx="3187700" cy="0"/>
                <wp:effectExtent l="19050" t="15875" r="12700" b="12700"/>
                <wp:wrapTopAndBottom/>
                <wp:docPr id="160714655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DDF796" id="Line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9B445A5" w14:textId="77777777" w:rsidR="002D0E71" w:rsidRDefault="002D0E71">
      <w:pPr>
        <w:pStyle w:val="Normal6"/>
      </w:pPr>
    </w:p>
    <w:p w14:paraId="53E09FD6" w14:textId="77777777" w:rsidR="002D0E71" w:rsidRDefault="00000000">
      <w:pPr>
        <w:pStyle w:val="Normal6"/>
        <w:widowControl w:val="0"/>
        <w:spacing w:before="200" w:line="260" w:lineRule="atLeast"/>
        <w:jc w:val="both"/>
      </w:pPr>
      <w:bookmarkStart w:id="884" w:name="Bookmark_para_2_5"/>
      <w:bookmarkEnd w:id="884"/>
      <w:r>
        <w:rPr>
          <w:rFonts w:ascii="Arial" w:eastAsia="Arial" w:hAnsi="Arial" w:cs="Arial"/>
          <w:color w:val="000000"/>
          <w:sz w:val="20"/>
        </w:rPr>
        <w:t xml:space="preserve"> [*906]  </w:t>
      </w:r>
      <w:r>
        <w:rPr>
          <w:rFonts w:ascii="Arial" w:eastAsia="Arial" w:hAnsi="Arial" w:cs="Arial"/>
          <w:smallCaps/>
          <w:color w:val="000000"/>
          <w:sz w:val="20"/>
        </w:rPr>
        <w:t>Wood</w:t>
      </w:r>
      <w:r>
        <w:rPr>
          <w:rFonts w:ascii="Arial" w:eastAsia="Arial" w:hAnsi="Arial" w:cs="Arial"/>
          <w:color w:val="000000"/>
          <w:sz w:val="20"/>
        </w:rPr>
        <w:t xml:space="preserve">, </w:t>
      </w:r>
      <w:r>
        <w:rPr>
          <w:rFonts w:ascii="Arial" w:eastAsia="Arial" w:hAnsi="Arial" w:cs="Arial"/>
          <w:i/>
          <w:color w:val="000000"/>
          <w:sz w:val="20"/>
        </w:rPr>
        <w:t>Chief Judge</w:t>
      </w:r>
      <w:r>
        <w:rPr>
          <w:rFonts w:ascii="Arial" w:eastAsia="Arial" w:hAnsi="Arial" w:cs="Arial"/>
          <w:color w:val="000000"/>
          <w:sz w:val="20"/>
        </w:rPr>
        <w:t>. No one would accuse the Medicaid program of simplicity. Our task in this appeal is to consider whether Indiana has chosen an acceptable way to deliver certain home- and community-based services. It does so through so-called waiver programs that are operated by state Medicaid agencies. The word "waiver" is used because the default assumption under Medicaid is that these kinds of services will be delivered in institutions. Congress has [**3]  recognized, however, that many people are better served by and prefer community- based care. For these people, it uses waiver programs under which the state (and the federal government) will pick up the tab.</w:t>
      </w:r>
    </w:p>
    <w:p w14:paraId="6B60A6DC" w14:textId="77777777" w:rsidR="002D0E71" w:rsidRDefault="00000000">
      <w:pPr>
        <w:pStyle w:val="Normal6"/>
        <w:widowControl w:val="0"/>
        <w:spacing w:before="200" w:line="260" w:lineRule="atLeast"/>
        <w:jc w:val="both"/>
      </w:pPr>
      <w:bookmarkStart w:id="885" w:name="Bookmark_para_3_5"/>
      <w:bookmarkEnd w:id="885"/>
      <w:r>
        <w:rPr>
          <w:rFonts w:ascii="Arial" w:eastAsia="Arial" w:hAnsi="Arial" w:cs="Arial"/>
          <w:color w:val="000000"/>
          <w:sz w:val="20"/>
        </w:rPr>
        <w:t>The Indiana Family and Social Services Administration (the Agency) runs three waiver programs relevant to this case: the Aged and Disabled Medicaid Waiver Program (A&amp;D waiver), the Community Integration and Habilitation Medicaid Waiver Program (CIH waiver), and the Family Supports Medicaid Waiver Program (FS waiver). Importantly for our case, the programs vary in how much money each client can receive, what must be demonstrated to qualify for aid, and who is entitled to assistance. Because Indiana has closed most of its institutional facilities, these waiver programs serve the vast majority of people with disabilities in Indiana. The state's total institutional capacity can accommodate only one quarter of the number of people on the CIH waiver alone.</w:t>
      </w:r>
    </w:p>
    <w:p w14:paraId="75EE491E" w14:textId="77777777" w:rsidR="002D0E71" w:rsidRDefault="00000000">
      <w:pPr>
        <w:pStyle w:val="Normal6"/>
        <w:widowControl w:val="0"/>
        <w:spacing w:before="200" w:line="260" w:lineRule="atLeast"/>
        <w:jc w:val="both"/>
      </w:pPr>
      <w:bookmarkStart w:id="886" w:name="Bookmark_para_4_5"/>
      <w:bookmarkEnd w:id="886"/>
      <w:r>
        <w:rPr>
          <w:rFonts w:ascii="Arial" w:eastAsia="Arial" w:hAnsi="Arial" w:cs="Arial"/>
          <w:color w:val="000000"/>
          <w:sz w:val="20"/>
        </w:rPr>
        <w:t>Until 2011, the Agency placed many people with developmental disabilities on the A&amp;D waiver, which has no cap on services. That changed when the Agency decided that it had not been adhering to certain A&amp;D rules. In order to fix its mistakes, [**4]  it enacted a policy change that rendered many developmentally disabled persons, including the plaintiffs, ineligible for care under the A&amp;D waiver. These people were moved to the FS waiver, under which they may receive services worth no more than $16,545 annually. Developmentally disabled people who were switched from the A&amp;D waiver to the FS waiver may apply for the CIH waiver, which is uncapped. But not everyone qualifies for the CIH waiver, and so this possibility is an empty one for many.</w:t>
      </w:r>
    </w:p>
    <w:p w14:paraId="51780633" w14:textId="77777777" w:rsidR="002D0E71" w:rsidRDefault="00000000">
      <w:pPr>
        <w:pStyle w:val="Normal6"/>
        <w:widowControl w:val="0"/>
        <w:spacing w:before="200" w:line="260" w:lineRule="atLeast"/>
        <w:jc w:val="both"/>
      </w:pPr>
      <w:bookmarkStart w:id="887" w:name="Bookmark_para_5_5"/>
      <w:bookmarkEnd w:id="887"/>
      <w:r>
        <w:rPr>
          <w:rFonts w:ascii="Arial" w:eastAsia="Arial" w:hAnsi="Arial" w:cs="Arial"/>
          <w:color w:val="000000"/>
          <w:sz w:val="20"/>
        </w:rPr>
        <w:t xml:space="preserve">The plaintiffs in the two cases we have consolidated for disposition are developmentally disabled persons who were moved from the A&amp;D waiver to the FS waiver. They argue that their new assignment violates the integration mandate of the Americans with Disabilities Act (ADA), 42 U.S.C. §§ 12101 </w:t>
      </w:r>
      <w:r>
        <w:rPr>
          <w:rFonts w:ascii="Arial" w:eastAsia="Arial" w:hAnsi="Arial" w:cs="Arial"/>
          <w:i/>
          <w:color w:val="000000"/>
          <w:sz w:val="20"/>
        </w:rPr>
        <w:t>et seq.</w:t>
      </w:r>
      <w:r>
        <w:rPr>
          <w:rFonts w:ascii="Arial" w:eastAsia="Arial" w:hAnsi="Arial" w:cs="Arial"/>
          <w:color w:val="000000"/>
          <w:sz w:val="20"/>
        </w:rPr>
        <w:t>, because it deprives them of community interaction and puts them at risk of institutionalization. They also seek class certification.</w:t>
      </w:r>
    </w:p>
    <w:p w14:paraId="0492A793" w14:textId="77777777" w:rsidR="002D0E71" w:rsidRDefault="00000000">
      <w:pPr>
        <w:pStyle w:val="Normal6"/>
        <w:widowControl w:val="0"/>
        <w:spacing w:before="200" w:line="260" w:lineRule="atLeast"/>
        <w:jc w:val="both"/>
      </w:pPr>
      <w:bookmarkStart w:id="888" w:name="Bookmark_para_6_5"/>
      <w:bookmarkEnd w:id="888"/>
      <w:r>
        <w:rPr>
          <w:rFonts w:ascii="Arial" w:eastAsia="Arial" w:hAnsi="Arial" w:cs="Arial"/>
          <w:color w:val="000000"/>
          <w:sz w:val="20"/>
        </w:rPr>
        <w:t>The district court granted summary judgment to the defendants on the integration-mandate claims and denied class certification. We conclude that there is a genuine dispute of material fact with respect to the individual claims based on the integration mandate, and so judgment for the defendants [**5]  to that extent was premature. The district court did not abuse its discretion, however, in declining to certify the class, because the proposed class is too vague.</w:t>
      </w:r>
    </w:p>
    <w:p w14:paraId="09336C1A" w14:textId="77777777" w:rsidR="002D0E71" w:rsidRDefault="00000000">
      <w:pPr>
        <w:pStyle w:val="Normal6"/>
        <w:widowControl w:val="0"/>
        <w:spacing w:before="240" w:line="260" w:lineRule="atLeast"/>
      </w:pPr>
      <w:r>
        <w:br/>
      </w:r>
      <w:r>
        <w:rPr>
          <w:rFonts w:ascii="Arial" w:eastAsia="Arial" w:hAnsi="Arial" w:cs="Arial"/>
          <w:b/>
          <w:color w:val="000000"/>
          <w:sz w:val="20"/>
        </w:rPr>
        <w:t>I</w:t>
      </w:r>
    </w:p>
    <w:p w14:paraId="14C6CFAE" w14:textId="77777777" w:rsidR="002D0E71" w:rsidRDefault="00000000">
      <w:pPr>
        <w:pStyle w:val="Normal6"/>
        <w:widowControl w:val="0"/>
        <w:spacing w:before="120" w:line="260" w:lineRule="atLeast"/>
      </w:pPr>
      <w:r>
        <w:rPr>
          <w:rFonts w:ascii="Arial" w:eastAsia="Arial" w:hAnsi="Arial" w:cs="Arial"/>
          <w:color w:val="000000"/>
          <w:sz w:val="20"/>
        </w:rPr>
        <w:t>A</w:t>
      </w:r>
    </w:p>
    <w:p w14:paraId="2A19FC76" w14:textId="77777777" w:rsidR="002D0E71" w:rsidRDefault="00000000">
      <w:pPr>
        <w:pStyle w:val="Normal6"/>
        <w:widowControl w:val="0"/>
        <w:spacing w:before="200" w:line="260" w:lineRule="atLeast"/>
        <w:jc w:val="both"/>
      </w:pPr>
      <w:bookmarkStart w:id="889" w:name="Bookmark_para_7_5"/>
      <w:bookmarkEnd w:id="889"/>
      <w:r>
        <w:rPr>
          <w:rFonts w:ascii="Arial" w:eastAsia="Arial" w:hAnsi="Arial" w:cs="Arial"/>
          <w:color w:val="000000"/>
          <w:sz w:val="20"/>
        </w:rPr>
        <w:t xml:space="preserve">In 1981, Congress enacted Section 1915(c) of the Social Security Act (SSA), </w:t>
      </w:r>
      <w:bookmarkStart w:id="890" w:name="Bookmark_LNHNREFclscc1_4"/>
      <w:bookmarkEnd w:id="890"/>
      <w:r>
        <w:rPr>
          <w:rFonts w:ascii="Arial" w:eastAsia="Arial" w:hAnsi="Arial" w:cs="Arial"/>
          <w:color w:val="000000"/>
          <w:sz w:val="20"/>
        </w:rPr>
        <w:t xml:space="preserve">42 U.S.C. § 1396n,  [*907]  which established the Home and Community-Based Care Waiver Program. See Andrew I. Batavia, </w:t>
      </w:r>
      <w:r>
        <w:rPr>
          <w:rFonts w:ascii="Arial" w:eastAsia="Arial" w:hAnsi="Arial" w:cs="Arial"/>
          <w:i/>
          <w:color w:val="000000"/>
          <w:sz w:val="20"/>
        </w:rPr>
        <w:t>A Right to Personal Assistance Services: "Most Integrated Setting Appropriate" Requirements and the Independent Living Model of Long-Term Care</w:t>
      </w:r>
      <w:r>
        <w:rPr>
          <w:rFonts w:ascii="Arial" w:eastAsia="Arial" w:hAnsi="Arial" w:cs="Arial"/>
          <w:color w:val="000000"/>
          <w:sz w:val="20"/>
        </w:rPr>
        <w:t xml:space="preserve">, 27 </w:t>
      </w:r>
      <w:r>
        <w:rPr>
          <w:rFonts w:ascii="Arial" w:eastAsia="Arial" w:hAnsi="Arial" w:cs="Arial"/>
          <w:smallCaps/>
          <w:color w:val="000000"/>
          <w:sz w:val="20"/>
        </w:rPr>
        <w:t>Am. J.L. &amp; Med.</w:t>
      </w:r>
      <w:r>
        <w:rPr>
          <w:rFonts w:ascii="Arial" w:eastAsia="Arial" w:hAnsi="Arial" w:cs="Arial"/>
          <w:color w:val="000000"/>
          <w:sz w:val="20"/>
        </w:rPr>
        <w:t xml:space="preserve"> 17, 24 (2001). The program allowed states to diverge from the traditional Medicaid structure by providing community-based services to people who would, under the traditional Medicaid structure, require institutionalization. Its purpose was to "provid[e] real choices and opportunities to control their lives for individuals who wish to live in the community" and allow deviation from Medicaid's traditional "institutional bias." </w:t>
      </w:r>
      <w:r>
        <w:rPr>
          <w:rFonts w:ascii="Arial" w:eastAsia="Arial" w:hAnsi="Arial" w:cs="Arial"/>
          <w:i/>
          <w:color w:val="000000"/>
          <w:sz w:val="20"/>
        </w:rPr>
        <w:t>Id.</w:t>
      </w:r>
    </w:p>
    <w:p w14:paraId="41F701D3" w14:textId="77777777" w:rsidR="002D0E71" w:rsidRDefault="00000000">
      <w:pPr>
        <w:pStyle w:val="Normal6"/>
        <w:widowControl w:val="0"/>
        <w:spacing w:before="200" w:line="260" w:lineRule="atLeast"/>
        <w:jc w:val="both"/>
      </w:pPr>
      <w:bookmarkStart w:id="891" w:name="Bookmark_para_8_5"/>
      <w:bookmarkEnd w:id="891"/>
      <w:r>
        <w:rPr>
          <w:rFonts w:ascii="Arial" w:eastAsia="Arial" w:hAnsi="Arial" w:cs="Arial"/>
          <w:color w:val="000000"/>
          <w:sz w:val="20"/>
        </w:rPr>
        <w:t xml:space="preserve">Participating states have significant discretion in how they craft their waiver programs. Nonetheless, the programs must conform to several restrictions: the average annual cost of a state's waiver programs cannot exceed that of institutional services, </w:t>
      </w:r>
      <w:r>
        <w:rPr>
          <w:rFonts w:ascii="Arial" w:eastAsia="Arial" w:hAnsi="Arial" w:cs="Arial"/>
          <w:i/>
          <w:color w:val="000000"/>
          <w:sz w:val="20"/>
        </w:rPr>
        <w:t>id.</w:t>
      </w:r>
      <w:r>
        <w:rPr>
          <w:rFonts w:ascii="Arial" w:eastAsia="Arial" w:hAnsi="Arial" w:cs="Arial"/>
          <w:color w:val="000000"/>
          <w:sz w:val="20"/>
        </w:rPr>
        <w:t xml:space="preserve">; states must inform eligible persons of their options and allow those [**6]  qualified to take advantage of waiver slots up to the number available, </w:t>
      </w:r>
      <w:r>
        <w:rPr>
          <w:rFonts w:ascii="Arial" w:eastAsia="Arial" w:hAnsi="Arial" w:cs="Arial"/>
          <w:i/>
          <w:color w:val="000000"/>
          <w:sz w:val="20"/>
        </w:rPr>
        <w:t>id.</w:t>
      </w:r>
      <w:r>
        <w:rPr>
          <w:rFonts w:ascii="Arial" w:eastAsia="Arial" w:hAnsi="Arial" w:cs="Arial"/>
          <w:color w:val="000000"/>
          <w:sz w:val="20"/>
        </w:rPr>
        <w:t>; and states must comply with the ADA's integration mandate, which dictates that states "shall administer services, programs, and activities in the most integrated setting appropriate to the needs of qualified individuals with disabilities," 28 C.F.R. § 35.130(d) (1998).</w:t>
      </w:r>
    </w:p>
    <w:p w14:paraId="3C0DD604" w14:textId="77777777" w:rsidR="002D0E71" w:rsidRDefault="00000000">
      <w:pPr>
        <w:pStyle w:val="Normal6"/>
        <w:widowControl w:val="0"/>
        <w:spacing w:before="120" w:line="260" w:lineRule="atLeast"/>
      </w:pPr>
      <w:r>
        <w:rPr>
          <w:rFonts w:ascii="Arial" w:eastAsia="Arial" w:hAnsi="Arial" w:cs="Arial"/>
          <w:color w:val="000000"/>
          <w:sz w:val="20"/>
        </w:rPr>
        <w:t>B</w:t>
      </w:r>
    </w:p>
    <w:p w14:paraId="79D83389" w14:textId="77777777" w:rsidR="002D0E71" w:rsidRDefault="00000000">
      <w:pPr>
        <w:pStyle w:val="Normal6"/>
        <w:widowControl w:val="0"/>
        <w:spacing w:before="200" w:line="260" w:lineRule="atLeast"/>
        <w:jc w:val="both"/>
      </w:pPr>
      <w:bookmarkStart w:id="892" w:name="Bookmark_para_9_5"/>
      <w:bookmarkEnd w:id="892"/>
      <w:r>
        <w:rPr>
          <w:rFonts w:ascii="Arial" w:eastAsia="Arial" w:hAnsi="Arial" w:cs="Arial"/>
          <w:color w:val="000000"/>
          <w:sz w:val="20"/>
        </w:rPr>
        <w:t>States submit detailed applications for each waiver program to the Centers for Medicare and Medicaid Services (CMS). CMS approves waiver programs for an initial term of three years, after which it may re-approve them for five-year periods. The A&amp;D waiver, the FS waiver, and the CIH waiver all fall under SSA § 1915(c), 42 U.S.C. § 1396n(c), and have been approved by CMS. (That approval is not at issue here.) The Agency oversees all of Indiana's waiver programs, through different subdivisions for each one.</w:t>
      </w:r>
    </w:p>
    <w:p w14:paraId="763E1809" w14:textId="77777777" w:rsidR="002D0E71" w:rsidRDefault="00000000">
      <w:pPr>
        <w:pStyle w:val="Normal6"/>
        <w:widowControl w:val="0"/>
        <w:spacing w:before="200" w:line="260" w:lineRule="atLeast"/>
        <w:jc w:val="both"/>
      </w:pPr>
      <w:bookmarkStart w:id="893" w:name="Bookmark_para_10_5"/>
      <w:bookmarkStart w:id="894" w:name="Bookmark_LNHNREFclscc2_4"/>
      <w:bookmarkEnd w:id="893"/>
      <w:bookmarkEnd w:id="894"/>
      <w:r>
        <w:rPr>
          <w:rFonts w:ascii="Arial" w:eastAsia="Arial" w:hAnsi="Arial" w:cs="Arial"/>
          <w:color w:val="000000"/>
          <w:sz w:val="20"/>
        </w:rPr>
        <w:t>Under Indiana law, the A&amp;D waiver is meant "to provide home- and community-based services to individuals who, but for the provision of such services, would require nursing facility level of care." The FS waiver provides "waiver services to participants of any age residing in a range of community settings as an alternative to care in an intermediate care facility for individuals with intellectual [**7]  disabilities ... or related conditions." The CIH waiver provides services to a similar population that meets additional criteria. While the FS waiver caps services at $16,545 per year, there is no cap on services under the A&amp;D or CIH waivers. Different services are available under each waiver, and the rules for reimbursement vary by program.</w:t>
      </w:r>
    </w:p>
    <w:p w14:paraId="472D087B" w14:textId="77777777" w:rsidR="002D0E71" w:rsidRDefault="00000000">
      <w:pPr>
        <w:pStyle w:val="Normal6"/>
        <w:widowControl w:val="0"/>
        <w:spacing w:before="200" w:line="260" w:lineRule="atLeast"/>
        <w:jc w:val="both"/>
      </w:pPr>
      <w:bookmarkStart w:id="895" w:name="Bookmark_para_11_5"/>
      <w:bookmarkEnd w:id="895"/>
      <w:r>
        <w:rPr>
          <w:rFonts w:ascii="Arial" w:eastAsia="Arial" w:hAnsi="Arial" w:cs="Arial"/>
          <w:color w:val="000000"/>
          <w:sz w:val="20"/>
        </w:rPr>
        <w:t xml:space="preserve">Waiver participants may also use services provided through the state's traditional Medicaid plan. These include "prior-authorization services," which are services that the state has pre-approved as medically necessary. 405 </w:t>
      </w:r>
      <w:r>
        <w:rPr>
          <w:rFonts w:ascii="Arial" w:eastAsia="Arial" w:hAnsi="Arial" w:cs="Arial"/>
          <w:smallCaps/>
          <w:color w:val="000000"/>
          <w:sz w:val="20"/>
        </w:rPr>
        <w:t>Ind. Admin. Code</w:t>
      </w:r>
      <w:r>
        <w:rPr>
          <w:rFonts w:ascii="Arial" w:eastAsia="Arial" w:hAnsi="Arial" w:cs="Arial"/>
          <w:color w:val="000000"/>
          <w:sz w:val="20"/>
        </w:rPr>
        <w:t xml:space="preserve"> § 5-3-13. There is one type of prior-authorization service relevant to this case: "home health services." </w:t>
      </w:r>
      <w:r>
        <w:rPr>
          <w:rFonts w:ascii="Arial" w:eastAsia="Arial" w:hAnsi="Arial" w:cs="Arial"/>
          <w:i/>
          <w:color w:val="000000"/>
          <w:sz w:val="20"/>
        </w:rPr>
        <w:t>Id.</w:t>
      </w:r>
      <w:r>
        <w:rPr>
          <w:rFonts w:ascii="Arial" w:eastAsia="Arial" w:hAnsi="Arial" w:cs="Arial"/>
          <w:color w:val="000000"/>
          <w:sz w:val="20"/>
        </w:rPr>
        <w:t xml:space="preserve"> § 5-3-13(a)(9). </w:t>
      </w:r>
      <w:bookmarkStart w:id="896" w:name="Bookmark_LNHNREFclscc3_4"/>
      <w:bookmarkEnd w:id="896"/>
      <w:r>
        <w:rPr>
          <w:rFonts w:ascii="Arial" w:eastAsia="Arial" w:hAnsi="Arial" w:cs="Arial"/>
          <w:color w:val="000000"/>
          <w:sz w:val="20"/>
        </w:rPr>
        <w:t xml:space="preserve">Home-health services include "[s]killed nursing," "[h]ome health aid services," "[p]hysical and occupational therapies," "[s]peech pathology services," "[r]enal dialysis," and "[t]elehealth services." </w:t>
      </w:r>
      <w:r>
        <w:rPr>
          <w:rFonts w:ascii="Arial" w:eastAsia="Arial" w:hAnsi="Arial" w:cs="Arial"/>
          <w:i/>
          <w:color w:val="000000"/>
          <w:sz w:val="20"/>
        </w:rPr>
        <w:t>Id.</w:t>
      </w:r>
      <w:r>
        <w:rPr>
          <w:rFonts w:ascii="Arial" w:eastAsia="Arial" w:hAnsi="Arial" w:cs="Arial"/>
          <w:color w:val="000000"/>
          <w:sz w:val="20"/>
        </w:rPr>
        <w:t xml:space="preserve"> § 1-4.2-3(a). Home-health services, as the name suggests, "must be performed in the home." </w:t>
      </w:r>
      <w:r>
        <w:rPr>
          <w:rFonts w:ascii="Arial" w:eastAsia="Arial" w:hAnsi="Arial" w:cs="Arial"/>
          <w:i/>
          <w:color w:val="000000"/>
          <w:sz w:val="20"/>
        </w:rPr>
        <w:t>Id.</w:t>
      </w:r>
      <w:r>
        <w:rPr>
          <w:rFonts w:ascii="Arial" w:eastAsia="Arial" w:hAnsi="Arial" w:cs="Arial"/>
          <w:color w:val="000000"/>
          <w:sz w:val="20"/>
        </w:rPr>
        <w:t xml:space="preserve"> § 1-4.2-3. If a service is available under both the relevant waiver and the state Medicaid programs, participants must generally use prior-authorization services before tapping into their waiver funds.</w:t>
      </w:r>
    </w:p>
    <w:p w14:paraId="25AB303A" w14:textId="77777777" w:rsidR="002D0E71" w:rsidRDefault="00000000">
      <w:pPr>
        <w:pStyle w:val="Normal6"/>
        <w:widowControl w:val="0"/>
        <w:spacing w:before="200" w:line="260" w:lineRule="atLeast"/>
        <w:jc w:val="both"/>
      </w:pPr>
      <w:bookmarkStart w:id="897" w:name="Bookmark_para_12_5"/>
      <w:bookmarkEnd w:id="897"/>
      <w:r>
        <w:rPr>
          <w:rFonts w:ascii="Arial" w:eastAsia="Arial" w:hAnsi="Arial" w:cs="Arial"/>
          <w:color w:val="000000"/>
          <w:sz w:val="20"/>
        </w:rPr>
        <w:t>The Agency assigns a case manager to each waiver participant. The case manager  [*908]  works with the participant [**8]  and his or her guardian to determine the appropriate services for that participant. Certain services are available under some waivers but not under others. After the case manager, participant, and guardian create an individualized plan, the case manager submits it for approval to the appropriate Agency subdivision.</w:t>
      </w:r>
    </w:p>
    <w:p w14:paraId="3365D6DF" w14:textId="77777777" w:rsidR="002D0E71" w:rsidRDefault="00000000">
      <w:pPr>
        <w:pStyle w:val="Normal6"/>
        <w:widowControl w:val="0"/>
        <w:spacing w:before="120" w:line="260" w:lineRule="atLeast"/>
      </w:pPr>
      <w:r>
        <w:rPr>
          <w:rFonts w:ascii="Arial" w:eastAsia="Arial" w:hAnsi="Arial" w:cs="Arial"/>
          <w:color w:val="000000"/>
          <w:sz w:val="20"/>
        </w:rPr>
        <w:t>C</w:t>
      </w:r>
    </w:p>
    <w:p w14:paraId="64F0EC85" w14:textId="77777777" w:rsidR="002D0E71" w:rsidRDefault="00000000">
      <w:pPr>
        <w:pStyle w:val="Normal6"/>
        <w:widowControl w:val="0"/>
        <w:spacing w:before="200" w:line="260" w:lineRule="atLeast"/>
        <w:jc w:val="both"/>
      </w:pPr>
      <w:bookmarkStart w:id="898" w:name="Bookmark_para_13_5"/>
      <w:bookmarkEnd w:id="898"/>
      <w:r>
        <w:rPr>
          <w:rFonts w:ascii="Arial" w:eastAsia="Arial" w:hAnsi="Arial" w:cs="Arial"/>
          <w:color w:val="000000"/>
          <w:sz w:val="20"/>
        </w:rPr>
        <w:t xml:space="preserve">In 2006, the state opened the A&amp;D waiver to persons with developmental disabilities, so long as they had either "skilled medical need" or substantial functional limitations. In 2011, it reversed this policy, and thereafter allowed only people who could demonstrate both a skilled medical need </w:t>
      </w:r>
      <w:r>
        <w:rPr>
          <w:rFonts w:ascii="Arial" w:eastAsia="Arial" w:hAnsi="Arial" w:cs="Arial"/>
          <w:i/>
          <w:color w:val="000000"/>
          <w:sz w:val="20"/>
        </w:rPr>
        <w:t>and</w:t>
      </w:r>
      <w:r>
        <w:rPr>
          <w:rFonts w:ascii="Arial" w:eastAsia="Arial" w:hAnsi="Arial" w:cs="Arial"/>
          <w:color w:val="000000"/>
          <w:sz w:val="20"/>
        </w:rPr>
        <w:t xml:space="preserve"> substantial functional limitations to participate in the A&amp;D waiver. As space became available on the FS waiver, the state moved A&amp;D waiver participants to the FS waiver.</w:t>
      </w:r>
    </w:p>
    <w:p w14:paraId="09AE9D69" w14:textId="77777777" w:rsidR="002D0E71" w:rsidRDefault="00000000">
      <w:pPr>
        <w:pStyle w:val="Normal6"/>
        <w:widowControl w:val="0"/>
        <w:spacing w:before="200" w:line="260" w:lineRule="atLeast"/>
        <w:jc w:val="both"/>
      </w:pPr>
      <w:bookmarkStart w:id="899" w:name="Bookmark_para_14_5"/>
      <w:bookmarkEnd w:id="899"/>
      <w:r>
        <w:rPr>
          <w:rFonts w:ascii="Arial" w:eastAsia="Arial" w:hAnsi="Arial" w:cs="Arial"/>
          <w:color w:val="000000"/>
          <w:sz w:val="20"/>
        </w:rPr>
        <w:t>The plaintiffs are developmentally disabled people who rely on Indiana's home- and community-based Medicaid waiver programs. Karla Steimel suffers from cerebral palsy, while Thomas Maertz has been diagnosed with both cerebral palsy and mental retardation. Colton and Cody Cole are twin brothers; they both suffer from cerebral palsy. Timothy Keister has been diagnosed with mental retardation. Michael and Lois Beckem [**9]  are siblings; Michael has been diagnosed with mild mental retardation, and Lois has Down's syndrome.</w:t>
      </w:r>
    </w:p>
    <w:p w14:paraId="0AD978A0" w14:textId="77777777" w:rsidR="002D0E71" w:rsidRDefault="00000000">
      <w:pPr>
        <w:pStyle w:val="Normal6"/>
        <w:widowControl w:val="0"/>
        <w:spacing w:before="200" w:line="260" w:lineRule="atLeast"/>
        <w:jc w:val="both"/>
      </w:pPr>
      <w:bookmarkStart w:id="900" w:name="Bookmark_para_15_5"/>
      <w:bookmarkEnd w:id="900"/>
      <w:r>
        <w:rPr>
          <w:rFonts w:ascii="Arial" w:eastAsia="Arial" w:hAnsi="Arial" w:cs="Arial"/>
          <w:color w:val="000000"/>
          <w:sz w:val="20"/>
        </w:rPr>
        <w:t>Before 2013, the plaintiffs were served under Indiana's A&amp;D waiver. Under the A&amp;D waiver, they were able to enjoy community activities such as eating in restaurants, visiting flea markets, and window-shopping. Michael and Lois Beckem attended day services, which allowed them to go into the community and interact with people without disabilities. While all of the plaintiffs suffer from severe conditions, none of them needs the skilled medical services necessary to meet the prerequisites of the A&amp;D waiver, as it has been structured since 2011. All were shifted to the FS waiver in 2013. Later, Karla Steimel and Timothy Keister were moved to the CIH waiver; they concede that their claims are moot. While Lois Beckem has since been moved back to the A&amp;D waiver, she asserts a damages claim. The Coles, Maertz, and Michael Beckem remain on the FS waiver.</w:t>
      </w:r>
    </w:p>
    <w:p w14:paraId="53F53D6F" w14:textId="77777777" w:rsidR="002D0E71" w:rsidRDefault="00000000">
      <w:pPr>
        <w:pStyle w:val="Normal6"/>
        <w:widowControl w:val="0"/>
        <w:spacing w:before="200" w:line="260" w:lineRule="atLeast"/>
        <w:jc w:val="both"/>
      </w:pPr>
      <w:bookmarkStart w:id="901" w:name="Bookmark_para_16_5"/>
      <w:bookmarkEnd w:id="901"/>
      <w:r>
        <w:rPr>
          <w:rFonts w:ascii="Arial" w:eastAsia="Arial" w:hAnsi="Arial" w:cs="Arial"/>
          <w:color w:val="000000"/>
          <w:sz w:val="20"/>
        </w:rPr>
        <w:t>The plaintiffs still before us allege that their forced move to the FS waiver has dramatically curtailed their ability to participate in community activities. According to their guardians' affidavits, the plaintiffs were able to enjoy roughly [**10]  40 hours in the community each week under the A&amp;D waiver. Since their transition to the FS waiver, their community time has shrunk to 10 to 12 hours per week. This roughly 30-hour-per- week reduction is a result of the FS waiver cap, under which they are allowed to use only $16,545 in waiver services. (That amount of money works out, plaintiffs say, to roughly 12 hours per week in services that can be used outside the home.) Although the plaintiffs are also eligible for Medicaid prior-authorization services, those services may not be used outside the home and so are not relevant to these claims.</w:t>
      </w:r>
    </w:p>
    <w:p w14:paraId="0242A4B8" w14:textId="77777777" w:rsidR="002D0E71" w:rsidRDefault="00000000">
      <w:pPr>
        <w:pStyle w:val="Normal6"/>
        <w:widowControl w:val="0"/>
        <w:spacing w:before="200" w:line="260" w:lineRule="atLeast"/>
        <w:jc w:val="both"/>
      </w:pPr>
      <w:bookmarkStart w:id="902" w:name="Bookmark_para_17_4"/>
      <w:bookmarkEnd w:id="902"/>
      <w:r>
        <w:rPr>
          <w:rFonts w:ascii="Arial" w:eastAsia="Arial" w:hAnsi="Arial" w:cs="Arial"/>
          <w:color w:val="000000"/>
          <w:sz w:val="20"/>
        </w:rPr>
        <w:t>The plaintiffs' guardians also aver that despite the availability of prior-authorization services, restrictions on those services have led to lapses in supervision that have either led to injury or serious risk of injury to the plaintiffs. The plaintiffs contend that, given the limitations on prior-authorization services and the monetary cap on the FS waiver, these gaps in supervision are unavoidable and have put them at serious risk of institutionalization. Tamara Awald, the mother of Colton and Cody  [*909]  Cole, also indicates that she has had to pay out-of-pocket for care when she travels for work. [**11] </w:t>
      </w:r>
    </w:p>
    <w:p w14:paraId="51B5CEB4" w14:textId="77777777" w:rsidR="002D0E71" w:rsidRDefault="00000000">
      <w:pPr>
        <w:pStyle w:val="Normal6"/>
        <w:widowControl w:val="0"/>
        <w:spacing w:before="200" w:line="260" w:lineRule="atLeast"/>
        <w:jc w:val="both"/>
      </w:pPr>
      <w:bookmarkStart w:id="903" w:name="Bookmark_para_18_4"/>
      <w:bookmarkEnd w:id="903"/>
      <w:r>
        <w:rPr>
          <w:rFonts w:ascii="Arial" w:eastAsia="Arial" w:hAnsi="Arial" w:cs="Arial"/>
          <w:color w:val="000000"/>
          <w:sz w:val="20"/>
        </w:rPr>
        <w:t>Karla Steimel filed her initial class-action complaint and motion for class certification on June 14, 2013. Before the court ruled on that motion, Maertz, the Coles, and Keister moved for leave to intervene as named plaintiffs. The district court granted the intervention motion, but on March 24, 2014 it denied class certification. The Beckems commenced their separate case on April 30, 2014.</w:t>
      </w:r>
    </w:p>
    <w:p w14:paraId="46C7C182" w14:textId="77777777" w:rsidR="002D0E71" w:rsidRDefault="00000000">
      <w:pPr>
        <w:pStyle w:val="Normal6"/>
        <w:widowControl w:val="0"/>
        <w:spacing w:before="200" w:line="260" w:lineRule="atLeast"/>
        <w:jc w:val="both"/>
      </w:pPr>
      <w:bookmarkStart w:id="904" w:name="Bookmark_para_19_4"/>
      <w:bookmarkEnd w:id="904"/>
      <w:r>
        <w:rPr>
          <w:rFonts w:ascii="Arial" w:eastAsia="Arial" w:hAnsi="Arial" w:cs="Arial"/>
          <w:color w:val="000000"/>
          <w:sz w:val="20"/>
        </w:rPr>
        <w:t>The parties in both cases filed cross-motions for summary judgment. The state argued that it should prevail because the plaintiffs' claims did not even implicate the integration mandate, while the plaintiffs contended that they were entitled to judgment because they had shown beyond dispute that the state was violating the integration mandate. The district court agreed with the state and granted it summary judgment in both cases on June 9, 2015. This appeal followed.</w:t>
      </w:r>
    </w:p>
    <w:p w14:paraId="78577B34" w14:textId="77777777" w:rsidR="002D0E71" w:rsidRDefault="00000000">
      <w:pPr>
        <w:pStyle w:val="Normal6"/>
        <w:widowControl w:val="0"/>
        <w:spacing w:before="240" w:line="260" w:lineRule="atLeast"/>
      </w:pPr>
      <w:r>
        <w:br/>
      </w:r>
      <w:r>
        <w:rPr>
          <w:rFonts w:ascii="Arial" w:eastAsia="Arial" w:hAnsi="Arial" w:cs="Arial"/>
          <w:b/>
          <w:color w:val="000000"/>
          <w:sz w:val="20"/>
        </w:rPr>
        <w:t>II</w:t>
      </w:r>
    </w:p>
    <w:p w14:paraId="4F1E7812" w14:textId="77777777" w:rsidR="002D0E71" w:rsidRDefault="00000000">
      <w:pPr>
        <w:pStyle w:val="Normal6"/>
        <w:widowControl w:val="0"/>
        <w:spacing w:before="200" w:line="260" w:lineRule="atLeast"/>
        <w:jc w:val="both"/>
      </w:pPr>
      <w:bookmarkStart w:id="905" w:name="Bookmark_para_20_3"/>
      <w:bookmarkStart w:id="906" w:name="Bookmark_I5JXSBG228T4TP0020000400"/>
      <w:bookmarkStart w:id="907" w:name="Bookmark_LNHNREFclscc4_4"/>
      <w:bookmarkEnd w:id="905"/>
      <w:bookmarkEnd w:id="906"/>
      <w:bookmarkEnd w:id="907"/>
      <w:r>
        <w:rPr>
          <w:rFonts w:ascii="Arial" w:eastAsia="Arial" w:hAnsi="Arial" w:cs="Arial"/>
          <w:color w:val="000000"/>
          <w:sz w:val="20"/>
        </w:rPr>
        <w:t xml:space="preserve">Congress intended the ADA "to provide a clear and comprehensive national mandate for the elimination of discrimination against individuals with disabilities." </w:t>
      </w:r>
      <w:bookmarkStart w:id="908" w:name="Bookmark_I5JXSBG228T4TP0010000400"/>
      <w:bookmarkEnd w:id="908"/>
      <w:r>
        <w:rPr>
          <w:rFonts w:ascii="Arial" w:eastAsia="Arial" w:hAnsi="Arial" w:cs="Arial"/>
          <w:i/>
          <w:color w:val="000000"/>
          <w:sz w:val="20"/>
        </w:rPr>
        <w:t>Olmstead v. L.C. ex rel. Zimring</w:t>
      </w:r>
      <w:r>
        <w:rPr>
          <w:rFonts w:ascii="Arial" w:eastAsia="Arial" w:hAnsi="Arial" w:cs="Arial"/>
          <w:color w:val="000000"/>
          <w:sz w:val="20"/>
        </w:rPr>
        <w:t xml:space="preserve">, 527 U.S. 581, 589, 119 S. Ct. 2176, 144 L. Ed. 2d 540 (1999) (quoting 42 U.S.C. § 12101(b)(1)). Section 12132 decrees that "no qualified individual with a disability shall, by reason of such disability, be excluded from participation in or be denied the benefits of the services, [**12]  programs, or activities of a public entity, or be subjected to discrimination by any such entity." A "public entity" includes "any State or local government" or "any department [or] agency ... of a State ... or local government." </w:t>
      </w:r>
      <w:r>
        <w:rPr>
          <w:rFonts w:ascii="Arial" w:eastAsia="Arial" w:hAnsi="Arial" w:cs="Arial"/>
          <w:i/>
          <w:color w:val="000000"/>
          <w:sz w:val="20"/>
        </w:rPr>
        <w:t>Id.</w:t>
      </w:r>
      <w:r>
        <w:rPr>
          <w:rFonts w:ascii="Arial" w:eastAsia="Arial" w:hAnsi="Arial" w:cs="Arial"/>
          <w:color w:val="000000"/>
          <w:sz w:val="20"/>
        </w:rPr>
        <w:t xml:space="preserve"> §§ 12131(1)(A), (B). A "qualified individual with a disability" is someone who, "with or without reasonable modifications to rules, policies, or practices ... meets the essential eligibility requirements for the receipt of services or the participation in programs or activities provided by a public entity." </w:t>
      </w:r>
      <w:r>
        <w:rPr>
          <w:rFonts w:ascii="Arial" w:eastAsia="Arial" w:hAnsi="Arial" w:cs="Arial"/>
          <w:i/>
          <w:color w:val="000000"/>
          <w:sz w:val="20"/>
        </w:rPr>
        <w:t>Id.</w:t>
      </w:r>
      <w:r>
        <w:rPr>
          <w:rFonts w:ascii="Arial" w:eastAsia="Arial" w:hAnsi="Arial" w:cs="Arial"/>
          <w:color w:val="000000"/>
          <w:sz w:val="20"/>
        </w:rPr>
        <w:t xml:space="preserve"> § 12131(2).</w:t>
      </w:r>
    </w:p>
    <w:p w14:paraId="5EF11FE1" w14:textId="77777777" w:rsidR="002D0E71" w:rsidRDefault="00000000">
      <w:pPr>
        <w:pStyle w:val="Normal6"/>
        <w:widowControl w:val="0"/>
        <w:spacing w:before="200" w:line="260" w:lineRule="atLeast"/>
        <w:jc w:val="both"/>
      </w:pPr>
      <w:bookmarkStart w:id="909" w:name="Bookmark_para_21_3"/>
      <w:bookmarkStart w:id="910" w:name="Bookmark_LNHNREFclscc5_4"/>
      <w:bookmarkEnd w:id="909"/>
      <w:bookmarkEnd w:id="910"/>
      <w:r>
        <w:rPr>
          <w:rFonts w:ascii="Arial" w:eastAsia="Arial" w:hAnsi="Arial" w:cs="Arial"/>
          <w:color w:val="000000"/>
          <w:sz w:val="20"/>
        </w:rPr>
        <w:t xml:space="preserve">The ADA directs the Attorney General to "promulgate regulations ... that implement" the provisions of Title II, including § 12132. </w:t>
      </w:r>
      <w:r>
        <w:rPr>
          <w:rFonts w:ascii="Arial" w:eastAsia="Arial" w:hAnsi="Arial" w:cs="Arial"/>
          <w:i/>
          <w:color w:val="000000"/>
          <w:sz w:val="20"/>
        </w:rPr>
        <w:t>Id.</w:t>
      </w:r>
      <w:r>
        <w:rPr>
          <w:rFonts w:ascii="Arial" w:eastAsia="Arial" w:hAnsi="Arial" w:cs="Arial"/>
          <w:color w:val="000000"/>
          <w:sz w:val="20"/>
        </w:rPr>
        <w:t xml:space="preserve"> § 12134(a). In response to this command, the Attorney General implemented the regulation known as the "integration mandate." The integration mandate states that "[a] public entity shall administer services, programs, and activities in the most integrated setting appropriate to the needs of qualified individuals with disabilities." 28 C.F.R. § 35.130(d) (1998). The regulations' preamble defines "the most integrated setting appropriate to the needs of qualified individuals with disabilities" as "a setting that enables individuals with disabilities to interact with [**13]  non-disabled persons to the fullest extent possible." 28 C.F.R. pt. 35, App. B. Public entities are required to "make reasonable modifications" to avoid "discrimination on the basis of disability" except if doing so would "fundamentally alter" the nature of the programs. 28 C.F.R. § 35.130(b)(7).</w:t>
      </w:r>
    </w:p>
    <w:p w14:paraId="6360F6AB" w14:textId="77777777" w:rsidR="002D0E71" w:rsidRDefault="00000000">
      <w:pPr>
        <w:pStyle w:val="Normal6"/>
        <w:widowControl w:val="0"/>
        <w:spacing w:before="200" w:line="260" w:lineRule="atLeast"/>
        <w:jc w:val="both"/>
      </w:pPr>
      <w:bookmarkStart w:id="911" w:name="Bookmark_para_22_3"/>
      <w:bookmarkStart w:id="912" w:name="Bookmark_I5JXSBG228T4TP0040000400"/>
      <w:bookmarkStart w:id="913" w:name="Bookmark_LNHNREFclscc6_4"/>
      <w:bookmarkEnd w:id="911"/>
      <w:bookmarkEnd w:id="912"/>
      <w:bookmarkEnd w:id="913"/>
      <w:r>
        <w:rPr>
          <w:rFonts w:ascii="Arial" w:eastAsia="Arial" w:hAnsi="Arial" w:cs="Arial"/>
          <w:color w:val="000000"/>
          <w:sz w:val="20"/>
        </w:rPr>
        <w:t xml:space="preserve">Because the relevant provisions of the Rehabilitation Act and its regulations are "materially identical" to their ADA counterparts, </w:t>
      </w:r>
      <w:bookmarkStart w:id="914" w:name="Bookmark_I5JXSBG228T4TP0030000400"/>
      <w:bookmarkEnd w:id="914"/>
      <w:r>
        <w:rPr>
          <w:rFonts w:ascii="Arial" w:eastAsia="Arial" w:hAnsi="Arial" w:cs="Arial"/>
          <w:i/>
          <w:color w:val="000000"/>
          <w:sz w:val="20"/>
        </w:rPr>
        <w:t>Bruggeman ex rel. Bruggeman v. Blagojevich</w:t>
      </w:r>
      <w:r>
        <w:rPr>
          <w:rFonts w:ascii="Arial" w:eastAsia="Arial" w:hAnsi="Arial" w:cs="Arial"/>
          <w:color w:val="000000"/>
          <w:sz w:val="20"/>
        </w:rPr>
        <w:t xml:space="preserve">, 324 F.3d 906, 912 (7th Cir. 2003), courts "construe and apply them in a consistent manner." </w:t>
      </w:r>
      <w:bookmarkStart w:id="915" w:name="Bookmark_I5JXSBG228T4TP0050000400"/>
      <w:bookmarkEnd w:id="915"/>
      <w:r>
        <w:rPr>
          <w:rFonts w:ascii="Arial" w:eastAsia="Arial" w:hAnsi="Arial" w:cs="Arial"/>
          <w:i/>
          <w:color w:val="000000"/>
          <w:sz w:val="20"/>
        </w:rPr>
        <w:t>Radaszewski ex rel. Radaszewski v. Maram</w:t>
      </w:r>
      <w:r>
        <w:rPr>
          <w:rFonts w:ascii="Arial" w:eastAsia="Arial" w:hAnsi="Arial" w:cs="Arial"/>
          <w:color w:val="000000"/>
          <w:sz w:val="20"/>
        </w:rPr>
        <w:t>, 383 F.3d 599, 607 (7th Cir. 2004). The state does not challenge the validity of any of the regulatory provisions at issue.</w:t>
      </w:r>
    </w:p>
    <w:p w14:paraId="19E3E899" w14:textId="77777777" w:rsidR="002D0E71" w:rsidRDefault="00000000">
      <w:pPr>
        <w:pStyle w:val="Normal6"/>
        <w:widowControl w:val="0"/>
        <w:spacing w:before="200" w:line="260" w:lineRule="atLeast"/>
        <w:jc w:val="both"/>
      </w:pPr>
      <w:bookmarkStart w:id="916" w:name="Bookmark_para_23_3"/>
      <w:bookmarkEnd w:id="916"/>
      <w:r>
        <w:rPr>
          <w:rFonts w:ascii="Arial" w:eastAsia="Arial" w:hAnsi="Arial" w:cs="Arial"/>
          <w:color w:val="000000"/>
          <w:sz w:val="20"/>
        </w:rPr>
        <w:t>We address the parties' arguments in two stages: first, we consider whether the plaintiffs' claims fall within the scope of the integration mandate; and second, we  [*910]  ask whether the state's policy violated the mandate. The plaintiffs offer two theories for our consideration: (1) that the state's policies have impermissibly rendered the plaintiffs institutionalized in their own homes, and (2) that the state's policies have put them at serious risk of institutionalization.</w:t>
      </w:r>
    </w:p>
    <w:p w14:paraId="575EED54" w14:textId="77777777" w:rsidR="002D0E71" w:rsidRDefault="00000000">
      <w:pPr>
        <w:pStyle w:val="Normal6"/>
        <w:widowControl w:val="0"/>
        <w:spacing w:before="200" w:line="260" w:lineRule="atLeast"/>
        <w:jc w:val="both"/>
      </w:pPr>
      <w:bookmarkStart w:id="917" w:name="Bookmark_para_24_3"/>
      <w:bookmarkStart w:id="918" w:name="Bookmark_I5JXSBG22SF8PS0030000400"/>
      <w:bookmarkStart w:id="919" w:name="Bookmark_I5JXSBG22SF8PS0050000400"/>
      <w:bookmarkStart w:id="920" w:name="Bookmark_LNHNREFclscc7_4"/>
      <w:bookmarkEnd w:id="917"/>
      <w:bookmarkEnd w:id="918"/>
      <w:bookmarkEnd w:id="919"/>
      <w:bookmarkEnd w:id="920"/>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the district court's decision to grant summary judgment. </w:t>
      </w:r>
      <w:bookmarkStart w:id="921" w:name="Bookmark_I5JXSBG22SF8PS0020000400"/>
      <w:bookmarkEnd w:id="921"/>
      <w:r>
        <w:rPr>
          <w:rFonts w:ascii="Arial" w:eastAsia="Arial" w:hAnsi="Arial" w:cs="Arial"/>
          <w:i/>
          <w:color w:val="000000"/>
          <w:sz w:val="20"/>
        </w:rPr>
        <w:t>Advance Cable Co., LLC v. Cincinnati Ins. Co.</w:t>
      </w:r>
      <w:r>
        <w:rPr>
          <w:rFonts w:ascii="Arial" w:eastAsia="Arial" w:hAnsi="Arial" w:cs="Arial"/>
          <w:color w:val="000000"/>
          <w:sz w:val="20"/>
        </w:rPr>
        <w:t xml:space="preserve">, 788 F.3d 743, 746 (7th Cir. 2015). When reviewing cross-motions for summary judgment, we "take the motions one at a time and then, as usual, construe all facts [**14]  and draw all reasonable inferences in favor of the non-moving party." </w:t>
      </w:r>
      <w:bookmarkStart w:id="922" w:name="Bookmark_I5JXSBG22SF8PS0040000400"/>
      <w:bookmarkEnd w:id="922"/>
      <w:r>
        <w:rPr>
          <w:rFonts w:ascii="Arial" w:eastAsia="Arial" w:hAnsi="Arial" w:cs="Arial"/>
          <w:i/>
          <w:color w:val="000000"/>
          <w:sz w:val="20"/>
        </w:rPr>
        <w:t>Id.</w:t>
      </w:r>
      <w:r>
        <w:rPr>
          <w:rFonts w:ascii="Arial" w:eastAsia="Arial" w:hAnsi="Arial" w:cs="Arial"/>
          <w:color w:val="000000"/>
          <w:sz w:val="20"/>
        </w:rPr>
        <w:t xml:space="preserve"> Summary judgment is appropriate only "if the movant shows that there is no genuine dispute as to any material fact and the movant is entitled to judgment as a matter of law." </w:t>
      </w:r>
      <w:r>
        <w:rPr>
          <w:rFonts w:ascii="Arial" w:eastAsia="Arial" w:hAnsi="Arial" w:cs="Arial"/>
          <w:smallCaps/>
          <w:color w:val="000000"/>
          <w:sz w:val="20"/>
        </w:rPr>
        <w:t>Fed. R. Civ. P.</w:t>
      </w:r>
      <w:r>
        <w:rPr>
          <w:rFonts w:ascii="Arial" w:eastAsia="Arial" w:hAnsi="Arial" w:cs="Arial"/>
          <w:color w:val="000000"/>
          <w:sz w:val="20"/>
        </w:rPr>
        <w:t xml:space="preserve"> 56(a).</w:t>
      </w:r>
    </w:p>
    <w:p w14:paraId="6FC38EBF" w14:textId="77777777" w:rsidR="002D0E71" w:rsidRDefault="00000000">
      <w:pPr>
        <w:pStyle w:val="Normal6"/>
        <w:widowControl w:val="0"/>
        <w:spacing w:before="200" w:line="260" w:lineRule="atLeast"/>
        <w:jc w:val="both"/>
      </w:pPr>
      <w:bookmarkStart w:id="923" w:name="Bookmark_para_25_3"/>
      <w:bookmarkStart w:id="924" w:name="Bookmark_I5JXSBG22D6NW80020000400"/>
      <w:bookmarkStart w:id="925" w:name="Bookmark_I5JXSBG22D6NW80040000400"/>
      <w:bookmarkStart w:id="926" w:name="Bookmark_I5JXSBG22N1PY20010000400"/>
      <w:bookmarkStart w:id="927" w:name="Bookmark_LNHNREFclscc8_4"/>
      <w:bookmarkEnd w:id="923"/>
      <w:bookmarkEnd w:id="924"/>
      <w:bookmarkEnd w:id="925"/>
      <w:bookmarkEnd w:id="926"/>
      <w:bookmarkEnd w:id="927"/>
      <w:r>
        <w:rPr>
          <w:rFonts w:ascii="Arial" w:eastAsia="Arial" w:hAnsi="Arial" w:cs="Arial"/>
          <w:color w:val="000000"/>
          <w:sz w:val="20"/>
        </w:rPr>
        <w:t xml:space="preserve">In enacting the ADA, Congress prohibited outright discrimination and "identified unjustified 'segregation' of persons with disabilities as a 'for[m] of discrimination.'" </w:t>
      </w:r>
      <w:bookmarkStart w:id="928" w:name="Bookmark_I5JXSBG22D6NW80010000400"/>
      <w:bookmarkEnd w:id="928"/>
      <w:r>
        <w:rPr>
          <w:rFonts w:ascii="Arial" w:eastAsia="Arial" w:hAnsi="Arial" w:cs="Arial"/>
          <w:i/>
          <w:color w:val="000000"/>
          <w:sz w:val="20"/>
        </w:rPr>
        <w:t>Olmstead</w:t>
      </w:r>
      <w:r>
        <w:rPr>
          <w:rFonts w:ascii="Arial" w:eastAsia="Arial" w:hAnsi="Arial" w:cs="Arial"/>
          <w:color w:val="000000"/>
          <w:sz w:val="20"/>
        </w:rPr>
        <w:t xml:space="preserve">, 527 U.S. at 600 (quoting § 12101(a)(2)). "Unjustified isolation" is therefore "properly regarded as discrimination based on disability." </w:t>
      </w:r>
      <w:bookmarkStart w:id="929" w:name="Bookmark_I5JXSBG22D6NW80030000400"/>
      <w:bookmarkEnd w:id="929"/>
      <w:r>
        <w:rPr>
          <w:rFonts w:ascii="Arial" w:eastAsia="Arial" w:hAnsi="Arial" w:cs="Arial"/>
          <w:i/>
          <w:color w:val="000000"/>
          <w:sz w:val="20"/>
        </w:rPr>
        <w:t>Id.</w:t>
      </w:r>
      <w:r>
        <w:rPr>
          <w:rFonts w:ascii="Arial" w:eastAsia="Arial" w:hAnsi="Arial" w:cs="Arial"/>
          <w:color w:val="000000"/>
          <w:sz w:val="20"/>
        </w:rPr>
        <w:t xml:space="preserve"> at 597. The Supreme Court held that "discrimination" under § 12132 included "not only disparate treatment of comparably situated persons but also undue institutionalization of disabled persons, </w:t>
      </w:r>
      <w:r>
        <w:rPr>
          <w:rFonts w:ascii="Arial" w:eastAsia="Arial" w:hAnsi="Arial" w:cs="Arial"/>
          <w:i/>
          <w:color w:val="000000"/>
          <w:sz w:val="20"/>
        </w:rPr>
        <w:t>no matter how anyone else is treated</w:t>
      </w:r>
      <w:r>
        <w:rPr>
          <w:rFonts w:ascii="Arial" w:eastAsia="Arial" w:hAnsi="Arial" w:cs="Arial"/>
          <w:color w:val="000000"/>
          <w:sz w:val="20"/>
        </w:rPr>
        <w:t xml:space="preserve">." </w:t>
      </w:r>
      <w:bookmarkStart w:id="930" w:name="Bookmark_I5JXSBG22D6NW80050000400"/>
      <w:bookmarkEnd w:id="930"/>
      <w:r>
        <w:rPr>
          <w:rFonts w:ascii="Arial" w:eastAsia="Arial" w:hAnsi="Arial" w:cs="Arial"/>
          <w:i/>
          <w:color w:val="000000"/>
          <w:sz w:val="20"/>
        </w:rPr>
        <w:t>Amundson ex rel. Amundson v. Wisconsin Dep't of Health Servs.</w:t>
      </w:r>
      <w:r>
        <w:rPr>
          <w:rFonts w:ascii="Arial" w:eastAsia="Arial" w:hAnsi="Arial" w:cs="Arial"/>
          <w:color w:val="000000"/>
          <w:sz w:val="20"/>
        </w:rPr>
        <w:t xml:space="preserve">, 721 F.3d 871, 874 (7th Cir. 2013) (citing </w:t>
      </w:r>
      <w:bookmarkStart w:id="931" w:name="Bookmark_I5JXSBG22N1PY20020000400"/>
      <w:bookmarkEnd w:id="931"/>
      <w:r>
        <w:rPr>
          <w:rFonts w:ascii="Arial" w:eastAsia="Arial" w:hAnsi="Arial" w:cs="Arial"/>
          <w:i/>
          <w:color w:val="000000"/>
          <w:sz w:val="20"/>
        </w:rPr>
        <w:t>Olmstead</w:t>
      </w:r>
      <w:r>
        <w:rPr>
          <w:rFonts w:ascii="Arial" w:eastAsia="Arial" w:hAnsi="Arial" w:cs="Arial"/>
          <w:color w:val="000000"/>
          <w:sz w:val="20"/>
        </w:rPr>
        <w:t>, 527 U.S. at 597-603).</w:t>
      </w:r>
    </w:p>
    <w:p w14:paraId="3C48306B" w14:textId="77777777" w:rsidR="002D0E71" w:rsidRDefault="00000000">
      <w:pPr>
        <w:pStyle w:val="Normal6"/>
        <w:widowControl w:val="0"/>
        <w:spacing w:before="200" w:line="260" w:lineRule="atLeast"/>
        <w:jc w:val="both"/>
      </w:pPr>
      <w:bookmarkStart w:id="932" w:name="Bookmark_para_26_3"/>
      <w:bookmarkStart w:id="933" w:name="Bookmark_I5JXSBG22N1PY20050000400"/>
      <w:bookmarkEnd w:id="932"/>
      <w:bookmarkEnd w:id="933"/>
      <w:r>
        <w:rPr>
          <w:rFonts w:ascii="Arial" w:eastAsia="Arial" w:hAnsi="Arial" w:cs="Arial"/>
          <w:i/>
          <w:color w:val="000000"/>
          <w:sz w:val="20"/>
        </w:rPr>
        <w:t>Olmstead</w:t>
      </w:r>
      <w:r>
        <w:rPr>
          <w:rFonts w:ascii="Arial" w:eastAsia="Arial" w:hAnsi="Arial" w:cs="Arial"/>
          <w:color w:val="000000"/>
          <w:sz w:val="20"/>
        </w:rPr>
        <w:t xml:space="preserve"> dealt only with the problem of unjustified institutional segregation. See </w:t>
      </w:r>
      <w:bookmarkStart w:id="934" w:name="Bookmark_I5JXSBG22N1PY20040000400"/>
      <w:bookmarkEnd w:id="934"/>
      <w:r>
        <w:rPr>
          <w:rFonts w:ascii="Arial" w:eastAsia="Arial" w:hAnsi="Arial" w:cs="Arial"/>
          <w:i/>
          <w:color w:val="000000"/>
          <w:sz w:val="20"/>
        </w:rPr>
        <w:t>Olmstead</w:t>
      </w:r>
      <w:r>
        <w:rPr>
          <w:rFonts w:ascii="Arial" w:eastAsia="Arial" w:hAnsi="Arial" w:cs="Arial"/>
          <w:color w:val="000000"/>
          <w:sz w:val="20"/>
        </w:rPr>
        <w:t xml:space="preserve">, 527 U.S. at 600. </w:t>
      </w:r>
      <w:bookmarkStart w:id="935" w:name="Bookmark_I37192KBH3D000BRKCK003F8"/>
      <w:bookmarkStart w:id="936" w:name="Bookmark_I5JXSBG22HM6SX0020000400"/>
      <w:bookmarkEnd w:id="935"/>
      <w:bookmarkEnd w:id="936"/>
      <w:r>
        <w:rPr>
          <w:rFonts w:ascii="Arial" w:eastAsia="Arial" w:hAnsi="Arial" w:cs="Arial"/>
          <w:color w:val="000000"/>
          <w:sz w:val="20"/>
        </w:rPr>
        <w:t xml:space="preserve">Its rationale, however, reaches more broadly. </w:t>
      </w:r>
      <w:bookmarkStart w:id="937" w:name="Bookmark_I5JXSBG22HM6SX0020000400_2"/>
      <w:bookmarkStart w:id="938" w:name="Bookmark_LNHNREFclscc9_3"/>
      <w:bookmarkEnd w:id="937"/>
      <w:bookmarkEnd w:id="938"/>
      <w:r>
        <w:rPr>
          <w:rFonts w:ascii="Arial" w:eastAsia="Arial" w:hAnsi="Arial" w:cs="Arial"/>
          <w:color w:val="000000"/>
          <w:sz w:val="20"/>
        </w:rPr>
        <w:t xml:space="preserve">The Court saw "two evident judgments" in the integration mandate. </w:t>
      </w:r>
      <w:r>
        <w:rPr>
          <w:rFonts w:ascii="Arial" w:eastAsia="Arial" w:hAnsi="Arial" w:cs="Arial"/>
          <w:i/>
          <w:color w:val="000000"/>
          <w:sz w:val="20"/>
        </w:rPr>
        <w:t>Id.</w:t>
      </w:r>
      <w:r>
        <w:rPr>
          <w:rFonts w:ascii="Arial" w:eastAsia="Arial" w:hAnsi="Arial" w:cs="Arial"/>
          <w:color w:val="000000"/>
          <w:sz w:val="20"/>
        </w:rPr>
        <w:t xml:space="preserve"> The first is that "institutional placement of persons who can handle and benefit from community settings perpetuates unwarranted assumptions that persons so isolated are incapable or unworthy of participating in community life." </w:t>
      </w:r>
      <w:r>
        <w:rPr>
          <w:rFonts w:ascii="Arial" w:eastAsia="Arial" w:hAnsi="Arial" w:cs="Arial"/>
          <w:i/>
          <w:color w:val="000000"/>
          <w:sz w:val="20"/>
        </w:rPr>
        <w:t>Id.</w:t>
      </w:r>
      <w:r>
        <w:rPr>
          <w:rFonts w:ascii="Arial" w:eastAsia="Arial" w:hAnsi="Arial" w:cs="Arial"/>
          <w:color w:val="000000"/>
          <w:sz w:val="20"/>
        </w:rPr>
        <w:t xml:space="preserve"> The second is [**15]  that "confinement in an institution severely diminishes the everyday life activities of individuals, including family relations, social contacts, work options, economic independence, educational advancement, and cultural enrichment." </w:t>
      </w:r>
      <w:bookmarkStart w:id="939" w:name="Bookmark_I5JXSBG22HM6SX0050000400"/>
      <w:bookmarkEnd w:id="939"/>
      <w:r>
        <w:rPr>
          <w:rFonts w:ascii="Arial" w:eastAsia="Arial" w:hAnsi="Arial" w:cs="Arial"/>
          <w:i/>
          <w:color w:val="000000"/>
          <w:sz w:val="20"/>
        </w:rPr>
        <w:t>Id.</w:t>
      </w:r>
      <w:r>
        <w:rPr>
          <w:rFonts w:ascii="Arial" w:eastAsia="Arial" w:hAnsi="Arial" w:cs="Arial"/>
          <w:color w:val="000000"/>
          <w:sz w:val="20"/>
        </w:rPr>
        <w:t xml:space="preserve"> at 601.</w:t>
      </w:r>
    </w:p>
    <w:p w14:paraId="38765C9A" w14:textId="77777777" w:rsidR="002D0E71" w:rsidRDefault="00000000">
      <w:pPr>
        <w:pStyle w:val="Normal6"/>
        <w:widowControl w:val="0"/>
        <w:spacing w:before="200" w:line="260" w:lineRule="atLeast"/>
        <w:jc w:val="both"/>
      </w:pPr>
      <w:bookmarkStart w:id="940" w:name="Bookmark_para_27_3"/>
      <w:bookmarkEnd w:id="940"/>
      <w:r>
        <w:rPr>
          <w:rFonts w:ascii="Arial" w:eastAsia="Arial" w:hAnsi="Arial" w:cs="Arial"/>
          <w:color w:val="000000"/>
          <w:sz w:val="20"/>
        </w:rPr>
        <w:t xml:space="preserve">The Court had no occasion to consider whether the same evils it had identified for institutional placements might exist in some settings outside of an institution. </w:t>
      </w:r>
      <w:bookmarkStart w:id="941" w:name="Bookmark_I5JXSBG22SF8PT0030000400"/>
      <w:bookmarkEnd w:id="941"/>
      <w:r>
        <w:rPr>
          <w:rFonts w:ascii="Arial" w:eastAsia="Arial" w:hAnsi="Arial" w:cs="Arial"/>
          <w:color w:val="000000"/>
          <w:sz w:val="20"/>
        </w:rPr>
        <w:t xml:space="preserve">This case presents that question: whether isolation in the home for a person "who can handle and benefit from" time out in the general community is also inconsistent with the integration mandate. We see no reason why the same analysis should not apply. </w:t>
      </w:r>
      <w:bookmarkStart w:id="942" w:name="Bookmark_I5JXSBG22SF8PT0050000400"/>
      <w:bookmarkEnd w:id="942"/>
      <w:r>
        <w:rPr>
          <w:rFonts w:ascii="Arial" w:eastAsia="Arial" w:hAnsi="Arial" w:cs="Arial"/>
          <w:color w:val="000000"/>
          <w:sz w:val="20"/>
        </w:rPr>
        <w:t xml:space="preserve">See, </w:t>
      </w:r>
      <w:r>
        <w:rPr>
          <w:rFonts w:ascii="Arial" w:eastAsia="Arial" w:hAnsi="Arial" w:cs="Arial"/>
          <w:i/>
          <w:color w:val="000000"/>
          <w:sz w:val="20"/>
        </w:rPr>
        <w:t>e.g.</w:t>
      </w:r>
      <w:r>
        <w:rPr>
          <w:rFonts w:ascii="Arial" w:eastAsia="Arial" w:hAnsi="Arial" w:cs="Arial"/>
          <w:color w:val="000000"/>
          <w:sz w:val="20"/>
        </w:rPr>
        <w:t xml:space="preserve">, Mark C. Weber, </w:t>
      </w:r>
      <w:r>
        <w:rPr>
          <w:rFonts w:ascii="Arial" w:eastAsia="Arial" w:hAnsi="Arial" w:cs="Arial"/>
          <w:i/>
          <w:color w:val="000000"/>
          <w:sz w:val="20"/>
        </w:rPr>
        <w:t>Home and Community-Based Services</w:t>
      </w:r>
      <w:r>
        <w:rPr>
          <w:rFonts w:ascii="Arial" w:eastAsia="Arial" w:hAnsi="Arial" w:cs="Arial"/>
          <w:color w:val="000000"/>
          <w:sz w:val="20"/>
        </w:rPr>
        <w:t xml:space="preserve">, Olmstead, </w:t>
      </w:r>
      <w:r>
        <w:rPr>
          <w:rFonts w:ascii="Arial" w:eastAsia="Arial" w:hAnsi="Arial" w:cs="Arial"/>
          <w:i/>
          <w:color w:val="000000"/>
          <w:sz w:val="20"/>
        </w:rPr>
        <w:t>and Positive Rights: A Preliminary Discussion</w:t>
      </w:r>
      <w:r>
        <w:rPr>
          <w:rFonts w:ascii="Arial" w:eastAsia="Arial" w:hAnsi="Arial" w:cs="Arial"/>
          <w:color w:val="000000"/>
          <w:sz w:val="20"/>
        </w:rPr>
        <w:t xml:space="preserve">, 39 </w:t>
      </w:r>
      <w:r>
        <w:rPr>
          <w:rFonts w:ascii="Arial" w:eastAsia="Arial" w:hAnsi="Arial" w:cs="Arial"/>
          <w:smallCaps/>
          <w:color w:val="000000"/>
          <w:sz w:val="20"/>
        </w:rPr>
        <w:t>Wake Forest L. Rev.</w:t>
      </w:r>
      <w:r>
        <w:rPr>
          <w:rFonts w:ascii="Arial" w:eastAsia="Arial" w:hAnsi="Arial" w:cs="Arial"/>
          <w:color w:val="000000"/>
          <w:sz w:val="20"/>
        </w:rPr>
        <w:t xml:space="preserve"> 269, 274 (2004) ("As with race discrimination, government-sanctioned separation transmits a strong message that the out-group is inferior and that private discrimination is acceptable.") (citing </w:t>
      </w:r>
      <w:bookmarkStart w:id="943" w:name="Bookmark_I5JXSBG22SF8PT0020000400"/>
      <w:bookmarkEnd w:id="943"/>
      <w:r>
        <w:rPr>
          <w:rFonts w:ascii="Arial" w:eastAsia="Arial" w:hAnsi="Arial" w:cs="Arial"/>
          <w:i/>
          <w:color w:val="000000"/>
          <w:sz w:val="20"/>
        </w:rPr>
        <w:t>Brown v. Bd. of Ed. of Topeka</w:t>
      </w:r>
      <w:r>
        <w:rPr>
          <w:rFonts w:ascii="Arial" w:eastAsia="Arial" w:hAnsi="Arial" w:cs="Arial"/>
          <w:color w:val="000000"/>
          <w:sz w:val="20"/>
        </w:rPr>
        <w:t xml:space="preserve">, 347 U.S. 483, 492 n.5, 74 S. Ct. 686, 98 L. Ed. 873 (1954)); Timothy M. Cook, </w:t>
      </w:r>
      <w:r>
        <w:rPr>
          <w:rFonts w:ascii="Arial" w:eastAsia="Arial" w:hAnsi="Arial" w:cs="Arial"/>
          <w:i/>
          <w:color w:val="000000"/>
          <w:sz w:val="20"/>
        </w:rPr>
        <w:t>The Americans with Disabilities Act: The Move to Integration</w:t>
      </w:r>
      <w:r>
        <w:rPr>
          <w:rFonts w:ascii="Arial" w:eastAsia="Arial" w:hAnsi="Arial" w:cs="Arial"/>
          <w:color w:val="000000"/>
          <w:sz w:val="20"/>
        </w:rPr>
        <w:t xml:space="preserve">, 64 </w:t>
      </w:r>
      <w:r>
        <w:rPr>
          <w:rFonts w:ascii="Arial" w:eastAsia="Arial" w:hAnsi="Arial" w:cs="Arial"/>
          <w:smallCaps/>
          <w:color w:val="000000"/>
          <w:sz w:val="20"/>
        </w:rPr>
        <w:t>Temp. L. Rev.</w:t>
      </w:r>
      <w:r>
        <w:rPr>
          <w:rFonts w:ascii="Arial" w:eastAsia="Arial" w:hAnsi="Arial" w:cs="Arial"/>
          <w:color w:val="000000"/>
          <w:sz w:val="20"/>
        </w:rPr>
        <w:t xml:space="preserve"> 393, 441 (1991) (collecting studies concluding that "[t]he research data shows, without doubt ... that prejudice is lessened through integration"). </w:t>
      </w:r>
      <w:bookmarkStart w:id="944" w:name="Bookmark_I5JXSBG22SF8PT0050000400_2"/>
      <w:bookmarkStart w:id="945" w:name="Bookmark_LNHNREFclscc10_3"/>
      <w:bookmarkEnd w:id="944"/>
      <w:bookmarkEnd w:id="945"/>
      <w:r>
        <w:rPr>
          <w:rFonts w:ascii="Arial" w:eastAsia="Arial" w:hAnsi="Arial" w:cs="Arial"/>
          <w:color w:val="000000"/>
          <w:sz w:val="20"/>
        </w:rPr>
        <w:t xml:space="preserve">Isolation in a home can just as "severely [**16]  diminish[] the everyday life activities" of people with disabilities. </w:t>
      </w:r>
      <w:bookmarkStart w:id="946" w:name="Bookmark_I5JXSBG22SF8PT0040000400"/>
      <w:bookmarkEnd w:id="946"/>
      <w:r>
        <w:rPr>
          <w:rFonts w:ascii="Arial" w:eastAsia="Arial" w:hAnsi="Arial" w:cs="Arial"/>
          <w:i/>
          <w:color w:val="000000"/>
          <w:sz w:val="20"/>
        </w:rPr>
        <w:t>Olmstead</w:t>
      </w:r>
      <w:r>
        <w:rPr>
          <w:rFonts w:ascii="Arial" w:eastAsia="Arial" w:hAnsi="Arial" w:cs="Arial"/>
          <w:color w:val="000000"/>
          <w:sz w:val="20"/>
        </w:rPr>
        <w:t xml:space="preserve">, 527 U.S. at 601.  [*911]  In fact, although family relations might be enhanced at home if people are around, isolation in a home may often be worse than confinement to an institution on every other measure of "life activities" that </w:t>
      </w:r>
      <w:r>
        <w:rPr>
          <w:rFonts w:ascii="Arial" w:eastAsia="Arial" w:hAnsi="Arial" w:cs="Arial"/>
          <w:i/>
          <w:color w:val="000000"/>
          <w:sz w:val="20"/>
        </w:rPr>
        <w:t>Olmstead</w:t>
      </w:r>
      <w:r>
        <w:rPr>
          <w:rFonts w:ascii="Arial" w:eastAsia="Arial" w:hAnsi="Arial" w:cs="Arial"/>
          <w:color w:val="000000"/>
          <w:sz w:val="20"/>
        </w:rPr>
        <w:t xml:space="preserve"> recognized.</w:t>
      </w:r>
    </w:p>
    <w:p w14:paraId="2FCB50B8" w14:textId="77777777" w:rsidR="002D0E71" w:rsidRDefault="00000000">
      <w:pPr>
        <w:pStyle w:val="Normal6"/>
        <w:widowControl w:val="0"/>
        <w:spacing w:before="200" w:line="260" w:lineRule="atLeast"/>
        <w:jc w:val="both"/>
      </w:pPr>
      <w:bookmarkStart w:id="947" w:name="Bookmark_para_28_3"/>
      <w:bookmarkStart w:id="948" w:name="Bookmark_I5JXSBG228T4TR0020000400"/>
      <w:bookmarkEnd w:id="947"/>
      <w:bookmarkEnd w:id="948"/>
      <w:r>
        <w:rPr>
          <w:rFonts w:ascii="Arial" w:eastAsia="Arial" w:hAnsi="Arial" w:cs="Arial"/>
          <w:color w:val="000000"/>
          <w:sz w:val="20"/>
        </w:rPr>
        <w:t xml:space="preserve">In accordance with </w:t>
      </w:r>
      <w:r>
        <w:rPr>
          <w:rFonts w:ascii="Arial" w:eastAsia="Arial" w:hAnsi="Arial" w:cs="Arial"/>
          <w:i/>
          <w:color w:val="000000"/>
          <w:sz w:val="20"/>
        </w:rPr>
        <w:t>Olmstead</w:t>
      </w:r>
      <w:r>
        <w:rPr>
          <w:rFonts w:ascii="Arial" w:eastAsia="Arial" w:hAnsi="Arial" w:cs="Arial"/>
          <w:color w:val="000000"/>
          <w:sz w:val="20"/>
        </w:rPr>
        <w:t xml:space="preserve">, </w:t>
      </w:r>
      <w:bookmarkStart w:id="949" w:name="Bookmark_LNHNREFclscc11_2"/>
      <w:bookmarkEnd w:id="949"/>
      <w:r>
        <w:rPr>
          <w:rFonts w:ascii="Arial" w:eastAsia="Arial" w:hAnsi="Arial" w:cs="Arial"/>
          <w:color w:val="000000"/>
          <w:sz w:val="20"/>
        </w:rPr>
        <w:t xml:space="preserve">the Department of Justice has released guidance directing that the integration mandate be read broadly. The DOJ's interpretation of the mandate "warrant[s] respect" because Congress gave it the task of issuing the relevant regulations. </w:t>
      </w:r>
      <w:bookmarkStart w:id="950" w:name="Bookmark_I37192KC3NP000BRKCK001K4"/>
      <w:bookmarkStart w:id="951" w:name="Bookmark_I37192KCP80000BRKCK003FH"/>
      <w:bookmarkStart w:id="952" w:name="Bookmark_I5JXSBG228T4TR0040000400"/>
      <w:bookmarkStart w:id="953" w:name="Bookmark_I5JXSBG228T4TR0010000400"/>
      <w:bookmarkEnd w:id="950"/>
      <w:bookmarkEnd w:id="951"/>
      <w:bookmarkEnd w:id="952"/>
      <w:bookmarkEnd w:id="953"/>
      <w:r>
        <w:rPr>
          <w:rFonts w:ascii="Arial" w:eastAsia="Arial" w:hAnsi="Arial" w:cs="Arial"/>
          <w:i/>
          <w:color w:val="000000"/>
          <w:sz w:val="20"/>
        </w:rPr>
        <w:t>Id.</w:t>
      </w:r>
      <w:r>
        <w:rPr>
          <w:rFonts w:ascii="Arial" w:eastAsia="Arial" w:hAnsi="Arial" w:cs="Arial"/>
          <w:color w:val="000000"/>
          <w:sz w:val="20"/>
        </w:rPr>
        <w:t xml:space="preserve"> at 597-98. </w:t>
      </w:r>
      <w:bookmarkStart w:id="954" w:name="Bookmark_I05955VT1BR00002S0D002BW"/>
      <w:bookmarkStart w:id="955" w:name="Bookmark_I05955VT4HG00002S0D002BY"/>
      <w:bookmarkStart w:id="956" w:name="Bookmark_I5JXSBG228T4TR0040000400_2"/>
      <w:bookmarkEnd w:id="954"/>
      <w:bookmarkEnd w:id="955"/>
      <w:bookmarkEnd w:id="956"/>
      <w:r>
        <w:rPr>
          <w:rFonts w:ascii="Arial" w:eastAsia="Arial" w:hAnsi="Arial" w:cs="Arial"/>
          <w:color w:val="000000"/>
          <w:sz w:val="20"/>
        </w:rPr>
        <w:t xml:space="preserve">The degree of deference is another matter: </w:t>
      </w:r>
      <w:r>
        <w:rPr>
          <w:rFonts w:ascii="Arial" w:eastAsia="Arial" w:hAnsi="Arial" w:cs="Arial"/>
          <w:i/>
          <w:color w:val="000000"/>
          <w:sz w:val="20"/>
        </w:rPr>
        <w:t>Olmstead</w:t>
      </w:r>
      <w:r>
        <w:rPr>
          <w:rFonts w:ascii="Arial" w:eastAsia="Arial" w:hAnsi="Arial" w:cs="Arial"/>
          <w:color w:val="000000"/>
          <w:sz w:val="20"/>
        </w:rPr>
        <w:t xml:space="preserve"> said nothing on the subject. In general, we defer to an agency's interpretation of its own regulation unless the agency's interpretation is "plainly erroneous or inconsistent with the regulation" or "there is reason to suspect that the agency's interpretation 'does not reflect the agency's fair and considered judgment on the matter in question.'" </w:t>
      </w:r>
      <w:bookmarkStart w:id="957" w:name="Bookmark_I5JXSBG228T4TR0030000400"/>
      <w:bookmarkEnd w:id="957"/>
      <w:r>
        <w:rPr>
          <w:rFonts w:ascii="Arial" w:eastAsia="Arial" w:hAnsi="Arial" w:cs="Arial"/>
          <w:i/>
          <w:color w:val="000000"/>
          <w:sz w:val="20"/>
        </w:rPr>
        <w:t>Christopher v. SmithKline Beecham Corp.</w:t>
      </w:r>
      <w:r>
        <w:rPr>
          <w:rFonts w:ascii="Arial" w:eastAsia="Arial" w:hAnsi="Arial" w:cs="Arial"/>
          <w:color w:val="000000"/>
          <w:sz w:val="20"/>
        </w:rPr>
        <w:t xml:space="preserve">, 132 S. Ct. 2156, 2166, 183 L. Ed. 2d 153 (2012) (quoting </w:t>
      </w:r>
      <w:bookmarkStart w:id="958" w:name="Bookmark_I5JXSBG228T4TR0050000400"/>
      <w:bookmarkEnd w:id="958"/>
      <w:r>
        <w:rPr>
          <w:rFonts w:ascii="Arial" w:eastAsia="Arial" w:hAnsi="Arial" w:cs="Arial"/>
          <w:i/>
          <w:color w:val="000000"/>
          <w:sz w:val="20"/>
        </w:rPr>
        <w:t>Auer v. Robbins</w:t>
      </w:r>
      <w:r>
        <w:rPr>
          <w:rFonts w:ascii="Arial" w:eastAsia="Arial" w:hAnsi="Arial" w:cs="Arial"/>
          <w:color w:val="000000"/>
          <w:sz w:val="20"/>
        </w:rPr>
        <w:t>, 519 U.S. 452, 461- 62, 117 S. Ct. 905, 137 L. Ed. 2d 79 (1997)). We see no such flaws in the path that DOJ has taken.</w:t>
      </w:r>
    </w:p>
    <w:p w14:paraId="25E47557" w14:textId="77777777" w:rsidR="002D0E71" w:rsidRDefault="00000000">
      <w:pPr>
        <w:pStyle w:val="Normal6"/>
        <w:widowControl w:val="0"/>
        <w:spacing w:before="200" w:line="260" w:lineRule="atLeast"/>
        <w:jc w:val="both"/>
      </w:pPr>
      <w:bookmarkStart w:id="959" w:name="Bookmark_para_29_3"/>
      <w:bookmarkStart w:id="960" w:name="Bookmark_LNHNREFclscc12_2"/>
      <w:bookmarkEnd w:id="959"/>
      <w:bookmarkEnd w:id="960"/>
      <w:r>
        <w:rPr>
          <w:rFonts w:ascii="Arial" w:eastAsia="Arial" w:hAnsi="Arial" w:cs="Arial"/>
          <w:color w:val="000000"/>
          <w:sz w:val="20"/>
        </w:rPr>
        <w:t xml:space="preserve">The guidance indicates that the "most integrated setting" is "a setting that enables individuals with disabilities to interact with non-disabled persons to the fullest extent possible." [**17]  U.S. Dep't of Justice, </w:t>
      </w:r>
      <w:r>
        <w:rPr>
          <w:rFonts w:ascii="Arial" w:eastAsia="Arial" w:hAnsi="Arial" w:cs="Arial"/>
          <w:i/>
          <w:color w:val="000000"/>
          <w:sz w:val="20"/>
        </w:rPr>
        <w:t>Statement of the Department of Justice on the Integration Mandate of Title II of the ADA and Olmstead v. L.C.</w:t>
      </w:r>
      <w:r>
        <w:rPr>
          <w:rFonts w:ascii="Arial" w:eastAsia="Arial" w:hAnsi="Arial" w:cs="Arial"/>
          <w:color w:val="000000"/>
          <w:sz w:val="20"/>
        </w:rPr>
        <w:t xml:space="preserve"> (June 22, 2011). It notes that "[i]ntegrated settings are located in mainstream society." </w:t>
      </w:r>
      <w:r>
        <w:rPr>
          <w:rFonts w:ascii="Arial" w:eastAsia="Arial" w:hAnsi="Arial" w:cs="Arial"/>
          <w:i/>
          <w:color w:val="000000"/>
          <w:sz w:val="20"/>
        </w:rPr>
        <w:t>Id.</w:t>
      </w:r>
      <w:r>
        <w:rPr>
          <w:rFonts w:ascii="Arial" w:eastAsia="Arial" w:hAnsi="Arial" w:cs="Arial"/>
          <w:color w:val="000000"/>
          <w:sz w:val="20"/>
        </w:rPr>
        <w:t xml:space="preserve"> Such settings "offer access to community activities and opportunities at times, frequencies and with persons of an individual's choosing; afford individuals choice in their daily life activities; and, provide individuals with disabilities the opportunity to interact with non-disabled persons to the fullest extent possible." </w:t>
      </w:r>
      <w:r>
        <w:rPr>
          <w:rFonts w:ascii="Arial" w:eastAsia="Arial" w:hAnsi="Arial" w:cs="Arial"/>
          <w:i/>
          <w:color w:val="000000"/>
          <w:sz w:val="20"/>
        </w:rPr>
        <w:t>Id.</w:t>
      </w:r>
    </w:p>
    <w:p w14:paraId="487663EB" w14:textId="77777777" w:rsidR="002D0E71" w:rsidRDefault="00000000">
      <w:pPr>
        <w:pStyle w:val="Normal6"/>
        <w:widowControl w:val="0"/>
        <w:spacing w:before="200" w:line="260" w:lineRule="atLeast"/>
        <w:jc w:val="both"/>
      </w:pPr>
      <w:bookmarkStart w:id="961" w:name="Bookmark_para_30_3"/>
      <w:bookmarkStart w:id="962" w:name="Bookmark_LNHNREFclscc13_2"/>
      <w:bookmarkEnd w:id="961"/>
      <w:bookmarkEnd w:id="962"/>
      <w:r>
        <w:rPr>
          <w:rFonts w:ascii="Arial" w:eastAsia="Arial" w:hAnsi="Arial" w:cs="Arial"/>
          <w:color w:val="000000"/>
          <w:sz w:val="20"/>
        </w:rPr>
        <w:t xml:space="preserve">Under the Guidance, the state might violate the integration mandate if it "operates ... programs that segregate individuals with disabilities" or "through its planning, service system design, funding choices, or service implementation practices, promotes or relies upon the segregation of individuals with disabilities in private facilities or programs." </w:t>
      </w:r>
      <w:r>
        <w:rPr>
          <w:rFonts w:ascii="Arial" w:eastAsia="Arial" w:hAnsi="Arial" w:cs="Arial"/>
          <w:i/>
          <w:color w:val="000000"/>
          <w:sz w:val="20"/>
        </w:rPr>
        <w:t>Id.</w:t>
      </w:r>
      <w:r>
        <w:rPr>
          <w:rFonts w:ascii="Arial" w:eastAsia="Arial" w:hAnsi="Arial" w:cs="Arial"/>
          <w:color w:val="000000"/>
          <w:sz w:val="20"/>
        </w:rPr>
        <w:t xml:space="preserve"> The mandate "extend[s] to persons at serious risk of institutionalization or segregation and [is] not limited to individuals currently in institutional or other segregated settings." </w:t>
      </w:r>
      <w:r>
        <w:rPr>
          <w:rFonts w:ascii="Arial" w:eastAsia="Arial" w:hAnsi="Arial" w:cs="Arial"/>
          <w:i/>
          <w:color w:val="000000"/>
          <w:sz w:val="20"/>
        </w:rPr>
        <w:t>Id.</w:t>
      </w:r>
      <w:r>
        <w:rPr>
          <w:rFonts w:ascii="Arial" w:eastAsia="Arial" w:hAnsi="Arial" w:cs="Arial"/>
          <w:color w:val="000000"/>
          <w:sz w:val="20"/>
        </w:rPr>
        <w:t xml:space="preserve"> Finally, so long as any additional services do not cause a fundamental alteration in the state program, the state may be [**18]  required to provide them; budget cuts can violate the integration mandate. </w:t>
      </w:r>
      <w:r>
        <w:rPr>
          <w:rFonts w:ascii="Arial" w:eastAsia="Arial" w:hAnsi="Arial" w:cs="Arial"/>
          <w:i/>
          <w:color w:val="000000"/>
          <w:sz w:val="20"/>
        </w:rPr>
        <w:t>Id.</w:t>
      </w:r>
      <w:r>
        <w:rPr>
          <w:rFonts w:ascii="Arial" w:eastAsia="Arial" w:hAnsi="Arial" w:cs="Arial"/>
          <w:color w:val="000000"/>
          <w:sz w:val="20"/>
        </w:rPr>
        <w:t xml:space="preserve"> Given the integration mandate's maximalist language—it demands "the most integrated setting appropriate," 28 C.F.R. § 35.130(d), which it defines as allowing interaction with non-disabled persons "to the fullest extent possible," 28 C.F.R. pt. 35, App. B—we have no reason not to follow the DOJ's interpretation of the mandate. And the mandate, as we have noted, logically applies to all settings, not just to institutional settings. It bars unjustified segregation of persons with disabilities, wherever it takes place.</w:t>
      </w:r>
    </w:p>
    <w:p w14:paraId="00E41BFF" w14:textId="77777777" w:rsidR="002D0E71" w:rsidRDefault="00000000">
      <w:pPr>
        <w:pStyle w:val="Normal6"/>
        <w:widowControl w:val="0"/>
        <w:spacing w:before="200" w:line="260" w:lineRule="atLeast"/>
        <w:jc w:val="both"/>
      </w:pPr>
      <w:bookmarkStart w:id="963" w:name="Bookmark_para_31_3"/>
      <w:bookmarkEnd w:id="963"/>
      <w:r>
        <w:rPr>
          <w:rFonts w:ascii="Arial" w:eastAsia="Arial" w:hAnsi="Arial" w:cs="Arial"/>
          <w:color w:val="000000"/>
          <w:sz w:val="20"/>
        </w:rPr>
        <w:t xml:space="preserve">The state responds with a narrow reading of the integration mandate and an unwillingness to engage with the DOJ's interpretation. It argues that the integration mandate covers only claims by people who literally have been institutionalized, and that a person with a disability who is housed in the community is therefore outside its scope. </w:t>
      </w:r>
      <w:bookmarkStart w:id="964" w:name="Bookmark_I5JXSBG22D6NW90030000400"/>
      <w:bookmarkEnd w:id="964"/>
      <w:r>
        <w:rPr>
          <w:rFonts w:ascii="Arial" w:eastAsia="Arial" w:hAnsi="Arial" w:cs="Arial"/>
          <w:color w:val="000000"/>
          <w:sz w:val="20"/>
        </w:rPr>
        <w:t xml:space="preserve">The state insists that "setting" refers only to two kinds of physical structures: an institution or a location in the community. But there is no reason to think that the mandate presents  [*912]  such a crabbed binary. First, </w:t>
      </w:r>
      <w:bookmarkStart w:id="965" w:name="Bookmark_LNHNREFclscc14_1"/>
      <w:bookmarkEnd w:id="965"/>
      <w:r>
        <w:rPr>
          <w:rFonts w:ascii="Arial" w:eastAsia="Arial" w:hAnsi="Arial" w:cs="Arial"/>
          <w:color w:val="000000"/>
          <w:sz w:val="20"/>
        </w:rPr>
        <w:t xml:space="preserve">"there is nothing in the plain language of the regulations that limits protection to persons [**19]  who are currently institutionalized." </w:t>
      </w:r>
      <w:bookmarkStart w:id="966" w:name="Bookmark_I5JXSBG22D6NW90020000400"/>
      <w:bookmarkEnd w:id="966"/>
      <w:r>
        <w:rPr>
          <w:rFonts w:ascii="Arial" w:eastAsia="Arial" w:hAnsi="Arial" w:cs="Arial"/>
          <w:i/>
          <w:color w:val="000000"/>
          <w:sz w:val="20"/>
        </w:rPr>
        <w:t>Pashby v. Delia</w:t>
      </w:r>
      <w:r>
        <w:rPr>
          <w:rFonts w:ascii="Arial" w:eastAsia="Arial" w:hAnsi="Arial" w:cs="Arial"/>
          <w:color w:val="000000"/>
          <w:sz w:val="20"/>
        </w:rPr>
        <w:t xml:space="preserve">, 709 F.3d 307, 322 (4th Cir. 2013) (quoting </w:t>
      </w:r>
      <w:bookmarkStart w:id="967" w:name="Bookmark_I5JXSBG22D6NW90040000400"/>
      <w:bookmarkEnd w:id="967"/>
      <w:r>
        <w:rPr>
          <w:rFonts w:ascii="Arial" w:eastAsia="Arial" w:hAnsi="Arial" w:cs="Arial"/>
          <w:i/>
          <w:color w:val="000000"/>
          <w:sz w:val="20"/>
        </w:rPr>
        <w:t>Fisher v. Oklahoma Health Care Auth.</w:t>
      </w:r>
      <w:r>
        <w:rPr>
          <w:rFonts w:ascii="Arial" w:eastAsia="Arial" w:hAnsi="Arial" w:cs="Arial"/>
          <w:color w:val="000000"/>
          <w:sz w:val="20"/>
        </w:rPr>
        <w:t>, 335 F.3d 1175, 1181 (10th Cir. 2003)). The mandate's text uses the general word "setting" and states that people are entitled to be served "in the most integrated setting appropriate to the needs of qualified individuals with disabilities." 28 C.F.R. § 35.130(d). The "most integrated setting appropriate" is "a setting that enables individuals with disabilities to interact with non-disabled persons to the fullest extent possible." 28 C.F.R. pt. 35, App. B.</w:t>
      </w:r>
    </w:p>
    <w:p w14:paraId="4A12AF26" w14:textId="77777777" w:rsidR="002D0E71" w:rsidRDefault="00000000">
      <w:pPr>
        <w:pStyle w:val="Normal6"/>
        <w:widowControl w:val="0"/>
        <w:spacing w:before="200" w:line="260" w:lineRule="atLeast"/>
        <w:jc w:val="both"/>
      </w:pPr>
      <w:bookmarkStart w:id="968" w:name="Bookmark_para_32_3"/>
      <w:bookmarkStart w:id="969" w:name="Bookmark_I5JXSBG22N1PY30020000400"/>
      <w:bookmarkStart w:id="970" w:name="Bookmark_I5JXSBG22N1PY30040000400"/>
      <w:bookmarkEnd w:id="968"/>
      <w:bookmarkEnd w:id="969"/>
      <w:bookmarkEnd w:id="970"/>
      <w:r>
        <w:rPr>
          <w:rFonts w:ascii="Arial" w:eastAsia="Arial" w:hAnsi="Arial" w:cs="Arial"/>
          <w:color w:val="000000"/>
          <w:sz w:val="20"/>
        </w:rPr>
        <w:t xml:space="preserve">Just as importantly, there is plentiful evidence that the state's interpretation is incorrect. </w:t>
      </w:r>
      <w:bookmarkStart w:id="971" w:name="Bookmark_LNHNREFclscc15_0"/>
      <w:bookmarkEnd w:id="971"/>
      <w:r>
        <w:rPr>
          <w:rFonts w:ascii="Arial" w:eastAsia="Arial" w:hAnsi="Arial" w:cs="Arial"/>
          <w:color w:val="000000"/>
          <w:sz w:val="20"/>
        </w:rPr>
        <w:t xml:space="preserve">When interpreting administrative rules, a court asks first "whether the language at issue has a plain and unambiguous meaning with regard to the particular dispute in the case." </w:t>
      </w:r>
      <w:bookmarkStart w:id="972" w:name="Bookmark_I5JXSBG22N1PY30010000400"/>
      <w:bookmarkEnd w:id="972"/>
      <w:r>
        <w:rPr>
          <w:rFonts w:ascii="Arial" w:eastAsia="Arial" w:hAnsi="Arial" w:cs="Arial"/>
          <w:i/>
          <w:color w:val="000000"/>
          <w:sz w:val="20"/>
        </w:rPr>
        <w:t>Exelon Generation Co., LLC v. Local 15, Int'l Bhd. of Elec. Workers, AFL-CIO</w:t>
      </w:r>
      <w:r>
        <w:rPr>
          <w:rFonts w:ascii="Arial" w:eastAsia="Arial" w:hAnsi="Arial" w:cs="Arial"/>
          <w:color w:val="000000"/>
          <w:sz w:val="20"/>
        </w:rPr>
        <w:t xml:space="preserve">, 676 F.3d 566, 570 (7th Cir. 2012). In doing so, the court "giv[es] the words used their ordinary meaning." </w:t>
      </w:r>
      <w:bookmarkStart w:id="973" w:name="Bookmark_I5JXSBG22N1PY30030000400"/>
      <w:bookmarkEnd w:id="973"/>
      <w:r>
        <w:rPr>
          <w:rFonts w:ascii="Arial" w:eastAsia="Arial" w:hAnsi="Arial" w:cs="Arial"/>
          <w:i/>
          <w:color w:val="000000"/>
          <w:sz w:val="20"/>
        </w:rPr>
        <w:t>Lawson v. FMR LLC</w:t>
      </w:r>
      <w:r>
        <w:rPr>
          <w:rFonts w:ascii="Arial" w:eastAsia="Arial" w:hAnsi="Arial" w:cs="Arial"/>
          <w:color w:val="000000"/>
          <w:sz w:val="20"/>
        </w:rPr>
        <w:t xml:space="preserve">, 134 S. Ct. 1158, 1165, 188 L. Ed. 2d 158 (2014) (internal citation omitted). Neither the ADA nor its regulations specifically define the word "setting." Ordinarily, that word denotes an environment or situation rather than any particular physical structure. See </w:t>
      </w:r>
      <w:r>
        <w:rPr>
          <w:rFonts w:ascii="Arial" w:eastAsia="Arial" w:hAnsi="Arial" w:cs="Arial"/>
          <w:smallCaps/>
          <w:color w:val="000000"/>
          <w:sz w:val="20"/>
        </w:rPr>
        <w:t>The American Heritage Dictionary of the English Language</w:t>
      </w:r>
      <w:r>
        <w:rPr>
          <w:rFonts w:ascii="Arial" w:eastAsia="Arial" w:hAnsi="Arial" w:cs="Arial"/>
          <w:color w:val="000000"/>
          <w:sz w:val="20"/>
        </w:rPr>
        <w:t xml:space="preserve"> 1593 (4th ed. 2000) ("The context and environment in which a situation is set; the background."); </w:t>
      </w:r>
      <w:r>
        <w:rPr>
          <w:rFonts w:ascii="Arial" w:eastAsia="Arial" w:hAnsi="Arial" w:cs="Arial"/>
          <w:smallCaps/>
          <w:color w:val="000000"/>
          <w:sz w:val="20"/>
        </w:rPr>
        <w:t>Random House Webster's College Dictionary</w:t>
      </w:r>
      <w:r>
        <w:rPr>
          <w:rFonts w:ascii="Arial" w:eastAsia="Arial" w:hAnsi="Arial" w:cs="Arial"/>
          <w:color w:val="000000"/>
          <w:sz w:val="20"/>
        </w:rPr>
        <w:t xml:space="preserve"> 1200 (2d ed. 1999) ("[T]he surroundings [**20]  or environment of anything."); </w:t>
      </w:r>
      <w:r>
        <w:rPr>
          <w:rFonts w:ascii="Arial" w:eastAsia="Arial" w:hAnsi="Arial" w:cs="Arial"/>
          <w:smallCaps/>
          <w:color w:val="000000"/>
          <w:sz w:val="20"/>
        </w:rPr>
        <w:t>Merriam-Webster's Collegiate Dictionary</w:t>
      </w:r>
      <w:r>
        <w:rPr>
          <w:rFonts w:ascii="Arial" w:eastAsia="Arial" w:hAnsi="Arial" w:cs="Arial"/>
          <w:color w:val="000000"/>
          <w:sz w:val="20"/>
        </w:rPr>
        <w:t xml:space="preserve"> 1072 (10th ed. 1994) ("[T]he time, place, and circumstances in which something occurs or develops[.]"). The regulation's use of the word "most" (integrated) and its reference to "a" setting also imply more than two possibilities.</w:t>
      </w:r>
    </w:p>
    <w:p w14:paraId="49D61069" w14:textId="77777777" w:rsidR="002D0E71" w:rsidRDefault="00000000">
      <w:pPr>
        <w:pStyle w:val="Normal6"/>
        <w:widowControl w:val="0"/>
        <w:spacing w:before="200" w:line="260" w:lineRule="atLeast"/>
        <w:jc w:val="both"/>
      </w:pPr>
      <w:bookmarkStart w:id="974" w:name="Bookmark_para_33_3"/>
      <w:bookmarkStart w:id="975" w:name="Bookmark_I5JXSBG228T4TS0010000400"/>
      <w:bookmarkEnd w:id="974"/>
      <w:bookmarkEnd w:id="975"/>
      <w:r>
        <w:rPr>
          <w:rFonts w:ascii="Arial" w:eastAsia="Arial" w:hAnsi="Arial" w:cs="Arial"/>
          <w:color w:val="000000"/>
          <w:sz w:val="20"/>
        </w:rPr>
        <w:t xml:space="preserve">If these facts stick a knife in the state's argument, the DOJ guidelines twist it. They specifically include the plaintiffs' two theories within the integration mandate's ambit. Moreover, the ADA and the integration mandate's "protections would be meaningless if plaintiffs were required to segregate themselves by entering an institution before they could challenge an allegedly discriminatory law or policy that threatens to force them into segregated isolation." </w:t>
      </w:r>
      <w:bookmarkStart w:id="976" w:name="Bookmark_I5JXSBG22N1PY30050000400"/>
      <w:bookmarkEnd w:id="976"/>
      <w:r>
        <w:rPr>
          <w:rFonts w:ascii="Arial" w:eastAsia="Arial" w:hAnsi="Arial" w:cs="Arial"/>
          <w:i/>
          <w:color w:val="000000"/>
          <w:sz w:val="20"/>
        </w:rPr>
        <w:t>Fisher</w:t>
      </w:r>
      <w:r>
        <w:rPr>
          <w:rFonts w:ascii="Arial" w:eastAsia="Arial" w:hAnsi="Arial" w:cs="Arial"/>
          <w:color w:val="000000"/>
          <w:sz w:val="20"/>
        </w:rPr>
        <w:t>, 335 F.3d at 1181. In this case, the plaintiffs' quandary is Kafkaesque: Indiana's institutions can serve only a quarter of the persons with disabilities currently on the CIH waiver alone. Even if the plaintiffs had to be institutionalized, it is quite possible that they could not be.</w:t>
      </w:r>
    </w:p>
    <w:p w14:paraId="344055A6" w14:textId="77777777" w:rsidR="002D0E71" w:rsidRDefault="00000000">
      <w:pPr>
        <w:pStyle w:val="Normal6"/>
        <w:widowControl w:val="0"/>
        <w:spacing w:before="200" w:line="260" w:lineRule="atLeast"/>
        <w:jc w:val="both"/>
      </w:pPr>
      <w:bookmarkStart w:id="977" w:name="Bookmark_para_34_3"/>
      <w:bookmarkEnd w:id="977"/>
      <w:r>
        <w:rPr>
          <w:rFonts w:ascii="Arial" w:eastAsia="Arial" w:hAnsi="Arial" w:cs="Arial"/>
          <w:i/>
          <w:color w:val="000000"/>
          <w:sz w:val="20"/>
        </w:rPr>
        <w:t>Amundson</w:t>
      </w:r>
      <w:r>
        <w:rPr>
          <w:rFonts w:ascii="Arial" w:eastAsia="Arial" w:hAnsi="Arial" w:cs="Arial"/>
          <w:color w:val="000000"/>
          <w:sz w:val="20"/>
        </w:rPr>
        <w:t xml:space="preserve"> is not to the contrary. </w:t>
      </w:r>
      <w:bookmarkStart w:id="978" w:name="Bookmark_I5JXSBG228T4TS0030000400"/>
      <w:bookmarkEnd w:id="978"/>
      <w:r>
        <w:rPr>
          <w:rFonts w:ascii="Arial" w:eastAsia="Arial" w:hAnsi="Arial" w:cs="Arial"/>
          <w:color w:val="000000"/>
          <w:sz w:val="20"/>
        </w:rPr>
        <w:t xml:space="preserve">Nowhere did </w:t>
      </w:r>
      <w:r>
        <w:rPr>
          <w:rFonts w:ascii="Arial" w:eastAsia="Arial" w:hAnsi="Arial" w:cs="Arial"/>
          <w:i/>
          <w:color w:val="000000"/>
          <w:sz w:val="20"/>
        </w:rPr>
        <w:t>Amundson</w:t>
      </w:r>
      <w:r>
        <w:rPr>
          <w:rFonts w:ascii="Arial" w:eastAsia="Arial" w:hAnsi="Arial" w:cs="Arial"/>
          <w:color w:val="000000"/>
          <w:sz w:val="20"/>
        </w:rPr>
        <w:t xml:space="preserve"> indicate that segregation within the community beyond an institution's walls could not implicate the integration mandate. [**21]  </w:t>
      </w:r>
      <w:bookmarkStart w:id="979" w:name="Bookmark_I37192KD7JJ000BRKCK003FM"/>
      <w:bookmarkStart w:id="980" w:name="Bookmark_I5JXSBG228T4TS0050000400"/>
      <w:bookmarkEnd w:id="979"/>
      <w:bookmarkEnd w:id="980"/>
      <w:r>
        <w:rPr>
          <w:rFonts w:ascii="Arial" w:eastAsia="Arial" w:hAnsi="Arial" w:cs="Arial"/>
          <w:color w:val="000000"/>
          <w:sz w:val="20"/>
        </w:rPr>
        <w:t xml:space="preserve">The </w:t>
      </w:r>
      <w:r>
        <w:rPr>
          <w:rFonts w:ascii="Arial" w:eastAsia="Arial" w:hAnsi="Arial" w:cs="Arial"/>
          <w:i/>
          <w:color w:val="000000"/>
          <w:sz w:val="20"/>
        </w:rPr>
        <w:t>Amundson</w:t>
      </w:r>
      <w:r>
        <w:rPr>
          <w:rFonts w:ascii="Arial" w:eastAsia="Arial" w:hAnsi="Arial" w:cs="Arial"/>
          <w:color w:val="000000"/>
          <w:sz w:val="20"/>
        </w:rPr>
        <w:t xml:space="preserve"> plaintiffs did not present such a claim, and so the opinion does not address it. </w:t>
      </w:r>
      <w:r>
        <w:rPr>
          <w:rFonts w:ascii="Arial" w:eastAsia="Arial" w:hAnsi="Arial" w:cs="Arial"/>
          <w:i/>
          <w:color w:val="000000"/>
          <w:sz w:val="20"/>
        </w:rPr>
        <w:t>Amundson</w:t>
      </w:r>
      <w:r>
        <w:rPr>
          <w:rFonts w:ascii="Arial" w:eastAsia="Arial" w:hAnsi="Arial" w:cs="Arial"/>
          <w:color w:val="000000"/>
          <w:sz w:val="20"/>
        </w:rPr>
        <w:t xml:space="preserve"> decided instead that the plaintiffs' claims were not ripe because they had not pleaded sufficient facts to allege that they </w:t>
      </w:r>
      <w:r>
        <w:rPr>
          <w:rFonts w:ascii="Arial" w:eastAsia="Arial" w:hAnsi="Arial" w:cs="Arial"/>
          <w:i/>
          <w:color w:val="000000"/>
          <w:sz w:val="20"/>
        </w:rPr>
        <w:t>were</w:t>
      </w:r>
      <w:r>
        <w:rPr>
          <w:rFonts w:ascii="Arial" w:eastAsia="Arial" w:hAnsi="Arial" w:cs="Arial"/>
          <w:color w:val="000000"/>
          <w:sz w:val="20"/>
        </w:rPr>
        <w:t xml:space="preserve"> at serious risk of institutionalization. While some of the </w:t>
      </w:r>
      <w:r>
        <w:rPr>
          <w:rFonts w:ascii="Arial" w:eastAsia="Arial" w:hAnsi="Arial" w:cs="Arial"/>
          <w:i/>
          <w:color w:val="000000"/>
          <w:sz w:val="20"/>
        </w:rPr>
        <w:t>Amundson</w:t>
      </w:r>
      <w:r>
        <w:rPr>
          <w:rFonts w:ascii="Arial" w:eastAsia="Arial" w:hAnsi="Arial" w:cs="Arial"/>
          <w:color w:val="000000"/>
          <w:sz w:val="20"/>
        </w:rPr>
        <w:t xml:space="preserve"> plaintiffs had been required to leave group homes, they did "not allege inability to find another group home willing to accept the level of reimbursement" Wisconsin was offering. </w:t>
      </w:r>
      <w:bookmarkStart w:id="981" w:name="Bookmark_I5JXSBG228T4TS0020000400"/>
      <w:bookmarkEnd w:id="981"/>
      <w:r>
        <w:rPr>
          <w:rFonts w:ascii="Arial" w:eastAsia="Arial" w:hAnsi="Arial" w:cs="Arial"/>
          <w:color w:val="000000"/>
          <w:sz w:val="20"/>
        </w:rPr>
        <w:t xml:space="preserve">721 F.3d at 873-74. </w:t>
      </w:r>
      <w:bookmarkStart w:id="982" w:name="Bookmark_I5JXSBG228T4TS0050000400_2"/>
      <w:bookmarkEnd w:id="982"/>
      <w:r>
        <w:rPr>
          <w:rFonts w:ascii="Arial" w:eastAsia="Arial" w:hAnsi="Arial" w:cs="Arial"/>
          <w:color w:val="000000"/>
          <w:sz w:val="20"/>
        </w:rPr>
        <w:t xml:space="preserve">Wisconsin had represented that it had "safeguards in place that [would] prevent any plaintiff from being transferred to an institution"; the plaintiffs had not given "sufficient reason to think that these [would] fail." </w:t>
      </w:r>
      <w:bookmarkStart w:id="983" w:name="Bookmark_I5JXSBG228T4TS0040000400"/>
      <w:bookmarkEnd w:id="983"/>
      <w:r>
        <w:rPr>
          <w:rFonts w:ascii="Arial" w:eastAsia="Arial" w:hAnsi="Arial" w:cs="Arial"/>
          <w:i/>
          <w:color w:val="000000"/>
          <w:sz w:val="20"/>
        </w:rPr>
        <w:t>Id.</w:t>
      </w:r>
      <w:r>
        <w:rPr>
          <w:rFonts w:ascii="Arial" w:eastAsia="Arial" w:hAnsi="Arial" w:cs="Arial"/>
          <w:color w:val="000000"/>
          <w:sz w:val="20"/>
        </w:rPr>
        <w:t xml:space="preserve"> at 874. </w:t>
      </w:r>
      <w:r>
        <w:rPr>
          <w:rFonts w:ascii="Arial" w:eastAsia="Arial" w:hAnsi="Arial" w:cs="Arial"/>
          <w:i/>
          <w:color w:val="000000"/>
          <w:sz w:val="20"/>
        </w:rPr>
        <w:t>Amundson</w:t>
      </w:r>
      <w:r>
        <w:rPr>
          <w:rFonts w:ascii="Arial" w:eastAsia="Arial" w:hAnsi="Arial" w:cs="Arial"/>
          <w:color w:val="000000"/>
          <w:sz w:val="20"/>
        </w:rPr>
        <w:t xml:space="preserve"> did  [*913]  not mention the DOJ Guidance one way or the other; the state thus overreaches when it contends that </w:t>
      </w:r>
      <w:r>
        <w:rPr>
          <w:rFonts w:ascii="Arial" w:eastAsia="Arial" w:hAnsi="Arial" w:cs="Arial"/>
          <w:i/>
          <w:color w:val="000000"/>
          <w:sz w:val="20"/>
        </w:rPr>
        <w:t>Amundson</w:t>
      </w:r>
      <w:r>
        <w:rPr>
          <w:rFonts w:ascii="Arial" w:eastAsia="Arial" w:hAnsi="Arial" w:cs="Arial"/>
          <w:color w:val="000000"/>
          <w:sz w:val="20"/>
        </w:rPr>
        <w:t xml:space="preserve"> "presumably" rejected the DOJ Guidance.</w:t>
      </w:r>
    </w:p>
    <w:p w14:paraId="2322A26A" w14:textId="77777777" w:rsidR="002D0E71" w:rsidRDefault="00000000">
      <w:pPr>
        <w:pStyle w:val="Normal6"/>
        <w:widowControl w:val="0"/>
        <w:spacing w:before="200" w:line="260" w:lineRule="atLeast"/>
        <w:jc w:val="both"/>
      </w:pPr>
      <w:bookmarkStart w:id="984" w:name="Bookmark_para_35_3"/>
      <w:bookmarkStart w:id="985" w:name="Bookmark_I5JXSBG22D6NWB0020000400"/>
      <w:bookmarkEnd w:id="984"/>
      <w:bookmarkEnd w:id="985"/>
      <w:r>
        <w:rPr>
          <w:rFonts w:ascii="Arial" w:eastAsia="Arial" w:hAnsi="Arial" w:cs="Arial"/>
          <w:color w:val="000000"/>
          <w:sz w:val="20"/>
        </w:rPr>
        <w:t xml:space="preserve">The plaintiffs in our case have provided evidence that they need constant supervision and, despite their best efforts, the services provided under the FS waiver have proved inadequate to prevent life-threatening gaps in care. Again turning to </w:t>
      </w:r>
      <w:r>
        <w:rPr>
          <w:rFonts w:ascii="Arial" w:eastAsia="Arial" w:hAnsi="Arial" w:cs="Arial"/>
          <w:i/>
          <w:color w:val="000000"/>
          <w:sz w:val="20"/>
        </w:rPr>
        <w:t>Amundson</w:t>
      </w:r>
      <w:r>
        <w:rPr>
          <w:rFonts w:ascii="Arial" w:eastAsia="Arial" w:hAnsi="Arial" w:cs="Arial"/>
          <w:color w:val="000000"/>
          <w:sz w:val="20"/>
        </w:rPr>
        <w:t xml:space="preserve">, the state argues that the hypothetical availability of a CIH waiver is a sufficient [**22]  safeguard. But the state did not present this argument to the district court, and it is therefore waived. See </w:t>
      </w:r>
      <w:bookmarkStart w:id="986" w:name="Bookmark_I5JXSBG22D6NWB0010000400"/>
      <w:bookmarkEnd w:id="986"/>
      <w:r>
        <w:rPr>
          <w:rFonts w:ascii="Arial" w:eastAsia="Arial" w:hAnsi="Arial" w:cs="Arial"/>
          <w:i/>
          <w:color w:val="000000"/>
          <w:sz w:val="20"/>
        </w:rPr>
        <w:t>Domka v. Portage Cnty., Wis.</w:t>
      </w:r>
      <w:r>
        <w:rPr>
          <w:rFonts w:ascii="Arial" w:eastAsia="Arial" w:hAnsi="Arial" w:cs="Arial"/>
          <w:color w:val="000000"/>
          <w:sz w:val="20"/>
        </w:rPr>
        <w:t>, 523 F.3d 776, 783 (7th Cir. 2008). Even if it were not, the CIH waiver is among the measures the plaintiffs argue they need to prevent their institutionalization. The plaintiffs have provided evidence that they are at serious risk of being institutionalized. At this point, the state has provided no evidence to the contrary and has decided that the plaintiffs are currently ineligible for the CIH waiver. This is enough to raise a genuine question of fact about the adequacy of the CIH waiver as a safeguard against a serious risk of institutionalization. The plaintiffs' claims are therefore ripe.</w:t>
      </w:r>
    </w:p>
    <w:p w14:paraId="02BD7F93" w14:textId="77777777" w:rsidR="002D0E71" w:rsidRDefault="00000000">
      <w:pPr>
        <w:pStyle w:val="Normal6"/>
        <w:widowControl w:val="0"/>
        <w:spacing w:before="200" w:line="260" w:lineRule="atLeast"/>
        <w:jc w:val="both"/>
      </w:pPr>
      <w:bookmarkStart w:id="987" w:name="Bookmark_para_36_3"/>
      <w:bookmarkStart w:id="988" w:name="Bookmark_I5JXSBG22D6NWB0040000400"/>
      <w:bookmarkEnd w:id="987"/>
      <w:bookmarkEnd w:id="988"/>
      <w:r>
        <w:rPr>
          <w:rFonts w:ascii="Arial" w:eastAsia="Arial" w:hAnsi="Arial" w:cs="Arial"/>
          <w:color w:val="000000"/>
          <w:sz w:val="20"/>
        </w:rPr>
        <w:t xml:space="preserve">Another argument the state advances to avoid the integration mandate rests on language in </w:t>
      </w:r>
      <w:r>
        <w:rPr>
          <w:rFonts w:ascii="Arial" w:eastAsia="Arial" w:hAnsi="Arial" w:cs="Arial"/>
          <w:i/>
          <w:color w:val="000000"/>
          <w:sz w:val="20"/>
        </w:rPr>
        <w:t>Amundson</w:t>
      </w:r>
      <w:r>
        <w:rPr>
          <w:rFonts w:ascii="Arial" w:eastAsia="Arial" w:hAnsi="Arial" w:cs="Arial"/>
          <w:color w:val="000000"/>
          <w:sz w:val="20"/>
        </w:rPr>
        <w:t xml:space="preserve"> and a footnote in </w:t>
      </w:r>
      <w:r>
        <w:rPr>
          <w:rFonts w:ascii="Arial" w:eastAsia="Arial" w:hAnsi="Arial" w:cs="Arial"/>
          <w:i/>
          <w:color w:val="000000"/>
          <w:sz w:val="20"/>
        </w:rPr>
        <w:t>Olmstead</w:t>
      </w:r>
      <w:r>
        <w:rPr>
          <w:rFonts w:ascii="Arial" w:eastAsia="Arial" w:hAnsi="Arial" w:cs="Arial"/>
          <w:color w:val="000000"/>
          <w:sz w:val="20"/>
        </w:rPr>
        <w:t xml:space="preserve">, both of which it reads to support the idea that the integration mandate imposes neither a "standard of care" nor "a certain level of benefits to individuals with disabilities." </w:t>
      </w:r>
      <w:bookmarkStart w:id="989" w:name="Bookmark_I5JXSBG22D6NWB0030000400"/>
      <w:bookmarkEnd w:id="989"/>
      <w:r>
        <w:rPr>
          <w:rFonts w:ascii="Arial" w:eastAsia="Arial" w:hAnsi="Arial" w:cs="Arial"/>
          <w:i/>
          <w:color w:val="000000"/>
          <w:sz w:val="20"/>
        </w:rPr>
        <w:t>Olmstead</w:t>
      </w:r>
      <w:r>
        <w:rPr>
          <w:rFonts w:ascii="Arial" w:eastAsia="Arial" w:hAnsi="Arial" w:cs="Arial"/>
          <w:color w:val="000000"/>
          <w:sz w:val="20"/>
        </w:rPr>
        <w:t xml:space="preserve">, 527 U.S. at 603 n.14; </w:t>
      </w:r>
      <w:bookmarkStart w:id="990" w:name="Bookmark_I5JXSBG22D6NWB0050000400"/>
      <w:bookmarkEnd w:id="990"/>
      <w:r>
        <w:rPr>
          <w:rFonts w:ascii="Arial" w:eastAsia="Arial" w:hAnsi="Arial" w:cs="Arial"/>
          <w:i/>
          <w:color w:val="000000"/>
          <w:sz w:val="20"/>
        </w:rPr>
        <w:t>Amundson</w:t>
      </w:r>
      <w:r>
        <w:rPr>
          <w:rFonts w:ascii="Arial" w:eastAsia="Arial" w:hAnsi="Arial" w:cs="Arial"/>
          <w:color w:val="000000"/>
          <w:sz w:val="20"/>
        </w:rPr>
        <w:t xml:space="preserve">, 721 F.3d at 875 (holding that the ADA does not support "a claim of absolute entitlement" to Medicaid benefits); see also </w:t>
      </w:r>
      <w:bookmarkStart w:id="991" w:name="Bookmark_I5JXSBG22HM6SY0020000400"/>
      <w:bookmarkEnd w:id="991"/>
      <w:r>
        <w:rPr>
          <w:rFonts w:ascii="Arial" w:eastAsia="Arial" w:hAnsi="Arial" w:cs="Arial"/>
          <w:i/>
          <w:color w:val="000000"/>
          <w:sz w:val="20"/>
        </w:rPr>
        <w:t>Cohon ex rel. Bass v. New Mexico Dep't of Health</w:t>
      </w:r>
      <w:r>
        <w:rPr>
          <w:rFonts w:ascii="Arial" w:eastAsia="Arial" w:hAnsi="Arial" w:cs="Arial"/>
          <w:color w:val="000000"/>
          <w:sz w:val="20"/>
        </w:rPr>
        <w:t xml:space="preserve">, 646 F.3d 717, 729 (10th Cir. 2011) (holding that ADA did not give plaintiff "legal entitlement" to specific requested services and that she did not [**23]  state an </w:t>
      </w:r>
      <w:r>
        <w:rPr>
          <w:rFonts w:ascii="Arial" w:eastAsia="Arial" w:hAnsi="Arial" w:cs="Arial"/>
          <w:i/>
          <w:color w:val="000000"/>
          <w:sz w:val="20"/>
        </w:rPr>
        <w:t>Olmstead</w:t>
      </w:r>
      <w:r>
        <w:rPr>
          <w:rFonts w:ascii="Arial" w:eastAsia="Arial" w:hAnsi="Arial" w:cs="Arial"/>
          <w:color w:val="000000"/>
          <w:sz w:val="20"/>
        </w:rPr>
        <w:t xml:space="preserve"> claim because she failed to allege that the program would lead to her unjustified isolation or premature institutionalization); </w:t>
      </w:r>
      <w:bookmarkStart w:id="992" w:name="Bookmark_I5JXSBG22HM6SY0040000400"/>
      <w:bookmarkEnd w:id="992"/>
      <w:r>
        <w:rPr>
          <w:rFonts w:ascii="Arial" w:eastAsia="Arial" w:hAnsi="Arial" w:cs="Arial"/>
          <w:i/>
          <w:color w:val="000000"/>
          <w:sz w:val="20"/>
        </w:rPr>
        <w:t>Rodriguez v. City of New York</w:t>
      </w:r>
      <w:r>
        <w:rPr>
          <w:rFonts w:ascii="Arial" w:eastAsia="Arial" w:hAnsi="Arial" w:cs="Arial"/>
          <w:color w:val="000000"/>
          <w:sz w:val="20"/>
        </w:rPr>
        <w:t>, 197 F.3d 611, 619 (2d Cir. 1999) (noting that "</w:t>
      </w:r>
      <w:r>
        <w:rPr>
          <w:rFonts w:ascii="Arial" w:eastAsia="Arial" w:hAnsi="Arial" w:cs="Arial"/>
          <w:i/>
          <w:color w:val="000000"/>
          <w:sz w:val="20"/>
        </w:rPr>
        <w:t>Olmstead</w:t>
      </w:r>
      <w:r>
        <w:rPr>
          <w:rFonts w:ascii="Arial" w:eastAsia="Arial" w:hAnsi="Arial" w:cs="Arial"/>
          <w:color w:val="000000"/>
          <w:sz w:val="20"/>
        </w:rPr>
        <w:t xml:space="preserve"> reaffirms that the ADA does not mandate the provision of new benefits" and "addressed only [] </w:t>
      </w:r>
      <w:r>
        <w:rPr>
          <w:rFonts w:ascii="Arial" w:eastAsia="Arial" w:hAnsi="Arial" w:cs="Arial"/>
          <w:i/>
          <w:color w:val="000000"/>
          <w:sz w:val="20"/>
        </w:rPr>
        <w:t>where</w:t>
      </w:r>
      <w:r>
        <w:rPr>
          <w:rFonts w:ascii="Arial" w:eastAsia="Arial" w:hAnsi="Arial" w:cs="Arial"/>
          <w:color w:val="000000"/>
          <w:sz w:val="20"/>
        </w:rPr>
        <w:t xml:space="preserve"> Georgia should provide treatment, not </w:t>
      </w:r>
      <w:r>
        <w:rPr>
          <w:rFonts w:ascii="Arial" w:eastAsia="Arial" w:hAnsi="Arial" w:cs="Arial"/>
          <w:i/>
          <w:color w:val="000000"/>
          <w:sz w:val="20"/>
        </w:rPr>
        <w:t>whether</w:t>
      </w:r>
      <w:r>
        <w:rPr>
          <w:rFonts w:ascii="Arial" w:eastAsia="Arial" w:hAnsi="Arial" w:cs="Arial"/>
          <w:color w:val="000000"/>
          <w:sz w:val="20"/>
        </w:rPr>
        <w:t xml:space="preserve"> it must provide it").</w:t>
      </w:r>
    </w:p>
    <w:p w14:paraId="3AD3CD52" w14:textId="77777777" w:rsidR="002D0E71" w:rsidRDefault="00000000">
      <w:pPr>
        <w:pStyle w:val="Normal6"/>
        <w:widowControl w:val="0"/>
        <w:spacing w:before="200" w:line="260" w:lineRule="atLeast"/>
        <w:jc w:val="both"/>
      </w:pPr>
      <w:bookmarkStart w:id="993" w:name="Bookmark_para_37_3"/>
      <w:bookmarkStart w:id="994" w:name="Bookmark_I5JXSBG22HM6T00020000400"/>
      <w:bookmarkEnd w:id="993"/>
      <w:bookmarkEnd w:id="994"/>
      <w:r>
        <w:rPr>
          <w:rFonts w:ascii="Arial" w:eastAsia="Arial" w:hAnsi="Arial" w:cs="Arial"/>
          <w:color w:val="000000"/>
          <w:sz w:val="20"/>
        </w:rPr>
        <w:t xml:space="preserve">The problem with that argument is that it misconstrues the plaintiffs' theory. They have not argued that they have an absolute entitlement to any particular services or program. They instead seek access to existing benefits available under either the uncapped A&amp;D or CIH waivers—benefits that have been granted to some persons with disabilities, but not to them. </w:t>
      </w:r>
      <w:bookmarkStart w:id="995" w:name="Bookmark_LNHNREFclscc16_0"/>
      <w:bookmarkEnd w:id="995"/>
      <w:r>
        <w:rPr>
          <w:rFonts w:ascii="Arial" w:eastAsia="Arial" w:hAnsi="Arial" w:cs="Arial"/>
          <w:color w:val="000000"/>
          <w:sz w:val="20"/>
        </w:rPr>
        <w:t xml:space="preserve">While "a State is not obligated to create new services," it "may violate Title II when it refuses to provide an existing benefit to a disabled person that would enable that individual to live in a more community-integrated setting." </w:t>
      </w:r>
      <w:bookmarkStart w:id="996" w:name="Bookmark_I5JXSBG22HM6T00010000400"/>
      <w:bookmarkEnd w:id="996"/>
      <w:r>
        <w:rPr>
          <w:rFonts w:ascii="Arial" w:eastAsia="Arial" w:hAnsi="Arial" w:cs="Arial"/>
          <w:i/>
          <w:color w:val="000000"/>
          <w:sz w:val="20"/>
        </w:rPr>
        <w:t>Radaszewski</w:t>
      </w:r>
      <w:r>
        <w:rPr>
          <w:rFonts w:ascii="Arial" w:eastAsia="Arial" w:hAnsi="Arial" w:cs="Arial"/>
          <w:color w:val="000000"/>
          <w:sz w:val="20"/>
        </w:rPr>
        <w:t xml:space="preserve">, 383 F.3d at 609 (citing </w:t>
      </w:r>
      <w:bookmarkStart w:id="997" w:name="Bookmark_I5JXSBG22HM6T00030000400"/>
      <w:bookmarkEnd w:id="997"/>
      <w:r>
        <w:rPr>
          <w:rFonts w:ascii="Arial" w:eastAsia="Arial" w:hAnsi="Arial" w:cs="Arial"/>
          <w:i/>
          <w:color w:val="000000"/>
          <w:sz w:val="20"/>
        </w:rPr>
        <w:t>Olmstead</w:t>
      </w:r>
      <w:r>
        <w:rPr>
          <w:rFonts w:ascii="Arial" w:eastAsia="Arial" w:hAnsi="Arial" w:cs="Arial"/>
          <w:color w:val="000000"/>
          <w:sz w:val="20"/>
        </w:rPr>
        <w:t>, 527 U.S. at 603 n.14 for the principle "that States must adhere to the ADA's nondiscrimination requirement with regard to the services they in fact provide"). The plaintiffs seek services that exist and are given to others. The state may already be providing at least some of those [**24]  services through the prior-authorization program, albeit not out in the community. That, in fact, is the key difference between waiver and prior-authorization services: the former are more flexible with regard to their timing and may be used outside the home in the community; the latter must be used in the home.</w:t>
      </w:r>
    </w:p>
    <w:p w14:paraId="6A788EFE" w14:textId="77777777" w:rsidR="002D0E71" w:rsidRDefault="00000000">
      <w:pPr>
        <w:pStyle w:val="Normal6"/>
        <w:widowControl w:val="0"/>
        <w:spacing w:before="200" w:line="260" w:lineRule="atLeast"/>
        <w:jc w:val="both"/>
      </w:pPr>
      <w:bookmarkStart w:id="998" w:name="Bookmark_para_38_2"/>
      <w:bookmarkEnd w:id="998"/>
      <w:r>
        <w:rPr>
          <w:rFonts w:ascii="Arial" w:eastAsia="Arial" w:hAnsi="Arial" w:cs="Arial"/>
          <w:color w:val="000000"/>
          <w:sz w:val="20"/>
        </w:rPr>
        <w:t xml:space="preserve">The state's final plea invokes vagueness: If the integration mandate applies  [*914]  to a multiplicity of "settings" and can require the shifting of resources to increase community participation, where will it end? The short answer may be that it ends wherever the state has chosen—this is an anti-discrimination mandate, as we said, not a floor or ceiling. </w:t>
      </w:r>
      <w:bookmarkStart w:id="999" w:name="Bookmark_I37192KDSW4000BRKCK001KF"/>
      <w:bookmarkStart w:id="1000" w:name="Bookmark_I5JXSBG22SF8PV0010000400"/>
      <w:bookmarkEnd w:id="999"/>
      <w:bookmarkEnd w:id="1000"/>
      <w:r>
        <w:rPr>
          <w:rFonts w:ascii="Arial" w:eastAsia="Arial" w:hAnsi="Arial" w:cs="Arial"/>
          <w:color w:val="000000"/>
          <w:sz w:val="20"/>
        </w:rPr>
        <w:t xml:space="preserve">Here, the state has ways to allow otherwise qualified persons to spend upwards of 40 hours per week outside their home and in the community. It thus may not, by invoking the rules of its waiver program, limit qualified persons to only 12 hours in the community each week. That fails to "administer services, programs, and activities in the most integrated setting appropriate to the needs of qualified individuals with disabilities." 28 C.F.R. § 35.130(d). Based on the purpose and text of the ADA, the text of the integration mandate, the Supreme Court's rationale [**25]  in </w:t>
      </w:r>
      <w:bookmarkStart w:id="1001" w:name="Bookmark_I5JXSBG22SF8PV0010000400_2"/>
      <w:bookmarkStart w:id="1002" w:name="Bookmark_I5JXSBG22HM6T00050000400"/>
      <w:bookmarkEnd w:id="1001"/>
      <w:bookmarkEnd w:id="1002"/>
      <w:r>
        <w:rPr>
          <w:rFonts w:ascii="Arial" w:eastAsia="Arial" w:hAnsi="Arial" w:cs="Arial"/>
          <w:i/>
          <w:color w:val="000000"/>
          <w:sz w:val="20"/>
        </w:rPr>
        <w:t>Olmstead</w:t>
      </w:r>
      <w:r>
        <w:rPr>
          <w:rFonts w:ascii="Arial" w:eastAsia="Arial" w:hAnsi="Arial" w:cs="Arial"/>
          <w:color w:val="000000"/>
          <w:sz w:val="20"/>
        </w:rPr>
        <w:t xml:space="preserve">, and the DOJ Guidance, we hold that </w:t>
      </w:r>
      <w:bookmarkStart w:id="1003" w:name="Bookmark_LNHNREFclscc17_0"/>
      <w:bookmarkEnd w:id="1003"/>
      <w:r>
        <w:rPr>
          <w:rFonts w:ascii="Arial" w:eastAsia="Arial" w:hAnsi="Arial" w:cs="Arial"/>
          <w:color w:val="000000"/>
          <w:sz w:val="20"/>
        </w:rPr>
        <w:t>the integration mandate is implicated where the state's policies have either (1) segregated persons with disabilities within their homes, or (2) put them at serious risk of institutionalization.</w:t>
      </w:r>
    </w:p>
    <w:p w14:paraId="2E128CB4" w14:textId="77777777" w:rsidR="002D0E71" w:rsidRDefault="00000000">
      <w:pPr>
        <w:pStyle w:val="Normal6"/>
        <w:widowControl w:val="0"/>
        <w:spacing w:before="120" w:line="260" w:lineRule="atLeast"/>
      </w:pPr>
      <w:r>
        <w:rPr>
          <w:rFonts w:ascii="Arial" w:eastAsia="Arial" w:hAnsi="Arial" w:cs="Arial"/>
          <w:color w:val="000000"/>
          <w:sz w:val="20"/>
        </w:rPr>
        <w:t>B</w:t>
      </w:r>
    </w:p>
    <w:p w14:paraId="18AC947C" w14:textId="77777777" w:rsidR="002D0E71" w:rsidRDefault="00000000">
      <w:pPr>
        <w:pStyle w:val="Normal6"/>
        <w:widowControl w:val="0"/>
        <w:spacing w:before="200" w:line="260" w:lineRule="atLeast"/>
        <w:jc w:val="both"/>
      </w:pPr>
      <w:bookmarkStart w:id="1004" w:name="Bookmark_para_39_2"/>
      <w:bookmarkEnd w:id="1004"/>
      <w:r>
        <w:rPr>
          <w:rFonts w:ascii="Arial" w:eastAsia="Arial" w:hAnsi="Arial" w:cs="Arial"/>
          <w:color w:val="000000"/>
          <w:sz w:val="20"/>
        </w:rPr>
        <w:t>Because it thought that the integration mandate was not even implicated here, the district court did not reach the question whether it was violated. We, however, must press on, in light of our conclusion that the mandate is in play. On cross-motions for summary judgment, plaintiffs presented evidence that they were segregated from the community and that the state's 2011 policy was to blame. Without challenging the contentions about the degree of community interaction plaintiffs are receiving, the state presented evidence that showed, in its view, that the 2011 policy change was not the cause of whatever segregation is occurring.</w:t>
      </w:r>
    </w:p>
    <w:p w14:paraId="2FC90A47" w14:textId="77777777" w:rsidR="002D0E71" w:rsidRDefault="00000000">
      <w:pPr>
        <w:pStyle w:val="Normal6"/>
        <w:widowControl w:val="0"/>
        <w:spacing w:before="120" w:line="260" w:lineRule="atLeast"/>
      </w:pPr>
      <w:r>
        <w:rPr>
          <w:rFonts w:ascii="Arial" w:eastAsia="Arial" w:hAnsi="Arial" w:cs="Arial"/>
          <w:color w:val="000000"/>
          <w:sz w:val="20"/>
        </w:rPr>
        <w:t>1</w:t>
      </w:r>
    </w:p>
    <w:p w14:paraId="4E9C063B" w14:textId="77777777" w:rsidR="002D0E71" w:rsidRDefault="00000000">
      <w:pPr>
        <w:pStyle w:val="Normal6"/>
        <w:widowControl w:val="0"/>
        <w:spacing w:before="200" w:line="260" w:lineRule="atLeast"/>
        <w:jc w:val="both"/>
      </w:pPr>
      <w:bookmarkStart w:id="1005" w:name="Bookmark_para_40_2"/>
      <w:bookmarkEnd w:id="1005"/>
      <w:r>
        <w:rPr>
          <w:rFonts w:ascii="Arial" w:eastAsia="Arial" w:hAnsi="Arial" w:cs="Arial"/>
          <w:color w:val="000000"/>
          <w:sz w:val="20"/>
        </w:rPr>
        <w:t xml:space="preserve">We turn once again to </w:t>
      </w:r>
      <w:r>
        <w:rPr>
          <w:rFonts w:ascii="Arial" w:eastAsia="Arial" w:hAnsi="Arial" w:cs="Arial"/>
          <w:i/>
          <w:color w:val="000000"/>
          <w:sz w:val="20"/>
        </w:rPr>
        <w:t>Olmstead</w:t>
      </w:r>
      <w:r>
        <w:rPr>
          <w:rFonts w:ascii="Arial" w:eastAsia="Arial" w:hAnsi="Arial" w:cs="Arial"/>
          <w:color w:val="000000"/>
          <w:sz w:val="20"/>
        </w:rPr>
        <w:t xml:space="preserve"> for the proper way to analyze these arguments. </w:t>
      </w:r>
      <w:bookmarkStart w:id="1006" w:name="Bookmark_I5JXSBG22SF8PV0030000400"/>
      <w:bookmarkEnd w:id="1006"/>
      <w:r>
        <w:rPr>
          <w:rFonts w:ascii="Arial" w:eastAsia="Arial" w:hAnsi="Arial" w:cs="Arial"/>
          <w:color w:val="000000"/>
          <w:sz w:val="20"/>
        </w:rPr>
        <w:t>It set out a test for determining whether the ADA's integration mandate is violated:</w:t>
      </w:r>
    </w:p>
    <w:p w14:paraId="52A7E75D" w14:textId="77777777" w:rsidR="002D0E71" w:rsidRDefault="00000000">
      <w:pPr>
        <w:pStyle w:val="Normal6"/>
        <w:widowControl w:val="0"/>
        <w:spacing w:before="200" w:line="260" w:lineRule="atLeast"/>
        <w:ind w:left="400"/>
        <w:jc w:val="both"/>
      </w:pPr>
      <w:bookmarkStart w:id="1007" w:name="Bookmark_para_41_2"/>
      <w:bookmarkStart w:id="1008" w:name="Bookmark_I5JXSBG22SF8PV0030000400_2"/>
      <w:bookmarkStart w:id="1009" w:name="Bookmark_LNHNREFclscc18_0"/>
      <w:bookmarkEnd w:id="1007"/>
      <w:bookmarkEnd w:id="1008"/>
      <w:bookmarkEnd w:id="1009"/>
      <w:r>
        <w:rPr>
          <w:rFonts w:ascii="Arial" w:eastAsia="Arial" w:hAnsi="Arial" w:cs="Arial"/>
          <w:color w:val="000000"/>
          <w:sz w:val="20"/>
        </w:rPr>
        <w:t>[U]nder Title II of the ADA, States are required to provide community-based treatment for persons with mental disabilities when [1] the State's treatment professionals [**26]  determine that such placement is appropriate, [2] the affected persons do not oppose such treatment, and [3] the placement can be reasonably accommodated, taking into account the resources available to the State and the needs of others with mental disabilities.</w:t>
      </w:r>
    </w:p>
    <w:p w14:paraId="0E63C423" w14:textId="77777777" w:rsidR="002D0E71" w:rsidRDefault="00000000">
      <w:pPr>
        <w:pStyle w:val="Normal6"/>
        <w:widowControl w:val="0"/>
        <w:spacing w:before="200" w:line="260" w:lineRule="atLeast"/>
        <w:jc w:val="both"/>
      </w:pPr>
      <w:bookmarkStart w:id="1010" w:name="Bookmark_I5JXSBG22SF8PV0030000400_3"/>
      <w:bookmarkStart w:id="1011" w:name="Bookmark_I5JXSBG22SF8PV0050000400"/>
      <w:bookmarkStart w:id="1012" w:name="Bookmark_I5JXSBG22SF8PV0020000400"/>
      <w:bookmarkEnd w:id="1010"/>
      <w:bookmarkEnd w:id="1011"/>
      <w:bookmarkEnd w:id="1012"/>
      <w:r>
        <w:rPr>
          <w:rFonts w:ascii="Arial" w:eastAsia="Arial" w:hAnsi="Arial" w:cs="Arial"/>
          <w:i/>
          <w:color w:val="000000"/>
          <w:sz w:val="20"/>
        </w:rPr>
        <w:t>Olmstead</w:t>
      </w:r>
      <w:r>
        <w:rPr>
          <w:rFonts w:ascii="Arial" w:eastAsia="Arial" w:hAnsi="Arial" w:cs="Arial"/>
          <w:color w:val="000000"/>
          <w:sz w:val="20"/>
        </w:rPr>
        <w:t xml:space="preserve">, 527 U.S. at 607. </w:t>
      </w:r>
      <w:bookmarkStart w:id="1013" w:name="Bookmark_I5JXSBG22SF8PV0050000400_2"/>
      <w:bookmarkEnd w:id="1013"/>
      <w:r>
        <w:rPr>
          <w:rFonts w:ascii="Arial" w:eastAsia="Arial" w:hAnsi="Arial" w:cs="Arial"/>
          <w:color w:val="000000"/>
          <w:sz w:val="20"/>
        </w:rPr>
        <w:t xml:space="preserve">We have understood this to be the Court's last word on the point. See </w:t>
      </w:r>
      <w:bookmarkStart w:id="1014" w:name="Bookmark_I5JXSBG22SF8PV0040000400"/>
      <w:bookmarkEnd w:id="1014"/>
      <w:r>
        <w:rPr>
          <w:rFonts w:ascii="Arial" w:eastAsia="Arial" w:hAnsi="Arial" w:cs="Arial"/>
          <w:i/>
          <w:color w:val="000000"/>
          <w:sz w:val="20"/>
        </w:rPr>
        <w:t>Omega Healthcare Inv'rs, Inc. v. Res-Care, Inc.</w:t>
      </w:r>
      <w:r>
        <w:rPr>
          <w:rFonts w:ascii="Arial" w:eastAsia="Arial" w:hAnsi="Arial" w:cs="Arial"/>
          <w:color w:val="000000"/>
          <w:sz w:val="20"/>
        </w:rPr>
        <w:t>, 475 F.3d 853, 864 (7th Cir. 2007) (noting that "</w:t>
      </w:r>
      <w:r>
        <w:rPr>
          <w:rFonts w:ascii="Arial" w:eastAsia="Arial" w:hAnsi="Arial" w:cs="Arial"/>
          <w:i/>
          <w:color w:val="000000"/>
          <w:sz w:val="20"/>
        </w:rPr>
        <w:t>Olmstead</w:t>
      </w:r>
      <w:r>
        <w:rPr>
          <w:rFonts w:ascii="Arial" w:eastAsia="Arial" w:hAnsi="Arial" w:cs="Arial"/>
          <w:color w:val="000000"/>
          <w:sz w:val="20"/>
        </w:rPr>
        <w:t xml:space="preserve"> stands for the proposition that in order to avoid violating the [ADA], the placement of individuals in community-based settings is appropriate" when the test is met); </w:t>
      </w:r>
      <w:bookmarkStart w:id="1015" w:name="Bookmark_I5JXSBG22N1PY40010000400"/>
      <w:bookmarkEnd w:id="1015"/>
      <w:r>
        <w:rPr>
          <w:rFonts w:ascii="Arial" w:eastAsia="Arial" w:hAnsi="Arial" w:cs="Arial"/>
          <w:i/>
          <w:color w:val="000000"/>
          <w:sz w:val="20"/>
        </w:rPr>
        <w:t>Radaszewski</w:t>
      </w:r>
      <w:r>
        <w:rPr>
          <w:rFonts w:ascii="Arial" w:eastAsia="Arial" w:hAnsi="Arial" w:cs="Arial"/>
          <w:color w:val="000000"/>
          <w:sz w:val="20"/>
        </w:rPr>
        <w:t>, 383 F.3d at 608 (noting, without clearly applying the test, that "the [</w:t>
      </w:r>
      <w:r>
        <w:rPr>
          <w:rFonts w:ascii="Arial" w:eastAsia="Arial" w:hAnsi="Arial" w:cs="Arial"/>
          <w:i/>
          <w:color w:val="000000"/>
          <w:sz w:val="20"/>
        </w:rPr>
        <w:t>Olmstead</w:t>
      </w:r>
      <w:r>
        <w:rPr>
          <w:rFonts w:ascii="Arial" w:eastAsia="Arial" w:hAnsi="Arial" w:cs="Arial"/>
          <w:color w:val="000000"/>
          <w:sz w:val="20"/>
        </w:rPr>
        <w:t>] Court agreed" with the plaintiffs' formulation of it).</w:t>
      </w:r>
    </w:p>
    <w:p w14:paraId="24683507" w14:textId="77777777" w:rsidR="002D0E71" w:rsidRDefault="00000000">
      <w:pPr>
        <w:pStyle w:val="Normal6"/>
        <w:widowControl w:val="0"/>
        <w:spacing w:before="200" w:line="260" w:lineRule="atLeast"/>
        <w:jc w:val="both"/>
      </w:pPr>
      <w:bookmarkStart w:id="1016" w:name="Bookmark_para_42_2"/>
      <w:bookmarkStart w:id="1017" w:name="Bookmark_I5JXSBG22N1PY40040000400"/>
      <w:bookmarkEnd w:id="1016"/>
      <w:bookmarkEnd w:id="1017"/>
      <w:r>
        <w:rPr>
          <w:rFonts w:ascii="Arial" w:eastAsia="Arial" w:hAnsi="Arial" w:cs="Arial"/>
          <w:color w:val="000000"/>
          <w:sz w:val="20"/>
        </w:rPr>
        <w:t xml:space="preserve">The first two elements of the test appear in Section III.A of the </w:t>
      </w:r>
      <w:r>
        <w:rPr>
          <w:rFonts w:ascii="Arial" w:eastAsia="Arial" w:hAnsi="Arial" w:cs="Arial"/>
          <w:i/>
          <w:color w:val="000000"/>
          <w:sz w:val="20"/>
        </w:rPr>
        <w:t>Olmstead</w:t>
      </w:r>
      <w:r>
        <w:rPr>
          <w:rFonts w:ascii="Arial" w:eastAsia="Arial" w:hAnsi="Arial" w:cs="Arial"/>
          <w:color w:val="000000"/>
          <w:sz w:val="20"/>
        </w:rPr>
        <w:t xml:space="preserve"> decision, which commanded a majority of the Court and is thus binding on us. The Court noted there that </w:t>
      </w:r>
      <w:bookmarkStart w:id="1018" w:name="Bookmark_LNHNREFclscc19"/>
      <w:bookmarkEnd w:id="1018"/>
      <w:r>
        <w:rPr>
          <w:rFonts w:ascii="Arial" w:eastAsia="Arial" w:hAnsi="Arial" w:cs="Arial"/>
          <w:color w:val="000000"/>
          <w:sz w:val="20"/>
        </w:rPr>
        <w:t xml:space="preserve">(1) "the State may generally rely on the reasonable assessments of its own professionals in determining whether an individual 'meets the essential eligibility requirements'" of the program, and (2) that there exists no "federal requirement that community-based treatment be imposed on patients who do not desire it." </w:t>
      </w:r>
      <w:bookmarkStart w:id="1019" w:name="Bookmark_I5JXSBG22N1PY40030000400"/>
      <w:bookmarkEnd w:id="1019"/>
      <w:r>
        <w:rPr>
          <w:rFonts w:ascii="Arial" w:eastAsia="Arial" w:hAnsi="Arial" w:cs="Arial"/>
          <w:i/>
          <w:color w:val="000000"/>
          <w:sz w:val="20"/>
        </w:rPr>
        <w:t>Olmstead</w:t>
      </w:r>
      <w:r>
        <w:rPr>
          <w:rFonts w:ascii="Arial" w:eastAsia="Arial" w:hAnsi="Arial" w:cs="Arial"/>
          <w:color w:val="000000"/>
          <w:sz w:val="20"/>
        </w:rPr>
        <w:t>, 527 U.S. at 602.</w:t>
      </w:r>
    </w:p>
    <w:p w14:paraId="4CC71DDE" w14:textId="77777777" w:rsidR="002D0E71" w:rsidRDefault="00000000">
      <w:pPr>
        <w:pStyle w:val="Normal6"/>
        <w:widowControl w:val="0"/>
        <w:spacing w:before="200" w:line="260" w:lineRule="atLeast"/>
        <w:jc w:val="both"/>
      </w:pPr>
      <w:bookmarkStart w:id="1020" w:name="Bookmark_para_43_2"/>
      <w:bookmarkEnd w:id="1020"/>
      <w:r>
        <w:rPr>
          <w:rFonts w:ascii="Arial" w:eastAsia="Arial" w:hAnsi="Arial" w:cs="Arial"/>
          <w:i/>
          <w:color w:val="000000"/>
          <w:sz w:val="20"/>
        </w:rPr>
        <w:t>Olmstead</w:t>
      </w:r>
      <w:r>
        <w:rPr>
          <w:rFonts w:ascii="Arial" w:eastAsia="Arial" w:hAnsi="Arial" w:cs="Arial"/>
          <w:color w:val="000000"/>
          <w:sz w:val="20"/>
        </w:rPr>
        <w:t xml:space="preserve">'s articulation of the third element of the test, however, [**27]  represents the  [*915]  thinking of only a plurality of the Court. </w:t>
      </w:r>
      <w:bookmarkStart w:id="1021" w:name="Bookmark_LNHNREFclscc20"/>
      <w:bookmarkEnd w:id="1021"/>
      <w:r>
        <w:rPr>
          <w:rFonts w:ascii="Arial" w:eastAsia="Arial" w:hAnsi="Arial" w:cs="Arial"/>
          <w:color w:val="000000"/>
          <w:sz w:val="20"/>
        </w:rPr>
        <w:t xml:space="preserve">Those Justices addressed the question of the level at which the "reasonable modifications" provision should be evaluated—that is, which matters should be considered in deciding whether a requirement to provide integrated care would constitute a fundamental alteration of the state's program. </w:t>
      </w:r>
      <w:bookmarkStart w:id="1022" w:name="Bookmark_I5JXSBG22SF8PW0010000400"/>
      <w:bookmarkEnd w:id="1022"/>
      <w:r>
        <w:rPr>
          <w:rFonts w:ascii="Arial" w:eastAsia="Arial" w:hAnsi="Arial" w:cs="Arial"/>
          <w:color w:val="000000"/>
          <w:sz w:val="20"/>
        </w:rPr>
        <w:t xml:space="preserve">See 28 C.F.R. § 35.130(b)(7). It is clear that some version of the "reasonable modifications" provision—and its flip side, the fundamental-alteration defense—must be taken into account before deciding that the integration mandate was violated. </w:t>
      </w:r>
      <w:bookmarkStart w:id="1023" w:name="Bookmark_I5JXSBG22SF8PW0030000400"/>
      <w:bookmarkEnd w:id="1023"/>
      <w:r>
        <w:rPr>
          <w:rFonts w:ascii="Arial" w:eastAsia="Arial" w:hAnsi="Arial" w:cs="Arial"/>
          <w:color w:val="000000"/>
          <w:sz w:val="20"/>
        </w:rPr>
        <w:t xml:space="preserve">Justice Stevens, concurring in the judgment, thought that the fundamental-alteration defense rested ultimately on the facts; he thus saw no need to delve into the limitations on the state's duty. See </w:t>
      </w:r>
      <w:bookmarkStart w:id="1024" w:name="Bookmark_I5JXSBG22N1PY40050000400"/>
      <w:bookmarkEnd w:id="1024"/>
      <w:r>
        <w:rPr>
          <w:rFonts w:ascii="Arial" w:eastAsia="Arial" w:hAnsi="Arial" w:cs="Arial"/>
          <w:i/>
          <w:color w:val="000000"/>
          <w:sz w:val="20"/>
        </w:rPr>
        <w:t>Olmstead</w:t>
      </w:r>
      <w:r>
        <w:rPr>
          <w:rFonts w:ascii="Arial" w:eastAsia="Arial" w:hAnsi="Arial" w:cs="Arial"/>
          <w:color w:val="000000"/>
          <w:sz w:val="20"/>
        </w:rPr>
        <w:t xml:space="preserve">, 527 U.S. at 607-08 (Stevens, J., concurring in part and concurring in the judgment). </w:t>
      </w:r>
      <w:bookmarkStart w:id="1025" w:name="Bookmark_I5JXSBG22SF8PW0030000400_2"/>
      <w:bookmarkEnd w:id="1025"/>
      <w:r>
        <w:rPr>
          <w:rFonts w:ascii="Arial" w:eastAsia="Arial" w:hAnsi="Arial" w:cs="Arial"/>
          <w:color w:val="000000"/>
          <w:sz w:val="20"/>
        </w:rPr>
        <w:t xml:space="preserve">Justice Kennedy, writing for himself and Justice Breyer, focused on the need for courts to defer to the treatment decisions of the treating physicians, lest people who need greater care are shoved out into the community inappropriately. </w:t>
      </w:r>
      <w:bookmarkStart w:id="1026" w:name="Bookmark_I5JXSBG22SF8PW0020000400"/>
      <w:bookmarkEnd w:id="1026"/>
      <w:r>
        <w:rPr>
          <w:rFonts w:ascii="Arial" w:eastAsia="Arial" w:hAnsi="Arial" w:cs="Arial"/>
          <w:i/>
          <w:color w:val="000000"/>
          <w:sz w:val="20"/>
        </w:rPr>
        <w:t>Id.</w:t>
      </w:r>
      <w:r>
        <w:rPr>
          <w:rFonts w:ascii="Arial" w:eastAsia="Arial" w:hAnsi="Arial" w:cs="Arial"/>
          <w:color w:val="000000"/>
          <w:sz w:val="20"/>
        </w:rPr>
        <w:t xml:space="preserve"> at 608-615 (Kennedy, J., concurring in the judgment).</w:t>
      </w:r>
    </w:p>
    <w:p w14:paraId="0DD19CB4" w14:textId="77777777" w:rsidR="002D0E71" w:rsidRDefault="00000000">
      <w:pPr>
        <w:pStyle w:val="Normal6"/>
        <w:widowControl w:val="0"/>
        <w:spacing w:before="200" w:line="260" w:lineRule="atLeast"/>
        <w:jc w:val="both"/>
      </w:pPr>
      <w:bookmarkStart w:id="1027" w:name="Bookmark_para_44_1"/>
      <w:bookmarkStart w:id="1028" w:name="Bookmark_I5JXSBG22SF8PW0050000400"/>
      <w:bookmarkEnd w:id="1027"/>
      <w:bookmarkEnd w:id="1028"/>
      <w:r>
        <w:rPr>
          <w:rFonts w:ascii="Arial" w:eastAsia="Arial" w:hAnsi="Arial" w:cs="Arial"/>
          <w:color w:val="000000"/>
          <w:sz w:val="20"/>
        </w:rPr>
        <w:t xml:space="preserve">As long as we bear in mind the cautionary remarks of the concurring Justices, we see [**28]  nothing to prevent our use of Section III.B of the plurality's opinion as a starting point. Its articulation of the "reasonable modifications" element states a sensible level at which to analyze the question whether requiring integrated services would "fundamentally alter" the nature of the programs. 28 C.F.R. § 35.130(b)(7). </w:t>
      </w:r>
      <w:bookmarkStart w:id="1029" w:name="Bookmark_I5JXSBG228T4TT0020000400"/>
      <w:bookmarkEnd w:id="1029"/>
      <w:r>
        <w:rPr>
          <w:rFonts w:ascii="Arial" w:eastAsia="Arial" w:hAnsi="Arial" w:cs="Arial"/>
          <w:color w:val="000000"/>
          <w:sz w:val="20"/>
        </w:rPr>
        <w:t xml:space="preserve">On the one hand, a "substantial[] increase" in the cost of a few of plaintiffs' services should not "defeat [a] Title II claim." </w:t>
      </w:r>
      <w:bookmarkStart w:id="1030" w:name="Bookmark_I5JXSBG22SF8PW0040000400"/>
      <w:bookmarkEnd w:id="1030"/>
      <w:r>
        <w:rPr>
          <w:rFonts w:ascii="Arial" w:eastAsia="Arial" w:hAnsi="Arial" w:cs="Arial"/>
          <w:i/>
          <w:color w:val="000000"/>
          <w:sz w:val="20"/>
        </w:rPr>
        <w:t>Radaszewski</w:t>
      </w:r>
      <w:r>
        <w:rPr>
          <w:rFonts w:ascii="Arial" w:eastAsia="Arial" w:hAnsi="Arial" w:cs="Arial"/>
          <w:color w:val="000000"/>
          <w:sz w:val="20"/>
        </w:rPr>
        <w:t xml:space="preserve">, 383 F.3d at 614. </w:t>
      </w:r>
      <w:bookmarkStart w:id="1031" w:name="Bookmark_I5JXSBG228T4TT0020000400_2"/>
      <w:bookmarkEnd w:id="1031"/>
      <w:r>
        <w:rPr>
          <w:rFonts w:ascii="Arial" w:eastAsia="Arial" w:hAnsi="Arial" w:cs="Arial"/>
          <w:color w:val="000000"/>
          <w:sz w:val="20"/>
        </w:rPr>
        <w:t xml:space="preserve">Such a holding would eviscerate the integration mandate. </w:t>
      </w:r>
      <w:bookmarkStart w:id="1032" w:name="Bookmark_I5JXSBG22D6NWC0010000400"/>
      <w:bookmarkEnd w:id="1032"/>
      <w:r>
        <w:rPr>
          <w:rFonts w:ascii="Arial" w:eastAsia="Arial" w:hAnsi="Arial" w:cs="Arial"/>
          <w:color w:val="000000"/>
          <w:sz w:val="20"/>
        </w:rPr>
        <w:t xml:space="preserve">See </w:t>
      </w:r>
      <w:bookmarkStart w:id="1033" w:name="Bookmark_I5JXSBG228T4TT0010000400"/>
      <w:bookmarkEnd w:id="1033"/>
      <w:r>
        <w:rPr>
          <w:rFonts w:ascii="Arial" w:eastAsia="Arial" w:hAnsi="Arial" w:cs="Arial"/>
          <w:i/>
          <w:color w:val="000000"/>
          <w:sz w:val="20"/>
        </w:rPr>
        <w:t>id.</w:t>
      </w:r>
      <w:r>
        <w:rPr>
          <w:rFonts w:ascii="Arial" w:eastAsia="Arial" w:hAnsi="Arial" w:cs="Arial"/>
          <w:color w:val="000000"/>
          <w:sz w:val="20"/>
        </w:rPr>
        <w:t xml:space="preserve"> ("If every alteration in a program or service that required the outlay of funds were tantamount to a fundamental alteration, the ADA's integration mandate would be hollow indeed." (quoting </w:t>
      </w:r>
      <w:bookmarkStart w:id="1034" w:name="Bookmark_I5JXSBG228T4TT0030000400"/>
      <w:bookmarkEnd w:id="1034"/>
      <w:r>
        <w:rPr>
          <w:rFonts w:ascii="Arial" w:eastAsia="Arial" w:hAnsi="Arial" w:cs="Arial"/>
          <w:i/>
          <w:color w:val="000000"/>
          <w:sz w:val="20"/>
        </w:rPr>
        <w:t>Fisher</w:t>
      </w:r>
      <w:r>
        <w:rPr>
          <w:rFonts w:ascii="Arial" w:eastAsia="Arial" w:hAnsi="Arial" w:cs="Arial"/>
          <w:color w:val="000000"/>
          <w:sz w:val="20"/>
        </w:rPr>
        <w:t xml:space="preserve">, 335 F.3d at 1183)). </w:t>
      </w:r>
      <w:bookmarkStart w:id="1035" w:name="Bookmark_I5JXSBG22D6NWC0010000400_2"/>
      <w:bookmarkEnd w:id="1035"/>
      <w:r>
        <w:rPr>
          <w:rFonts w:ascii="Arial" w:eastAsia="Arial" w:hAnsi="Arial" w:cs="Arial"/>
          <w:color w:val="000000"/>
          <w:sz w:val="20"/>
        </w:rPr>
        <w:t xml:space="preserve">On the other hand, looking only at the cost of changing the plaintiffs' care would be unfair to the state and fail to give it the leeway for which Justices Kennedy and Breyer called. "If the expense entailed in placing one or two people in a community-based treatment program is properly measured for reasonableness against the State's entire mental health budget, it is unlikely that a State, relying on the fundamental- alteration defense, could ever prevail." </w:t>
      </w:r>
      <w:bookmarkStart w:id="1036" w:name="Bookmark_I5JXSBG228T4TT0050000400"/>
      <w:bookmarkEnd w:id="1036"/>
      <w:r>
        <w:rPr>
          <w:rFonts w:ascii="Arial" w:eastAsia="Arial" w:hAnsi="Arial" w:cs="Arial"/>
          <w:i/>
          <w:color w:val="000000"/>
          <w:sz w:val="20"/>
        </w:rPr>
        <w:t>Olmstead</w:t>
      </w:r>
      <w:r>
        <w:rPr>
          <w:rFonts w:ascii="Arial" w:eastAsia="Arial" w:hAnsi="Arial" w:cs="Arial"/>
          <w:color w:val="000000"/>
          <w:sz w:val="20"/>
        </w:rPr>
        <w:t>, 527 U.S. at 603 (plurality opinion).</w:t>
      </w:r>
    </w:p>
    <w:p w14:paraId="3D754AB5" w14:textId="77777777" w:rsidR="002D0E71" w:rsidRDefault="00000000">
      <w:pPr>
        <w:pStyle w:val="Normal6"/>
        <w:widowControl w:val="0"/>
        <w:spacing w:before="200" w:line="260" w:lineRule="atLeast"/>
        <w:jc w:val="both"/>
      </w:pPr>
      <w:bookmarkStart w:id="1037" w:name="Bookmark_para_45_1"/>
      <w:bookmarkEnd w:id="1037"/>
      <w:r>
        <w:rPr>
          <w:rFonts w:ascii="Arial" w:eastAsia="Arial" w:hAnsi="Arial" w:cs="Arial"/>
          <w:color w:val="000000"/>
          <w:sz w:val="20"/>
        </w:rPr>
        <w:t xml:space="preserve">By specifying that both [**29]  the "resources available to the State" and "the needs of others with mental disabilities" must be taken into account, the plurality's test allows for a sensitive balance between the interests of the state and the interests of the developmentally disabled persons. The test also prevents a state from describing a program at such a specific level of detail that literally any change would result in a "fundamental" alteration. In the end, </w:t>
      </w:r>
      <w:bookmarkStart w:id="1038" w:name="Bookmark_LNHNREFclscc21"/>
      <w:bookmarkEnd w:id="1038"/>
      <w:r>
        <w:rPr>
          <w:rFonts w:ascii="Arial" w:eastAsia="Arial" w:hAnsi="Arial" w:cs="Arial"/>
          <w:color w:val="000000"/>
          <w:sz w:val="20"/>
        </w:rPr>
        <w:t>the question under the ADA is a simple one: what effect will changing the state's practices have on the provision of care to the developmentally disabled, taking into account the resources available to the state and the need to avoid discrimination?</w:t>
      </w:r>
    </w:p>
    <w:p w14:paraId="57BFC6C3" w14:textId="77777777" w:rsidR="002D0E71" w:rsidRDefault="00000000">
      <w:pPr>
        <w:pStyle w:val="Normal6"/>
        <w:widowControl w:val="0"/>
        <w:spacing w:before="200" w:line="260" w:lineRule="atLeast"/>
        <w:jc w:val="both"/>
      </w:pPr>
      <w:bookmarkStart w:id="1039" w:name="Bookmark_para_46_0"/>
      <w:bookmarkEnd w:id="1039"/>
      <w:r>
        <w:rPr>
          <w:rFonts w:ascii="Arial" w:eastAsia="Arial" w:hAnsi="Arial" w:cs="Arial"/>
          <w:color w:val="000000"/>
          <w:sz w:val="20"/>
        </w:rPr>
        <w:t>The evaluation of whether a change would fundamentally alter the nature of a program should be holistic. Here, the state has produced no evidence that anything approaching a fundamental change would occur if the programs available to these plaintiffs were handled differently. We thus do not regard it as a close case.</w:t>
      </w:r>
    </w:p>
    <w:p w14:paraId="73390BD7" w14:textId="77777777" w:rsidR="002D0E71" w:rsidRDefault="00000000">
      <w:pPr>
        <w:pStyle w:val="Normal6"/>
        <w:widowControl w:val="0"/>
        <w:spacing w:before="120" w:line="260" w:lineRule="atLeast"/>
      </w:pPr>
      <w:r>
        <w:rPr>
          <w:rFonts w:ascii="Arial" w:eastAsia="Arial" w:hAnsi="Arial" w:cs="Arial"/>
          <w:color w:val="000000"/>
          <w:sz w:val="20"/>
        </w:rPr>
        <w:t>2</w:t>
      </w:r>
    </w:p>
    <w:p w14:paraId="6E88319C" w14:textId="77777777" w:rsidR="002D0E71" w:rsidRDefault="00000000">
      <w:pPr>
        <w:pStyle w:val="Normal6"/>
        <w:widowControl w:val="0"/>
        <w:spacing w:before="200" w:line="260" w:lineRule="atLeast"/>
        <w:jc w:val="both"/>
      </w:pPr>
      <w:bookmarkStart w:id="1040" w:name="Bookmark_para_47_0"/>
      <w:bookmarkEnd w:id="1040"/>
      <w:r>
        <w:rPr>
          <w:rFonts w:ascii="Arial" w:eastAsia="Arial" w:hAnsi="Arial" w:cs="Arial"/>
          <w:color w:val="000000"/>
          <w:sz w:val="20"/>
        </w:rPr>
        <w:t xml:space="preserve">Neither of the first two elements of the </w:t>
      </w:r>
      <w:r>
        <w:rPr>
          <w:rFonts w:ascii="Arial" w:eastAsia="Arial" w:hAnsi="Arial" w:cs="Arial"/>
          <w:i/>
          <w:color w:val="000000"/>
          <w:sz w:val="20"/>
        </w:rPr>
        <w:t>Olmstead</w:t>
      </w:r>
      <w:r>
        <w:rPr>
          <w:rFonts w:ascii="Arial" w:eastAsia="Arial" w:hAnsi="Arial" w:cs="Arial"/>
          <w:color w:val="000000"/>
          <w:sz w:val="20"/>
        </w:rPr>
        <w:t xml:space="preserve"> test is disputed in our case. By  [*916]  previously allowing the plaintiffs significantly more community interaction, the state's medical professionals [**30]  have demonstrated that such activity is both appropriate and possible. The plaintiffs' purpose in this lawsuit is to have this level of community-based service restored, under whatever program umbrella will accomplish that end. The plaintiffs' evidence shows that at present, using the FS waiver, they can arrange for no more than 10 to 12 hours of such services per week. The affidavits maintain that this amount is insufficient either (1) to allow any significant community interaction or (2) to prevent gaps in supervision that remained uncovered by their caretakers or prior-authorization services. The state has offered nothing to support its assumption that the plaintiffs actually spend more time in the community than their guardians have averred. Plaintiffs have also provided evidence that a more integrated setting is possible: their affidavits state that they were able both to achieve significantly more community interaction and prevent gaps in supervision under the A&amp;D waiver.</w:t>
      </w:r>
    </w:p>
    <w:p w14:paraId="79E42D46" w14:textId="77777777" w:rsidR="002D0E71" w:rsidRDefault="00000000">
      <w:pPr>
        <w:pStyle w:val="Normal6"/>
        <w:widowControl w:val="0"/>
        <w:spacing w:before="200" w:line="260" w:lineRule="atLeast"/>
        <w:jc w:val="both"/>
      </w:pPr>
      <w:bookmarkStart w:id="1041" w:name="Bookmark_para_48_0"/>
      <w:bookmarkStart w:id="1042" w:name="Bookmark_I5JXSBG22D6NWC0030000400"/>
      <w:bookmarkEnd w:id="1041"/>
      <w:bookmarkEnd w:id="1042"/>
      <w:r>
        <w:rPr>
          <w:rFonts w:ascii="Arial" w:eastAsia="Arial" w:hAnsi="Arial" w:cs="Arial"/>
          <w:color w:val="000000"/>
          <w:sz w:val="20"/>
        </w:rPr>
        <w:t xml:space="preserve">It is the state's burden to prove that the proposed changes would fundamentally alter their programs. See </w:t>
      </w:r>
      <w:bookmarkStart w:id="1043" w:name="Bookmark_I5JXSBG22D6NWC0020000400"/>
      <w:bookmarkEnd w:id="1043"/>
      <w:r>
        <w:rPr>
          <w:rFonts w:ascii="Arial" w:eastAsia="Arial" w:hAnsi="Arial" w:cs="Arial"/>
          <w:i/>
          <w:color w:val="000000"/>
          <w:sz w:val="20"/>
        </w:rPr>
        <w:t>Radaszewski</w:t>
      </w:r>
      <w:r>
        <w:rPr>
          <w:rFonts w:ascii="Arial" w:eastAsia="Arial" w:hAnsi="Arial" w:cs="Arial"/>
          <w:color w:val="000000"/>
          <w:sz w:val="20"/>
        </w:rPr>
        <w:t>, 383 F.3d at 611 (citing 28 C.F.R. § 35.130(b)(7)). It has failed to carry that burden here. In fact, it did not even argue that the plaintiffs [**31]  seek fundamental alteration of their programs. Instead, it contended that "it is not 'reasonable' to demand that the State alter the eligibility requirements for the A&amp;D Waiver so as to permanently enshrine its error" in placing the plaintiffs on the waiver in the first place.</w:t>
      </w:r>
    </w:p>
    <w:p w14:paraId="41A9BD28" w14:textId="77777777" w:rsidR="002D0E71" w:rsidRDefault="00000000">
      <w:pPr>
        <w:pStyle w:val="Normal6"/>
        <w:widowControl w:val="0"/>
        <w:spacing w:before="200" w:line="260" w:lineRule="atLeast"/>
        <w:jc w:val="both"/>
      </w:pPr>
      <w:bookmarkStart w:id="1044" w:name="Bookmark_para_49_0"/>
      <w:bookmarkEnd w:id="1044"/>
      <w:r>
        <w:rPr>
          <w:rFonts w:ascii="Arial" w:eastAsia="Arial" w:hAnsi="Arial" w:cs="Arial"/>
          <w:color w:val="000000"/>
          <w:sz w:val="20"/>
        </w:rPr>
        <w:t>There are several problems with this argument. The first is that the plaintiffs are not asking to be put back on the A&amp;D waiver. While that may be one of the outcomes they will accept, it is not the only one. The second is that the state's logic is circular. After all, the state creates the waiver programs, and therefore those programs' eligibility criteria. If the state's own criteria could prevent the enforcement of the integration mandate, the mandate would be meaningless. The regulation adjacent to the "reasonable modifications" provision anticipates—and directly confronts—this problem. See 28 C.F.R. § 35.130(b)(8) ("A public entity shall not impose or apply eligibility criteria that screen out or tend to screen out an individual with a disability or any class of individuals with disabilities from fully and equally enjoying any service, program, or activity, unless such criteria can be shown to be necessary for the provision of the [**32]  service, program, or activity being offered."). The state has made no showing that its criteria are "necessary for the provision" of the relevant services in this case. It cannot avoid the integration mandate by binding its hands in its own red tape.</w:t>
      </w:r>
    </w:p>
    <w:p w14:paraId="27CA8292" w14:textId="77777777" w:rsidR="002D0E71" w:rsidRDefault="00000000">
      <w:pPr>
        <w:pStyle w:val="Normal6"/>
        <w:widowControl w:val="0"/>
        <w:spacing w:before="200" w:line="260" w:lineRule="atLeast"/>
        <w:jc w:val="both"/>
      </w:pPr>
      <w:bookmarkStart w:id="1045" w:name="Bookmark_para_50_0"/>
      <w:bookmarkEnd w:id="1045"/>
      <w:r>
        <w:rPr>
          <w:rFonts w:ascii="Arial" w:eastAsia="Arial" w:hAnsi="Arial" w:cs="Arial"/>
          <w:color w:val="000000"/>
          <w:sz w:val="20"/>
        </w:rPr>
        <w:t>The third reason the state's argument cannot prevail is the most important: the evidence presented on summary judgment shows that the plaintiffs' demands are entirely reasonable; the state has provided no evidence to the contrary. The plaintiffs do not demand a significant increase in total services, but rather a different apportionment of the two kinds of services they already receive. Prior-authorization services do not allow the plaintiffs to be taken into the community. Waiver services do. Allowing the plaintiffs to change their "mix" of prior-authorization and waiver services would allow them to participate more fully in the community. According to their affidavits, a relatively slight increase in total services would prevent them from being unsupervised. The state has provided no evidence that the plaintiffs' desired distribution of services would  [*917]  significantly increase their cost, let alone fundamentally alter any programs.</w:t>
      </w:r>
    </w:p>
    <w:p w14:paraId="1EFFE91E" w14:textId="77777777" w:rsidR="002D0E71" w:rsidRDefault="00000000">
      <w:pPr>
        <w:pStyle w:val="Normal6"/>
        <w:widowControl w:val="0"/>
        <w:spacing w:before="200" w:line="260" w:lineRule="atLeast"/>
        <w:jc w:val="both"/>
      </w:pPr>
      <w:bookmarkStart w:id="1046" w:name="Bookmark_para_51_0"/>
      <w:bookmarkStart w:id="1047" w:name="Bookmark_I5JXSBG22D6NWC0050000400"/>
      <w:bookmarkEnd w:id="1046"/>
      <w:bookmarkEnd w:id="1047"/>
      <w:r>
        <w:rPr>
          <w:rFonts w:ascii="Arial" w:eastAsia="Arial" w:hAnsi="Arial" w:cs="Arial"/>
          <w:color w:val="000000"/>
          <w:sz w:val="20"/>
        </w:rPr>
        <w:t xml:space="preserve">Finally, [**33]  the state argues that it should be excused from changing its waiver system because it has a "comprehensive, effectively working plan for placing qualified persons with mental disabilities in less restrictive settings," and therefore meets the reasonable-modification standard. </w:t>
      </w:r>
      <w:bookmarkStart w:id="1048" w:name="Bookmark_I5JXSBG22D6NWC0040000400"/>
      <w:bookmarkEnd w:id="1048"/>
      <w:r>
        <w:rPr>
          <w:rFonts w:ascii="Arial" w:eastAsia="Arial" w:hAnsi="Arial" w:cs="Arial"/>
          <w:i/>
          <w:color w:val="000000"/>
          <w:sz w:val="20"/>
        </w:rPr>
        <w:t>Olmstead</w:t>
      </w:r>
      <w:r>
        <w:rPr>
          <w:rFonts w:ascii="Arial" w:eastAsia="Arial" w:hAnsi="Arial" w:cs="Arial"/>
          <w:color w:val="000000"/>
          <w:sz w:val="20"/>
        </w:rPr>
        <w:t xml:space="preserve">, 527 U.S. at 605. The state is referring to the process it is using to move persons with disabilities from the A&amp;D waiver to the FS waiver. That is just what plaintiffs are attacking: their evidence shows that this "plan" is undermining, not furthering, the integration mandate. Instead of moving people with disabilities to more integrated settings, the state's plan is making their living arrangements </w:t>
      </w:r>
      <w:r>
        <w:rPr>
          <w:rFonts w:ascii="Arial" w:eastAsia="Arial" w:hAnsi="Arial" w:cs="Arial"/>
          <w:i/>
          <w:color w:val="000000"/>
          <w:sz w:val="20"/>
        </w:rPr>
        <w:t>less</w:t>
      </w:r>
      <w:r>
        <w:rPr>
          <w:rFonts w:ascii="Arial" w:eastAsia="Arial" w:hAnsi="Arial" w:cs="Arial"/>
          <w:color w:val="000000"/>
          <w:sz w:val="20"/>
        </w:rPr>
        <w:t xml:space="preserve"> integrated.</w:t>
      </w:r>
    </w:p>
    <w:p w14:paraId="5A9EE1B7" w14:textId="77777777" w:rsidR="002D0E71" w:rsidRDefault="00000000">
      <w:pPr>
        <w:pStyle w:val="Normal6"/>
        <w:widowControl w:val="0"/>
        <w:spacing w:before="120" w:line="260" w:lineRule="atLeast"/>
      </w:pPr>
      <w:r>
        <w:rPr>
          <w:rFonts w:ascii="Arial" w:eastAsia="Arial" w:hAnsi="Arial" w:cs="Arial"/>
          <w:color w:val="000000"/>
          <w:sz w:val="20"/>
        </w:rPr>
        <w:t>3</w:t>
      </w:r>
    </w:p>
    <w:p w14:paraId="1C45FDB4" w14:textId="77777777" w:rsidR="002D0E71" w:rsidRDefault="00000000">
      <w:pPr>
        <w:pStyle w:val="Normal6"/>
        <w:widowControl w:val="0"/>
        <w:spacing w:before="200" w:line="260" w:lineRule="atLeast"/>
        <w:jc w:val="both"/>
      </w:pPr>
      <w:bookmarkStart w:id="1049" w:name="Bookmark_para_52"/>
      <w:bookmarkEnd w:id="1049"/>
      <w:r>
        <w:rPr>
          <w:rFonts w:ascii="Arial" w:eastAsia="Arial" w:hAnsi="Arial" w:cs="Arial"/>
          <w:color w:val="000000"/>
          <w:sz w:val="20"/>
        </w:rPr>
        <w:t>The plaintiffs have provided evidence that before the policy change, they were receiving the kind of services they needed to prevent isolation or institutionalization and participate in the community around them. They also have provided evidence that the FS waiver services that they currently receive are insufficient to allow more than limited trips into the community. They describe current or future gaps in services that plausibly put them at risk of institutionalization.</w:t>
      </w:r>
    </w:p>
    <w:p w14:paraId="44229C29" w14:textId="77777777" w:rsidR="002D0E71" w:rsidRDefault="00000000">
      <w:pPr>
        <w:pStyle w:val="Normal6"/>
        <w:widowControl w:val="0"/>
        <w:spacing w:before="200" w:line="260" w:lineRule="atLeast"/>
        <w:jc w:val="both"/>
      </w:pPr>
      <w:bookmarkStart w:id="1050" w:name="Bookmark_para_53"/>
      <w:bookmarkEnd w:id="1050"/>
      <w:r>
        <w:rPr>
          <w:rFonts w:ascii="Arial" w:eastAsia="Arial" w:hAnsi="Arial" w:cs="Arial"/>
          <w:color w:val="000000"/>
          <w:sz w:val="20"/>
        </w:rPr>
        <w:t xml:space="preserve">It also appears, however, that recipients [**34]  of FS waiver services may choose how to spend their allowance. The state argues that the FS waiver actually provides the plaintiffs sufficient waiver services to participate in the community, but that these plaintiffs have used the FS resources in a way that has led to their current isolation. In support of this contention, the state has offered evidence that the plaintiffs could make different choices that would allow them more services in the community. It also offered evidence that the Coles are using a lower dollar amount of services than they did under the A&amp;D waiver, and that Maertz's situation has been influenced by the fact that his sister is the paid provider of his waiver services. There is therefore a dispute of material fact as to whether the state's 2011 policy change caused the plaintiffs' isolation, and summary judgment is inappropriate on that question. See </w:t>
      </w:r>
      <w:r>
        <w:rPr>
          <w:rFonts w:ascii="Arial" w:eastAsia="Arial" w:hAnsi="Arial" w:cs="Arial"/>
          <w:smallCaps/>
          <w:color w:val="000000"/>
          <w:sz w:val="20"/>
        </w:rPr>
        <w:t>Fed. R. Civ. P.</w:t>
      </w:r>
      <w:r>
        <w:rPr>
          <w:rFonts w:ascii="Arial" w:eastAsia="Arial" w:hAnsi="Arial" w:cs="Arial"/>
          <w:color w:val="000000"/>
          <w:sz w:val="20"/>
        </w:rPr>
        <w:t xml:space="preserve"> 56(a).</w:t>
      </w:r>
    </w:p>
    <w:p w14:paraId="7ECDAC74" w14:textId="77777777" w:rsidR="002D0E71" w:rsidRDefault="00000000">
      <w:pPr>
        <w:pStyle w:val="Normal6"/>
        <w:widowControl w:val="0"/>
        <w:spacing w:before="240" w:line="260" w:lineRule="atLeast"/>
      </w:pPr>
      <w:r>
        <w:br/>
      </w:r>
      <w:r>
        <w:rPr>
          <w:rFonts w:ascii="Arial" w:eastAsia="Arial" w:hAnsi="Arial" w:cs="Arial"/>
          <w:b/>
          <w:color w:val="000000"/>
          <w:sz w:val="20"/>
        </w:rPr>
        <w:t>III</w:t>
      </w:r>
    </w:p>
    <w:p w14:paraId="335DDCFF" w14:textId="77777777" w:rsidR="002D0E71" w:rsidRDefault="00000000">
      <w:pPr>
        <w:pStyle w:val="Normal6"/>
        <w:widowControl w:val="0"/>
        <w:spacing w:before="200" w:line="260" w:lineRule="atLeast"/>
        <w:jc w:val="both"/>
      </w:pPr>
      <w:bookmarkStart w:id="1051" w:name="Bookmark_para_54"/>
      <w:bookmarkStart w:id="1052" w:name="Bookmark_I5JXSBG22N1PY50020000400"/>
      <w:bookmarkStart w:id="1053" w:name="Bookmark_LNHNREFclscc22"/>
      <w:bookmarkEnd w:id="1051"/>
      <w:bookmarkEnd w:id="1052"/>
      <w:bookmarkEnd w:id="1053"/>
      <w:r>
        <w:rPr>
          <w:rFonts w:ascii="Arial" w:eastAsia="Arial" w:hAnsi="Arial" w:cs="Arial"/>
          <w:color w:val="000000"/>
          <w:sz w:val="20"/>
        </w:rPr>
        <w:t xml:space="preserve">The party seeking class certification bears the burden of showing, by a preponderance of the evidence, that a proposed class meets the requirements of Federal Rule of Civil Procedure 23. </w:t>
      </w:r>
      <w:bookmarkStart w:id="1054" w:name="Bookmark_I5JXSBG22N1PY50040000400"/>
      <w:bookmarkStart w:id="1055" w:name="Bookmark_I5JXSBG22N1PY50010000400"/>
      <w:bookmarkEnd w:id="1054"/>
      <w:bookmarkEnd w:id="1055"/>
      <w:r>
        <w:rPr>
          <w:rFonts w:ascii="Arial" w:eastAsia="Arial" w:hAnsi="Arial" w:cs="Arial"/>
          <w:i/>
          <w:color w:val="000000"/>
          <w:sz w:val="20"/>
        </w:rPr>
        <w:t>Messner v. Northshore Univ. HealthSystem</w:t>
      </w:r>
      <w:r>
        <w:rPr>
          <w:rFonts w:ascii="Arial" w:eastAsia="Arial" w:hAnsi="Arial" w:cs="Arial"/>
          <w:color w:val="000000"/>
          <w:sz w:val="20"/>
        </w:rPr>
        <w:t xml:space="preserve">, 669 F.3d 802, 811 (7th Cir. 2012). The district court's decision whether to certify a class is reviewed for abuse of discretion. </w:t>
      </w:r>
      <w:bookmarkStart w:id="1056" w:name="Bookmark_I5JXSBG22N1PY50040000400_2"/>
      <w:bookmarkStart w:id="1057" w:name="Bookmark_I5JXSBG22N1PY50030000400"/>
      <w:bookmarkEnd w:id="1056"/>
      <w:bookmarkEnd w:id="1057"/>
      <w:r>
        <w:rPr>
          <w:rFonts w:ascii="Arial" w:eastAsia="Arial" w:hAnsi="Arial" w:cs="Arial"/>
          <w:i/>
          <w:color w:val="000000"/>
          <w:sz w:val="20"/>
        </w:rPr>
        <w:t>Mullins v. Direct Digital, LLC</w:t>
      </w:r>
      <w:r>
        <w:rPr>
          <w:rFonts w:ascii="Arial" w:eastAsia="Arial" w:hAnsi="Arial" w:cs="Arial"/>
          <w:color w:val="000000"/>
          <w:sz w:val="20"/>
        </w:rPr>
        <w:t>, 795 F.3d 654, 659 (7th Cir. 2015). The plaintiffs proposed the following class:</w:t>
      </w:r>
    </w:p>
    <w:p w14:paraId="32F3EA0B" w14:textId="77777777" w:rsidR="002D0E71" w:rsidRDefault="00000000">
      <w:pPr>
        <w:pStyle w:val="Normal6"/>
        <w:widowControl w:val="0"/>
        <w:spacing w:before="200" w:line="260" w:lineRule="atLeast"/>
        <w:ind w:left="400"/>
        <w:jc w:val="both"/>
      </w:pPr>
      <w:bookmarkStart w:id="1058" w:name="Bookmark_para_55"/>
      <w:bookmarkEnd w:id="1058"/>
      <w:r>
        <w:rPr>
          <w:rFonts w:ascii="Arial" w:eastAsia="Arial" w:hAnsi="Arial" w:cs="Arial"/>
          <w:color w:val="000000"/>
          <w:sz w:val="20"/>
        </w:rPr>
        <w:t>Any and all persons, [**35]  current and future, terminated from the [A&amp;D waiver] as a result of the 2011 Policy Change who require more services each year than are available through the [FS waiver] and who are not enrolled in the [CIH waiver].</w:t>
      </w:r>
    </w:p>
    <w:p w14:paraId="526685CE" w14:textId="77777777" w:rsidR="002D0E71" w:rsidRDefault="00000000">
      <w:pPr>
        <w:pStyle w:val="Normal6"/>
        <w:widowControl w:val="0"/>
        <w:spacing w:before="200" w:line="260" w:lineRule="atLeast"/>
        <w:jc w:val="both"/>
      </w:pPr>
      <w:r>
        <w:rPr>
          <w:rFonts w:ascii="Arial" w:eastAsia="Arial" w:hAnsi="Arial" w:cs="Arial"/>
          <w:color w:val="000000"/>
          <w:sz w:val="20"/>
        </w:rPr>
        <w:t xml:space="preserve">The district court found that the plaintiffs failed all of Rule 23's criteria. </w:t>
      </w:r>
      <w:bookmarkStart w:id="1059" w:name="Bookmark_I5JXSBG22HM6T10010000400"/>
      <w:bookmarkEnd w:id="1059"/>
      <w:r>
        <w:rPr>
          <w:rFonts w:ascii="Arial" w:eastAsia="Arial" w:hAnsi="Arial" w:cs="Arial"/>
          <w:color w:val="000000"/>
          <w:sz w:val="20"/>
        </w:rPr>
        <w:t xml:space="preserve">We have serious reservations about this decision, which strikes us as too sweeping. Nonetheless, </w:t>
      </w:r>
      <w:bookmarkStart w:id="1060" w:name="Bookmark_LNHNREFclscc23"/>
      <w:bookmarkEnd w:id="1060"/>
      <w:r>
        <w:rPr>
          <w:rFonts w:ascii="Arial" w:eastAsia="Arial" w:hAnsi="Arial" w:cs="Arial"/>
          <w:color w:val="000000"/>
          <w:sz w:val="20"/>
        </w:rPr>
        <w:t xml:space="preserve">we may affirm on any basis that fairly appears in the record. </w:t>
      </w:r>
      <w:bookmarkStart w:id="1061" w:name="Bookmark_I5JXSBG22N1PY50050000400"/>
      <w:bookmarkEnd w:id="1061"/>
      <w:r>
        <w:rPr>
          <w:rFonts w:ascii="Arial" w:eastAsia="Arial" w:hAnsi="Arial" w:cs="Arial"/>
          <w:i/>
          <w:color w:val="000000"/>
          <w:sz w:val="20"/>
        </w:rPr>
        <w:t>Ellis v. CCA of Tennessee LLC</w:t>
      </w:r>
      <w:r>
        <w:rPr>
          <w:rFonts w:ascii="Arial" w:eastAsia="Arial" w:hAnsi="Arial" w:cs="Arial"/>
          <w:color w:val="000000"/>
          <w:sz w:val="20"/>
        </w:rPr>
        <w:t>, 650 F.3d 640, 647 (7th Cir. 2011). Because the class definition was too vague, we find that the district court did not abuse its discretion in denying class certification.</w:t>
      </w:r>
    </w:p>
    <w:p w14:paraId="4228198F" w14:textId="77777777" w:rsidR="002D0E71" w:rsidRDefault="00000000">
      <w:pPr>
        <w:pStyle w:val="Normal6"/>
        <w:widowControl w:val="0"/>
        <w:spacing w:before="200" w:line="260" w:lineRule="atLeast"/>
        <w:jc w:val="both"/>
      </w:pPr>
      <w:bookmarkStart w:id="1062" w:name="Bookmark_para_56"/>
      <w:bookmarkEnd w:id="1062"/>
      <w:r>
        <w:rPr>
          <w:rFonts w:ascii="Arial" w:eastAsia="Arial" w:hAnsi="Arial" w:cs="Arial"/>
          <w:color w:val="000000"/>
          <w:sz w:val="20"/>
        </w:rPr>
        <w:t xml:space="preserve">The vagueness of this definition arises from the word "require." The question is in what ways do the potential class members  [*918]  "require" more services than available under the FS waiver? Are they medically required? Required for regular community interaction? </w:t>
      </w:r>
      <w:bookmarkStart w:id="1063" w:name="Bookmark_I5JXSBG22HM6T10030000400"/>
      <w:bookmarkEnd w:id="1063"/>
      <w:r>
        <w:rPr>
          <w:rFonts w:ascii="Arial" w:eastAsia="Arial" w:hAnsi="Arial" w:cs="Arial"/>
          <w:color w:val="000000"/>
          <w:sz w:val="20"/>
        </w:rPr>
        <w:t xml:space="preserve">Required so as not to violate the integration mandate? (The last of these definitions would risk making this class an impermissible "fail-safe" class. See </w:t>
      </w:r>
      <w:bookmarkStart w:id="1064" w:name="Bookmark_I5JXSBG22HM6T10020000400"/>
      <w:bookmarkEnd w:id="1064"/>
      <w:r>
        <w:rPr>
          <w:rFonts w:ascii="Arial" w:eastAsia="Arial" w:hAnsi="Arial" w:cs="Arial"/>
          <w:i/>
          <w:color w:val="000000"/>
          <w:sz w:val="20"/>
        </w:rPr>
        <w:t>Mullins</w:t>
      </w:r>
      <w:r>
        <w:rPr>
          <w:rFonts w:ascii="Arial" w:eastAsia="Arial" w:hAnsi="Arial" w:cs="Arial"/>
          <w:color w:val="000000"/>
          <w:sz w:val="20"/>
        </w:rPr>
        <w:t>, 795 F.3d at 660.) The class definition does not say.</w:t>
      </w:r>
    </w:p>
    <w:p w14:paraId="1769681B" w14:textId="77777777" w:rsidR="002D0E71" w:rsidRDefault="00000000">
      <w:pPr>
        <w:pStyle w:val="Normal6"/>
        <w:widowControl w:val="0"/>
        <w:spacing w:before="200" w:line="260" w:lineRule="atLeast"/>
        <w:jc w:val="both"/>
      </w:pPr>
      <w:bookmarkStart w:id="1065" w:name="Bookmark_para_57"/>
      <w:bookmarkStart w:id="1066" w:name="Bookmark_I5JXSBG22HM6T10050000400"/>
      <w:bookmarkStart w:id="1067" w:name="Bookmark_I5JXSBG328T4TV0020000400"/>
      <w:bookmarkStart w:id="1068" w:name="Bookmark_LNHNREFclscc24"/>
      <w:bookmarkEnd w:id="1065"/>
      <w:bookmarkEnd w:id="1066"/>
      <w:bookmarkEnd w:id="1067"/>
      <w:bookmarkEnd w:id="1068"/>
      <w:r>
        <w:rPr>
          <w:rFonts w:ascii="Arial" w:eastAsia="Arial" w:hAnsi="Arial" w:cs="Arial"/>
          <w:color w:val="000000"/>
          <w:sz w:val="20"/>
        </w:rPr>
        <w:t xml:space="preserve">Avoiding vagueness is important "because a court needs to be able to identify who will receive notice, who will share in any recovery, and who will be bound by a judgment." [**36]  </w:t>
      </w:r>
      <w:bookmarkStart w:id="1069" w:name="Bookmark_I5JXSBG22HM6T10040000400"/>
      <w:bookmarkEnd w:id="1069"/>
      <w:r>
        <w:rPr>
          <w:rFonts w:ascii="Arial" w:eastAsia="Arial" w:hAnsi="Arial" w:cs="Arial"/>
          <w:i/>
          <w:color w:val="000000"/>
          <w:sz w:val="20"/>
        </w:rPr>
        <w:t>Mullins</w:t>
      </w:r>
      <w:r>
        <w:rPr>
          <w:rFonts w:ascii="Arial" w:eastAsia="Arial" w:hAnsi="Arial" w:cs="Arial"/>
          <w:color w:val="000000"/>
          <w:sz w:val="20"/>
        </w:rPr>
        <w:t xml:space="preserve">, 795 F.3d at 660. "To avoid vagueness, class definitions generally need to identify a particular group, harmed during a particular time frame, in a particular location, in a particular way." </w:t>
      </w:r>
      <w:bookmarkStart w:id="1070" w:name="Bookmark_I5JXSBG328T4TV0010000400"/>
      <w:bookmarkEnd w:id="1070"/>
      <w:r>
        <w:rPr>
          <w:rFonts w:ascii="Arial" w:eastAsia="Arial" w:hAnsi="Arial" w:cs="Arial"/>
          <w:i/>
          <w:color w:val="000000"/>
          <w:sz w:val="20"/>
        </w:rPr>
        <w:t>Id.</w:t>
      </w:r>
      <w:r>
        <w:rPr>
          <w:rFonts w:ascii="Arial" w:eastAsia="Arial" w:hAnsi="Arial" w:cs="Arial"/>
          <w:color w:val="000000"/>
          <w:sz w:val="20"/>
        </w:rPr>
        <w:t xml:space="preserve"> The proposed definition here sufficiently identifies the time, location, and manner of harm, but we cannot say the same for the "particular group." </w:t>
      </w:r>
      <w:bookmarkStart w:id="1071" w:name="Bookmark_I5JXSBG328T4TV0030000400"/>
      <w:bookmarkEnd w:id="1071"/>
      <w:r>
        <w:rPr>
          <w:rFonts w:ascii="Arial" w:eastAsia="Arial" w:hAnsi="Arial" w:cs="Arial"/>
          <w:i/>
          <w:color w:val="000000"/>
          <w:sz w:val="20"/>
        </w:rPr>
        <w:t>Id.</w:t>
      </w:r>
      <w:r>
        <w:rPr>
          <w:rFonts w:ascii="Arial" w:eastAsia="Arial" w:hAnsi="Arial" w:cs="Arial"/>
          <w:color w:val="000000"/>
          <w:sz w:val="20"/>
        </w:rPr>
        <w:t xml:space="preserve"> Without knowing how to sort between those who were and those who were not deprived of services to which they were entitled, we would not be able to say who should receive notice, be bound by the judgment, and, if the class were to prevail on the merits, share in any recovery. The district court therefore did not abuse its discretion in denying class certification.</w:t>
      </w:r>
    </w:p>
    <w:p w14:paraId="41CB8F87" w14:textId="77777777" w:rsidR="002D0E71" w:rsidRDefault="00000000">
      <w:pPr>
        <w:pStyle w:val="Normal6"/>
        <w:widowControl w:val="0"/>
        <w:spacing w:before="240" w:line="260" w:lineRule="atLeast"/>
      </w:pPr>
      <w:r>
        <w:br/>
      </w:r>
      <w:r>
        <w:rPr>
          <w:rFonts w:ascii="Arial" w:eastAsia="Arial" w:hAnsi="Arial" w:cs="Arial"/>
          <w:b/>
          <w:color w:val="000000"/>
          <w:sz w:val="20"/>
        </w:rPr>
        <w:t>IV</w:t>
      </w:r>
    </w:p>
    <w:p w14:paraId="394DFEF7" w14:textId="77777777" w:rsidR="002D0E71" w:rsidRDefault="00000000">
      <w:pPr>
        <w:pStyle w:val="Normal6"/>
        <w:widowControl w:val="0"/>
        <w:spacing w:before="200" w:line="260" w:lineRule="atLeast"/>
        <w:jc w:val="both"/>
      </w:pPr>
      <w:bookmarkStart w:id="1072" w:name="Bookmark_para_58"/>
      <w:bookmarkEnd w:id="1072"/>
      <w:r>
        <w:rPr>
          <w:rFonts w:ascii="Arial" w:eastAsia="Arial" w:hAnsi="Arial" w:cs="Arial"/>
          <w:color w:val="000000"/>
          <w:sz w:val="20"/>
        </w:rPr>
        <w:t>Our decision today does not require the state of Indiana to adopt any particular solution to make its waiver program compliant with the integration mandate. If plaintiffs prevail on the merits, the district court, in conjunction with the parties, may exercise its equitable powers to craft an appropriate injunction. But the state cannot avoid the integration mandate by painting itself into a corner and then lamenting the view. The state designs, applies for, develops policies regarding, and executes [**37]  its waiver programs. If those programs in practice allow persons with disabilities to leave their homes only 12 hours each week, cooping them up the rest of the time, or render them at serious risk of institutionalization, then those programs violate the integration mandate unless the state can show that changing them would require a fundamental alteration of its programs for the disabled.</w:t>
      </w:r>
    </w:p>
    <w:p w14:paraId="003B2A2B" w14:textId="77777777" w:rsidR="002D0E71" w:rsidRDefault="00000000">
      <w:pPr>
        <w:pStyle w:val="Normal6"/>
        <w:widowControl w:val="0"/>
        <w:spacing w:before="200" w:line="260" w:lineRule="atLeast"/>
        <w:jc w:val="both"/>
      </w:pPr>
      <w:bookmarkStart w:id="1073" w:name="Bookmark_para_59"/>
      <w:bookmarkEnd w:id="1073"/>
      <w:r>
        <w:rPr>
          <w:rFonts w:ascii="Arial" w:eastAsia="Arial" w:hAnsi="Arial" w:cs="Arial"/>
          <w:color w:val="000000"/>
          <w:sz w:val="20"/>
        </w:rPr>
        <w:t xml:space="preserve">Because the plaintiffs' claims both fit within and, if caused by the state's policy, represent violations of the integration mandate, we REVERSE the judgment of the district court and </w:t>
      </w:r>
      <w:r>
        <w:rPr>
          <w:rFonts w:ascii="Arial" w:eastAsia="Arial" w:hAnsi="Arial" w:cs="Arial"/>
          <w:smallCaps/>
          <w:color w:val="000000"/>
          <w:sz w:val="20"/>
        </w:rPr>
        <w:t>Remand</w:t>
      </w:r>
      <w:r>
        <w:rPr>
          <w:rFonts w:ascii="Arial" w:eastAsia="Arial" w:hAnsi="Arial" w:cs="Arial"/>
          <w:color w:val="000000"/>
          <w:sz w:val="20"/>
        </w:rPr>
        <w:t xml:space="preserve"> for further proceedings consistent with this opinion. We </w:t>
      </w:r>
      <w:r>
        <w:rPr>
          <w:rFonts w:ascii="Arial" w:eastAsia="Arial" w:hAnsi="Arial" w:cs="Arial"/>
          <w:smallCaps/>
          <w:color w:val="000000"/>
          <w:sz w:val="20"/>
        </w:rPr>
        <w:t>Affirm</w:t>
      </w:r>
      <w:r>
        <w:rPr>
          <w:rFonts w:ascii="Arial" w:eastAsia="Arial" w:hAnsi="Arial" w:cs="Arial"/>
          <w:color w:val="000000"/>
          <w:sz w:val="20"/>
        </w:rPr>
        <w:t xml:space="preserve"> the district court's decision not to certify the proposed class. Costs will be taxed against the state.</w:t>
      </w:r>
    </w:p>
    <w:p w14:paraId="78CD5E54" w14:textId="77777777" w:rsidR="002D0E71" w:rsidRDefault="002D0E71">
      <w:pPr>
        <w:pStyle w:val="Normal6"/>
      </w:pPr>
    </w:p>
    <w:p w14:paraId="79A8AAE2" w14:textId="0E6DE12B" w:rsidR="002D0E71" w:rsidRDefault="00000000">
      <w:pPr>
        <w:pStyle w:val="Normal6"/>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72576" behindDoc="0" locked="0" layoutInCell="1" allowOverlap="1" wp14:anchorId="5E87A9C7" wp14:editId="6FCFB55F">
                <wp:simplePos x="0" y="0"/>
                <wp:positionH relativeFrom="column">
                  <wp:posOffset>0</wp:posOffset>
                </wp:positionH>
                <wp:positionV relativeFrom="paragraph">
                  <wp:posOffset>127000</wp:posOffset>
                </wp:positionV>
                <wp:extent cx="6502400" cy="0"/>
                <wp:effectExtent l="9525" t="12700" r="12700" b="6350"/>
                <wp:wrapNone/>
                <wp:docPr id="24108756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EB4F61" id="Line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6B09DC1" w14:textId="77777777" w:rsidR="002D0E71" w:rsidRDefault="002D0E71">
      <w:pPr>
        <w:pStyle w:val="Normal7"/>
        <w:sectPr w:rsidR="002D0E71">
          <w:headerReference w:type="even" r:id="rId48"/>
          <w:headerReference w:type="default" r:id="rId49"/>
          <w:footerReference w:type="even" r:id="rId50"/>
          <w:footerReference w:type="default" r:id="rId51"/>
          <w:headerReference w:type="first" r:id="rId52"/>
          <w:footerReference w:type="first" r:id="rId53"/>
          <w:pgSz w:w="12240" w:h="15840"/>
          <w:pgMar w:top="840" w:right="1000" w:bottom="840" w:left="1000" w:header="400" w:footer="400" w:gutter="0"/>
          <w:cols w:space="720"/>
          <w:titlePg/>
        </w:sectPr>
      </w:pPr>
    </w:p>
    <w:p w14:paraId="50A0E67B" w14:textId="77777777" w:rsidR="002D0E71" w:rsidRDefault="002D0E71">
      <w:pPr>
        <w:pStyle w:val="Normal7"/>
      </w:pPr>
    </w:p>
    <w:p w14:paraId="47B6CFB4" w14:textId="77777777" w:rsidR="002D0E71" w:rsidRDefault="00000000">
      <w:pPr>
        <w:pStyle w:val="Heading16"/>
        <w:keepNext w:val="0"/>
        <w:widowControl w:val="0"/>
        <w:spacing w:after="200" w:line="340" w:lineRule="atLeast"/>
        <w:jc w:val="center"/>
      </w:pPr>
      <w:r>
        <w:rPr>
          <w:rFonts w:eastAsia="Arial"/>
          <w:color w:val="000000"/>
          <w:sz w:val="28"/>
        </w:rPr>
        <w:t>J.A.M. v. Nova Southeastern Univ., Inc.</w:t>
      </w:r>
    </w:p>
    <w:p w14:paraId="4B4B101F" w14:textId="77777777" w:rsidR="002D0E71" w:rsidRDefault="00000000">
      <w:pPr>
        <w:pStyle w:val="Normal7"/>
        <w:widowControl w:val="0"/>
        <w:spacing w:before="120" w:line="260" w:lineRule="atLeast"/>
        <w:jc w:val="center"/>
      </w:pPr>
      <w:r>
        <w:rPr>
          <w:rFonts w:ascii="Arial" w:eastAsia="Arial" w:hAnsi="Arial" w:cs="Arial"/>
          <w:color w:val="000000"/>
          <w:sz w:val="20"/>
        </w:rPr>
        <w:t>United States Court of Appeals for the Eleventh Circuit</w:t>
      </w:r>
    </w:p>
    <w:p w14:paraId="19B64609" w14:textId="77777777" w:rsidR="002D0E71" w:rsidRDefault="00000000">
      <w:pPr>
        <w:pStyle w:val="Normal7"/>
        <w:widowControl w:val="0"/>
        <w:spacing w:before="120" w:line="260" w:lineRule="atLeast"/>
        <w:jc w:val="center"/>
      </w:pPr>
      <w:r>
        <w:rPr>
          <w:rFonts w:ascii="Arial" w:eastAsia="Arial" w:hAnsi="Arial" w:cs="Arial"/>
          <w:color w:val="000000"/>
          <w:sz w:val="20"/>
        </w:rPr>
        <w:t>April 6, 2016, Decided</w:t>
      </w:r>
    </w:p>
    <w:p w14:paraId="00A999C5" w14:textId="77777777" w:rsidR="002D0E71" w:rsidRDefault="00000000">
      <w:pPr>
        <w:pStyle w:val="Normal7"/>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15-13883 Non-Argument Calendar</w:t>
      </w:r>
    </w:p>
    <w:p w14:paraId="057CCD86" w14:textId="77777777" w:rsidR="002D0E71" w:rsidRDefault="002D0E71">
      <w:pPr>
        <w:pStyle w:val="Normal7"/>
        <w:widowControl w:val="0"/>
        <w:spacing w:line="240" w:lineRule="atLeast"/>
        <w:jc w:val="both"/>
      </w:pPr>
      <w:bookmarkStart w:id="1074" w:name="Bookmark_8"/>
      <w:bookmarkEnd w:id="1074"/>
    </w:p>
    <w:p w14:paraId="1FE52E94" w14:textId="77777777" w:rsidR="002D0E71" w:rsidRDefault="00000000">
      <w:pPr>
        <w:pStyle w:val="Normal7"/>
        <w:widowControl w:val="0"/>
        <w:spacing w:before="200" w:line="240" w:lineRule="atLeast"/>
      </w:pPr>
      <w:bookmarkStart w:id="1075" w:name="Reporter_6"/>
      <w:bookmarkEnd w:id="1075"/>
      <w:r>
        <w:rPr>
          <w:rFonts w:ascii="Arial" w:eastAsia="Arial" w:hAnsi="Arial" w:cs="Arial"/>
          <w:b/>
          <w:color w:val="000000"/>
          <w:sz w:val="18"/>
        </w:rPr>
        <w:t>Reporter</w:t>
      </w:r>
    </w:p>
    <w:p w14:paraId="363898C6" w14:textId="77777777" w:rsidR="002D0E71" w:rsidRDefault="00000000">
      <w:pPr>
        <w:pStyle w:val="Normal7"/>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646 Fed. Appx. 921 *; 2016 U.S. App. LEXIS 6290 **</w:t>
      </w:r>
    </w:p>
    <w:p w14:paraId="3449B68A" w14:textId="77777777" w:rsidR="002D0E71" w:rsidRDefault="00000000">
      <w:pPr>
        <w:pStyle w:val="Normal7"/>
        <w:widowControl w:val="0"/>
        <w:spacing w:before="120" w:line="260" w:lineRule="atLeast"/>
      </w:pPr>
      <w:r>
        <w:rPr>
          <w:rFonts w:ascii="Arial" w:eastAsia="Arial" w:hAnsi="Arial" w:cs="Arial"/>
          <w:color w:val="000000"/>
          <w:sz w:val="20"/>
        </w:rPr>
        <w:t>J.A.M., Plaintiff-Appellant, versus, NOVA SOUTHEASTERN UNIVERSITY, INC., a Florida not-for-profit corporation, Defendant-Appellee.</w:t>
      </w:r>
    </w:p>
    <w:p w14:paraId="0AEC9CC2" w14:textId="77777777" w:rsidR="002D0E71" w:rsidRDefault="00000000">
      <w:pPr>
        <w:pStyle w:val="Normal7"/>
        <w:widowControl w:val="0"/>
        <w:spacing w:before="240" w:line="260" w:lineRule="atLeast"/>
        <w:jc w:val="both"/>
      </w:pPr>
      <w:bookmarkStart w:id="1076" w:name="Notice_0"/>
      <w:bookmarkEnd w:id="1076"/>
      <w:r>
        <w:rPr>
          <w:rFonts w:ascii="Arial" w:eastAsia="Arial" w:hAnsi="Arial" w:cs="Arial"/>
          <w:b/>
          <w:color w:val="000000"/>
          <w:sz w:val="20"/>
        </w:rPr>
        <w:t>Notice:</w:t>
      </w:r>
      <w:r>
        <w:rPr>
          <w:rFonts w:ascii="Arial" w:eastAsia="Arial" w:hAnsi="Arial" w:cs="Arial"/>
          <w:color w:val="000000"/>
          <w:sz w:val="20"/>
        </w:rPr>
        <w:t> </w:t>
      </w:r>
      <w:bookmarkStart w:id="1077" w:name="Bookmark_para_1_6"/>
      <w:bookmarkEnd w:id="1077"/>
      <w:r>
        <w:rPr>
          <w:rFonts w:ascii="Arial" w:eastAsia="Arial" w:hAnsi="Arial" w:cs="Arial"/>
          <w:color w:val="000000"/>
          <w:sz w:val="20"/>
        </w:rPr>
        <w:t>PLEASE REFER TO FEDERAL RULES OF APPELLATE PROCEDURE RULE 32.1 GOVERNING THE CITATION TO UNPUBLISHED OPINIONS.</w:t>
      </w:r>
    </w:p>
    <w:p w14:paraId="3246830A" w14:textId="77777777" w:rsidR="002D0E71" w:rsidRDefault="00000000">
      <w:pPr>
        <w:pStyle w:val="Normal7"/>
        <w:widowControl w:val="0"/>
        <w:spacing w:before="240" w:line="260" w:lineRule="atLeast"/>
        <w:jc w:val="both"/>
      </w:pPr>
      <w:bookmarkStart w:id="1078" w:name="Prior_History_6"/>
      <w:bookmarkEnd w:id="1078"/>
      <w:r>
        <w:rPr>
          <w:rFonts w:ascii="Arial" w:eastAsia="Arial" w:hAnsi="Arial" w:cs="Arial"/>
          <w:b/>
          <w:color w:val="000000"/>
          <w:sz w:val="20"/>
        </w:rPr>
        <w:t>Prior History:</w:t>
      </w:r>
      <w:r>
        <w:rPr>
          <w:rFonts w:ascii="Arial" w:eastAsia="Arial" w:hAnsi="Arial" w:cs="Arial"/>
          <w:color w:val="000000"/>
          <w:sz w:val="20"/>
        </w:rPr>
        <w:t> </w:t>
      </w:r>
      <w:bookmarkStart w:id="1079" w:name="Bookmark_para_2_6"/>
      <w:bookmarkEnd w:id="1079"/>
      <w:r>
        <w:rPr>
          <w:rFonts w:ascii="Arial" w:eastAsia="Arial" w:hAnsi="Arial" w:cs="Arial"/>
          <w:color w:val="000000"/>
          <w:sz w:val="20"/>
        </w:rPr>
        <w:t> [**1] Appeal from the United States District Court for the Southern District of Florida. D.C. Docket No. 0:15-cv-60248-KMM.</w:t>
      </w:r>
    </w:p>
    <w:p w14:paraId="561DD1D3" w14:textId="77777777" w:rsidR="002D0E71" w:rsidRDefault="00000000">
      <w:pPr>
        <w:pStyle w:val="Normal7"/>
        <w:widowControl w:val="0"/>
        <w:spacing w:before="120" w:line="260" w:lineRule="atLeast"/>
      </w:pPr>
      <w:r>
        <w:rPr>
          <w:rFonts w:ascii="Arial" w:eastAsia="Arial" w:hAnsi="Arial" w:cs="Arial"/>
          <w:color w:val="000000"/>
          <w:sz w:val="20"/>
        </w:rPr>
        <w:t>J.A.M. v. Nova Southeastern Univ., Inc., 2015 U.S. Dist. LEXIS 105969 (S.D. Fla., Aug. 12, 2015)</w:t>
      </w:r>
    </w:p>
    <w:p w14:paraId="51077886" w14:textId="77777777" w:rsidR="002D0E71" w:rsidRDefault="00000000">
      <w:pPr>
        <w:pStyle w:val="Normal7"/>
        <w:widowControl w:val="0"/>
        <w:spacing w:before="240" w:line="260" w:lineRule="atLeast"/>
        <w:jc w:val="both"/>
      </w:pPr>
      <w:bookmarkStart w:id="1080" w:name="Disposition_0"/>
      <w:bookmarkEnd w:id="1080"/>
      <w:r>
        <w:rPr>
          <w:rFonts w:ascii="Arial" w:eastAsia="Arial" w:hAnsi="Arial" w:cs="Arial"/>
          <w:b/>
          <w:color w:val="000000"/>
          <w:sz w:val="20"/>
        </w:rPr>
        <w:t>Disposition:</w:t>
      </w:r>
      <w:r>
        <w:rPr>
          <w:rFonts w:ascii="Arial" w:eastAsia="Arial" w:hAnsi="Arial" w:cs="Arial"/>
          <w:color w:val="000000"/>
          <w:sz w:val="20"/>
        </w:rPr>
        <w:t> </w:t>
      </w:r>
      <w:bookmarkStart w:id="1081" w:name="Bookmark_clspara_4_0"/>
      <w:bookmarkEnd w:id="1081"/>
      <w:r>
        <w:rPr>
          <w:rFonts w:ascii="Arial" w:eastAsia="Arial" w:hAnsi="Arial" w:cs="Arial"/>
          <w:color w:val="000000"/>
          <w:sz w:val="20"/>
        </w:rPr>
        <w:t>AFFIRMED.</w:t>
      </w:r>
    </w:p>
    <w:p w14:paraId="26A78399" w14:textId="77777777" w:rsidR="002D0E71" w:rsidRDefault="00000000">
      <w:pPr>
        <w:pStyle w:val="Normal7"/>
        <w:widowControl w:val="0"/>
        <w:spacing w:before="240" w:line="260" w:lineRule="atLeast"/>
      </w:pPr>
      <w:bookmarkStart w:id="1082" w:name="Counsel_6"/>
      <w:bookmarkEnd w:id="1082"/>
      <w:r>
        <w:rPr>
          <w:rFonts w:ascii="Arial" w:eastAsia="Arial" w:hAnsi="Arial" w:cs="Arial"/>
          <w:b/>
          <w:color w:val="000000"/>
          <w:sz w:val="20"/>
        </w:rPr>
        <w:t>Counsel:</w:t>
      </w:r>
      <w:r>
        <w:rPr>
          <w:rFonts w:ascii="Arial" w:eastAsia="Arial" w:hAnsi="Arial" w:cs="Arial"/>
          <w:color w:val="000000"/>
          <w:sz w:val="20"/>
        </w:rPr>
        <w:t> For J.A.M., Plaintiff - Appellant: William Robert Amlong, Ryan C. Brenton, Jennifer Daley, Karen Coolman Amlong, Amlong &amp; Amlong, PA, FORT LAUDERDALE, FL.</w:t>
      </w:r>
    </w:p>
    <w:p w14:paraId="03705309" w14:textId="77777777" w:rsidR="002D0E71" w:rsidRDefault="00000000">
      <w:pPr>
        <w:pStyle w:val="Normal7"/>
        <w:widowControl w:val="0"/>
        <w:spacing w:before="120" w:line="260" w:lineRule="atLeast"/>
      </w:pPr>
      <w:r>
        <w:rPr>
          <w:rFonts w:ascii="Arial" w:eastAsia="Arial" w:hAnsi="Arial" w:cs="Arial"/>
          <w:color w:val="000000"/>
          <w:sz w:val="20"/>
        </w:rPr>
        <w:t>For NOVA SOUTHEASTERN UNIVERSITY, INC., a Florida not-for-profit corporation, Defendant - Appellee: Richard Arthur Beauchamp, Dana Panza Macdonald, Panza Maurer &amp; Maynard, PA, FORT LAUDERDALE, FL.</w:t>
      </w:r>
    </w:p>
    <w:p w14:paraId="072E3A91" w14:textId="77777777" w:rsidR="002D0E71" w:rsidRDefault="00000000">
      <w:pPr>
        <w:pStyle w:val="Normal7"/>
        <w:widowControl w:val="0"/>
        <w:spacing w:before="240" w:line="260" w:lineRule="atLeast"/>
      </w:pPr>
      <w:bookmarkStart w:id="1083" w:name="Judges_6"/>
      <w:bookmarkEnd w:id="1083"/>
      <w:r>
        <w:rPr>
          <w:rFonts w:ascii="Arial" w:eastAsia="Arial" w:hAnsi="Arial" w:cs="Arial"/>
          <w:b/>
          <w:color w:val="000000"/>
          <w:sz w:val="20"/>
        </w:rPr>
        <w:t>Judges:</w:t>
      </w:r>
      <w:r>
        <w:rPr>
          <w:rFonts w:ascii="Arial" w:eastAsia="Arial" w:hAnsi="Arial" w:cs="Arial"/>
          <w:color w:val="000000"/>
          <w:sz w:val="20"/>
        </w:rPr>
        <w:t> Before TJOFLAT, HULL, and JILL PRYOR, Circuit Judges.</w:t>
      </w:r>
    </w:p>
    <w:p w14:paraId="13898C4B" w14:textId="77777777" w:rsidR="002D0E71" w:rsidRDefault="00000000">
      <w:pPr>
        <w:pStyle w:val="Normal7"/>
        <w:keepNext/>
        <w:widowControl w:val="0"/>
        <w:spacing w:before="240" w:line="340" w:lineRule="atLeast"/>
      </w:pPr>
      <w:bookmarkStart w:id="1084" w:name="Opinion_6"/>
      <w:bookmarkEnd w:id="1084"/>
      <w:r>
        <w:rPr>
          <w:rFonts w:ascii="Arial" w:eastAsia="Arial" w:hAnsi="Arial" w:cs="Arial"/>
          <w:b/>
          <w:color w:val="000000"/>
          <w:sz w:val="28"/>
        </w:rPr>
        <w:t>Opinion</w:t>
      </w:r>
    </w:p>
    <w:p w14:paraId="1ED7D4E4" w14:textId="6D952E18" w:rsidR="002D0E71" w:rsidRDefault="002939DF">
      <w:pPr>
        <w:pStyle w:val="Normal7"/>
        <w:spacing w:line="60" w:lineRule="exact"/>
      </w:pPr>
      <w:r>
        <w:rPr>
          <w:noProof/>
        </w:rPr>
        <mc:AlternateContent>
          <mc:Choice Requires="wps">
            <w:drawing>
              <wp:anchor distT="0" distB="0" distL="114300" distR="114300" simplePos="0" relativeHeight="251673600" behindDoc="0" locked="0" layoutInCell="1" allowOverlap="1" wp14:anchorId="15893301" wp14:editId="2C55AB30">
                <wp:simplePos x="0" y="0"/>
                <wp:positionH relativeFrom="column">
                  <wp:posOffset>0</wp:posOffset>
                </wp:positionH>
                <wp:positionV relativeFrom="paragraph">
                  <wp:posOffset>25400</wp:posOffset>
                </wp:positionV>
                <wp:extent cx="3187700" cy="0"/>
                <wp:effectExtent l="19050" t="15875" r="12700" b="12700"/>
                <wp:wrapTopAndBottom/>
                <wp:docPr id="161705121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D0665" id="Line 1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590EF8C8" w14:textId="77777777" w:rsidR="002D0E71" w:rsidRDefault="002D0E71">
      <w:pPr>
        <w:pStyle w:val="Normal7"/>
      </w:pPr>
    </w:p>
    <w:p w14:paraId="2E6AF536" w14:textId="77777777" w:rsidR="002D0E71" w:rsidRDefault="00000000">
      <w:pPr>
        <w:pStyle w:val="Normal7"/>
        <w:widowControl w:val="0"/>
        <w:spacing w:before="200" w:line="260" w:lineRule="atLeast"/>
        <w:jc w:val="both"/>
      </w:pPr>
      <w:bookmarkStart w:id="1085" w:name="Bookmark_para_3_6"/>
      <w:bookmarkEnd w:id="1085"/>
      <w:r>
        <w:rPr>
          <w:rFonts w:ascii="Arial" w:eastAsia="Arial" w:hAnsi="Arial" w:cs="Arial"/>
          <w:color w:val="000000"/>
          <w:sz w:val="20"/>
        </w:rPr>
        <w:t> [*922]  PER CURIAM:</w:t>
      </w:r>
    </w:p>
    <w:p w14:paraId="584DE950" w14:textId="77777777" w:rsidR="002D0E71" w:rsidRDefault="00000000">
      <w:pPr>
        <w:pStyle w:val="Normal7"/>
        <w:widowControl w:val="0"/>
        <w:spacing w:before="200" w:line="260" w:lineRule="atLeast"/>
        <w:jc w:val="both"/>
      </w:pPr>
      <w:bookmarkStart w:id="1086" w:name="Bookmark_para_4_6"/>
      <w:bookmarkEnd w:id="1086"/>
      <w:r>
        <w:rPr>
          <w:rFonts w:ascii="Arial" w:eastAsia="Arial" w:hAnsi="Arial" w:cs="Arial"/>
          <w:color w:val="000000"/>
          <w:sz w:val="20"/>
        </w:rPr>
        <w:t>Plaintiff J.A.M. appeals the district court's order granting Defendant Nova Southeastern University, Inc.'s ("Nova") motion to dismiss the amended complaint for failure to state a claim. After review, we affirm.</w:t>
      </w:r>
    </w:p>
    <w:p w14:paraId="3FFC93F4" w14:textId="77777777" w:rsidR="002D0E71" w:rsidRDefault="00000000">
      <w:pPr>
        <w:pStyle w:val="Normal7"/>
        <w:widowControl w:val="0"/>
        <w:spacing w:before="240" w:line="260" w:lineRule="atLeast"/>
      </w:pPr>
      <w:r>
        <w:br/>
      </w:r>
      <w:r>
        <w:rPr>
          <w:rFonts w:ascii="Arial" w:eastAsia="Arial" w:hAnsi="Arial" w:cs="Arial"/>
          <w:color w:val="000000"/>
          <w:sz w:val="20"/>
        </w:rPr>
        <w:t xml:space="preserve"> [*923]  </w:t>
      </w:r>
      <w:r>
        <w:rPr>
          <w:rFonts w:ascii="Arial" w:eastAsia="Arial" w:hAnsi="Arial" w:cs="Arial"/>
          <w:b/>
          <w:color w:val="000000"/>
          <w:sz w:val="20"/>
        </w:rPr>
        <w:t>I. BACKGROUND</w:t>
      </w:r>
    </w:p>
    <w:p w14:paraId="57C4D513" w14:textId="77777777" w:rsidR="002D0E71" w:rsidRDefault="00000000">
      <w:pPr>
        <w:pStyle w:val="Normal7"/>
        <w:widowControl w:val="0"/>
        <w:spacing w:before="240" w:line="260" w:lineRule="atLeast"/>
      </w:pPr>
      <w:r>
        <w:br/>
      </w:r>
      <w:r>
        <w:rPr>
          <w:rFonts w:ascii="Arial" w:eastAsia="Arial" w:hAnsi="Arial" w:cs="Arial"/>
          <w:b/>
          <w:color w:val="000000"/>
          <w:sz w:val="20"/>
        </w:rPr>
        <w:t>A. Facts</w:t>
      </w:r>
      <w:r>
        <w:rPr>
          <w:rFonts w:ascii="Arial" w:eastAsia="Arial" w:hAnsi="Arial" w:cs="Arial"/>
          <w:vertAlign w:val="superscript"/>
        </w:rPr>
        <w:footnoteReference w:customMarkFollows="1" w:id="22"/>
        <w:t>1</w:t>
      </w:r>
    </w:p>
    <w:p w14:paraId="352F2726" w14:textId="77777777" w:rsidR="002D0E71" w:rsidRDefault="00000000">
      <w:pPr>
        <w:pStyle w:val="Normal7"/>
        <w:widowControl w:val="0"/>
        <w:spacing w:before="200" w:line="260" w:lineRule="atLeast"/>
        <w:jc w:val="both"/>
      </w:pPr>
      <w:bookmarkStart w:id="1091" w:name="Bookmark_para_5_6"/>
      <w:bookmarkEnd w:id="1091"/>
      <w:r>
        <w:rPr>
          <w:rFonts w:ascii="Arial" w:eastAsia="Arial" w:hAnsi="Arial" w:cs="Arial"/>
          <w:color w:val="000000"/>
          <w:sz w:val="20"/>
        </w:rPr>
        <w:t>In the fall of 2010, J.A.M. enrolled at Nova's College of Osteopathic Medicine and successfully completed his first semester. In April 2011, J.A.M. experienced a recurrence of his major depressive disorder. During that episode, J.A.M. heavily consumed alcohol for a week and eventually [**2]  checked into a hospital for inpatient psychiatric stabilization. Nova granted J.A.M. retroactive medical leave and, following the episode, J.A.M. returned to school and successfully resumed his studies.</w:t>
      </w:r>
    </w:p>
    <w:p w14:paraId="6CFDB033" w14:textId="77777777" w:rsidR="002D0E71" w:rsidRDefault="00000000">
      <w:pPr>
        <w:pStyle w:val="Normal7"/>
        <w:widowControl w:val="0"/>
        <w:spacing w:before="200" w:line="260" w:lineRule="atLeast"/>
        <w:jc w:val="both"/>
      </w:pPr>
      <w:bookmarkStart w:id="1092" w:name="Bookmark_para_6_6"/>
      <w:bookmarkEnd w:id="1092"/>
      <w:r>
        <w:rPr>
          <w:rFonts w:ascii="Arial" w:eastAsia="Arial" w:hAnsi="Arial" w:cs="Arial"/>
          <w:color w:val="000000"/>
          <w:sz w:val="20"/>
        </w:rPr>
        <w:t>Nova's Associate Dean for Student Affairs referred J.A.M. to a student assistance program, which required him to sign a "one-size-fits-all agreement calling for random drug tests and abstinence from alcohol." In the fall of 2011, J.A.M. experienced a recurrence of his major depressive disorder, which caused him to fail many classes and binge drink. During this second episode, J.A.M. spent six days in a psychiatric hospital. Following his release from the hospital, Nova informed J.A.M. that he would have to take a leave of absence and obtain the approval of the Student Progress Committee to resume his studies. J.A.M. took a seven-month leave of absence, reenrolled in the fall of 2012, and passed all classes he had previously failed.</w:t>
      </w:r>
    </w:p>
    <w:p w14:paraId="5B5D74BC" w14:textId="77777777" w:rsidR="002D0E71" w:rsidRDefault="00000000">
      <w:pPr>
        <w:pStyle w:val="Normal7"/>
        <w:widowControl w:val="0"/>
        <w:spacing w:before="200" w:line="260" w:lineRule="atLeast"/>
        <w:jc w:val="both"/>
      </w:pPr>
      <w:bookmarkStart w:id="1093" w:name="Bookmark_para_7_6"/>
      <w:bookmarkEnd w:id="1093"/>
      <w:r>
        <w:rPr>
          <w:rFonts w:ascii="Arial" w:eastAsia="Arial" w:hAnsi="Arial" w:cs="Arial"/>
          <w:color w:val="000000"/>
          <w:sz w:val="20"/>
        </w:rPr>
        <w:t>In November 2012, J.A.M. suffered a third depressive episode that involved drinking and was twice hospitalized for inpatient psychiatric stabilization. During the December 2012 winter break, J.A.M. checked himself into a dual-diagnoses treatment program. In [**3]  January 2013, he resumed his classes. In April 2013, J.A.M. suffered a fourth depressive episode and was hospitalized for "alcohol-involved psychiatric stabilization." In sum, from 2011 to 2014, J.A.M. was unable to complete a single full semester of medical school without suffering a relapse of his major depressive disorder during the semester.</w:t>
      </w:r>
    </w:p>
    <w:p w14:paraId="2B5432D4" w14:textId="77777777" w:rsidR="002D0E71" w:rsidRDefault="00000000">
      <w:pPr>
        <w:pStyle w:val="Normal7"/>
        <w:widowControl w:val="0"/>
        <w:spacing w:before="200" w:line="260" w:lineRule="atLeast"/>
        <w:jc w:val="both"/>
      </w:pPr>
      <w:bookmarkStart w:id="1094" w:name="Bookmark_para_8_6"/>
      <w:bookmarkEnd w:id="1094"/>
      <w:r>
        <w:rPr>
          <w:rFonts w:ascii="Arial" w:eastAsia="Arial" w:hAnsi="Arial" w:cs="Arial"/>
          <w:color w:val="000000"/>
          <w:sz w:val="20"/>
        </w:rPr>
        <w:t>Nova discovered that J.A.M.'s fourth depressive episode involved alcohol and told him that he would need to take another medical leave of absence. Nova also told him that the Student Progress Committee would have to approve his readmission. During his third medical leave of absence, J.A.M. underwent a partial-hospitalization program for 45 days and then moved into a transitional living facility for two months of intensive outpatient therapy and another month of normal outpatient therapy.</w:t>
      </w:r>
    </w:p>
    <w:p w14:paraId="582EC362" w14:textId="77777777" w:rsidR="002D0E71" w:rsidRDefault="00000000">
      <w:pPr>
        <w:pStyle w:val="Normal7"/>
        <w:widowControl w:val="0"/>
        <w:spacing w:before="200" w:line="260" w:lineRule="atLeast"/>
        <w:jc w:val="both"/>
      </w:pPr>
      <w:bookmarkStart w:id="1095" w:name="Bookmark_para_9_6"/>
      <w:bookmarkEnd w:id="1095"/>
      <w:r>
        <w:rPr>
          <w:rFonts w:ascii="Arial" w:eastAsia="Arial" w:hAnsi="Arial" w:cs="Arial"/>
          <w:color w:val="000000"/>
          <w:sz w:val="20"/>
        </w:rPr>
        <w:t>At the end of 2013, Nova's Chair of the Department of Psychiatry examined J.A.M. and cleared him to return to school, with monitoring. Notwithstanding this clearance, Nova required J.A.M. to appear before the Student Progress Committee, whose members questioned him about whether he had breached his substance abuse and alcohol agreement. In response to the committee's [**4]  inquiries, J.A.M. explained that he had never been to class intoxicated, had never seen a patient while intoxicated, and had never been in any sort of conflict with faculty, staff, or other students. The committee voted to dismiss J.A.M. from Nova because all four of his depressive episodes "involved alcohol." The committee's recommendation was accepted by the dean and affirmed by Nova's internal appeals process.</w:t>
      </w:r>
    </w:p>
    <w:p w14:paraId="150A74AD" w14:textId="77777777" w:rsidR="002D0E71" w:rsidRDefault="00000000">
      <w:pPr>
        <w:pStyle w:val="Normal7"/>
        <w:widowControl w:val="0"/>
        <w:spacing w:before="240" w:line="260" w:lineRule="atLeast"/>
      </w:pPr>
      <w:r>
        <w:br/>
      </w:r>
      <w:r>
        <w:rPr>
          <w:rFonts w:ascii="Arial" w:eastAsia="Arial" w:hAnsi="Arial" w:cs="Arial"/>
          <w:b/>
          <w:color w:val="000000"/>
          <w:sz w:val="20"/>
        </w:rPr>
        <w:t>B. Procedural History</w:t>
      </w:r>
    </w:p>
    <w:p w14:paraId="4D2ABDCE" w14:textId="77777777" w:rsidR="002D0E71" w:rsidRDefault="00000000">
      <w:pPr>
        <w:pStyle w:val="Normal7"/>
        <w:widowControl w:val="0"/>
        <w:spacing w:before="200" w:line="260" w:lineRule="atLeast"/>
        <w:jc w:val="both"/>
      </w:pPr>
      <w:bookmarkStart w:id="1096" w:name="Bookmark_para_10_6"/>
      <w:bookmarkEnd w:id="1096"/>
      <w:r>
        <w:rPr>
          <w:rFonts w:ascii="Arial" w:eastAsia="Arial" w:hAnsi="Arial" w:cs="Arial"/>
          <w:color w:val="000000"/>
          <w:sz w:val="20"/>
        </w:rPr>
        <w:t>On April 10, 2015, J.A.M. filed a counseled, two-count amended complaint (the  [*924]  "complaint") in federal district court against Nova, alleging (1) disability discrimination under Section 504 of the Rehabilitation Act ("RA"), 29 U.S.C. § 794(a) (Count I), and (2) disability discrimination under Title III of the Americans with Disabilities Act ("ADA"), 42 U.S.C. § 12182(a) (Count II). J.A.M. alleged that Nova excluded him from participation in the College of Osteopathic Medicine due to his mental illness and, therefore, "discriminated against him solely by reason of his disability," in violation of the RA. J.A.M. further alleged that Nova "dismissed him . . . in reliance on his being mentally disabled," in violation of the ADA.</w:t>
      </w:r>
    </w:p>
    <w:p w14:paraId="7BC06112" w14:textId="77777777" w:rsidR="002D0E71" w:rsidRDefault="00000000">
      <w:pPr>
        <w:pStyle w:val="Normal7"/>
        <w:widowControl w:val="0"/>
        <w:spacing w:before="200" w:line="260" w:lineRule="atLeast"/>
        <w:jc w:val="both"/>
      </w:pPr>
      <w:bookmarkStart w:id="1097" w:name="Bookmark_para_11_6"/>
      <w:bookmarkEnd w:id="1097"/>
      <w:r>
        <w:rPr>
          <w:rFonts w:ascii="Arial" w:eastAsia="Arial" w:hAnsi="Arial" w:cs="Arial"/>
          <w:color w:val="000000"/>
          <w:sz w:val="20"/>
        </w:rPr>
        <w:t>On April 16, 2015, Nova filed a motion to dismiss the complaint for failure to state [**5]  a claim under Rule 12(b)(6) of the Federal Rules of Civil Procedure. In an August 12, 2015 order, the district court granted Nova's motion and dismissed the complaint. J.A.M. appealed.</w:t>
      </w:r>
    </w:p>
    <w:p w14:paraId="1E58FC8E" w14:textId="77777777" w:rsidR="002D0E71" w:rsidRDefault="00000000">
      <w:pPr>
        <w:pStyle w:val="Normal7"/>
        <w:widowControl w:val="0"/>
        <w:spacing w:before="240" w:line="260" w:lineRule="atLeast"/>
      </w:pPr>
      <w:r>
        <w:br/>
      </w:r>
      <w:r>
        <w:rPr>
          <w:rFonts w:ascii="Arial" w:eastAsia="Arial" w:hAnsi="Arial" w:cs="Arial"/>
          <w:b/>
          <w:color w:val="000000"/>
          <w:sz w:val="20"/>
        </w:rPr>
        <w:t>II. DISCUSSION</w:t>
      </w:r>
    </w:p>
    <w:p w14:paraId="56DDA7BB" w14:textId="77777777" w:rsidR="002D0E71" w:rsidRDefault="00000000">
      <w:pPr>
        <w:pStyle w:val="Normal7"/>
        <w:widowControl w:val="0"/>
        <w:spacing w:before="240" w:line="260" w:lineRule="atLeast"/>
      </w:pPr>
      <w:r>
        <w:br/>
      </w:r>
      <w:r>
        <w:rPr>
          <w:rFonts w:ascii="Arial" w:eastAsia="Arial" w:hAnsi="Arial" w:cs="Arial"/>
          <w:b/>
          <w:color w:val="000000"/>
          <w:sz w:val="20"/>
        </w:rPr>
        <w:t>A. Standard of Review</w:t>
      </w:r>
    </w:p>
    <w:p w14:paraId="10788A1A" w14:textId="77777777" w:rsidR="002D0E71" w:rsidRDefault="00000000">
      <w:pPr>
        <w:pStyle w:val="Normal7"/>
        <w:widowControl w:val="0"/>
        <w:spacing w:before="200" w:line="260" w:lineRule="atLeast"/>
        <w:jc w:val="both"/>
      </w:pPr>
      <w:bookmarkStart w:id="1098" w:name="Bookmark_para_12_6"/>
      <w:bookmarkStart w:id="1099" w:name="Bookmark_I5JNR8FG2HM64R0040000400"/>
      <w:bookmarkStart w:id="1100" w:name="Bookmark_I5JNR8FG28T45H0010000400"/>
      <w:bookmarkStart w:id="1101" w:name="Bookmark_LNHNREFclscc2_5"/>
      <w:bookmarkEnd w:id="1098"/>
      <w:bookmarkEnd w:id="1099"/>
      <w:bookmarkEnd w:id="1100"/>
      <w:bookmarkEnd w:id="1101"/>
      <w:r>
        <w:rPr>
          <w:rFonts w:ascii="Arial" w:eastAsia="Arial" w:hAnsi="Arial" w:cs="Arial"/>
          <w:color w:val="000000"/>
          <w:sz w:val="20"/>
        </w:rPr>
        <w:t xml:space="preserve">We review </w:t>
      </w:r>
      <w:r>
        <w:rPr>
          <w:rFonts w:ascii="Arial" w:eastAsia="Arial" w:hAnsi="Arial" w:cs="Arial"/>
          <w:color w:val="000000"/>
          <w:sz w:val="20"/>
          <w:u w:val="single"/>
        </w:rPr>
        <w:t>de novo</w:t>
      </w:r>
      <w:r>
        <w:rPr>
          <w:rFonts w:ascii="Arial" w:eastAsia="Arial" w:hAnsi="Arial" w:cs="Arial"/>
          <w:color w:val="000000"/>
          <w:sz w:val="20"/>
        </w:rPr>
        <w:t xml:space="preserve"> the district court's grant of a Rule 12(b)(6) motion to dismiss for failure to state a claim. </w:t>
      </w:r>
      <w:bookmarkStart w:id="1102" w:name="Bookmark_I5JNR8FG2HM64R0030000400"/>
      <w:bookmarkEnd w:id="1102"/>
      <w:r>
        <w:rPr>
          <w:rFonts w:ascii="Arial" w:eastAsia="Arial" w:hAnsi="Arial" w:cs="Arial"/>
          <w:color w:val="000000"/>
          <w:sz w:val="20"/>
          <w:u w:val="single"/>
        </w:rPr>
        <w:t>Cinotto v. Delta Air Lines Inc.</w:t>
      </w:r>
      <w:r>
        <w:rPr>
          <w:rFonts w:ascii="Arial" w:eastAsia="Arial" w:hAnsi="Arial" w:cs="Arial"/>
          <w:color w:val="000000"/>
          <w:sz w:val="20"/>
        </w:rPr>
        <w:t xml:space="preserve">, 674 F.3d 1285, 1291 (11th Cir. 2012). </w:t>
      </w:r>
      <w:bookmarkStart w:id="1103" w:name="Bookmark_I5JNR8FG28T45H0030000400"/>
      <w:bookmarkEnd w:id="1103"/>
      <w:r>
        <w:rPr>
          <w:rFonts w:ascii="Arial" w:eastAsia="Arial" w:hAnsi="Arial" w:cs="Arial"/>
          <w:color w:val="000000"/>
          <w:sz w:val="20"/>
        </w:rPr>
        <w:t xml:space="preserve">When evaluating a motion to dismiss, a court looks to see whether the complaint contains sufficient factual matter, accepted as true, to state a claim to relief that is plausible on its face. </w:t>
      </w:r>
      <w:bookmarkStart w:id="1104" w:name="Bookmark_I5JNR8FG2HM64R0050000400"/>
      <w:bookmarkEnd w:id="1104"/>
      <w:r>
        <w:rPr>
          <w:rFonts w:ascii="Arial" w:eastAsia="Arial" w:hAnsi="Arial" w:cs="Arial"/>
          <w:color w:val="000000"/>
          <w:sz w:val="20"/>
          <w:u w:val="single"/>
        </w:rPr>
        <w:t>Surtain v. Hamlin Terrace Found.</w:t>
      </w:r>
      <w:r>
        <w:rPr>
          <w:rFonts w:ascii="Arial" w:eastAsia="Arial" w:hAnsi="Arial" w:cs="Arial"/>
          <w:color w:val="000000"/>
          <w:sz w:val="20"/>
        </w:rPr>
        <w:t xml:space="preserve">, 789 F.3d 1239, 1245 (11th Cir. 2015). </w:t>
      </w:r>
      <w:bookmarkStart w:id="1105" w:name="Bookmark_I5JNR8FG28T45H0030000400_2"/>
      <w:bookmarkStart w:id="1106" w:name="Bookmark_I5JNR8FG28T45H0050000400"/>
      <w:bookmarkEnd w:id="1105"/>
      <w:bookmarkEnd w:id="1106"/>
      <w:r>
        <w:rPr>
          <w:rFonts w:ascii="Arial" w:eastAsia="Arial" w:hAnsi="Arial" w:cs="Arial"/>
          <w:color w:val="000000"/>
          <w:sz w:val="20"/>
        </w:rPr>
        <w:t xml:space="preserve">This plausibility standard is met when the plaintiff pleads factual content that allows the court to draw the reasonable inference that the defendant is liable for the misconduct alleged. </w:t>
      </w:r>
      <w:r>
        <w:rPr>
          <w:rFonts w:ascii="Arial" w:eastAsia="Arial" w:hAnsi="Arial" w:cs="Arial"/>
          <w:color w:val="000000"/>
          <w:sz w:val="20"/>
          <w:u w:val="single"/>
        </w:rPr>
        <w:t>Id.</w:t>
      </w:r>
      <w:r>
        <w:rPr>
          <w:rFonts w:ascii="Arial" w:eastAsia="Arial" w:hAnsi="Arial" w:cs="Arial"/>
          <w:color w:val="000000"/>
          <w:sz w:val="20"/>
        </w:rPr>
        <w:t xml:space="preserve"> "A pleading that offers a formulaic recitation of elements of a cause of action will not do." </w:t>
      </w:r>
      <w:bookmarkStart w:id="1107" w:name="Bookmark_I5JNR8FG28T45H0020000400"/>
      <w:bookmarkEnd w:id="1107"/>
      <w:r>
        <w:rPr>
          <w:rFonts w:ascii="Arial" w:eastAsia="Arial" w:hAnsi="Arial" w:cs="Arial"/>
          <w:color w:val="000000"/>
          <w:sz w:val="20"/>
          <w:u w:val="single"/>
        </w:rPr>
        <w:t>Ashcroft v. Iqbal</w:t>
      </w:r>
      <w:r>
        <w:rPr>
          <w:rFonts w:ascii="Arial" w:eastAsia="Arial" w:hAnsi="Arial" w:cs="Arial"/>
          <w:color w:val="000000"/>
          <w:sz w:val="20"/>
        </w:rPr>
        <w:t xml:space="preserve">, 556 U.S. 662, 678, 129 S. Ct. 1937, 1949, 173 L. Ed. 2d 868 (2009) (quotation marks omitted). </w:t>
      </w:r>
      <w:bookmarkStart w:id="1108" w:name="Bookmark_I5JNR8FG28T45H0050000400_2"/>
      <w:bookmarkEnd w:id="1108"/>
      <w:r>
        <w:rPr>
          <w:rFonts w:ascii="Arial" w:eastAsia="Arial" w:hAnsi="Arial" w:cs="Arial"/>
          <w:color w:val="000000"/>
          <w:sz w:val="20"/>
        </w:rPr>
        <w:t xml:space="preserve">"[C]onclusory allegations, unwarranted deductions of fact or legal conclusions masquerading as facts will not prevent dismissal." </w:t>
      </w:r>
      <w:bookmarkStart w:id="1109" w:name="Bookmark_I5JNR8FG28T45H0040000400"/>
      <w:bookmarkEnd w:id="1109"/>
      <w:r>
        <w:rPr>
          <w:rFonts w:ascii="Arial" w:eastAsia="Arial" w:hAnsi="Arial" w:cs="Arial"/>
          <w:color w:val="000000"/>
          <w:sz w:val="20"/>
          <w:u w:val="single"/>
        </w:rPr>
        <w:t>Oxford Asset Mgmt., Ltd. v. Jaharis</w:t>
      </w:r>
      <w:r>
        <w:rPr>
          <w:rFonts w:ascii="Arial" w:eastAsia="Arial" w:hAnsi="Arial" w:cs="Arial"/>
          <w:color w:val="000000"/>
          <w:sz w:val="20"/>
        </w:rPr>
        <w:t>, 297 F.3d 1182, 1188 (11th Cir. 2002).</w:t>
      </w:r>
    </w:p>
    <w:p w14:paraId="7B56C0C3" w14:textId="77777777" w:rsidR="002D0E71" w:rsidRDefault="00000000">
      <w:pPr>
        <w:pStyle w:val="Normal7"/>
        <w:widowControl w:val="0"/>
        <w:spacing w:before="240" w:line="260" w:lineRule="atLeast"/>
      </w:pPr>
      <w:r>
        <w:br/>
      </w:r>
      <w:r>
        <w:rPr>
          <w:rFonts w:ascii="Arial" w:eastAsia="Arial" w:hAnsi="Arial" w:cs="Arial"/>
          <w:b/>
          <w:color w:val="000000"/>
          <w:sz w:val="20"/>
        </w:rPr>
        <w:t>B. ADA Title III Claim</w:t>
      </w:r>
    </w:p>
    <w:p w14:paraId="4A2DF752" w14:textId="77777777" w:rsidR="002D0E71" w:rsidRDefault="00000000">
      <w:pPr>
        <w:pStyle w:val="Normal7"/>
        <w:widowControl w:val="0"/>
        <w:spacing w:before="200" w:line="260" w:lineRule="atLeast"/>
        <w:jc w:val="both"/>
      </w:pPr>
      <w:bookmarkStart w:id="1110" w:name="Bookmark_para_13_6"/>
      <w:bookmarkStart w:id="1111" w:name="Bookmark_LNHNREFclscc3_5"/>
      <w:bookmarkEnd w:id="1110"/>
      <w:bookmarkEnd w:id="1111"/>
      <w:r>
        <w:rPr>
          <w:rFonts w:ascii="Arial" w:eastAsia="Arial" w:hAnsi="Arial" w:cs="Arial"/>
          <w:color w:val="000000"/>
          <w:sz w:val="20"/>
        </w:rPr>
        <w:t>Title III of the ADA sets forth a general rule against disability-based discrimination in public accommodations</w:t>
      </w:r>
      <w:r>
        <w:rPr>
          <w:rFonts w:ascii="Arial" w:eastAsia="Arial" w:hAnsi="Arial" w:cs="Arial"/>
          <w:vertAlign w:val="superscript"/>
        </w:rPr>
        <w:footnoteReference w:customMarkFollows="1" w:id="23"/>
        <w:t>2</w:t>
      </w:r>
      <w:r>
        <w:rPr>
          <w:rFonts w:ascii="Arial" w:eastAsia="Arial" w:hAnsi="Arial" w:cs="Arial"/>
          <w:color w:val="000000"/>
          <w:sz w:val="20"/>
        </w:rPr>
        <w:t>:</w:t>
      </w:r>
    </w:p>
    <w:p w14:paraId="6075CFA4" w14:textId="77777777" w:rsidR="002D0E71" w:rsidRDefault="00000000">
      <w:pPr>
        <w:pStyle w:val="Normal7"/>
        <w:widowControl w:val="0"/>
        <w:spacing w:before="200" w:line="260" w:lineRule="atLeast"/>
        <w:ind w:left="400"/>
        <w:jc w:val="both"/>
      </w:pPr>
      <w:bookmarkStart w:id="1114" w:name="Bookmark_para_14_6"/>
      <w:bookmarkEnd w:id="1114"/>
      <w:r>
        <w:rPr>
          <w:rFonts w:ascii="Arial" w:eastAsia="Arial" w:hAnsi="Arial" w:cs="Arial"/>
          <w:color w:val="000000"/>
          <w:sz w:val="20"/>
        </w:rPr>
        <w:t xml:space="preserve">No individual shall be discriminated against </w:t>
      </w:r>
      <w:r>
        <w:rPr>
          <w:rFonts w:ascii="Arial" w:eastAsia="Arial" w:hAnsi="Arial" w:cs="Arial"/>
          <w:color w:val="000000"/>
          <w:sz w:val="20"/>
          <w:u w:val="single"/>
        </w:rPr>
        <w:t>on the basis of disability</w:t>
      </w:r>
      <w:r>
        <w:rPr>
          <w:rFonts w:ascii="Arial" w:eastAsia="Arial" w:hAnsi="Arial" w:cs="Arial"/>
          <w:color w:val="000000"/>
          <w:sz w:val="20"/>
        </w:rPr>
        <w:t xml:space="preserve"> in the full and equal enjoyment of the goods, services,  [*925]  facilities, privileges, advantages, or accommodations [**6]  of any place of public accommodation by any person who owns, leases (or leases to), or operates a place of public accommodation.</w:t>
      </w:r>
    </w:p>
    <w:p w14:paraId="22ABB207" w14:textId="77777777" w:rsidR="002D0E71" w:rsidRDefault="00000000">
      <w:pPr>
        <w:pStyle w:val="Normal7"/>
        <w:widowControl w:val="0"/>
        <w:spacing w:before="200" w:line="260" w:lineRule="atLeast"/>
        <w:jc w:val="both"/>
      </w:pPr>
      <w:r>
        <w:rPr>
          <w:rFonts w:ascii="Arial" w:eastAsia="Arial" w:hAnsi="Arial" w:cs="Arial"/>
          <w:color w:val="000000"/>
          <w:sz w:val="20"/>
        </w:rPr>
        <w:t xml:space="preserve">42 U.S.C. § 12182(a) (emphasis added). </w:t>
      </w:r>
      <w:bookmarkStart w:id="1115" w:name="Bookmark_LNHNREFclscc4_5"/>
      <w:bookmarkEnd w:id="1115"/>
      <w:r>
        <w:rPr>
          <w:rFonts w:ascii="Arial" w:eastAsia="Arial" w:hAnsi="Arial" w:cs="Arial"/>
          <w:color w:val="000000"/>
          <w:sz w:val="20"/>
        </w:rPr>
        <w:t xml:space="preserve">Title III also sets forth a statutory definition of "discrimination," which includes, </w:t>
      </w:r>
      <w:r>
        <w:rPr>
          <w:rFonts w:ascii="Arial" w:eastAsia="Arial" w:hAnsi="Arial" w:cs="Arial"/>
          <w:color w:val="000000"/>
          <w:sz w:val="20"/>
          <w:u w:val="single"/>
        </w:rPr>
        <w:t>inter alia</w:t>
      </w:r>
      <w:r>
        <w:rPr>
          <w:rFonts w:ascii="Arial" w:eastAsia="Arial" w:hAnsi="Arial" w:cs="Arial"/>
          <w:color w:val="000000"/>
          <w:sz w:val="20"/>
        </w:rPr>
        <w:t>:</w:t>
      </w:r>
    </w:p>
    <w:p w14:paraId="2FD97C27" w14:textId="77777777" w:rsidR="002D0E71" w:rsidRDefault="00000000">
      <w:pPr>
        <w:pStyle w:val="Normal7"/>
        <w:widowControl w:val="0"/>
        <w:spacing w:before="200" w:line="260" w:lineRule="atLeast"/>
        <w:ind w:left="400"/>
        <w:jc w:val="both"/>
      </w:pPr>
      <w:bookmarkStart w:id="1116" w:name="Bookmark_para_15_6"/>
      <w:bookmarkEnd w:id="1116"/>
      <w:r>
        <w:rPr>
          <w:rFonts w:ascii="Arial" w:eastAsia="Arial" w:hAnsi="Arial" w:cs="Arial"/>
          <w:color w:val="000000"/>
          <w:sz w:val="20"/>
        </w:rPr>
        <w:t xml:space="preserve">(i) the imposition or application of eligibility criteria that screen out or tend to screen out an individual with a disability or any class of individuals with disabilities from fully and equally enjoying any goods, services, facilities, privileges, advantages, or accommodations, </w:t>
      </w:r>
      <w:r>
        <w:rPr>
          <w:rFonts w:ascii="Arial" w:eastAsia="Arial" w:hAnsi="Arial" w:cs="Arial"/>
          <w:color w:val="000000"/>
          <w:sz w:val="20"/>
          <w:u w:val="single"/>
        </w:rPr>
        <w:t>unless</w:t>
      </w:r>
      <w:r>
        <w:rPr>
          <w:rFonts w:ascii="Arial" w:eastAsia="Arial" w:hAnsi="Arial" w:cs="Arial"/>
          <w:color w:val="000000"/>
          <w:sz w:val="20"/>
        </w:rPr>
        <w:t xml:space="preserve"> such criteria can be shown to be </w:t>
      </w:r>
      <w:r>
        <w:rPr>
          <w:rFonts w:ascii="Arial" w:eastAsia="Arial" w:hAnsi="Arial" w:cs="Arial"/>
          <w:color w:val="000000"/>
          <w:sz w:val="20"/>
          <w:u w:val="single"/>
        </w:rPr>
        <w:t>necessary</w:t>
      </w:r>
      <w:r>
        <w:rPr>
          <w:rFonts w:ascii="Arial" w:eastAsia="Arial" w:hAnsi="Arial" w:cs="Arial"/>
          <w:color w:val="000000"/>
          <w:sz w:val="20"/>
        </w:rPr>
        <w:t xml:space="preserve"> for the provision of the goods, services, facilities, privileges, advantages, or accommodations being offered;</w:t>
      </w:r>
    </w:p>
    <w:p w14:paraId="457CB431" w14:textId="77777777" w:rsidR="002D0E71" w:rsidRDefault="00000000">
      <w:pPr>
        <w:pStyle w:val="Normal7"/>
        <w:widowControl w:val="0"/>
        <w:spacing w:before="200" w:line="260" w:lineRule="atLeast"/>
        <w:ind w:left="400"/>
        <w:jc w:val="both"/>
      </w:pPr>
      <w:bookmarkStart w:id="1117" w:name="Bookmark_para_16_6"/>
      <w:bookmarkEnd w:id="1117"/>
      <w:r>
        <w:rPr>
          <w:rFonts w:ascii="Arial" w:eastAsia="Arial" w:hAnsi="Arial" w:cs="Arial"/>
          <w:color w:val="000000"/>
          <w:sz w:val="20"/>
        </w:rPr>
        <w:t xml:space="preserve">(ii) a failure to make reasonable modifications in policies, practices, or procedures, when such modifications are necessary to afford such goods, services, facilities, privileges, advantages, or accommodations to individuals with disabilities, </w:t>
      </w:r>
      <w:r>
        <w:rPr>
          <w:rFonts w:ascii="Arial" w:eastAsia="Arial" w:hAnsi="Arial" w:cs="Arial"/>
          <w:color w:val="000000"/>
          <w:sz w:val="20"/>
          <w:u w:val="single"/>
        </w:rPr>
        <w:t>unless</w:t>
      </w:r>
      <w:r>
        <w:rPr>
          <w:rFonts w:ascii="Arial" w:eastAsia="Arial" w:hAnsi="Arial" w:cs="Arial"/>
          <w:color w:val="000000"/>
          <w:sz w:val="20"/>
        </w:rPr>
        <w:t xml:space="preserve"> the entity can demonstrate that making such modifications would </w:t>
      </w:r>
      <w:r>
        <w:rPr>
          <w:rFonts w:ascii="Arial" w:eastAsia="Arial" w:hAnsi="Arial" w:cs="Arial"/>
          <w:color w:val="000000"/>
          <w:sz w:val="20"/>
          <w:u w:val="single"/>
        </w:rPr>
        <w:t>fundamentally alter</w:t>
      </w:r>
      <w:r>
        <w:rPr>
          <w:rFonts w:ascii="Arial" w:eastAsia="Arial" w:hAnsi="Arial" w:cs="Arial"/>
          <w:color w:val="000000"/>
          <w:sz w:val="20"/>
        </w:rPr>
        <w:t xml:space="preserve"> the nature of such goods, services, facilities, privileges, advantages, or accommodations;</w:t>
      </w:r>
    </w:p>
    <w:p w14:paraId="5C199557" w14:textId="77777777" w:rsidR="002D0E71" w:rsidRDefault="00000000">
      <w:pPr>
        <w:pStyle w:val="Normal7"/>
        <w:widowControl w:val="0"/>
        <w:spacing w:before="200" w:line="260" w:lineRule="atLeast"/>
        <w:ind w:left="400"/>
        <w:jc w:val="both"/>
      </w:pPr>
      <w:bookmarkStart w:id="1118" w:name="Bookmark_para_17_5"/>
      <w:bookmarkEnd w:id="1118"/>
      <w:r>
        <w:rPr>
          <w:rFonts w:ascii="Arial" w:eastAsia="Arial" w:hAnsi="Arial" w:cs="Arial"/>
          <w:color w:val="000000"/>
          <w:sz w:val="20"/>
        </w:rPr>
        <w:t xml:space="preserve">(iii) a failure to take such steps as may be necessary to ensure that no individual with [**7]  a disability is excluded, denied services, segregated or otherwise treated differently than other individuals because of the absence of auxiliary aids and services, </w:t>
      </w:r>
      <w:r>
        <w:rPr>
          <w:rFonts w:ascii="Arial" w:eastAsia="Arial" w:hAnsi="Arial" w:cs="Arial"/>
          <w:color w:val="000000"/>
          <w:sz w:val="20"/>
          <w:u w:val="single"/>
        </w:rPr>
        <w:t>unless</w:t>
      </w:r>
      <w:r>
        <w:rPr>
          <w:rFonts w:ascii="Arial" w:eastAsia="Arial" w:hAnsi="Arial" w:cs="Arial"/>
          <w:color w:val="000000"/>
          <w:sz w:val="20"/>
        </w:rPr>
        <w:t xml:space="preserve"> the entity can demonstrate that taking such steps would </w:t>
      </w:r>
      <w:r>
        <w:rPr>
          <w:rFonts w:ascii="Arial" w:eastAsia="Arial" w:hAnsi="Arial" w:cs="Arial"/>
          <w:color w:val="000000"/>
          <w:sz w:val="20"/>
          <w:u w:val="single"/>
        </w:rPr>
        <w:t>fundamentally alter</w:t>
      </w:r>
      <w:r>
        <w:rPr>
          <w:rFonts w:ascii="Arial" w:eastAsia="Arial" w:hAnsi="Arial" w:cs="Arial"/>
          <w:color w:val="000000"/>
          <w:sz w:val="20"/>
        </w:rPr>
        <w:t xml:space="preserve"> the nature of the good, service, facility, privilege, advantage, or accommodation being offered or would result in an undue burden; . . .</w:t>
      </w:r>
    </w:p>
    <w:p w14:paraId="5C8306C4" w14:textId="77777777" w:rsidR="002D0E71" w:rsidRDefault="00000000">
      <w:pPr>
        <w:pStyle w:val="Normal7"/>
        <w:widowControl w:val="0"/>
        <w:spacing w:before="200" w:line="260" w:lineRule="atLeast"/>
        <w:jc w:val="both"/>
      </w:pPr>
      <w:r>
        <w:rPr>
          <w:rFonts w:ascii="Arial" w:eastAsia="Arial" w:hAnsi="Arial" w:cs="Arial"/>
          <w:color w:val="000000"/>
          <w:sz w:val="20"/>
          <w:u w:val="single"/>
        </w:rPr>
        <w:t>Id.</w:t>
      </w:r>
      <w:r>
        <w:rPr>
          <w:rFonts w:ascii="Arial" w:eastAsia="Arial" w:hAnsi="Arial" w:cs="Arial"/>
          <w:color w:val="000000"/>
          <w:sz w:val="20"/>
        </w:rPr>
        <w:t xml:space="preserve"> § 12182(b)(2)(A)(i-iii) (emphasis added).</w:t>
      </w:r>
    </w:p>
    <w:p w14:paraId="29A77714" w14:textId="77777777" w:rsidR="002D0E71" w:rsidRDefault="00000000">
      <w:pPr>
        <w:pStyle w:val="Normal7"/>
        <w:widowControl w:val="0"/>
        <w:spacing w:before="200" w:line="260" w:lineRule="atLeast"/>
        <w:jc w:val="both"/>
      </w:pPr>
      <w:bookmarkStart w:id="1119" w:name="Bookmark_para_18_5"/>
      <w:bookmarkStart w:id="1120" w:name="Bookmark_I5JNR8FG2N1RJ90020000400"/>
      <w:bookmarkStart w:id="1121" w:name="Bookmark_LNHNREFclscc6_5"/>
      <w:bookmarkEnd w:id="1119"/>
      <w:bookmarkEnd w:id="1120"/>
      <w:bookmarkEnd w:id="1121"/>
      <w:r>
        <w:rPr>
          <w:rFonts w:ascii="Arial" w:eastAsia="Arial" w:hAnsi="Arial" w:cs="Arial"/>
          <w:color w:val="000000"/>
          <w:sz w:val="20"/>
        </w:rPr>
        <w:t xml:space="preserve">The definition of discrimination provided in Title III covers both tangible barriers, that is, physical and architectural barriers that would prevent a disabled person from entering an accommodation's facilities and accessing its goods, services and privileges, and intangible barriers, such as discriminatory policies and procedures that restrict a disabled person's ability to enjoy the defendant entity's goods, services and privileges. </w:t>
      </w:r>
      <w:bookmarkStart w:id="1122" w:name="Bookmark_I5JNR8FG2N1RJ90010000400"/>
      <w:bookmarkEnd w:id="1122"/>
      <w:r>
        <w:rPr>
          <w:rFonts w:ascii="Arial" w:eastAsia="Arial" w:hAnsi="Arial" w:cs="Arial"/>
          <w:color w:val="000000"/>
          <w:sz w:val="20"/>
          <w:u w:val="single"/>
        </w:rPr>
        <w:t>Rendon v. Valleycrest Prods.</w:t>
      </w:r>
      <w:r>
        <w:rPr>
          <w:rFonts w:ascii="Arial" w:eastAsia="Arial" w:hAnsi="Arial" w:cs="Arial"/>
          <w:color w:val="000000"/>
          <w:sz w:val="20"/>
        </w:rPr>
        <w:t>, 294 F.3d 1279, 1283-84 (11th Cir. 2002).</w:t>
      </w:r>
    </w:p>
    <w:p w14:paraId="189006FF" w14:textId="77777777" w:rsidR="002D0E71" w:rsidRDefault="00000000">
      <w:pPr>
        <w:pStyle w:val="Normal7"/>
        <w:widowControl w:val="0"/>
        <w:spacing w:before="200" w:line="260" w:lineRule="atLeast"/>
        <w:jc w:val="both"/>
      </w:pPr>
      <w:bookmarkStart w:id="1123" w:name="Bookmark_para_19_5"/>
      <w:bookmarkEnd w:id="1123"/>
      <w:r>
        <w:rPr>
          <w:rFonts w:ascii="Arial" w:eastAsia="Arial" w:hAnsi="Arial" w:cs="Arial"/>
          <w:color w:val="000000"/>
          <w:sz w:val="20"/>
        </w:rPr>
        <w:t>Here, J.A.M. failed to state a claim under Title III of ADA. For starters, J.A.M. did not plead facts demonstrating that Nova's actions constituted "discrimination" under Title III. Nova's actions do not fall under Title III's first definition of discrimination. While Nova's mandatory [**8]  substance abuse and alcohol agreement may constitute a readmission criterion that tends to "screen out" certain individuals with chronic alcohol-related problems, there is no allegation that this criterion was not "necessary for the provision of the . . . services . . . being offered" by Nova. 42 U.S.C. § 12182(b)(2)(A)(i). It is axiomatic that a medical student with alcohol problems would have to abstain from alcohol in order to complete his studies. Nova placed alcohol-related conditions on J.A.M. that were necessary to facilitate the successful completion of his coursework.</w:t>
      </w:r>
    </w:p>
    <w:p w14:paraId="6869181C" w14:textId="77777777" w:rsidR="002D0E71" w:rsidRDefault="00000000">
      <w:pPr>
        <w:pStyle w:val="Normal7"/>
        <w:widowControl w:val="0"/>
        <w:spacing w:before="200" w:line="260" w:lineRule="atLeast"/>
        <w:jc w:val="both"/>
      </w:pPr>
      <w:bookmarkStart w:id="1124" w:name="Bookmark_para_20_4"/>
      <w:bookmarkEnd w:id="1124"/>
      <w:r>
        <w:rPr>
          <w:rFonts w:ascii="Arial" w:eastAsia="Arial" w:hAnsi="Arial" w:cs="Arial"/>
          <w:color w:val="000000"/>
          <w:sz w:val="20"/>
        </w:rPr>
        <w:t xml:space="preserve">Nor do Nova's actions fall under Title III's second and third definitions of discrimination. While J.A.M. argues that Nova failed to make "reasonable modifications" or "take . . . steps . . . to ensure that no individual with a disability is excluded" (an already specious claim), there is no allegation that making these accommodations would not "fundamentally alter" the nature of the services provided by Nova. 42 U.S.C. § 12182(b)(2)(A)(ii-iii). Again, it is self-evident that J.A.M.'s requested accommodations—repeated medical leaves of absence for extended amounts of time, exam rescheduling, and excusal of misconduct—would fundamentally alter his course of study and the skills [**9]  learned therein. </w:t>
      </w:r>
      <w:bookmarkStart w:id="1125" w:name="Bookmark_I5JNR8FG2N1RJ90040000400"/>
      <w:bookmarkEnd w:id="1125"/>
      <w:r>
        <w:rPr>
          <w:rFonts w:ascii="Arial" w:eastAsia="Arial" w:hAnsi="Arial" w:cs="Arial"/>
          <w:color w:val="000000"/>
          <w:sz w:val="20"/>
        </w:rPr>
        <w:t xml:space="preserve">Nova was under no obligation to provide accommodations that would fundamentally alter the nature of its osteopathic medicine program. In fact, </w:t>
      </w:r>
      <w:bookmarkStart w:id="1126" w:name="Bookmark_LNHNREFclscc7_5"/>
      <w:bookmarkEnd w:id="1126"/>
      <w:r>
        <w:rPr>
          <w:rFonts w:ascii="Arial" w:eastAsia="Arial" w:hAnsi="Arial" w:cs="Arial"/>
          <w:color w:val="000000"/>
          <w:sz w:val="20"/>
        </w:rPr>
        <w:t xml:space="preserve">the Supreme Court has repeatedly admonished courts to respect the academic judgment of universities. </w:t>
      </w:r>
      <w:r>
        <w:rPr>
          <w:rFonts w:ascii="Arial" w:eastAsia="Arial" w:hAnsi="Arial" w:cs="Arial"/>
          <w:color w:val="000000"/>
          <w:sz w:val="20"/>
          <w:u w:val="single"/>
        </w:rPr>
        <w:t xml:space="preserve">See, e.g., </w:t>
      </w:r>
      <w:bookmarkStart w:id="1127" w:name="Bookmark_I5JNR8FG2N1RJ90030000400"/>
      <w:bookmarkEnd w:id="1127"/>
      <w:r>
        <w:rPr>
          <w:rFonts w:ascii="Arial" w:eastAsia="Arial" w:hAnsi="Arial" w:cs="Arial"/>
          <w:color w:val="000000"/>
          <w:sz w:val="20"/>
          <w:u w:val="single"/>
        </w:rPr>
        <w:t>Regents of Univ. of Mich. v. Ewing</w:t>
      </w:r>
      <w:r>
        <w:rPr>
          <w:rFonts w:ascii="Arial" w:eastAsia="Arial" w:hAnsi="Arial" w:cs="Arial"/>
          <w:color w:val="000000"/>
          <w:sz w:val="20"/>
        </w:rPr>
        <w:t xml:space="preserve">, 474 U.S. 214, 225, 106 S. Ct. 507, 513, 88 L. Ed. 2d 523 (1985) ("When judges are asked to review the substance of a genuinely academic decision . . . they should show great respect for the faculty's professional judgment."); </w:t>
      </w:r>
      <w:bookmarkStart w:id="1128" w:name="Bookmark_I5JNR8FG2N1RJ90050000400"/>
      <w:bookmarkEnd w:id="1128"/>
      <w:r>
        <w:rPr>
          <w:rFonts w:ascii="Arial" w:eastAsia="Arial" w:hAnsi="Arial" w:cs="Arial"/>
          <w:color w:val="000000"/>
          <w:sz w:val="20"/>
          <w:u w:val="single"/>
        </w:rPr>
        <w:t>Bd. of Curators of the Univ. of Mo. v. Horowitz</w:t>
      </w:r>
      <w:r>
        <w:rPr>
          <w:rFonts w:ascii="Arial" w:eastAsia="Arial" w:hAnsi="Arial" w:cs="Arial"/>
          <w:color w:val="000000"/>
          <w:sz w:val="20"/>
        </w:rPr>
        <w:t>, 435 U.S. 78, 90, 98 S. Ct. 948, 955, 55 L. Ed. 2d 124 (1978) ("[T]he determination whether to dismiss a student for academic reasons requires an expert evaluation of cumulative information and is not readily adapted to the procedural tools of judicial or administrative decisionmaking."). Accordingly,  [*926]  Nova's actions did not constitute "discrimination" under Title III.</w:t>
      </w:r>
    </w:p>
    <w:p w14:paraId="22CEE236" w14:textId="77777777" w:rsidR="002D0E71" w:rsidRDefault="00000000">
      <w:pPr>
        <w:pStyle w:val="Normal7"/>
        <w:widowControl w:val="0"/>
        <w:spacing w:before="200" w:line="260" w:lineRule="atLeast"/>
        <w:jc w:val="both"/>
      </w:pPr>
      <w:bookmarkStart w:id="1129" w:name="Bookmark_para_21_4"/>
      <w:bookmarkEnd w:id="1129"/>
      <w:r>
        <w:rPr>
          <w:rFonts w:ascii="Arial" w:eastAsia="Arial" w:hAnsi="Arial" w:cs="Arial"/>
          <w:color w:val="000000"/>
          <w:sz w:val="20"/>
        </w:rPr>
        <w:t>In any event, assuming arguendo that Nova "discriminated against" J.A.M. and inhibited his "full and equal enjoyment of the . . . services . . . of [Nova]" by requiring him to sign a substance abuse agreement and later dismissing him, the complaint contains no allegation that Nova discriminated "on the basis of [J.A.M.'s] disability." See 42 U.S.C. § 12182(a). J.A.M. alleged that his major depressive disorder constituted a mental disability. But J.A.M. did not allege that he was [**10]  dismissed because of his mental disability. Rather, he alleged that he was dismissed because he breached his agreement to abstain from alcohol consumption. At best, Nova discriminated on the basis of J.A.M.'s alcohol-related behavioral misconduct, not his disability. As such, J.A.M. failed to allege that Nova discriminated against him on account of his disability and, therefore, failed to state a claim under Title III.</w:t>
      </w:r>
    </w:p>
    <w:p w14:paraId="75C8E4A4" w14:textId="77777777" w:rsidR="002D0E71" w:rsidRDefault="00000000">
      <w:pPr>
        <w:pStyle w:val="Normal7"/>
        <w:widowControl w:val="0"/>
        <w:spacing w:before="200" w:line="260" w:lineRule="atLeast"/>
        <w:jc w:val="both"/>
      </w:pPr>
      <w:bookmarkStart w:id="1130" w:name="Bookmark_para_22_4"/>
      <w:bookmarkStart w:id="1131" w:name="Bookmark_I5JNR8FG28T45J0030000400"/>
      <w:bookmarkEnd w:id="1130"/>
      <w:bookmarkEnd w:id="1131"/>
      <w:r>
        <w:rPr>
          <w:rFonts w:ascii="Arial" w:eastAsia="Arial" w:hAnsi="Arial" w:cs="Arial"/>
          <w:color w:val="000000"/>
          <w:sz w:val="20"/>
        </w:rPr>
        <w:t xml:space="preserve">J.A.M.'s argument that the substance abuse and alcohol agreement was a pretext for disability discrimination is without merit. </w:t>
      </w:r>
      <w:bookmarkStart w:id="1132" w:name="Bookmark_LNHNREFclscc8_5"/>
      <w:bookmarkEnd w:id="1132"/>
      <w:r>
        <w:rPr>
          <w:rFonts w:ascii="Arial" w:eastAsia="Arial" w:hAnsi="Arial" w:cs="Arial"/>
          <w:color w:val="000000"/>
          <w:sz w:val="20"/>
        </w:rPr>
        <w:t xml:space="preserve">Nova is not required to excuse past misconduct, even if that misconduct is linked to a student's mental disability. </w:t>
      </w:r>
      <w:r>
        <w:rPr>
          <w:rFonts w:ascii="Arial" w:eastAsia="Arial" w:hAnsi="Arial" w:cs="Arial"/>
          <w:color w:val="000000"/>
          <w:sz w:val="20"/>
          <w:u w:val="single"/>
        </w:rPr>
        <w:t xml:space="preserve">See </w:t>
      </w:r>
      <w:bookmarkStart w:id="1133" w:name="Bookmark_I5JNR8FG28T45J0020000400"/>
      <w:bookmarkEnd w:id="1133"/>
      <w:r>
        <w:rPr>
          <w:rFonts w:ascii="Arial" w:eastAsia="Arial" w:hAnsi="Arial" w:cs="Arial"/>
          <w:color w:val="000000"/>
          <w:sz w:val="20"/>
          <w:u w:val="single"/>
        </w:rPr>
        <w:t>Halpern v. Wake Forest Univ. Health Scis.</w:t>
      </w:r>
      <w:r>
        <w:rPr>
          <w:rFonts w:ascii="Arial" w:eastAsia="Arial" w:hAnsi="Arial" w:cs="Arial"/>
          <w:color w:val="000000"/>
          <w:sz w:val="20"/>
        </w:rPr>
        <w:t>, 669 F.3d 454, 465 (4th Cir. 2012) ("[M]isconduct—even misconduct related to a disability—is not itself a disability and may be a basis for dismissal.") (quotation marks omitted). J.A.M. breached the substance abuse and alcohol agreement on at least three separate occasions. His mental disability does not excuse his misconduct.</w:t>
      </w:r>
    </w:p>
    <w:p w14:paraId="36F85C2B" w14:textId="77777777" w:rsidR="002D0E71" w:rsidRDefault="00000000">
      <w:pPr>
        <w:pStyle w:val="Normal7"/>
        <w:widowControl w:val="0"/>
        <w:spacing w:before="240" w:line="260" w:lineRule="atLeast"/>
      </w:pPr>
      <w:r>
        <w:br/>
      </w:r>
      <w:r>
        <w:rPr>
          <w:rFonts w:ascii="Arial" w:eastAsia="Arial" w:hAnsi="Arial" w:cs="Arial"/>
          <w:b/>
          <w:color w:val="000000"/>
          <w:sz w:val="20"/>
        </w:rPr>
        <w:t>C. Rehabilitation Act Claim</w:t>
      </w:r>
    </w:p>
    <w:p w14:paraId="70F4A95F" w14:textId="77777777" w:rsidR="002D0E71" w:rsidRDefault="00000000">
      <w:pPr>
        <w:pStyle w:val="Normal7"/>
        <w:widowControl w:val="0"/>
        <w:spacing w:before="200" w:line="260" w:lineRule="atLeast"/>
        <w:jc w:val="both"/>
      </w:pPr>
      <w:bookmarkStart w:id="1134" w:name="Bookmark_para_23_4"/>
      <w:bookmarkStart w:id="1135" w:name="Bookmark_LNHNREFclscc9_4"/>
      <w:bookmarkEnd w:id="1134"/>
      <w:bookmarkEnd w:id="1135"/>
      <w:r>
        <w:rPr>
          <w:rFonts w:ascii="Arial" w:eastAsia="Arial" w:hAnsi="Arial" w:cs="Arial"/>
          <w:color w:val="000000"/>
          <w:sz w:val="20"/>
        </w:rPr>
        <w:t>The Rehabilitation Act provides the following protection for persons facing a disability:</w:t>
      </w:r>
    </w:p>
    <w:p w14:paraId="751293D9" w14:textId="77777777" w:rsidR="002D0E71" w:rsidRDefault="00000000">
      <w:pPr>
        <w:pStyle w:val="Normal7"/>
        <w:widowControl w:val="0"/>
        <w:spacing w:before="200" w:line="260" w:lineRule="atLeast"/>
        <w:ind w:left="400"/>
        <w:jc w:val="both"/>
      </w:pPr>
      <w:bookmarkStart w:id="1136" w:name="Bookmark_para_24_4"/>
      <w:bookmarkEnd w:id="1136"/>
      <w:r>
        <w:rPr>
          <w:rFonts w:ascii="Arial" w:eastAsia="Arial" w:hAnsi="Arial" w:cs="Arial"/>
          <w:color w:val="000000"/>
          <w:sz w:val="20"/>
        </w:rPr>
        <w:t xml:space="preserve">No </w:t>
      </w:r>
      <w:r>
        <w:rPr>
          <w:rFonts w:ascii="Arial" w:eastAsia="Arial" w:hAnsi="Arial" w:cs="Arial"/>
          <w:color w:val="000000"/>
          <w:sz w:val="20"/>
          <w:u w:val="single"/>
        </w:rPr>
        <w:t>otherwise qualified individual</w:t>
      </w:r>
      <w:r>
        <w:rPr>
          <w:rFonts w:ascii="Arial" w:eastAsia="Arial" w:hAnsi="Arial" w:cs="Arial"/>
          <w:color w:val="000000"/>
          <w:sz w:val="20"/>
        </w:rPr>
        <w:t xml:space="preserve"> with a disability in the United States . . . shall, </w:t>
      </w:r>
      <w:r>
        <w:rPr>
          <w:rFonts w:ascii="Arial" w:eastAsia="Arial" w:hAnsi="Arial" w:cs="Arial"/>
          <w:color w:val="000000"/>
          <w:sz w:val="20"/>
          <w:u w:val="single"/>
        </w:rPr>
        <w:t>solely by reason of her or his disability</w:t>
      </w:r>
      <w:r>
        <w:rPr>
          <w:rFonts w:ascii="Arial" w:eastAsia="Arial" w:hAnsi="Arial" w:cs="Arial"/>
          <w:color w:val="000000"/>
          <w:sz w:val="20"/>
        </w:rPr>
        <w:t>, be [**11]  excluded from the participation in, be denied the benefits of, or be subjected to discrimination under any program or activity receiving Federal financial assistance . . . .</w:t>
      </w:r>
    </w:p>
    <w:p w14:paraId="64BEF33A" w14:textId="77777777" w:rsidR="002D0E71" w:rsidRDefault="00000000">
      <w:pPr>
        <w:pStyle w:val="Normal7"/>
        <w:widowControl w:val="0"/>
        <w:spacing w:before="200" w:line="260" w:lineRule="atLeast"/>
        <w:jc w:val="both"/>
      </w:pPr>
      <w:bookmarkStart w:id="1137" w:name="Bookmark_I358C9JTXBV000BV46Y000G3"/>
      <w:bookmarkStart w:id="1138" w:name="Bookmark_I5JNR8FG28T45J0050000400"/>
      <w:bookmarkEnd w:id="1137"/>
      <w:bookmarkEnd w:id="1138"/>
      <w:r>
        <w:rPr>
          <w:rFonts w:ascii="Arial" w:eastAsia="Arial" w:hAnsi="Arial" w:cs="Arial"/>
          <w:color w:val="000000"/>
          <w:sz w:val="20"/>
        </w:rPr>
        <w:t xml:space="preserve">29 U.S.C. § 794(a) (emphasis added). </w:t>
      </w:r>
      <w:bookmarkStart w:id="1139" w:name="Bookmark_LNHNREFclscc10_4"/>
      <w:bookmarkEnd w:id="1139"/>
      <w:r>
        <w:rPr>
          <w:rFonts w:ascii="Arial" w:eastAsia="Arial" w:hAnsi="Arial" w:cs="Arial"/>
          <w:color w:val="000000"/>
          <w:sz w:val="20"/>
        </w:rPr>
        <w:t xml:space="preserve">Discrimination claims under the RA are governed by the same standards used in ADA cases. </w:t>
      </w:r>
      <w:bookmarkStart w:id="1140" w:name="Bookmark_I5JNR8FG28T45J0040000400"/>
      <w:bookmarkEnd w:id="1140"/>
      <w:r>
        <w:rPr>
          <w:rFonts w:ascii="Arial" w:eastAsia="Arial" w:hAnsi="Arial" w:cs="Arial"/>
          <w:color w:val="000000"/>
          <w:sz w:val="20"/>
          <w:u w:val="single"/>
        </w:rPr>
        <w:t>Cash v. Smith</w:t>
      </w:r>
      <w:r>
        <w:rPr>
          <w:rFonts w:ascii="Arial" w:eastAsia="Arial" w:hAnsi="Arial" w:cs="Arial"/>
          <w:color w:val="000000"/>
          <w:sz w:val="20"/>
        </w:rPr>
        <w:t xml:space="preserve">, 231 F.3d 1301, 1305 (11th Cir. 2000). In order to establish a prima facie case of discrimination under the RA or ADA, the plaintiff must demonstrate that he (1) is disabled, (2) is a qualified individual, and (3) was subjected to unlawful discrimination because of his disability. </w:t>
      </w:r>
      <w:r>
        <w:rPr>
          <w:rFonts w:ascii="Arial" w:eastAsia="Arial" w:hAnsi="Arial" w:cs="Arial"/>
          <w:color w:val="000000"/>
          <w:sz w:val="20"/>
          <w:u w:val="single"/>
        </w:rPr>
        <w:t>See id.</w:t>
      </w:r>
    </w:p>
    <w:p w14:paraId="0C85DA9B" w14:textId="77777777" w:rsidR="002D0E71" w:rsidRDefault="00000000">
      <w:pPr>
        <w:pStyle w:val="Normal7"/>
        <w:widowControl w:val="0"/>
        <w:spacing w:before="200" w:line="260" w:lineRule="atLeast"/>
        <w:jc w:val="both"/>
      </w:pPr>
      <w:bookmarkStart w:id="1141" w:name="Bookmark_para_25_4"/>
      <w:bookmarkStart w:id="1142" w:name="Bookmark_I5JNR8FG2D6N500020000400"/>
      <w:bookmarkStart w:id="1143" w:name="Bookmark_LNHNREFclscc11_3"/>
      <w:bookmarkEnd w:id="1141"/>
      <w:bookmarkEnd w:id="1142"/>
      <w:bookmarkEnd w:id="1143"/>
      <w:r>
        <w:rPr>
          <w:rFonts w:ascii="Arial" w:eastAsia="Arial" w:hAnsi="Arial" w:cs="Arial"/>
          <w:color w:val="000000"/>
          <w:sz w:val="20"/>
        </w:rPr>
        <w:t xml:space="preserve">An "otherwise qualified" person is one who is able to meet all of a program's requirements in spite of his handicap. </w:t>
      </w:r>
      <w:bookmarkStart w:id="1144" w:name="Bookmark_I5JNR8FG2D6N500010000400"/>
      <w:bookmarkEnd w:id="1144"/>
      <w:r>
        <w:rPr>
          <w:rFonts w:ascii="Arial" w:eastAsia="Arial" w:hAnsi="Arial" w:cs="Arial"/>
          <w:color w:val="000000"/>
          <w:sz w:val="20"/>
          <w:u w:val="single"/>
        </w:rPr>
        <w:t>Onishea v. Hopper</w:t>
      </w:r>
      <w:r>
        <w:rPr>
          <w:rFonts w:ascii="Arial" w:eastAsia="Arial" w:hAnsi="Arial" w:cs="Arial"/>
          <w:color w:val="000000"/>
          <w:sz w:val="20"/>
        </w:rPr>
        <w:t>, 171 F.3d 1289, 1300 (11th Cir. 1999). In the context of postsecondary education, an "otherwise qualified" individual must be able to meet the academic and technical standards requisite to admission or participation in the education program or activity, in spite of his handicap. See id.; 34 C.F.R. § 104.3(l)(3).</w:t>
      </w:r>
    </w:p>
    <w:p w14:paraId="06201A52" w14:textId="77777777" w:rsidR="002D0E71" w:rsidRDefault="00000000">
      <w:pPr>
        <w:pStyle w:val="Normal7"/>
        <w:widowControl w:val="0"/>
        <w:spacing w:before="200" w:line="260" w:lineRule="atLeast"/>
        <w:jc w:val="both"/>
      </w:pPr>
      <w:bookmarkStart w:id="1145" w:name="Bookmark_para_26_4"/>
      <w:bookmarkStart w:id="1146" w:name="Bookmark_I5JNR8FG2D6N500040000400"/>
      <w:bookmarkStart w:id="1147" w:name="Bookmark_I5JNR8FG2HM64S0010000400"/>
      <w:bookmarkStart w:id="1148" w:name="Bookmark_LNHNREFclscc12_3"/>
      <w:bookmarkEnd w:id="1145"/>
      <w:bookmarkEnd w:id="1146"/>
      <w:bookmarkEnd w:id="1147"/>
      <w:bookmarkEnd w:id="1148"/>
      <w:r>
        <w:rPr>
          <w:rFonts w:ascii="Arial" w:eastAsia="Arial" w:hAnsi="Arial" w:cs="Arial"/>
          <w:color w:val="000000"/>
          <w:sz w:val="20"/>
        </w:rPr>
        <w:t xml:space="preserve">In certain circumstances, an educational institution's refusal to accommodate the needs of a disabled person amounts to discrimination against that person because of his disability. </w:t>
      </w:r>
      <w:r>
        <w:rPr>
          <w:rFonts w:ascii="Arial" w:eastAsia="Arial" w:hAnsi="Arial" w:cs="Arial"/>
          <w:color w:val="000000"/>
          <w:sz w:val="20"/>
          <w:u w:val="single"/>
        </w:rPr>
        <w:t xml:space="preserve">See </w:t>
      </w:r>
      <w:bookmarkStart w:id="1149" w:name="Bookmark_I5JNR8FG2D6N500030000400"/>
      <w:bookmarkEnd w:id="1149"/>
      <w:r>
        <w:rPr>
          <w:rFonts w:ascii="Arial" w:eastAsia="Arial" w:hAnsi="Arial" w:cs="Arial"/>
          <w:color w:val="000000"/>
          <w:sz w:val="20"/>
          <w:u w:val="single"/>
        </w:rPr>
        <w:t>Se. Cmty. Coll. v. Davis</w:t>
      </w:r>
      <w:r>
        <w:rPr>
          <w:rFonts w:ascii="Arial" w:eastAsia="Arial" w:hAnsi="Arial" w:cs="Arial"/>
          <w:color w:val="000000"/>
          <w:sz w:val="20"/>
        </w:rPr>
        <w:t xml:space="preserve">, 442 U.S. 397, 412-13, 99 S. Ct. 2361, 2370, 60 L. Ed. 2d 980 (1979). </w:t>
      </w:r>
      <w:bookmarkStart w:id="1150" w:name="Bookmark_I5JNR8FG2HM64S0030000400"/>
      <w:bookmarkEnd w:id="1150"/>
      <w:r>
        <w:rPr>
          <w:rFonts w:ascii="Arial" w:eastAsia="Arial" w:hAnsi="Arial" w:cs="Arial"/>
          <w:color w:val="000000"/>
          <w:sz w:val="20"/>
        </w:rPr>
        <w:t xml:space="preserve">However, "[the RA] imposes no requirement upon an educational institution to lower or to effect substantial modifications [**12]  of standards to accommodate a handicapped person." </w:t>
      </w:r>
      <w:bookmarkStart w:id="1151" w:name="Bookmark_I5JNR8FG2D6N500050000400"/>
      <w:bookmarkEnd w:id="1151"/>
      <w:r>
        <w:rPr>
          <w:rFonts w:ascii="Arial" w:eastAsia="Arial" w:hAnsi="Arial" w:cs="Arial"/>
          <w:color w:val="000000"/>
          <w:sz w:val="20"/>
          <w:u w:val="single"/>
        </w:rPr>
        <w:t>Id.</w:t>
      </w:r>
      <w:r>
        <w:rPr>
          <w:rFonts w:ascii="Arial" w:eastAsia="Arial" w:hAnsi="Arial" w:cs="Arial"/>
          <w:color w:val="000000"/>
          <w:sz w:val="20"/>
        </w:rPr>
        <w:t xml:space="preserve"> at 413, 99 S. Ct. at 2370-71. </w:t>
      </w:r>
      <w:bookmarkStart w:id="1152" w:name="Bookmark_I5JNR8FG2HM64S0030000400_2"/>
      <w:bookmarkEnd w:id="1152"/>
      <w:r>
        <w:rPr>
          <w:rFonts w:ascii="Arial" w:eastAsia="Arial" w:hAnsi="Arial" w:cs="Arial"/>
          <w:color w:val="000000"/>
          <w:sz w:val="20"/>
        </w:rPr>
        <w:t xml:space="preserve">Where the purpose of an educational program is to train persons to serve their profession in all customary ways, an institution's refusal to make "major adjustments" to its program  [*927]  in order to accommodate the disabled does not amount to disability-related discrimination. </w:t>
      </w:r>
      <w:bookmarkStart w:id="1153" w:name="Bookmark_I5JNR8FG2HM64S0020000400"/>
      <w:bookmarkEnd w:id="1153"/>
      <w:r>
        <w:rPr>
          <w:rFonts w:ascii="Arial" w:eastAsia="Arial" w:hAnsi="Arial" w:cs="Arial"/>
          <w:color w:val="000000"/>
          <w:sz w:val="20"/>
          <w:u w:val="single"/>
        </w:rPr>
        <w:t>Id.</w:t>
      </w:r>
      <w:r>
        <w:rPr>
          <w:rFonts w:ascii="Arial" w:eastAsia="Arial" w:hAnsi="Arial" w:cs="Arial"/>
          <w:color w:val="000000"/>
          <w:sz w:val="20"/>
        </w:rPr>
        <w:t xml:space="preserve"> at 413, 99 S. Ct. at 2370.</w:t>
      </w:r>
    </w:p>
    <w:p w14:paraId="189E5D23" w14:textId="77777777" w:rsidR="002D0E71" w:rsidRDefault="00000000">
      <w:pPr>
        <w:pStyle w:val="Normal7"/>
        <w:widowControl w:val="0"/>
        <w:spacing w:before="200" w:line="260" w:lineRule="atLeast"/>
        <w:jc w:val="both"/>
      </w:pPr>
      <w:bookmarkStart w:id="1154" w:name="Bookmark_para_27_4"/>
      <w:bookmarkEnd w:id="1154"/>
      <w:r>
        <w:rPr>
          <w:rFonts w:ascii="Arial" w:eastAsia="Arial" w:hAnsi="Arial" w:cs="Arial"/>
          <w:color w:val="000000"/>
          <w:sz w:val="20"/>
        </w:rPr>
        <w:t xml:space="preserve">Here, J.A.M.'s RA claim fails for several reasons. First, J.A.M. did not allege facts demonstrating that Nova dismissed him "solely by reason of . . . his disability." </w:t>
      </w:r>
      <w:r>
        <w:rPr>
          <w:rFonts w:ascii="Arial" w:eastAsia="Arial" w:hAnsi="Arial" w:cs="Arial"/>
          <w:color w:val="000000"/>
          <w:sz w:val="20"/>
          <w:u w:val="single"/>
        </w:rPr>
        <w:t>See</w:t>
      </w:r>
      <w:r>
        <w:rPr>
          <w:rFonts w:ascii="Arial" w:eastAsia="Arial" w:hAnsi="Arial" w:cs="Arial"/>
          <w:color w:val="000000"/>
          <w:sz w:val="20"/>
        </w:rPr>
        <w:t xml:space="preserve"> 29 U.S.C. § 794(a). As discussed above, Nova dismissed him due to his breach of the substance abuse and alcohol agreement, not due to his mental disability. J.A.M. alleged no other facts suggesting that Nova dismissed him because of his mental disability, let alone that his mental disability was the </w:t>
      </w:r>
      <w:r>
        <w:rPr>
          <w:rFonts w:ascii="Arial" w:eastAsia="Arial" w:hAnsi="Arial" w:cs="Arial"/>
          <w:color w:val="000000"/>
          <w:sz w:val="20"/>
          <w:u w:val="single"/>
        </w:rPr>
        <w:t>sole</w:t>
      </w:r>
      <w:r>
        <w:rPr>
          <w:rFonts w:ascii="Arial" w:eastAsia="Arial" w:hAnsi="Arial" w:cs="Arial"/>
          <w:color w:val="000000"/>
          <w:sz w:val="20"/>
        </w:rPr>
        <w:t xml:space="preserve"> reason for dismissal.</w:t>
      </w:r>
    </w:p>
    <w:p w14:paraId="0E67B4AD" w14:textId="77777777" w:rsidR="002D0E71" w:rsidRDefault="00000000">
      <w:pPr>
        <w:pStyle w:val="Normal7"/>
        <w:widowControl w:val="0"/>
        <w:spacing w:before="200" w:line="260" w:lineRule="atLeast"/>
        <w:jc w:val="both"/>
      </w:pPr>
      <w:bookmarkStart w:id="1155" w:name="Bookmark_para_28_4"/>
      <w:bookmarkEnd w:id="1155"/>
      <w:r>
        <w:rPr>
          <w:rFonts w:ascii="Arial" w:eastAsia="Arial" w:hAnsi="Arial" w:cs="Arial"/>
          <w:color w:val="000000"/>
          <w:sz w:val="20"/>
        </w:rPr>
        <w:t xml:space="preserve">Second, the allegations in the complaint affirmatively demonstrate that J.A.M. is not an "otherwise qualified individual" under the RA. </w:t>
      </w:r>
      <w:r>
        <w:rPr>
          <w:rFonts w:ascii="Arial" w:eastAsia="Arial" w:hAnsi="Arial" w:cs="Arial"/>
          <w:color w:val="000000"/>
          <w:sz w:val="20"/>
          <w:u w:val="single"/>
        </w:rPr>
        <w:t>See id.</w:t>
      </w:r>
      <w:r>
        <w:rPr>
          <w:rFonts w:ascii="Arial" w:eastAsia="Arial" w:hAnsi="Arial" w:cs="Arial"/>
          <w:color w:val="000000"/>
          <w:sz w:val="20"/>
        </w:rPr>
        <w:t xml:space="preserve"> His mental disability renders him wholly unable to participate in Nova's osteopathic medicine program. From 2011 to 2014, he was unable to complete a single full semester of medical school without suffering a relapse of his major depressive disorder [**13]  during the semester. These depressive episodes caused him to abuse alcohol, fail classes, and withdraw from his studies. His disability caused at least five hospitalizations for psychiatric stabilization in the course of two years. </w:t>
      </w:r>
      <w:bookmarkStart w:id="1156" w:name="Bookmark_I5JNR8FG2HM64S0050000400"/>
      <w:bookmarkEnd w:id="1156"/>
      <w:r>
        <w:rPr>
          <w:rFonts w:ascii="Arial" w:eastAsia="Arial" w:hAnsi="Arial" w:cs="Arial"/>
          <w:color w:val="000000"/>
          <w:sz w:val="20"/>
        </w:rPr>
        <w:t xml:space="preserve">Even after multiple leaves of absence, one lasting as long as seven months, and intensive outpatient treatment, he repeatedly relapsed and failed to meet Nova's academic requirements. It is clear that J.A.M.'s disability renders him incapable of meeting the academic and technical standards required to participate in Nova's osteopathic medicine program. As such, he is not an "otherwise qualified individual" and cannot state a claim under the RA. </w:t>
      </w:r>
      <w:r>
        <w:rPr>
          <w:rFonts w:ascii="Arial" w:eastAsia="Arial" w:hAnsi="Arial" w:cs="Arial"/>
          <w:color w:val="000000"/>
          <w:sz w:val="20"/>
          <w:u w:val="single"/>
        </w:rPr>
        <w:t xml:space="preserve">See </w:t>
      </w:r>
      <w:bookmarkStart w:id="1157" w:name="Bookmark_I5JNR8FG2HM64S0040000400"/>
      <w:bookmarkEnd w:id="1157"/>
      <w:r>
        <w:rPr>
          <w:rFonts w:ascii="Arial" w:eastAsia="Arial" w:hAnsi="Arial" w:cs="Arial"/>
          <w:color w:val="000000"/>
          <w:sz w:val="20"/>
          <w:u w:val="single"/>
        </w:rPr>
        <w:t>Onishea</w:t>
      </w:r>
      <w:r>
        <w:rPr>
          <w:rFonts w:ascii="Arial" w:eastAsia="Arial" w:hAnsi="Arial" w:cs="Arial"/>
          <w:color w:val="000000"/>
          <w:sz w:val="20"/>
        </w:rPr>
        <w:t>, 171 F.3d at 1300; 34 C.F.R. § 104.3(l)(3).</w:t>
      </w:r>
    </w:p>
    <w:p w14:paraId="3B8B03B9" w14:textId="77777777" w:rsidR="002D0E71" w:rsidRDefault="00000000">
      <w:pPr>
        <w:pStyle w:val="Normal7"/>
        <w:widowControl w:val="0"/>
        <w:spacing w:before="200" w:line="260" w:lineRule="atLeast"/>
        <w:jc w:val="both"/>
      </w:pPr>
      <w:bookmarkStart w:id="1158" w:name="Bookmark_para_29_4"/>
      <w:bookmarkEnd w:id="1158"/>
      <w:r>
        <w:rPr>
          <w:rFonts w:ascii="Arial" w:eastAsia="Arial" w:hAnsi="Arial" w:cs="Arial"/>
          <w:color w:val="000000"/>
          <w:sz w:val="20"/>
        </w:rPr>
        <w:t xml:space="preserve">Finally, the allegations in the complaint do not establish that Nova refused to accommodate J.A.M.'s needs in a way that amounted to disability discrimination. Nova gave J.A.M. multiple opportunities to complete his coursework in spite of his mental disability. </w:t>
      </w:r>
      <w:bookmarkStart w:id="1159" w:name="Bookmark_I5JNR8FG2SF80K0020000400"/>
      <w:bookmarkEnd w:id="1159"/>
      <w:r>
        <w:rPr>
          <w:rFonts w:ascii="Arial" w:eastAsia="Arial" w:hAnsi="Arial" w:cs="Arial"/>
          <w:color w:val="000000"/>
          <w:sz w:val="20"/>
        </w:rPr>
        <w:t xml:space="preserve">Nova allowed him to take two medical leaves of absence, retake examinations, and even referred him to professionals for treatment. It was not until J.A.M.'s fourth depressive episode in three years that Nova determined that dismissal was appropriate. [**14]  As if it had not done so already, Nova would have needed to make "major adjustments" to its osteopathic medicine program to continue accommodating J.A.M. </w:t>
      </w:r>
      <w:r>
        <w:rPr>
          <w:rFonts w:ascii="Arial" w:eastAsia="Arial" w:hAnsi="Arial" w:cs="Arial"/>
          <w:color w:val="000000"/>
          <w:sz w:val="20"/>
          <w:u w:val="single"/>
        </w:rPr>
        <w:t xml:space="preserve">See </w:t>
      </w:r>
      <w:bookmarkStart w:id="1160" w:name="Bookmark_I5JNR8FG2SF80K0010000400"/>
      <w:bookmarkEnd w:id="1160"/>
      <w:r>
        <w:rPr>
          <w:rFonts w:ascii="Arial" w:eastAsia="Arial" w:hAnsi="Arial" w:cs="Arial"/>
          <w:color w:val="000000"/>
          <w:sz w:val="20"/>
          <w:u w:val="single"/>
        </w:rPr>
        <w:t>Davis</w:t>
      </w:r>
      <w:r>
        <w:rPr>
          <w:rFonts w:ascii="Arial" w:eastAsia="Arial" w:hAnsi="Arial" w:cs="Arial"/>
          <w:color w:val="000000"/>
          <w:sz w:val="20"/>
        </w:rPr>
        <w:t>, 442 U.S. at 413, 99 S. Ct. at 2370. The RA imposes no such obligation and, therefore, Nova did not discriminate against J.A.M. because of his disability.</w:t>
      </w:r>
    </w:p>
    <w:p w14:paraId="5F1AB6DB" w14:textId="77777777" w:rsidR="002D0E71" w:rsidRDefault="00000000">
      <w:pPr>
        <w:pStyle w:val="Normal7"/>
        <w:widowControl w:val="0"/>
        <w:spacing w:before="240" w:line="260" w:lineRule="atLeast"/>
      </w:pPr>
      <w:r>
        <w:br/>
      </w:r>
      <w:r>
        <w:rPr>
          <w:rFonts w:ascii="Arial" w:eastAsia="Arial" w:hAnsi="Arial" w:cs="Arial"/>
          <w:b/>
          <w:color w:val="000000"/>
          <w:sz w:val="20"/>
        </w:rPr>
        <w:t>III. CONCLUSION</w:t>
      </w:r>
    </w:p>
    <w:p w14:paraId="1EE5E9EB" w14:textId="77777777" w:rsidR="002D0E71" w:rsidRDefault="00000000">
      <w:pPr>
        <w:pStyle w:val="Normal7"/>
        <w:widowControl w:val="0"/>
        <w:spacing w:before="200" w:line="260" w:lineRule="atLeast"/>
        <w:jc w:val="both"/>
      </w:pPr>
      <w:bookmarkStart w:id="1161" w:name="Bookmark_para_30_4"/>
      <w:bookmarkEnd w:id="1161"/>
      <w:r>
        <w:rPr>
          <w:rFonts w:ascii="Arial" w:eastAsia="Arial" w:hAnsi="Arial" w:cs="Arial"/>
          <w:color w:val="000000"/>
          <w:sz w:val="20"/>
        </w:rPr>
        <w:t>In light of the foregoing, we affirm the district court's order dismissing Plaintiff J.A.M.'s amended complaint.</w:t>
      </w:r>
    </w:p>
    <w:p w14:paraId="754BA799" w14:textId="77777777" w:rsidR="002D0E71" w:rsidRDefault="00000000">
      <w:pPr>
        <w:pStyle w:val="Normal7"/>
        <w:widowControl w:val="0"/>
        <w:spacing w:before="200" w:line="260" w:lineRule="atLeast"/>
        <w:jc w:val="both"/>
      </w:pPr>
      <w:bookmarkStart w:id="1162" w:name="Bookmark_para_31_4"/>
      <w:bookmarkEnd w:id="1162"/>
      <w:r>
        <w:rPr>
          <w:rFonts w:ascii="Arial" w:eastAsia="Arial" w:hAnsi="Arial" w:cs="Arial"/>
          <w:b/>
          <w:color w:val="000000"/>
          <w:sz w:val="20"/>
        </w:rPr>
        <w:t>AFFIRMED</w:t>
      </w:r>
      <w:r>
        <w:rPr>
          <w:rFonts w:ascii="Arial" w:eastAsia="Arial" w:hAnsi="Arial" w:cs="Arial"/>
          <w:color w:val="000000"/>
          <w:sz w:val="20"/>
        </w:rPr>
        <w:t>.</w:t>
      </w:r>
    </w:p>
    <w:p w14:paraId="72698081" w14:textId="77777777" w:rsidR="002D0E71" w:rsidRDefault="002D0E71">
      <w:pPr>
        <w:pStyle w:val="Normal7"/>
      </w:pPr>
    </w:p>
    <w:p w14:paraId="5473D2AB" w14:textId="4EE358D8" w:rsidR="002D0E71" w:rsidRDefault="00000000">
      <w:pPr>
        <w:pStyle w:val="Normal7"/>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74624" behindDoc="0" locked="0" layoutInCell="1" allowOverlap="1" wp14:anchorId="4B765C91" wp14:editId="11AA5749">
                <wp:simplePos x="0" y="0"/>
                <wp:positionH relativeFrom="column">
                  <wp:posOffset>0</wp:posOffset>
                </wp:positionH>
                <wp:positionV relativeFrom="paragraph">
                  <wp:posOffset>127000</wp:posOffset>
                </wp:positionV>
                <wp:extent cx="6502400" cy="0"/>
                <wp:effectExtent l="9525" t="12700" r="12700" b="6350"/>
                <wp:wrapNone/>
                <wp:docPr id="163501790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6EF519" id="Line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A65C30F" w14:textId="77777777" w:rsidR="002D0E71" w:rsidRDefault="002D0E71">
      <w:pPr>
        <w:pStyle w:val="Normal8"/>
        <w:sectPr w:rsidR="002D0E71">
          <w:headerReference w:type="even" r:id="rId54"/>
          <w:headerReference w:type="default" r:id="rId55"/>
          <w:footerReference w:type="even" r:id="rId56"/>
          <w:footerReference w:type="default" r:id="rId57"/>
          <w:headerReference w:type="first" r:id="rId58"/>
          <w:footerReference w:type="first" r:id="rId59"/>
          <w:pgSz w:w="12240" w:h="15840"/>
          <w:pgMar w:top="840" w:right="1000" w:bottom="840" w:left="1000" w:header="400" w:footer="400" w:gutter="0"/>
          <w:cols w:space="720"/>
          <w:titlePg/>
        </w:sectPr>
      </w:pPr>
    </w:p>
    <w:p w14:paraId="2CF90798" w14:textId="77777777" w:rsidR="002D0E71" w:rsidRDefault="002D0E71">
      <w:pPr>
        <w:pStyle w:val="Normal8"/>
      </w:pPr>
    </w:p>
    <w:p w14:paraId="68A5107B" w14:textId="77777777" w:rsidR="002D0E71" w:rsidRDefault="00000000">
      <w:pPr>
        <w:pStyle w:val="Heading17"/>
        <w:keepNext w:val="0"/>
        <w:widowControl w:val="0"/>
        <w:spacing w:after="200" w:line="340" w:lineRule="atLeast"/>
        <w:jc w:val="center"/>
      </w:pPr>
      <w:r>
        <w:rPr>
          <w:rFonts w:eastAsia="Arial"/>
          <w:color w:val="000000"/>
          <w:sz w:val="28"/>
        </w:rPr>
        <w:t>Hummel v. St. Joseph Cnty. Bd. of Comm'rs</w:t>
      </w:r>
    </w:p>
    <w:p w14:paraId="1F763CB7" w14:textId="77777777" w:rsidR="002D0E71" w:rsidRDefault="00000000">
      <w:pPr>
        <w:pStyle w:val="Normal8"/>
        <w:widowControl w:val="0"/>
        <w:spacing w:before="120" w:line="260" w:lineRule="atLeast"/>
        <w:jc w:val="center"/>
      </w:pPr>
      <w:r>
        <w:rPr>
          <w:rFonts w:ascii="Arial" w:eastAsia="Arial" w:hAnsi="Arial" w:cs="Arial"/>
          <w:color w:val="000000"/>
          <w:sz w:val="20"/>
        </w:rPr>
        <w:t>United States Court of Appeals for the Seventh Circuit</w:t>
      </w:r>
    </w:p>
    <w:p w14:paraId="1603FFE4" w14:textId="77777777" w:rsidR="002D0E71" w:rsidRDefault="00000000">
      <w:pPr>
        <w:pStyle w:val="Normal8"/>
        <w:widowControl w:val="0"/>
        <w:spacing w:before="120" w:line="260" w:lineRule="atLeast"/>
        <w:jc w:val="center"/>
      </w:pPr>
      <w:r>
        <w:rPr>
          <w:rFonts w:ascii="Arial" w:eastAsia="Arial" w:hAnsi="Arial" w:cs="Arial"/>
          <w:color w:val="000000"/>
          <w:sz w:val="20"/>
        </w:rPr>
        <w:t>April 20, 2015, Argued; March 23, 2016, Decided</w:t>
      </w:r>
    </w:p>
    <w:p w14:paraId="327C8547" w14:textId="77777777" w:rsidR="002D0E71" w:rsidRDefault="00000000">
      <w:pPr>
        <w:pStyle w:val="Normal8"/>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14-3284</w:t>
      </w:r>
    </w:p>
    <w:p w14:paraId="6E11B827" w14:textId="77777777" w:rsidR="002D0E71" w:rsidRDefault="002D0E71">
      <w:pPr>
        <w:pStyle w:val="Normal8"/>
        <w:widowControl w:val="0"/>
        <w:spacing w:line="240" w:lineRule="atLeast"/>
        <w:jc w:val="both"/>
      </w:pPr>
      <w:bookmarkStart w:id="1163" w:name="Bookmark_9"/>
      <w:bookmarkEnd w:id="1163"/>
    </w:p>
    <w:p w14:paraId="38D29552" w14:textId="77777777" w:rsidR="002D0E71" w:rsidRDefault="00000000">
      <w:pPr>
        <w:pStyle w:val="Normal8"/>
        <w:widowControl w:val="0"/>
        <w:spacing w:before="200" w:line="240" w:lineRule="atLeast"/>
      </w:pPr>
      <w:bookmarkStart w:id="1164" w:name="Reporter_7"/>
      <w:bookmarkEnd w:id="1164"/>
      <w:r>
        <w:rPr>
          <w:rFonts w:ascii="Arial" w:eastAsia="Arial" w:hAnsi="Arial" w:cs="Arial"/>
          <w:b/>
          <w:color w:val="000000"/>
          <w:sz w:val="18"/>
        </w:rPr>
        <w:t>Reporter</w:t>
      </w:r>
    </w:p>
    <w:p w14:paraId="01B74D06" w14:textId="77777777" w:rsidR="002D0E71" w:rsidRDefault="00000000">
      <w:pPr>
        <w:pStyle w:val="Normal8"/>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817 F.3d 1010 *; 2016 U.S. App. LEXIS 5391 **</w:t>
      </w:r>
    </w:p>
    <w:p w14:paraId="701297AC" w14:textId="77777777" w:rsidR="002D0E71" w:rsidRDefault="00000000">
      <w:pPr>
        <w:pStyle w:val="Normal8"/>
        <w:widowControl w:val="0"/>
        <w:spacing w:before="120" w:line="260" w:lineRule="atLeast"/>
      </w:pPr>
      <w:r>
        <w:rPr>
          <w:rFonts w:ascii="Arial" w:eastAsia="Arial" w:hAnsi="Arial" w:cs="Arial"/>
          <w:color w:val="000000"/>
          <w:sz w:val="20"/>
        </w:rPr>
        <w:t>STEPHEN HUMMEL, et al., Plaintiffs-Appellants, v. ST. JOSEPH COUNTY BOARD OF COMMISSIONERS, et al., Defendants-Appellees.</w:t>
      </w:r>
    </w:p>
    <w:p w14:paraId="1451A00B" w14:textId="77777777" w:rsidR="002D0E71" w:rsidRDefault="00000000">
      <w:pPr>
        <w:pStyle w:val="Normal8"/>
        <w:widowControl w:val="0"/>
        <w:spacing w:before="240" w:line="260" w:lineRule="atLeast"/>
        <w:jc w:val="both"/>
      </w:pPr>
      <w:bookmarkStart w:id="1165" w:name="Prior_History_7"/>
      <w:bookmarkEnd w:id="1165"/>
      <w:r>
        <w:rPr>
          <w:rFonts w:ascii="Arial" w:eastAsia="Arial" w:hAnsi="Arial" w:cs="Arial"/>
          <w:b/>
          <w:color w:val="000000"/>
          <w:sz w:val="20"/>
        </w:rPr>
        <w:t>Prior History:</w:t>
      </w:r>
      <w:r>
        <w:rPr>
          <w:rFonts w:ascii="Arial" w:eastAsia="Arial" w:hAnsi="Arial" w:cs="Arial"/>
          <w:color w:val="000000"/>
          <w:sz w:val="20"/>
        </w:rPr>
        <w:t> </w:t>
      </w:r>
      <w:bookmarkStart w:id="1166" w:name="Bookmark_para_1_7"/>
      <w:bookmarkEnd w:id="1166"/>
      <w:r>
        <w:rPr>
          <w:rFonts w:ascii="Arial" w:eastAsia="Arial" w:hAnsi="Arial" w:cs="Arial"/>
          <w:color w:val="000000"/>
          <w:sz w:val="20"/>
        </w:rPr>
        <w:t> [**1] Appeal from the United States District Court for the Northern District of Indiana, South Bend Division. No. 3:10-CV-003 JD — Jon E. DeGuilio, Judge.</w:t>
      </w:r>
    </w:p>
    <w:p w14:paraId="1A758876" w14:textId="77777777" w:rsidR="002D0E71" w:rsidRDefault="00000000">
      <w:pPr>
        <w:pStyle w:val="Normal8"/>
        <w:widowControl w:val="0"/>
        <w:spacing w:before="120" w:line="260" w:lineRule="atLeast"/>
      </w:pPr>
      <w:r>
        <w:rPr>
          <w:rFonts w:ascii="Arial" w:eastAsia="Arial" w:hAnsi="Arial" w:cs="Arial"/>
          <w:color w:val="000000"/>
          <w:sz w:val="20"/>
        </w:rPr>
        <w:t>Hummel v. St. Joseph Cnty. Bd. of Comm'rs, 57 F. Supp. 3d 902, 2014 U.S. Dist. LEXIS 137042 (N.D. Ind., 2014)</w:t>
      </w:r>
    </w:p>
    <w:p w14:paraId="2A00CEC4" w14:textId="77777777" w:rsidR="002D0E71" w:rsidRDefault="00000000">
      <w:pPr>
        <w:pStyle w:val="Normal8"/>
        <w:widowControl w:val="0"/>
        <w:spacing w:before="240" w:line="260" w:lineRule="atLeast"/>
      </w:pPr>
      <w:bookmarkStart w:id="1167" w:name="Counsel_7"/>
      <w:bookmarkEnd w:id="1167"/>
      <w:r>
        <w:rPr>
          <w:rFonts w:ascii="Arial" w:eastAsia="Arial" w:hAnsi="Arial" w:cs="Arial"/>
          <w:b/>
          <w:color w:val="000000"/>
          <w:sz w:val="20"/>
        </w:rPr>
        <w:t>Counsel:</w:t>
      </w:r>
      <w:r>
        <w:rPr>
          <w:rFonts w:ascii="Arial" w:eastAsia="Arial" w:hAnsi="Arial" w:cs="Arial"/>
          <w:color w:val="000000"/>
          <w:sz w:val="20"/>
        </w:rPr>
        <w:t> For Stephen Hummel, Crystal Wright, Karen Brandy-Comer, Shawna Canarecci, Victoria Means, Plaintiffs - Appellants: Kent L. Hull, Attorney, Hull Law Firm, South Bend, IN.</w:t>
      </w:r>
    </w:p>
    <w:p w14:paraId="7C08FC02" w14:textId="77777777" w:rsidR="002D0E71" w:rsidRDefault="00000000">
      <w:pPr>
        <w:pStyle w:val="Normal8"/>
        <w:widowControl w:val="0"/>
        <w:spacing w:before="120" w:line="260" w:lineRule="atLeast"/>
      </w:pPr>
      <w:r>
        <w:rPr>
          <w:rFonts w:ascii="Arial" w:eastAsia="Arial" w:hAnsi="Arial" w:cs="Arial"/>
          <w:color w:val="000000"/>
          <w:sz w:val="20"/>
        </w:rPr>
        <w:t>For St. Joseph County Board of Commissioners, St. Joseph County Superior Court, Defendants - Appellees: James Francis Groves, Attorney, David Edward Ballard, Attorney, Lee, Groves &amp; Zalas, South Bend, IN.</w:t>
      </w:r>
    </w:p>
    <w:p w14:paraId="7FB8CB83" w14:textId="77777777" w:rsidR="002D0E71" w:rsidRDefault="00000000">
      <w:pPr>
        <w:pStyle w:val="Normal8"/>
        <w:widowControl w:val="0"/>
        <w:spacing w:before="120" w:line="260" w:lineRule="atLeast"/>
      </w:pPr>
      <w:r>
        <w:rPr>
          <w:rFonts w:ascii="Arial" w:eastAsia="Arial" w:hAnsi="Arial" w:cs="Arial"/>
          <w:color w:val="000000"/>
          <w:sz w:val="20"/>
        </w:rPr>
        <w:t>For City of South Bend, Defendant - Appellee: Aladean M. DeRose, Attorney, City of South Bend Legal Department, South Bend, IN.</w:t>
      </w:r>
    </w:p>
    <w:p w14:paraId="6F646B48" w14:textId="77777777" w:rsidR="002D0E71" w:rsidRDefault="00000000">
      <w:pPr>
        <w:pStyle w:val="Normal8"/>
        <w:widowControl w:val="0"/>
        <w:spacing w:before="240" w:line="260" w:lineRule="atLeast"/>
      </w:pPr>
      <w:bookmarkStart w:id="1168" w:name="Judges_7"/>
      <w:bookmarkEnd w:id="1168"/>
      <w:r>
        <w:rPr>
          <w:rFonts w:ascii="Arial" w:eastAsia="Arial" w:hAnsi="Arial" w:cs="Arial"/>
          <w:b/>
          <w:color w:val="000000"/>
          <w:sz w:val="20"/>
        </w:rPr>
        <w:t>Judges:</w:t>
      </w:r>
      <w:r>
        <w:rPr>
          <w:rFonts w:ascii="Arial" w:eastAsia="Arial" w:hAnsi="Arial" w:cs="Arial"/>
          <w:color w:val="000000"/>
          <w:sz w:val="20"/>
        </w:rPr>
        <w:t> Before WOOD, Chief Judge, HAMILTON, Circuit Judge, and DARRAH, District Judge</w:t>
      </w:r>
      <w:r>
        <w:rPr>
          <w:rFonts w:ascii="Arial" w:eastAsia="Arial" w:hAnsi="Arial" w:cs="Arial"/>
          <w:vertAlign w:val="superscript"/>
        </w:rPr>
        <w:footnoteReference w:customMarkFollows="1" w:id="24"/>
        <w:t>*</w:t>
      </w:r>
      <w:r>
        <w:rPr>
          <w:rFonts w:ascii="Arial" w:eastAsia="Arial" w:hAnsi="Arial" w:cs="Arial"/>
          <w:color w:val="000000"/>
          <w:sz w:val="20"/>
        </w:rPr>
        <w:t>.</w:t>
      </w:r>
    </w:p>
    <w:p w14:paraId="7A748B62" w14:textId="77777777" w:rsidR="002D0E71" w:rsidRDefault="00000000">
      <w:pPr>
        <w:pStyle w:val="Normal8"/>
        <w:widowControl w:val="0"/>
        <w:spacing w:before="240" w:line="260" w:lineRule="atLeast"/>
      </w:pPr>
      <w:bookmarkStart w:id="1170" w:name="Opinion_by_5"/>
      <w:bookmarkEnd w:id="1170"/>
      <w:r>
        <w:rPr>
          <w:rFonts w:ascii="Arial" w:eastAsia="Arial" w:hAnsi="Arial" w:cs="Arial"/>
          <w:b/>
          <w:color w:val="000000"/>
          <w:sz w:val="20"/>
        </w:rPr>
        <w:t>Opinion by:</w:t>
      </w:r>
      <w:r>
        <w:rPr>
          <w:rFonts w:ascii="Arial" w:eastAsia="Arial" w:hAnsi="Arial" w:cs="Arial"/>
          <w:color w:val="000000"/>
          <w:sz w:val="20"/>
        </w:rPr>
        <w:t> HAMILTON</w:t>
      </w:r>
    </w:p>
    <w:p w14:paraId="641433E6" w14:textId="77777777" w:rsidR="002D0E71" w:rsidRDefault="00000000">
      <w:pPr>
        <w:pStyle w:val="Normal8"/>
        <w:keepNext/>
        <w:widowControl w:val="0"/>
        <w:spacing w:before="240" w:line="340" w:lineRule="atLeast"/>
      </w:pPr>
      <w:bookmarkStart w:id="1171" w:name="Opinion_7"/>
      <w:bookmarkEnd w:id="1171"/>
      <w:r>
        <w:rPr>
          <w:rFonts w:ascii="Arial" w:eastAsia="Arial" w:hAnsi="Arial" w:cs="Arial"/>
          <w:b/>
          <w:color w:val="000000"/>
          <w:sz w:val="28"/>
        </w:rPr>
        <w:t>Opinion</w:t>
      </w:r>
    </w:p>
    <w:p w14:paraId="7617DDC9" w14:textId="3AFA3891" w:rsidR="002D0E71" w:rsidRDefault="002939DF">
      <w:pPr>
        <w:pStyle w:val="Normal8"/>
        <w:spacing w:line="60" w:lineRule="exact"/>
      </w:pPr>
      <w:r>
        <w:rPr>
          <w:noProof/>
        </w:rPr>
        <mc:AlternateContent>
          <mc:Choice Requires="wps">
            <w:drawing>
              <wp:anchor distT="0" distB="0" distL="114300" distR="114300" simplePos="0" relativeHeight="251675648" behindDoc="0" locked="0" layoutInCell="1" allowOverlap="1" wp14:anchorId="16CA1127" wp14:editId="07289574">
                <wp:simplePos x="0" y="0"/>
                <wp:positionH relativeFrom="column">
                  <wp:posOffset>0</wp:posOffset>
                </wp:positionH>
                <wp:positionV relativeFrom="paragraph">
                  <wp:posOffset>25400</wp:posOffset>
                </wp:positionV>
                <wp:extent cx="3187700" cy="0"/>
                <wp:effectExtent l="19050" t="15875" r="12700" b="12700"/>
                <wp:wrapTopAndBottom/>
                <wp:docPr id="1133993708"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5E39AE" id="Line 1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CA4630E" w14:textId="77777777" w:rsidR="002D0E71" w:rsidRDefault="002D0E71">
      <w:pPr>
        <w:pStyle w:val="Normal8"/>
      </w:pPr>
    </w:p>
    <w:p w14:paraId="1978CD74" w14:textId="77777777" w:rsidR="002D0E71" w:rsidRDefault="00000000">
      <w:pPr>
        <w:pStyle w:val="Normal8"/>
        <w:widowControl w:val="0"/>
        <w:spacing w:before="200" w:line="260" w:lineRule="atLeast"/>
        <w:jc w:val="both"/>
      </w:pPr>
      <w:bookmarkStart w:id="1172" w:name="Bookmark_para_2_7"/>
      <w:bookmarkEnd w:id="1172"/>
      <w:r>
        <w:rPr>
          <w:rFonts w:ascii="Arial" w:eastAsia="Arial" w:hAnsi="Arial" w:cs="Arial"/>
          <w:color w:val="000000"/>
          <w:sz w:val="20"/>
        </w:rPr>
        <w:t xml:space="preserve"> [*1013]  </w:t>
      </w:r>
      <w:r>
        <w:rPr>
          <w:rFonts w:ascii="Arial" w:eastAsia="Arial" w:hAnsi="Arial" w:cs="Arial"/>
          <w:smallCaps/>
          <w:color w:val="000000"/>
          <w:sz w:val="20"/>
        </w:rPr>
        <w:t>Hamilton</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 This appeal arises from a broad challenge to the accessibility of state court facilities in St. Joseph County, Indiana, for individuals with disabilities. Over the years of this lawsuit, some plaintiffs who were formerly litigating cases in the state court facilities have stopped doing so. Some plaintiffs have died. Others [**2]  have dropped their claims. The lawsuit also seems to have prompted physical changes to the main courthouse and to the state court's policies.</w:t>
      </w:r>
    </w:p>
    <w:p w14:paraId="4A6EABEA" w14:textId="77777777" w:rsidR="002D0E71" w:rsidRDefault="00000000">
      <w:pPr>
        <w:pStyle w:val="Normal8"/>
        <w:widowControl w:val="0"/>
        <w:spacing w:before="200" w:line="260" w:lineRule="atLeast"/>
        <w:jc w:val="both"/>
      </w:pPr>
      <w:bookmarkStart w:id="1173" w:name="Bookmark_para_3_7"/>
      <w:bookmarkEnd w:id="1173"/>
      <w:r>
        <w:rPr>
          <w:rFonts w:ascii="Arial" w:eastAsia="Arial" w:hAnsi="Arial" w:cs="Arial"/>
          <w:color w:val="000000"/>
          <w:sz w:val="20"/>
        </w:rPr>
        <w:t>In 2014, the district court granted summary judgment for the defendants on all then-remaining claims. Plaintiffs have appealed. We affirm, not for any single, central reason, but for different reasons for the numerous claims. Plaintiffs lack standing to sue for some of their claims. They failed to present evidence sufficient to raise genuine disputes of material fact on other claims. Plaintiffs' strongest claim was that courthouse restrooms were inaccessible. The courthouse has since been remodeled to become more accessible, so that claim is moot.</w:t>
      </w:r>
    </w:p>
    <w:p w14:paraId="12C60282" w14:textId="77777777" w:rsidR="002D0E71" w:rsidRDefault="00000000">
      <w:pPr>
        <w:pStyle w:val="Normal8"/>
        <w:widowControl w:val="0"/>
        <w:spacing w:before="200" w:line="260" w:lineRule="atLeast"/>
        <w:jc w:val="both"/>
      </w:pPr>
      <w:bookmarkStart w:id="1174" w:name="Bookmark_para_4_7"/>
      <w:bookmarkEnd w:id="1174"/>
      <w:r>
        <w:rPr>
          <w:rFonts w:ascii="Arial" w:eastAsia="Arial" w:hAnsi="Arial" w:cs="Arial"/>
          <w:color w:val="000000"/>
          <w:sz w:val="20"/>
        </w:rPr>
        <w:t>We do not hold that the St. Joseph County courts are fully compliant with the Americans with Disabilities Act ("ADA") and the Rehabilitation Act. Rather, we hold only that these plaintiffs have failed to present evidence sufficient to survive defendants' motion for summary judgment on the specific claims before the district court. We express no opinion regarding any possible future claims involving courthouse accessibility. If, in the future, individuals with disabilities experience problems with access [**3]  to the St. Joseph County courts, their claims will need to be decided on a fresh record.</w:t>
      </w:r>
    </w:p>
    <w:p w14:paraId="515AE82D" w14:textId="77777777" w:rsidR="002D0E71" w:rsidRDefault="00000000">
      <w:pPr>
        <w:pStyle w:val="Normal8"/>
        <w:widowControl w:val="0"/>
        <w:spacing w:before="240" w:line="260" w:lineRule="atLeast"/>
      </w:pPr>
      <w:r>
        <w:br/>
      </w:r>
      <w:r>
        <w:rPr>
          <w:rFonts w:ascii="Arial" w:eastAsia="Arial" w:hAnsi="Arial" w:cs="Arial"/>
          <w:color w:val="000000"/>
          <w:sz w:val="20"/>
        </w:rPr>
        <w:t xml:space="preserve"> [*1014]  I. </w:t>
      </w:r>
      <w:r>
        <w:rPr>
          <w:rFonts w:ascii="Arial" w:eastAsia="Arial" w:hAnsi="Arial" w:cs="Arial"/>
          <w:i/>
          <w:color w:val="000000"/>
          <w:sz w:val="20"/>
        </w:rPr>
        <w:t>Factual and Procedural Background</w:t>
      </w:r>
    </w:p>
    <w:p w14:paraId="2789F3F8" w14:textId="77777777" w:rsidR="002D0E71" w:rsidRDefault="00000000">
      <w:pPr>
        <w:pStyle w:val="Normal8"/>
        <w:widowControl w:val="0"/>
        <w:spacing w:before="200" w:line="260" w:lineRule="atLeast"/>
        <w:jc w:val="both"/>
      </w:pPr>
      <w:bookmarkStart w:id="1175" w:name="Bookmark_para_5_7"/>
      <w:bookmarkEnd w:id="1175"/>
      <w:r>
        <w:rPr>
          <w:rFonts w:ascii="Arial" w:eastAsia="Arial" w:hAnsi="Arial" w:cs="Arial"/>
          <w:color w:val="000000"/>
          <w:sz w:val="20"/>
        </w:rPr>
        <w:t>In January 2010, four plaintiffs—Victoria Means, Tonia Matney, Stephen Hummel, and Margaret Hummel—sued the St. Joseph County Board of Commissioners and the City of South Bend. Plaintiffs were all individuals with disabilities, and all alleged that they had cases pending in state courts in St. Joseph County. Plaintiffs Means and Matney, who have both since died, used wheelchairs, and Matney had limited vision. Plaintiff Stephen Hummel has limited physical mobility as a result of a stroke. His wife, plaintiff Margaret Hummel, who has since died, had limited physical stamina and ability to walk. Plaintiffs have been represented throughout this case by the same attorney, who is also an individual with a disability and uses a wheelchair.</w:t>
      </w:r>
    </w:p>
    <w:p w14:paraId="726140F7" w14:textId="77777777" w:rsidR="002D0E71" w:rsidRDefault="00000000">
      <w:pPr>
        <w:pStyle w:val="Normal8"/>
        <w:widowControl w:val="0"/>
        <w:spacing w:before="200" w:line="260" w:lineRule="atLeast"/>
        <w:jc w:val="both"/>
      </w:pPr>
      <w:bookmarkStart w:id="1176" w:name="Bookmark_para_6_7"/>
      <w:bookmarkEnd w:id="1176"/>
      <w:r>
        <w:rPr>
          <w:rFonts w:ascii="Arial" w:eastAsia="Arial" w:hAnsi="Arial" w:cs="Arial"/>
          <w:color w:val="000000"/>
          <w:sz w:val="20"/>
        </w:rPr>
        <w:t>Plaintiffs sought both injunctive relief and damages, alleging that the St. Joseph County Courthouse in South Bend and the Mishawaka County Services Building (the "Mishawaka Courthouse") did not comply with federal rules ensuring accessibility for individuals using wheelchairs, in violation of the ADA and the Rehabilitation Act.</w:t>
      </w:r>
      <w:r>
        <w:rPr>
          <w:rFonts w:ascii="Arial" w:eastAsia="Arial" w:hAnsi="Arial" w:cs="Arial"/>
          <w:vertAlign w:val="superscript"/>
        </w:rPr>
        <w:footnoteReference w:customMarkFollows="1" w:id="25"/>
        <w:t>1</w:t>
      </w:r>
      <w:r>
        <w:rPr>
          <w:rFonts w:ascii="Arial" w:eastAsia="Arial" w:hAnsi="Arial" w:cs="Arial"/>
          <w:color w:val="000000"/>
          <w:sz w:val="20"/>
        </w:rPr>
        <w:t xml:space="preserve"> The [**4]  county operates both buildings, so the claims regarding the accessibility of the actual courthouse buildings were against St. Joseph County. In particular, plaintiffs explained that the courtrooms in the St. Joseph County Courthouse and the Mishawaka Courthouse failed to meet federal accessibility standards with respect to restrooms, elevators, witness stands, jury boxes, jury deliberation rooms, attorney podiums, spectator seating, entrance ramps, clerk counters, services for the blind, and water fountains.</w:t>
      </w:r>
    </w:p>
    <w:p w14:paraId="180635B3" w14:textId="77777777" w:rsidR="002D0E71" w:rsidRDefault="00000000">
      <w:pPr>
        <w:pStyle w:val="Normal8"/>
        <w:widowControl w:val="0"/>
        <w:spacing w:before="200" w:line="260" w:lineRule="atLeast"/>
        <w:jc w:val="both"/>
      </w:pPr>
      <w:bookmarkStart w:id="1178" w:name="Bookmark_para_7_7"/>
      <w:bookmarkEnd w:id="1178"/>
      <w:r>
        <w:rPr>
          <w:rFonts w:ascii="Arial" w:eastAsia="Arial" w:hAnsi="Arial" w:cs="Arial"/>
          <w:color w:val="000000"/>
          <w:sz w:val="20"/>
        </w:rPr>
        <w:t>Plaintiffs also alleged that parking around the St. Joseph County Courthouse in South Bend is not accessible to them, especially in inclement weather. They brought this claim against the city, which operates the parking near the courthouse and the snow removal services. The city was not a defendant on any claims relating to the Mishawaka Courthouse.</w:t>
      </w:r>
    </w:p>
    <w:p w14:paraId="4146D225" w14:textId="77777777" w:rsidR="002D0E71" w:rsidRDefault="00000000">
      <w:pPr>
        <w:pStyle w:val="Normal8"/>
        <w:widowControl w:val="0"/>
        <w:spacing w:before="200" w:line="260" w:lineRule="atLeast"/>
        <w:jc w:val="both"/>
      </w:pPr>
      <w:bookmarkStart w:id="1179" w:name="Bookmark_para_8_7"/>
      <w:bookmarkEnd w:id="1179"/>
      <w:r>
        <w:rPr>
          <w:rFonts w:ascii="Arial" w:eastAsia="Arial" w:hAnsi="Arial" w:cs="Arial"/>
          <w:color w:val="000000"/>
          <w:sz w:val="20"/>
        </w:rPr>
        <w:t>On September 16, 2011, the district court granted in part a motion to dismiss, concluding that none of the original plaintiffs had standing to seek injunctive relief against the county because none of them [**5]  had cases pending in the St. Joseph County courts. Plaintiffs then amended their complaint to add five plaintiffs with then-pending state court cases: Crystal Wright, Karen Brandy-Comer, Shawna Canarecci, Michael Ramos, and Erica Bishop. Wright, Brandy-Comer, and Ramos were also individuals with disabilities caused by mobility impairments. Canarecci and Bishop, by contrast, sought relief on the basis of their representation by an attorney with a disability (the same who represented the original four plaintiffs).</w:t>
      </w:r>
    </w:p>
    <w:p w14:paraId="54F89F2B" w14:textId="77777777" w:rsidR="002D0E71" w:rsidRDefault="00000000">
      <w:pPr>
        <w:pStyle w:val="Normal8"/>
        <w:widowControl w:val="0"/>
        <w:spacing w:before="200" w:line="260" w:lineRule="atLeast"/>
        <w:jc w:val="both"/>
      </w:pPr>
      <w:bookmarkStart w:id="1180" w:name="Bookmark_para_9_7"/>
      <w:bookmarkEnd w:id="1180"/>
      <w:r>
        <w:rPr>
          <w:rFonts w:ascii="Arial" w:eastAsia="Arial" w:hAnsi="Arial" w:cs="Arial"/>
          <w:color w:val="000000"/>
          <w:sz w:val="20"/>
        </w:rPr>
        <w:t>On March 4, 2013, the district court denied plaintiffs' request for a preliminary injunction ordering the defendants to make the desired changes to the St. Joseph County Courthouse. At some point after the preliminary injunction hearing, though, defendants remodeled the St. Joseph County Courthouse restrooms, which plaintiffs agree are now accessible.</w:t>
      </w:r>
    </w:p>
    <w:p w14:paraId="60FF2AA2" w14:textId="77777777" w:rsidR="002D0E71" w:rsidRDefault="00000000">
      <w:pPr>
        <w:pStyle w:val="Normal8"/>
        <w:widowControl w:val="0"/>
        <w:spacing w:before="200" w:line="260" w:lineRule="atLeast"/>
        <w:jc w:val="both"/>
      </w:pPr>
      <w:bookmarkStart w:id="1181" w:name="Bookmark_para_10_7"/>
      <w:bookmarkEnd w:id="1181"/>
      <w:r>
        <w:rPr>
          <w:rFonts w:ascii="Arial" w:eastAsia="Arial" w:hAnsi="Arial" w:cs="Arial"/>
          <w:color w:val="000000"/>
          <w:sz w:val="20"/>
        </w:rPr>
        <w:t>In December 2013, the county and city moved for summary judgment on all remaining claims, presenting evidence that their facilities complied with the federal statutes. Plaintiffs offered little evidence to rebut the evidence defendants presented. But plaintiffs filed a cross-motion for partial summary judgment seeking a declaratory [**6]  judgment and a permanent injunction requiring the county to keep in  [*1015]  place the ADA-compliant restrooms it had installed and to enforce one state court judge's policy that she would accommodate individuals with disabilities by transferring their cases to another courtroom.</w:t>
      </w:r>
    </w:p>
    <w:p w14:paraId="381365EA" w14:textId="77777777" w:rsidR="002D0E71" w:rsidRDefault="00000000">
      <w:pPr>
        <w:pStyle w:val="Normal8"/>
        <w:widowControl w:val="0"/>
        <w:spacing w:before="200" w:line="260" w:lineRule="atLeast"/>
        <w:jc w:val="both"/>
      </w:pPr>
      <w:bookmarkStart w:id="1182" w:name="Bookmark_para_11_7"/>
      <w:bookmarkEnd w:id="1182"/>
      <w:r>
        <w:rPr>
          <w:rFonts w:ascii="Arial" w:eastAsia="Arial" w:hAnsi="Arial" w:cs="Arial"/>
          <w:color w:val="000000"/>
          <w:sz w:val="20"/>
        </w:rPr>
        <w:t>By the time of the summary judgment motions, three of the original plaintiffs—Victoria Means, Tonia Matney, and Margaret Hummel—had passed away. Still, claims remained against the city and county for both damages and injunctive relief. Two plaintiffs, Wright and Brandy-Comer, had pending litigation in the St. Joseph Superior Court. Two other plaintiffs, Bishop and Canarecci, sued based on their representation by a disabled lawyer. Plaintiff Ramos's case had been pending in the St. Joseph Superior Court but had been dismissed without prejudice in 2014 before the district court's grant of summary judgment. He nevertheless asserted his claims against defendants when the district court took up the motions for summary judgment.</w:t>
      </w:r>
    </w:p>
    <w:p w14:paraId="5B398C69" w14:textId="77777777" w:rsidR="002D0E71" w:rsidRDefault="00000000">
      <w:pPr>
        <w:pStyle w:val="Normal8"/>
        <w:widowControl w:val="0"/>
        <w:spacing w:before="200" w:line="260" w:lineRule="atLeast"/>
        <w:jc w:val="both"/>
      </w:pPr>
      <w:bookmarkStart w:id="1183" w:name="Bookmark_para_12_7"/>
      <w:bookmarkEnd w:id="1183"/>
      <w:r>
        <w:rPr>
          <w:rFonts w:ascii="Arial" w:eastAsia="Arial" w:hAnsi="Arial" w:cs="Arial"/>
          <w:color w:val="000000"/>
          <w:sz w:val="20"/>
        </w:rPr>
        <w:t>The district court granted defendants' motion for summary judgment. Many claims failed for lack of standing. The district court dismissed the claims of the two non-disabled plaintiffs represented by [**7]  a disabled lawyer, saying broadly that Title II of the ADA did not provide for "associational" standing. The court dismissed Ramos's injunctive claims against the county for lack of standing because his case had ended. The court also dismissed Ramos's claims against the city for lack of standing because the Mishawaka Courthouse, where his case had been heard, is not located in the City of South Bend. The court held that Wright and Brandy-Comer, the two disabled plaintiffs with claims then pending at the St. Joseph County Courthouse, lacked standing to proceed with claims against the city for parking accessibility and snow removal practices. The court found no evidence that they had suffered past injuries that would support standing for damages, and that the prospect of future injury was too speculative to support an injunction.</w:t>
      </w:r>
    </w:p>
    <w:p w14:paraId="49CC8025" w14:textId="77777777" w:rsidR="002D0E71" w:rsidRDefault="00000000">
      <w:pPr>
        <w:pStyle w:val="Normal8"/>
        <w:widowControl w:val="0"/>
        <w:spacing w:before="200" w:line="260" w:lineRule="atLeast"/>
        <w:jc w:val="both"/>
      </w:pPr>
      <w:bookmarkStart w:id="1184" w:name="Bookmark_para_13_7"/>
      <w:bookmarkEnd w:id="1184"/>
      <w:r>
        <w:rPr>
          <w:rFonts w:ascii="Arial" w:eastAsia="Arial" w:hAnsi="Arial" w:cs="Arial"/>
          <w:color w:val="000000"/>
          <w:sz w:val="20"/>
        </w:rPr>
        <w:t>With those rulings, what remained were damages claims relating to the two courthouses—St. Joseph County and Mishawaka—and injunctive claims relating to the St. Joseph County Courthouse. The district court disposed of those primarily through summary judgment on the merits for defendants. Regarding damages, the court held that there was no evidence that any of [**8]  the remaining plaintiffs had been injured by any past inaccessibility at either courthouse. Regarding injunctive relief, the court found no evidence that the courthouse buildings remained inaccessible. The court also found that plaintiffs did not have standing to challenge the accessibility of the jury facilities because any injury would be too speculative, and that any challenges to the restrooms were mooted by remodeling that had been done since the beginning of the lawsuit.</w:t>
      </w:r>
    </w:p>
    <w:p w14:paraId="455CE9C7" w14:textId="77777777" w:rsidR="002D0E71" w:rsidRDefault="00000000">
      <w:pPr>
        <w:pStyle w:val="Normal8"/>
        <w:widowControl w:val="0"/>
        <w:spacing w:before="200" w:line="260" w:lineRule="atLeast"/>
        <w:jc w:val="both"/>
      </w:pPr>
      <w:bookmarkStart w:id="1185" w:name="Bookmark_para_14_7"/>
      <w:bookmarkEnd w:id="1185"/>
      <w:r>
        <w:rPr>
          <w:rFonts w:ascii="Arial" w:eastAsia="Arial" w:hAnsi="Arial" w:cs="Arial"/>
          <w:color w:val="000000"/>
          <w:sz w:val="20"/>
        </w:rPr>
        <w:t>The district court denied plaintiffs' motion for summary judgment, noting that plaintiffs had no remaining underlying claims following summary judgment for the defendants, and, regarding the restrooms, the county was unlikely to revert to inaccessible restrooms after remodeling to create accessible ones.</w:t>
      </w:r>
    </w:p>
    <w:p w14:paraId="18814512" w14:textId="77777777" w:rsidR="002D0E71" w:rsidRDefault="00000000">
      <w:pPr>
        <w:pStyle w:val="Normal8"/>
        <w:widowControl w:val="0"/>
        <w:spacing w:before="120" w:line="260" w:lineRule="atLeast"/>
      </w:pPr>
      <w:r>
        <w:rPr>
          <w:rFonts w:ascii="Arial" w:eastAsia="Arial" w:hAnsi="Arial" w:cs="Arial"/>
          <w:color w:val="000000"/>
          <w:sz w:val="20"/>
        </w:rPr>
        <w:t xml:space="preserve">II. </w:t>
      </w:r>
      <w:r>
        <w:rPr>
          <w:rFonts w:ascii="Arial" w:eastAsia="Arial" w:hAnsi="Arial" w:cs="Arial"/>
          <w:i/>
          <w:color w:val="000000"/>
          <w:sz w:val="20"/>
        </w:rPr>
        <w:t>Legal Standards</w:t>
      </w:r>
    </w:p>
    <w:p w14:paraId="32438BD9" w14:textId="77777777" w:rsidR="002D0E71" w:rsidRDefault="00000000">
      <w:pPr>
        <w:pStyle w:val="Normal8"/>
        <w:widowControl w:val="0"/>
        <w:spacing w:before="200" w:line="260" w:lineRule="atLeast"/>
        <w:jc w:val="both"/>
      </w:pPr>
      <w:bookmarkStart w:id="1186" w:name="Bookmark_para_15_7"/>
      <w:bookmarkStart w:id="1187" w:name="Bookmark_I5JJRVX32SF7X00020000400"/>
      <w:bookmarkEnd w:id="1186"/>
      <w:bookmarkEnd w:id="1187"/>
      <w:r>
        <w:rPr>
          <w:rFonts w:ascii="Arial" w:eastAsia="Arial" w:hAnsi="Arial" w:cs="Arial"/>
          <w:color w:val="000000"/>
          <w:sz w:val="20"/>
        </w:rPr>
        <w:t xml:space="preserve">Plaintiffs appeal as to both their standing to sue and the merits of their claims. Since all issues were decided on summary judgment, we review </w:t>
      </w:r>
      <w:r>
        <w:rPr>
          <w:rFonts w:ascii="Arial" w:eastAsia="Arial" w:hAnsi="Arial" w:cs="Arial"/>
          <w:i/>
          <w:color w:val="000000"/>
          <w:sz w:val="20"/>
        </w:rPr>
        <w:t>de novo</w:t>
      </w:r>
      <w:r>
        <w:rPr>
          <w:rFonts w:ascii="Arial" w:eastAsia="Arial" w:hAnsi="Arial" w:cs="Arial"/>
          <w:color w:val="000000"/>
          <w:sz w:val="20"/>
        </w:rPr>
        <w:t xml:space="preserve"> questions of both standing and the merits. See </w:t>
      </w:r>
      <w:bookmarkStart w:id="1188" w:name="Bookmark_I5JJRVX32SF7X00010000400"/>
      <w:bookmarkEnd w:id="1188"/>
      <w:r>
        <w:rPr>
          <w:rFonts w:ascii="Arial" w:eastAsia="Arial" w:hAnsi="Arial" w:cs="Arial"/>
          <w:i/>
          <w:color w:val="000000"/>
          <w:sz w:val="20"/>
        </w:rPr>
        <w:t>Rawoof v. Texor Petroleum Co.</w:t>
      </w:r>
      <w:r>
        <w:rPr>
          <w:rFonts w:ascii="Arial" w:eastAsia="Arial" w:hAnsi="Arial" w:cs="Arial"/>
          <w:color w:val="000000"/>
          <w:sz w:val="20"/>
        </w:rPr>
        <w:t xml:space="preserve">, 521 F.3d 750, 755 (7th Cir. 2008). </w:t>
      </w:r>
      <w:bookmarkStart w:id="1189" w:name="Bookmark_I0BH7BCJ2MY000VXMJ00032Y"/>
      <w:bookmarkStart w:id="1190" w:name="Bookmark_I5JJRVX32SF7X00040000400"/>
      <w:bookmarkStart w:id="1191" w:name="Bookmark_LNHNREFclscc1_6"/>
      <w:bookmarkEnd w:id="1189"/>
      <w:bookmarkEnd w:id="1190"/>
      <w:bookmarkEnd w:id="1191"/>
      <w:r>
        <w:rPr>
          <w:rFonts w:ascii="Arial" w:eastAsia="Arial" w:hAnsi="Arial" w:cs="Arial"/>
          <w:color w:val="000000"/>
          <w:sz w:val="20"/>
        </w:rPr>
        <w:t xml:space="preserve">A moving party is entitled to summary judgment if it can show "that there is no genuine dispute as to any material fact and the movant is entitled to judgment as a matter of law."  [*1016]  Fed. R. Civ. P. 56(a). The moving party [**9]  has the burden of either: (1) showing that there is an absence of evidence supporting an essential element of the non-moving party's claim; or (2) presenting affirmative evidence that negates an essential element of the non-moving party's claim. E.g., </w:t>
      </w:r>
      <w:bookmarkStart w:id="1192" w:name="Bookmark_I5JJRVX32SF7X00030000400"/>
      <w:bookmarkEnd w:id="1192"/>
      <w:r>
        <w:rPr>
          <w:rFonts w:ascii="Arial" w:eastAsia="Arial" w:hAnsi="Arial" w:cs="Arial"/>
          <w:i/>
          <w:color w:val="000000"/>
          <w:sz w:val="20"/>
        </w:rPr>
        <w:t>Modrowski v. Pigatto</w:t>
      </w:r>
      <w:r>
        <w:rPr>
          <w:rFonts w:ascii="Arial" w:eastAsia="Arial" w:hAnsi="Arial" w:cs="Arial"/>
          <w:color w:val="000000"/>
          <w:sz w:val="20"/>
        </w:rPr>
        <w:t>, 712 F.3d 1166, 1169 (7th Cir. 2013).</w:t>
      </w:r>
    </w:p>
    <w:p w14:paraId="6458C22C" w14:textId="77777777" w:rsidR="002D0E71" w:rsidRDefault="00000000">
      <w:pPr>
        <w:pStyle w:val="Normal8"/>
        <w:widowControl w:val="0"/>
        <w:spacing w:before="200" w:line="260" w:lineRule="atLeast"/>
        <w:jc w:val="both"/>
      </w:pPr>
      <w:bookmarkStart w:id="1193" w:name="Bookmark_para_16_7"/>
      <w:bookmarkStart w:id="1194" w:name="Bookmark_I5JJRVX328T44V0010000400"/>
      <w:bookmarkStart w:id="1195" w:name="Bookmark_I5JJRVX328T44V0030000400"/>
      <w:bookmarkEnd w:id="1193"/>
      <w:bookmarkEnd w:id="1194"/>
      <w:bookmarkEnd w:id="1195"/>
      <w:r>
        <w:rPr>
          <w:rFonts w:ascii="Arial" w:eastAsia="Arial" w:hAnsi="Arial" w:cs="Arial"/>
          <w:color w:val="000000"/>
          <w:sz w:val="20"/>
        </w:rPr>
        <w:t xml:space="preserve">If the moving party takes the former approach, the nonmoving party must respond by offering evidence that would allow a reasonable trier of fact to find in that party's favor on the issue. </w:t>
      </w:r>
      <w:bookmarkStart w:id="1196" w:name="Bookmark_I5JJRVX32SF7X00050000400"/>
      <w:bookmarkEnd w:id="1196"/>
      <w:r>
        <w:rPr>
          <w:rFonts w:ascii="Arial" w:eastAsia="Arial" w:hAnsi="Arial" w:cs="Arial"/>
          <w:i/>
          <w:color w:val="000000"/>
          <w:sz w:val="20"/>
        </w:rPr>
        <w:t>Id.</w:t>
      </w:r>
      <w:r>
        <w:rPr>
          <w:rFonts w:ascii="Arial" w:eastAsia="Arial" w:hAnsi="Arial" w:cs="Arial"/>
          <w:color w:val="000000"/>
          <w:sz w:val="20"/>
        </w:rPr>
        <w:t xml:space="preserve"> at 1168-69. The non-moving party "need not depose her own witnesses or produce evidence in a form that would be admissible at trial, but she must 'go beyond the pleadings' (</w:t>
      </w:r>
      <w:r>
        <w:rPr>
          <w:rFonts w:ascii="Arial" w:eastAsia="Arial" w:hAnsi="Arial" w:cs="Arial"/>
          <w:i/>
          <w:color w:val="000000"/>
          <w:sz w:val="20"/>
        </w:rPr>
        <w:t>e.g.</w:t>
      </w:r>
      <w:r>
        <w:rPr>
          <w:rFonts w:ascii="Arial" w:eastAsia="Arial" w:hAnsi="Arial" w:cs="Arial"/>
          <w:color w:val="000000"/>
          <w:sz w:val="20"/>
        </w:rPr>
        <w:t xml:space="preserve">, produce affidavits, depositions, answers to interrogatories, or admissions on file)." </w:t>
      </w:r>
      <w:r>
        <w:rPr>
          <w:rFonts w:ascii="Arial" w:eastAsia="Arial" w:hAnsi="Arial" w:cs="Arial"/>
          <w:i/>
          <w:color w:val="000000"/>
          <w:sz w:val="20"/>
        </w:rPr>
        <w:t>Id.</w:t>
      </w:r>
      <w:r>
        <w:rPr>
          <w:rFonts w:ascii="Arial" w:eastAsia="Arial" w:hAnsi="Arial" w:cs="Arial"/>
          <w:color w:val="000000"/>
          <w:sz w:val="20"/>
        </w:rPr>
        <w:t xml:space="preserve">, quoting </w:t>
      </w:r>
      <w:bookmarkStart w:id="1197" w:name="Bookmark_I5JJRVX328T44V0020000400"/>
      <w:bookmarkEnd w:id="1197"/>
      <w:r>
        <w:rPr>
          <w:rFonts w:ascii="Arial" w:eastAsia="Arial" w:hAnsi="Arial" w:cs="Arial"/>
          <w:i/>
          <w:color w:val="000000"/>
          <w:sz w:val="20"/>
        </w:rPr>
        <w:t>Celotex Corp. v. Catrett</w:t>
      </w:r>
      <w:r>
        <w:rPr>
          <w:rFonts w:ascii="Arial" w:eastAsia="Arial" w:hAnsi="Arial" w:cs="Arial"/>
          <w:color w:val="000000"/>
          <w:sz w:val="20"/>
        </w:rPr>
        <w:t>, 477 U.S. 317, 324, 106 S. Ct. 2548, 91 L. Ed. 2d 265 (1986).</w:t>
      </w:r>
    </w:p>
    <w:p w14:paraId="3C1DF09F" w14:textId="77777777" w:rsidR="002D0E71" w:rsidRDefault="00000000">
      <w:pPr>
        <w:pStyle w:val="Normal8"/>
        <w:widowControl w:val="0"/>
        <w:spacing w:before="200" w:line="260" w:lineRule="atLeast"/>
        <w:jc w:val="both"/>
      </w:pPr>
      <w:bookmarkStart w:id="1198" w:name="Bookmark_para_17_6"/>
      <w:bookmarkStart w:id="1199" w:name="Bookmark_I5JJRVX328T44V0050000400"/>
      <w:bookmarkStart w:id="1200" w:name="Bookmark_LNHNREFclscc2_6"/>
      <w:bookmarkEnd w:id="1198"/>
      <w:bookmarkEnd w:id="1199"/>
      <w:bookmarkEnd w:id="1200"/>
      <w:r>
        <w:rPr>
          <w:rFonts w:ascii="Arial" w:eastAsia="Arial" w:hAnsi="Arial" w:cs="Arial"/>
          <w:color w:val="000000"/>
          <w:sz w:val="20"/>
        </w:rPr>
        <w:t xml:space="preserve">Plaintiffs always bear the burden of showing they have standing to sue. See </w:t>
      </w:r>
      <w:bookmarkStart w:id="1201" w:name="Bookmark_I5JJRVX328T44V0040000400"/>
      <w:bookmarkEnd w:id="1201"/>
      <w:r>
        <w:rPr>
          <w:rFonts w:ascii="Arial" w:eastAsia="Arial" w:hAnsi="Arial" w:cs="Arial"/>
          <w:i/>
          <w:color w:val="000000"/>
          <w:sz w:val="20"/>
        </w:rPr>
        <w:t>Lujan v. Defenders of Wildlife</w:t>
      </w:r>
      <w:r>
        <w:rPr>
          <w:rFonts w:ascii="Arial" w:eastAsia="Arial" w:hAnsi="Arial" w:cs="Arial"/>
          <w:color w:val="000000"/>
          <w:sz w:val="20"/>
        </w:rPr>
        <w:t xml:space="preserve">, 504 U.S. 555, 561, 112 S. Ct. 2130, 119 L. Ed. 2d 351 (1992). If standing is challenged by a motion for summary judgment, plaintiffs cannot rest on "mere allegations" but must offer evidence to support standing. </w:t>
      </w:r>
      <w:bookmarkStart w:id="1202" w:name="Bookmark_I5JJRVX32N1RHN0020000400"/>
      <w:bookmarkEnd w:id="1202"/>
      <w:r>
        <w:rPr>
          <w:rFonts w:ascii="Arial" w:eastAsia="Arial" w:hAnsi="Arial" w:cs="Arial"/>
          <w:i/>
          <w:color w:val="000000"/>
          <w:sz w:val="20"/>
        </w:rPr>
        <w:t>Id.</w:t>
      </w:r>
      <w:r>
        <w:rPr>
          <w:rFonts w:ascii="Arial" w:eastAsia="Arial" w:hAnsi="Arial" w:cs="Arial"/>
          <w:color w:val="000000"/>
          <w:sz w:val="20"/>
        </w:rPr>
        <w:t xml:space="preserve"> (internal quotation marks omitted). </w:t>
      </w:r>
      <w:bookmarkStart w:id="1203" w:name="Bookmark_I5JJRVX32N1RHN0020000400_2"/>
      <w:bookmarkEnd w:id="1203"/>
      <w:r>
        <w:rPr>
          <w:rFonts w:ascii="Arial" w:eastAsia="Arial" w:hAnsi="Arial" w:cs="Arial"/>
          <w:color w:val="000000"/>
          <w:sz w:val="20"/>
        </w:rPr>
        <w:t xml:space="preserve">In addition, when a federal court addresses a claim for injunctive relief, it must take care to determine whether plaintiffs have offered evidence of a "real and immediate"—and not just a "conjectural or hypothetical"—threat [**10]  of a future violation of their rights. See </w:t>
      </w:r>
      <w:bookmarkStart w:id="1204" w:name="Bookmark_I5JJRVX32N1RHN0010000400"/>
      <w:bookmarkEnd w:id="1204"/>
      <w:r>
        <w:rPr>
          <w:rFonts w:ascii="Arial" w:eastAsia="Arial" w:hAnsi="Arial" w:cs="Arial"/>
          <w:i/>
          <w:color w:val="000000"/>
          <w:sz w:val="20"/>
        </w:rPr>
        <w:t>City of Los Angeles v. Lyons</w:t>
      </w:r>
      <w:r>
        <w:rPr>
          <w:rFonts w:ascii="Arial" w:eastAsia="Arial" w:hAnsi="Arial" w:cs="Arial"/>
          <w:color w:val="000000"/>
          <w:sz w:val="20"/>
        </w:rPr>
        <w:t xml:space="preserve">, 461 U.S. 95, 102, 103 S. Ct. 1660, 75 L. Ed. 2d 675 (1983) (citation and internal quotation marks omitted); </w:t>
      </w:r>
      <w:bookmarkStart w:id="1205" w:name="Bookmark_I5JJRVX32N1RHN0030000400"/>
      <w:bookmarkEnd w:id="1205"/>
      <w:r>
        <w:rPr>
          <w:rFonts w:ascii="Arial" w:eastAsia="Arial" w:hAnsi="Arial" w:cs="Arial"/>
          <w:i/>
          <w:color w:val="000000"/>
          <w:sz w:val="20"/>
        </w:rPr>
        <w:t>Scherr v. Marriot International, Inc.</w:t>
      </w:r>
      <w:r>
        <w:rPr>
          <w:rFonts w:ascii="Arial" w:eastAsia="Arial" w:hAnsi="Arial" w:cs="Arial"/>
          <w:color w:val="000000"/>
          <w:sz w:val="20"/>
        </w:rPr>
        <w:t>, 703 F.3d 1069, 1074 (7th Cir. 2013).</w:t>
      </w:r>
    </w:p>
    <w:p w14:paraId="63A4C70C" w14:textId="77777777" w:rsidR="002D0E71" w:rsidRDefault="00000000">
      <w:pPr>
        <w:pStyle w:val="Normal8"/>
        <w:widowControl w:val="0"/>
        <w:spacing w:before="200" w:line="260" w:lineRule="atLeast"/>
        <w:jc w:val="both"/>
      </w:pPr>
      <w:bookmarkStart w:id="1206" w:name="Bookmark_para_18_6"/>
      <w:bookmarkEnd w:id="1206"/>
      <w:r>
        <w:rPr>
          <w:rFonts w:ascii="Arial" w:eastAsia="Arial" w:hAnsi="Arial" w:cs="Arial"/>
          <w:color w:val="000000"/>
          <w:sz w:val="20"/>
        </w:rPr>
        <w:t xml:space="preserve">Plaintiffs base their claims on the ADA and the Rehabilitation Act. </w:t>
      </w:r>
      <w:bookmarkStart w:id="1207" w:name="Bookmark_LNHNREFclscc3_6"/>
      <w:bookmarkEnd w:id="1207"/>
      <w:r>
        <w:rPr>
          <w:rFonts w:ascii="Arial" w:eastAsia="Arial" w:hAnsi="Arial" w:cs="Arial"/>
          <w:color w:val="000000"/>
          <w:sz w:val="20"/>
        </w:rPr>
        <w:t xml:space="preserve">Title II of the ADA provides that "no qualified individual with a disability shall, by reason of such disability, be excluded from participation in or be denied the benefits of the services, programs, or activities of a public entity, or be subjected to discrimination by any such entity." 42 U.S.C. § 12132. Similarly, </w:t>
      </w:r>
      <w:bookmarkStart w:id="1208" w:name="Bookmark_LNHNREFclscc4_6"/>
      <w:bookmarkEnd w:id="1208"/>
      <w:r>
        <w:rPr>
          <w:rFonts w:ascii="Arial" w:eastAsia="Arial" w:hAnsi="Arial" w:cs="Arial"/>
          <w:color w:val="000000"/>
          <w:sz w:val="20"/>
        </w:rPr>
        <w:t xml:space="preserve">the Rehabilitation Act provides: "No otherwise qualified individual with a disability in the United States ... shall, solely by reason of her or his disability, be excluded from participation in, be denied the benefits of, or be subjected to discrimination under any program or activity" covered by the Act. 29 U.S.C. § 794(a). </w:t>
      </w:r>
      <w:bookmarkStart w:id="1209" w:name="Bookmark_LNHNREFclscc5_6"/>
      <w:bookmarkEnd w:id="1209"/>
      <w:r>
        <w:rPr>
          <w:rFonts w:ascii="Arial" w:eastAsia="Arial" w:hAnsi="Arial" w:cs="Arial"/>
          <w:color w:val="000000"/>
          <w:sz w:val="20"/>
        </w:rPr>
        <w:t>For public facilities built or altered after January 26, 1992, the public entity must ensure that the facility is not just possibly accessible but "readily accessible." 28 C.F.R. § 35.151(a), (b). For older facilities that have not been altered, however, the public entity need only ensure that "each service, program, or activity" offered by that public entity—as opposed to the entire facility operated by the entity—is "readily accessible." § 35.150(a). So [**11]  long as the entity makes these services, programs, and activities accessible, it need not "make structural changes in existing facilities." § 35.150(b)(1).</w:t>
      </w:r>
    </w:p>
    <w:p w14:paraId="4374F58B" w14:textId="77777777" w:rsidR="002D0E71" w:rsidRDefault="00000000">
      <w:pPr>
        <w:pStyle w:val="Normal8"/>
        <w:widowControl w:val="0"/>
        <w:spacing w:before="120" w:line="260" w:lineRule="atLeast"/>
      </w:pPr>
      <w:r>
        <w:rPr>
          <w:rFonts w:ascii="Arial" w:eastAsia="Arial" w:hAnsi="Arial" w:cs="Arial"/>
          <w:color w:val="000000"/>
          <w:sz w:val="20"/>
        </w:rPr>
        <w:t xml:space="preserve">III. </w:t>
      </w:r>
      <w:r>
        <w:rPr>
          <w:rFonts w:ascii="Arial" w:eastAsia="Arial" w:hAnsi="Arial" w:cs="Arial"/>
          <w:i/>
          <w:color w:val="000000"/>
          <w:sz w:val="20"/>
        </w:rPr>
        <w:t>Defendants' Motion for Summary Judgment</w:t>
      </w:r>
    </w:p>
    <w:p w14:paraId="78FCBBB2" w14:textId="77777777" w:rsidR="002D0E71" w:rsidRDefault="00000000">
      <w:pPr>
        <w:pStyle w:val="Normal8"/>
        <w:widowControl w:val="0"/>
        <w:spacing w:before="200" w:line="260" w:lineRule="atLeast"/>
        <w:jc w:val="both"/>
      </w:pPr>
      <w:bookmarkStart w:id="1210" w:name="Bookmark_para_19_6"/>
      <w:bookmarkEnd w:id="1210"/>
      <w:r>
        <w:rPr>
          <w:rFonts w:ascii="Arial" w:eastAsia="Arial" w:hAnsi="Arial" w:cs="Arial"/>
          <w:color w:val="000000"/>
          <w:sz w:val="20"/>
        </w:rPr>
        <w:t xml:space="preserve">In the district court, defendants presented evidence that the courthouse services were readily accessible to plaintiffs and asserted there was no evidence to the contrary. In responding, plaintiffs did not seem to understand the obligation defendants' motion placed upon them. Instead of offering their own evidence, plaintiffs relied primarily on comments the district court made in its 2013 opinion denying a preliminary injunction. Those comments summarized testimony about facts that might make a material difference in the  [*1017]  case. But as the district court made clear, those citations to a prior opinion did not comply with the district court's </w:t>
      </w:r>
      <w:bookmarkStart w:id="1211" w:name="Bookmark_LNHNREFclscc6_6"/>
      <w:bookmarkEnd w:id="1211"/>
      <w:r>
        <w:rPr>
          <w:rFonts w:ascii="Arial" w:eastAsia="Arial" w:hAnsi="Arial" w:cs="Arial"/>
          <w:color w:val="000000"/>
          <w:sz w:val="20"/>
        </w:rPr>
        <w:t>Local Rule 56-1, which requires a party opposing summary judgment to "identif[y] the material facts that the party contends are genuinely disputed so as to make a trial necessary." N.D. Ind. L.R. 56-1(b)(2). The district court declined to rely on the factual assertions supported only by references to its prior opinion.</w:t>
      </w:r>
    </w:p>
    <w:p w14:paraId="12B99294" w14:textId="77777777" w:rsidR="002D0E71" w:rsidRDefault="00000000">
      <w:pPr>
        <w:pStyle w:val="Normal8"/>
        <w:widowControl w:val="0"/>
        <w:spacing w:before="200" w:line="260" w:lineRule="atLeast"/>
        <w:jc w:val="both"/>
      </w:pPr>
      <w:bookmarkStart w:id="1212" w:name="Bookmark_para_20_5"/>
      <w:bookmarkStart w:id="1213" w:name="Bookmark_I5JJRVX32D6N4B0010000400"/>
      <w:bookmarkEnd w:id="1212"/>
      <w:bookmarkEnd w:id="1213"/>
      <w:r>
        <w:rPr>
          <w:rFonts w:ascii="Arial" w:eastAsia="Arial" w:hAnsi="Arial" w:cs="Arial"/>
          <w:color w:val="000000"/>
          <w:sz w:val="20"/>
        </w:rPr>
        <w:t xml:space="preserve">Plaintiffs argue that the district court erred under Rule 56-1 in refusing to consider as evidence [**12]  citations to the district court's prior opinion. How strictly to apply a local rule, however, is left to the district court's sound discretion. See </w:t>
      </w:r>
      <w:bookmarkStart w:id="1214" w:name="Bookmark_I5JJRVX32N1RHN0050000400"/>
      <w:bookmarkEnd w:id="1214"/>
      <w:r>
        <w:rPr>
          <w:rFonts w:ascii="Arial" w:eastAsia="Arial" w:hAnsi="Arial" w:cs="Arial"/>
          <w:i/>
          <w:color w:val="000000"/>
          <w:sz w:val="20"/>
        </w:rPr>
        <w:t>Waldridge v. American Hoechst Corp.</w:t>
      </w:r>
      <w:r>
        <w:rPr>
          <w:rFonts w:ascii="Arial" w:eastAsia="Arial" w:hAnsi="Arial" w:cs="Arial"/>
          <w:color w:val="000000"/>
          <w:sz w:val="20"/>
        </w:rPr>
        <w:t xml:space="preserve">, 24 F.3d 918, 923-24 (7th Cir. 1994); see also </w:t>
      </w:r>
      <w:bookmarkStart w:id="1215" w:name="Bookmark_I5JJRVX32D6N4B0020000400"/>
      <w:bookmarkEnd w:id="1215"/>
      <w:r>
        <w:rPr>
          <w:rFonts w:ascii="Arial" w:eastAsia="Arial" w:hAnsi="Arial" w:cs="Arial"/>
          <w:i/>
          <w:color w:val="000000"/>
          <w:sz w:val="20"/>
        </w:rPr>
        <w:t>Little v. Cox's Supermarkets</w:t>
      </w:r>
      <w:r>
        <w:rPr>
          <w:rFonts w:ascii="Arial" w:eastAsia="Arial" w:hAnsi="Arial" w:cs="Arial"/>
          <w:color w:val="000000"/>
          <w:sz w:val="20"/>
        </w:rPr>
        <w:t xml:space="preserve">, 71 F.3d 637, 641 (7th Cir. 1995). </w:t>
      </w:r>
      <w:bookmarkStart w:id="1216" w:name="Bookmark_I5JJRVX32D6N4B0050000400"/>
      <w:bookmarkEnd w:id="1216"/>
      <w:r>
        <w:rPr>
          <w:rFonts w:ascii="Arial" w:eastAsia="Arial" w:hAnsi="Arial" w:cs="Arial"/>
          <w:color w:val="000000"/>
          <w:sz w:val="20"/>
        </w:rPr>
        <w:t xml:space="preserve">We find no abuse of discretion here. </w:t>
      </w:r>
      <w:bookmarkStart w:id="1217" w:name="Bookmark_LNHNREFclscc7_6"/>
      <w:bookmarkEnd w:id="1217"/>
      <w:r>
        <w:rPr>
          <w:rFonts w:ascii="Arial" w:eastAsia="Arial" w:hAnsi="Arial" w:cs="Arial"/>
          <w:color w:val="000000"/>
          <w:sz w:val="20"/>
        </w:rPr>
        <w:t xml:space="preserve">Federal Rule of Civil Procedure 56(c)(1)(A) does not identify prior judicial opinions as a form of evidence that may be used to support or oppose a motion for summary judgment. Absent a specific citation to the actual evidence in the record—as opposed to the district court's comments about such evidence at an earlier hearing—the district court did not abuse its discretion in declining plaintiffs' invitation to search the record itself to determine which evidence might support their position. See </w:t>
      </w:r>
      <w:bookmarkStart w:id="1218" w:name="Bookmark_I5JJRVX32D6N4B0040000400"/>
      <w:bookmarkEnd w:id="1218"/>
      <w:r>
        <w:rPr>
          <w:rFonts w:ascii="Arial" w:eastAsia="Arial" w:hAnsi="Arial" w:cs="Arial"/>
          <w:i/>
          <w:color w:val="000000"/>
          <w:sz w:val="20"/>
        </w:rPr>
        <w:t>Waldridge</w:t>
      </w:r>
      <w:r>
        <w:rPr>
          <w:rFonts w:ascii="Arial" w:eastAsia="Arial" w:hAnsi="Arial" w:cs="Arial"/>
          <w:color w:val="000000"/>
          <w:sz w:val="20"/>
        </w:rPr>
        <w:t>, 24 F.3d at 923-24.</w:t>
      </w:r>
    </w:p>
    <w:p w14:paraId="7438F56E" w14:textId="77777777" w:rsidR="002D0E71" w:rsidRDefault="00000000">
      <w:pPr>
        <w:pStyle w:val="Normal8"/>
        <w:widowControl w:val="0"/>
        <w:spacing w:before="200" w:line="260" w:lineRule="atLeast"/>
        <w:jc w:val="both"/>
      </w:pPr>
      <w:bookmarkStart w:id="1219" w:name="Bookmark_para_21_5"/>
      <w:bookmarkEnd w:id="1219"/>
      <w:r>
        <w:rPr>
          <w:rFonts w:ascii="Arial" w:eastAsia="Arial" w:hAnsi="Arial" w:cs="Arial"/>
          <w:color w:val="000000"/>
          <w:sz w:val="20"/>
        </w:rPr>
        <w:t>Without the factual assertions supported by only references to the district court's prior opinion, the only evidence left was testimony that the elevator control panel at the St. Joseph County Courthouse would not be accessible to the blind, testimony that the elevator is very old, state court documents for plaintiff Wright showing that she had further hearings scheduled in the county courts, plaintiffs' attorney's admission that there is now an accessible restroom in the St. Joseph County Courthouse, a citation to the St. Joseph County [**13]  Court Local Rules, and an affidavit by plaintiffs' attorney describing difficulties that people in wheelchairs face when parking near the St. Joseph County Courthouse.</w:t>
      </w:r>
    </w:p>
    <w:p w14:paraId="482C699B" w14:textId="77777777" w:rsidR="002D0E71" w:rsidRDefault="00000000">
      <w:pPr>
        <w:pStyle w:val="Normal8"/>
        <w:widowControl w:val="0"/>
        <w:spacing w:before="200" w:line="260" w:lineRule="atLeast"/>
        <w:jc w:val="both"/>
      </w:pPr>
      <w:bookmarkStart w:id="1220" w:name="Bookmark_para_22_5"/>
      <w:bookmarkEnd w:id="1220"/>
      <w:r>
        <w:rPr>
          <w:rFonts w:ascii="Arial" w:eastAsia="Arial" w:hAnsi="Arial" w:cs="Arial"/>
          <w:color w:val="000000"/>
          <w:sz w:val="20"/>
        </w:rPr>
        <w:t>Defendants offered more plentiful evidence in support of their motion for summary judgment, including: a sworn statement by Chief Judge Manier (whose courtroom was in Mishawaka), a sworn statement by Judge Reagan (courtroom in South Bend), affidavits of two city employees, and interrogatory responses from plaintiffs Hummel, Wright, Brandy-Comer, and Ramos.</w:t>
      </w:r>
    </w:p>
    <w:p w14:paraId="6ADC47D5" w14:textId="77777777" w:rsidR="002D0E71" w:rsidRDefault="00000000">
      <w:pPr>
        <w:pStyle w:val="Normal8"/>
        <w:widowControl w:val="0"/>
        <w:spacing w:before="200" w:line="260" w:lineRule="atLeast"/>
        <w:jc w:val="both"/>
      </w:pPr>
      <w:bookmarkStart w:id="1221" w:name="Bookmark_para_23_5"/>
      <w:bookmarkEnd w:id="1221"/>
      <w:r>
        <w:rPr>
          <w:rFonts w:ascii="Arial" w:eastAsia="Arial" w:hAnsi="Arial" w:cs="Arial"/>
          <w:color w:val="000000"/>
          <w:sz w:val="20"/>
        </w:rPr>
        <w:t>We address each of plaintiffs' claims in turn. We conclude that plaintiffs failed to offer sufficient evidence in response to defendants' motion for summary judgment.</w:t>
      </w:r>
    </w:p>
    <w:p w14:paraId="1FBC9F22" w14:textId="77777777" w:rsidR="002D0E71" w:rsidRDefault="00000000">
      <w:pPr>
        <w:pStyle w:val="Normal8"/>
        <w:widowControl w:val="0"/>
        <w:spacing w:before="120" w:line="260" w:lineRule="atLeast"/>
      </w:pPr>
      <w:r>
        <w:rPr>
          <w:rFonts w:ascii="Arial" w:eastAsia="Arial" w:hAnsi="Arial" w:cs="Arial"/>
          <w:color w:val="000000"/>
          <w:sz w:val="20"/>
        </w:rPr>
        <w:t xml:space="preserve">A. </w:t>
      </w:r>
      <w:r>
        <w:rPr>
          <w:rFonts w:ascii="Arial" w:eastAsia="Arial" w:hAnsi="Arial" w:cs="Arial"/>
          <w:i/>
          <w:color w:val="000000"/>
          <w:sz w:val="20"/>
        </w:rPr>
        <w:t>Mishawaka Courthouse</w:t>
      </w:r>
    </w:p>
    <w:p w14:paraId="22318C6F" w14:textId="77777777" w:rsidR="002D0E71" w:rsidRDefault="00000000">
      <w:pPr>
        <w:pStyle w:val="Normal8"/>
        <w:widowControl w:val="0"/>
        <w:spacing w:before="200" w:line="260" w:lineRule="atLeast"/>
        <w:jc w:val="both"/>
      </w:pPr>
      <w:bookmarkStart w:id="1222" w:name="Bookmark_para_24_5"/>
      <w:bookmarkEnd w:id="1222"/>
      <w:r>
        <w:rPr>
          <w:rFonts w:ascii="Arial" w:eastAsia="Arial" w:hAnsi="Arial" w:cs="Arial"/>
          <w:color w:val="000000"/>
          <w:sz w:val="20"/>
        </w:rPr>
        <w:t>We start with the claims relating to the Mishawaka Courthouse, for which only the county is a defendant. Those claims for damages and injunctive relief cannot withstand summary judgment on this record.</w:t>
      </w:r>
    </w:p>
    <w:p w14:paraId="61E530D3" w14:textId="77777777" w:rsidR="002D0E71" w:rsidRDefault="00000000">
      <w:pPr>
        <w:pStyle w:val="Normal8"/>
        <w:widowControl w:val="0"/>
        <w:spacing w:before="200" w:line="260" w:lineRule="atLeast"/>
        <w:jc w:val="both"/>
      </w:pPr>
      <w:bookmarkStart w:id="1223" w:name="Bookmark_para_25_5"/>
      <w:bookmarkEnd w:id="1223"/>
      <w:r>
        <w:rPr>
          <w:rFonts w:ascii="Arial" w:eastAsia="Arial" w:hAnsi="Arial" w:cs="Arial"/>
          <w:color w:val="000000"/>
          <w:sz w:val="20"/>
        </w:rPr>
        <w:t xml:space="preserve">First, no plaintiff has standing to seek injunctive relief regarding the Mishawaka Courthouse. Michael Ramos was the only plaintiff who litigated a case there. His case was dismissed without prejudice in February 2014. </w:t>
      </w:r>
      <w:bookmarkStart w:id="1224" w:name="Bookmark_I07GP3M7HYX00002T05001C0"/>
      <w:bookmarkStart w:id="1225" w:name="Bookmark_I07GP3M7NHN00002T05001C1"/>
      <w:bookmarkStart w:id="1226" w:name="Bookmark_I5JJRVX32HM6240020000400"/>
      <w:bookmarkEnd w:id="1224"/>
      <w:bookmarkEnd w:id="1225"/>
      <w:bookmarkEnd w:id="1226"/>
      <w:r>
        <w:rPr>
          <w:rFonts w:ascii="Arial" w:eastAsia="Arial" w:hAnsi="Arial" w:cs="Arial"/>
          <w:color w:val="000000"/>
          <w:sz w:val="20"/>
        </w:rPr>
        <w:t xml:space="preserve">No evidence in the record suggests that any remaining plaintiff has [**14]  plans to return to that courthouse. Absent evidence supporting a "real and immediate" threat that plaintiffs will be harmed by the non-ADA-compliant courthouse, plaintiffs lack standing to seek injunctive relief. </w:t>
      </w:r>
      <w:bookmarkStart w:id="1227" w:name="Bookmark_I5JJRVX32HM6240010000400"/>
      <w:bookmarkEnd w:id="1227"/>
      <w:r>
        <w:rPr>
          <w:rFonts w:ascii="Arial" w:eastAsia="Arial" w:hAnsi="Arial" w:cs="Arial"/>
          <w:i/>
          <w:color w:val="000000"/>
          <w:sz w:val="20"/>
        </w:rPr>
        <w:t>Scherr</w:t>
      </w:r>
      <w:r>
        <w:rPr>
          <w:rFonts w:ascii="Arial" w:eastAsia="Arial" w:hAnsi="Arial" w:cs="Arial"/>
          <w:color w:val="000000"/>
          <w:sz w:val="20"/>
        </w:rPr>
        <w:t xml:space="preserve">, 703 F.3d at 1074, quoting </w:t>
      </w:r>
      <w:bookmarkStart w:id="1228" w:name="Bookmark_I5JJRVX32HM6240030000400"/>
      <w:bookmarkEnd w:id="1228"/>
      <w:r>
        <w:rPr>
          <w:rFonts w:ascii="Arial" w:eastAsia="Arial" w:hAnsi="Arial" w:cs="Arial"/>
          <w:i/>
          <w:color w:val="000000"/>
          <w:sz w:val="20"/>
        </w:rPr>
        <w:t>Lyons</w:t>
      </w:r>
      <w:r>
        <w:rPr>
          <w:rFonts w:ascii="Arial" w:eastAsia="Arial" w:hAnsi="Arial" w:cs="Arial"/>
          <w:color w:val="000000"/>
          <w:sz w:val="20"/>
        </w:rPr>
        <w:t>, 461 U.S. at 102.</w:t>
      </w:r>
    </w:p>
    <w:p w14:paraId="308EF8D4" w14:textId="77777777" w:rsidR="002D0E71" w:rsidRDefault="00000000">
      <w:pPr>
        <w:pStyle w:val="Normal8"/>
        <w:widowControl w:val="0"/>
        <w:spacing w:before="200" w:line="260" w:lineRule="atLeast"/>
        <w:jc w:val="both"/>
      </w:pPr>
      <w:bookmarkStart w:id="1229" w:name="Bookmark_para_26_5"/>
      <w:bookmarkEnd w:id="1229"/>
      <w:r>
        <w:rPr>
          <w:rFonts w:ascii="Arial" w:eastAsia="Arial" w:hAnsi="Arial" w:cs="Arial"/>
          <w:color w:val="000000"/>
          <w:sz w:val="20"/>
        </w:rPr>
        <w:t>Second, on the damages claims, plaintiffs failed to present evidence sufficient to  [*1018]  survive summary judgment. They did not rebut defendants' evidence that the Mishawaka Courthouse is accessible. Defendants offered a statement by Chief Judge Manier of the St. Joseph Superior Court. She explained that all aspects of her courtroom complied with the ADA and made clear that if anyone with a disability were struggling to use the facilities in her courtroom, she would find a way to accommodate that person. Without contrary evidence explaining how plaintiffs were denied court services, the county is entitled to summary judgment on plaintiffs' claims for damages related to the Mishawaka Courthouse.</w:t>
      </w:r>
    </w:p>
    <w:p w14:paraId="77EC9F40" w14:textId="77777777" w:rsidR="002D0E71" w:rsidRDefault="00000000">
      <w:pPr>
        <w:pStyle w:val="Normal8"/>
        <w:widowControl w:val="0"/>
        <w:spacing w:before="120" w:line="260" w:lineRule="atLeast"/>
      </w:pPr>
      <w:r>
        <w:rPr>
          <w:rFonts w:ascii="Arial" w:eastAsia="Arial" w:hAnsi="Arial" w:cs="Arial"/>
          <w:color w:val="000000"/>
          <w:sz w:val="20"/>
        </w:rPr>
        <w:t xml:space="preserve">B. </w:t>
      </w:r>
      <w:r>
        <w:rPr>
          <w:rFonts w:ascii="Arial" w:eastAsia="Arial" w:hAnsi="Arial" w:cs="Arial"/>
          <w:i/>
          <w:color w:val="000000"/>
          <w:sz w:val="20"/>
        </w:rPr>
        <w:t>Parking near the St. Joseph County Courthouse</w:t>
      </w:r>
    </w:p>
    <w:p w14:paraId="4BA649F8" w14:textId="77777777" w:rsidR="002D0E71" w:rsidRDefault="00000000">
      <w:pPr>
        <w:pStyle w:val="Normal8"/>
        <w:widowControl w:val="0"/>
        <w:spacing w:before="200" w:line="260" w:lineRule="atLeast"/>
        <w:jc w:val="both"/>
      </w:pPr>
      <w:bookmarkStart w:id="1230" w:name="Bookmark_para_27_5"/>
      <w:bookmarkEnd w:id="1230"/>
      <w:r>
        <w:rPr>
          <w:rFonts w:ascii="Arial" w:eastAsia="Arial" w:hAnsi="Arial" w:cs="Arial"/>
          <w:color w:val="000000"/>
          <w:sz w:val="20"/>
        </w:rPr>
        <w:t xml:space="preserve">In the district court, plaintiffs challenged (1) scarce accessible parking around the St. Joseph County Courthouse and (2) the difficulties of parking in winter months due to snow removal practices. These are the only claims against [**15]  the City of South Bend. The district court concluded that plaintiffs had not offered evidence that the amount of accessible parking violated the ADA. We agree. Although there was some evidence in the record showing that parking availability had been a problem for individuals with disabilities, the ratio of accessible spaces to the overall spaces was well above the ADA Accessibility Guidelines. See </w:t>
      </w:r>
      <w:r>
        <w:rPr>
          <w:rFonts w:ascii="Arial" w:eastAsia="Arial" w:hAnsi="Arial" w:cs="Arial"/>
          <w:i/>
          <w:color w:val="000000"/>
          <w:sz w:val="20"/>
        </w:rPr>
        <w:t>ADA Accessibility Guidelines for Buildings and Facilities</w:t>
      </w:r>
      <w:r>
        <w:rPr>
          <w:rFonts w:ascii="Arial" w:eastAsia="Arial" w:hAnsi="Arial" w:cs="Arial"/>
          <w:color w:val="000000"/>
          <w:sz w:val="20"/>
        </w:rPr>
        <w:t xml:space="preserve"> § 4.1.2(5)(a) (1991). The district court also determined that individuals with disabilities were not entitled to have special access to free on-street parking adjacent to the courthouse when such parking is not provided to the public at large. Plaintiffs do not challenge this determination on appeal.</w:t>
      </w:r>
    </w:p>
    <w:p w14:paraId="45708257" w14:textId="77777777" w:rsidR="002D0E71" w:rsidRDefault="00000000">
      <w:pPr>
        <w:pStyle w:val="Normal8"/>
        <w:widowControl w:val="0"/>
        <w:spacing w:before="200" w:line="260" w:lineRule="atLeast"/>
        <w:jc w:val="both"/>
      </w:pPr>
      <w:bookmarkStart w:id="1231" w:name="Bookmark_para_28_5"/>
      <w:bookmarkEnd w:id="1231"/>
      <w:r>
        <w:rPr>
          <w:rFonts w:ascii="Arial" w:eastAsia="Arial" w:hAnsi="Arial" w:cs="Arial"/>
          <w:color w:val="000000"/>
          <w:sz w:val="20"/>
        </w:rPr>
        <w:t>Regarding snow removal practices, the district court concluded that no plaintiff had standing, and that, even if one did, the lack of evidence in the record explaining how the city's current snow removal practices limit accessibility also justified summary judgment. We agree that no plaintiff has standing to challenge the city's snow removal practices.</w:t>
      </w:r>
    </w:p>
    <w:p w14:paraId="084515E1" w14:textId="77777777" w:rsidR="002D0E71" w:rsidRDefault="00000000">
      <w:pPr>
        <w:pStyle w:val="Normal8"/>
        <w:widowControl w:val="0"/>
        <w:spacing w:before="200" w:line="260" w:lineRule="atLeast"/>
        <w:jc w:val="both"/>
      </w:pPr>
      <w:bookmarkStart w:id="1232" w:name="Bookmark_para_29_5"/>
      <w:bookmarkEnd w:id="1232"/>
      <w:r>
        <w:rPr>
          <w:rFonts w:ascii="Arial" w:eastAsia="Arial" w:hAnsi="Arial" w:cs="Arial"/>
          <w:color w:val="000000"/>
          <w:sz w:val="20"/>
        </w:rPr>
        <w:t xml:space="preserve">Plaintiffs' lack of past harm prevents them from having standing to sue for damages. </w:t>
      </w:r>
      <w:bookmarkStart w:id="1233" w:name="Bookmark_I5JJRVX328T44W0010000400"/>
      <w:bookmarkEnd w:id="1233"/>
      <w:r>
        <w:rPr>
          <w:rFonts w:ascii="Arial" w:eastAsia="Arial" w:hAnsi="Arial" w:cs="Arial"/>
          <w:color w:val="000000"/>
          <w:sz w:val="20"/>
        </w:rPr>
        <w:t xml:space="preserve">Plaintiffs presented no evidence that any plaintiff tried to visit the courthouse [**16]  when there was snow on the ground. Nor is there any evidence that plaintiffs would have visited the courthouse in the past but were deterred from doing so because they knew the snow removal practices would prevent them from having access. See </w:t>
      </w:r>
      <w:bookmarkStart w:id="1234" w:name="Bookmark_I5JJRVX32HM6240050000400"/>
      <w:bookmarkEnd w:id="1234"/>
      <w:r>
        <w:rPr>
          <w:rFonts w:ascii="Arial" w:eastAsia="Arial" w:hAnsi="Arial" w:cs="Arial"/>
          <w:i/>
          <w:color w:val="000000"/>
          <w:sz w:val="20"/>
        </w:rPr>
        <w:t>Scherr</w:t>
      </w:r>
      <w:r>
        <w:rPr>
          <w:rFonts w:ascii="Arial" w:eastAsia="Arial" w:hAnsi="Arial" w:cs="Arial"/>
          <w:color w:val="000000"/>
          <w:sz w:val="20"/>
        </w:rPr>
        <w:t xml:space="preserve">, 703 F.3d at 1075 (plaintiff lacked standing to sue hotels for lack of accessibility absent evidence that she had specific plans to visit them); cf. </w:t>
      </w:r>
      <w:bookmarkStart w:id="1235" w:name="Bookmark_I5JJRVX328T44W0020000400"/>
      <w:bookmarkEnd w:id="1235"/>
      <w:r>
        <w:rPr>
          <w:rFonts w:ascii="Arial" w:eastAsia="Arial" w:hAnsi="Arial" w:cs="Arial"/>
          <w:i/>
          <w:color w:val="000000"/>
          <w:sz w:val="20"/>
        </w:rPr>
        <w:t>Pickern v. Holiday Quality Foods Inc.</w:t>
      </w:r>
      <w:r>
        <w:rPr>
          <w:rFonts w:ascii="Arial" w:eastAsia="Arial" w:hAnsi="Arial" w:cs="Arial"/>
          <w:color w:val="000000"/>
          <w:sz w:val="20"/>
        </w:rPr>
        <w:t>, 293 F.3d 1133, 1135, 1138 (9th Cir. 2002) (reversing dismissal for lack of standing because plaintiff alleged he was deterred from going to store because of ADA violation).</w:t>
      </w:r>
    </w:p>
    <w:p w14:paraId="5D651D25" w14:textId="77777777" w:rsidR="002D0E71" w:rsidRDefault="00000000">
      <w:pPr>
        <w:pStyle w:val="Normal8"/>
        <w:widowControl w:val="0"/>
        <w:spacing w:before="200" w:line="260" w:lineRule="atLeast"/>
        <w:jc w:val="both"/>
      </w:pPr>
      <w:bookmarkStart w:id="1236" w:name="Bookmark_para_30_5"/>
      <w:bookmarkEnd w:id="1236"/>
      <w:r>
        <w:rPr>
          <w:rFonts w:ascii="Arial" w:eastAsia="Arial" w:hAnsi="Arial" w:cs="Arial"/>
          <w:color w:val="000000"/>
          <w:sz w:val="20"/>
        </w:rPr>
        <w:t>Plaintiffs' attorney's affidavit is insufficient to confer standing for damages. The attorney uses a wheelchair, and he described the obstacles he has faced due to the snow removal practices. But he has not been a plaintiff. The record lacks evidence that his obstacles to courthouse accessibility harmed the remaining plaintiffs themselves. The attorney explained that in "winter all curb-cut ramps within a two-block radius of the courthouses are frequently blocked by snow and are impassable," and that "[o]n a number of occasions, [his wife] found it necessary to bring a shovel to scoop out curb-cut ramps filled with snow." Plaintiffs offered this evidence to establish that they were harmed [**17]  by discrimination against their lawyer.</w:t>
      </w:r>
    </w:p>
    <w:p w14:paraId="0B1C0E6E" w14:textId="77777777" w:rsidR="002D0E71" w:rsidRDefault="00000000">
      <w:pPr>
        <w:pStyle w:val="Normal8"/>
        <w:widowControl w:val="0"/>
        <w:spacing w:before="200" w:line="260" w:lineRule="atLeast"/>
        <w:jc w:val="both"/>
      </w:pPr>
      <w:bookmarkStart w:id="1237" w:name="Bookmark_para_31_5"/>
      <w:bookmarkEnd w:id="1237"/>
      <w:r>
        <w:rPr>
          <w:rFonts w:ascii="Arial" w:eastAsia="Arial" w:hAnsi="Arial" w:cs="Arial"/>
          <w:color w:val="000000"/>
          <w:sz w:val="20"/>
        </w:rPr>
        <w:t xml:space="preserve"> [*1019]  </w:t>
      </w:r>
      <w:bookmarkStart w:id="1238" w:name="Bookmark_I5JJRVX328T44W0050000400"/>
      <w:bookmarkEnd w:id="1238"/>
      <w:r>
        <w:rPr>
          <w:rFonts w:ascii="Arial" w:eastAsia="Arial" w:hAnsi="Arial" w:cs="Arial"/>
          <w:color w:val="000000"/>
          <w:sz w:val="20"/>
        </w:rPr>
        <w:t xml:space="preserve">As a general matter, </w:t>
      </w:r>
      <w:bookmarkStart w:id="1239" w:name="Bookmark_LNHNREFclscc8_6"/>
      <w:bookmarkEnd w:id="1239"/>
      <w:r>
        <w:rPr>
          <w:rFonts w:ascii="Arial" w:eastAsia="Arial" w:hAnsi="Arial" w:cs="Arial"/>
          <w:color w:val="000000"/>
          <w:sz w:val="20"/>
        </w:rPr>
        <w:t xml:space="preserve">a plaintiff can be injured for purposes of the case-or-controversy requirement of Article III of the Constitution by unlawful activity targeting someone other than the plaintiff so long as the plaintiff is thereby harmed. Cf. </w:t>
      </w:r>
      <w:bookmarkStart w:id="1240" w:name="Bookmark_I5JJRVX328T44W0040000400"/>
      <w:bookmarkEnd w:id="1240"/>
      <w:r>
        <w:rPr>
          <w:rFonts w:ascii="Arial" w:eastAsia="Arial" w:hAnsi="Arial" w:cs="Arial"/>
          <w:i/>
          <w:color w:val="000000"/>
          <w:sz w:val="20"/>
        </w:rPr>
        <w:t>Lujan</w:t>
      </w:r>
      <w:r>
        <w:rPr>
          <w:rFonts w:ascii="Arial" w:eastAsia="Arial" w:hAnsi="Arial" w:cs="Arial"/>
          <w:color w:val="000000"/>
          <w:sz w:val="20"/>
        </w:rPr>
        <w:t xml:space="preserve">, 504 U.S. at 562 (discussing possibility that "a plaintiff's asserted injury arises from the government's allegedly unlawful regulation (or lack of regulation) of </w:t>
      </w:r>
      <w:r>
        <w:rPr>
          <w:rFonts w:ascii="Arial" w:eastAsia="Arial" w:hAnsi="Arial" w:cs="Arial"/>
          <w:i/>
          <w:color w:val="000000"/>
          <w:sz w:val="20"/>
        </w:rPr>
        <w:t>someone else</w:t>
      </w:r>
      <w:r>
        <w:rPr>
          <w:rFonts w:ascii="Arial" w:eastAsia="Arial" w:hAnsi="Arial" w:cs="Arial"/>
          <w:color w:val="000000"/>
          <w:sz w:val="20"/>
        </w:rPr>
        <w:t>") (emphasis in original). One can easily imagine a litigant being harmed by her lawyer's inability to reach the courtroom on her behalf. But harm to the lawyer is not enough to show the client has a claim (though the lawyer might have his own claim). A plaintiff must offer evidence showing actual harm or a threat of imminent harm to herself to show standing for damages or injunctive relief for her own benefit.</w:t>
      </w:r>
    </w:p>
    <w:p w14:paraId="4E623A59" w14:textId="77777777" w:rsidR="002D0E71" w:rsidRDefault="00000000">
      <w:pPr>
        <w:pStyle w:val="Normal8"/>
        <w:widowControl w:val="0"/>
        <w:spacing w:before="200" w:line="260" w:lineRule="atLeast"/>
        <w:jc w:val="both"/>
      </w:pPr>
      <w:bookmarkStart w:id="1241" w:name="Bookmark_para_32_4"/>
      <w:bookmarkEnd w:id="1241"/>
      <w:r>
        <w:rPr>
          <w:rFonts w:ascii="Arial" w:eastAsia="Arial" w:hAnsi="Arial" w:cs="Arial"/>
          <w:color w:val="000000"/>
          <w:sz w:val="20"/>
        </w:rPr>
        <w:t xml:space="preserve">We respectfully disagree with the broad language in the district court opinion rejecting any possibility of plaintiffs basing standing on discrimination against their lawyer. The court wrote that "Title II of the ADA does not provide for the sort of associational standing asserted." In fact, the ADA recognizes that a person can be harmed by discrimination against someone [**18]  with whom he or she is associated. See 28 C.F.R. § 35.130(g) ("A public entity shall not exclude or otherwise deny equal services, programs, or activities to an individual or entity because of the known disability of an individual with whom the individual or entity is known to have </w:t>
      </w:r>
      <w:r>
        <w:rPr>
          <w:rFonts w:ascii="Arial" w:eastAsia="Arial" w:hAnsi="Arial" w:cs="Arial"/>
          <w:i/>
          <w:color w:val="000000"/>
          <w:sz w:val="20"/>
        </w:rPr>
        <w:t>a relationship or association</w:t>
      </w:r>
      <w:r>
        <w:rPr>
          <w:rFonts w:ascii="Arial" w:eastAsia="Arial" w:hAnsi="Arial" w:cs="Arial"/>
          <w:color w:val="000000"/>
          <w:sz w:val="20"/>
        </w:rPr>
        <w:t>.") (emphasis added).</w:t>
      </w:r>
    </w:p>
    <w:p w14:paraId="29653E80" w14:textId="77777777" w:rsidR="002D0E71" w:rsidRDefault="00000000">
      <w:pPr>
        <w:pStyle w:val="Normal8"/>
        <w:widowControl w:val="0"/>
        <w:spacing w:before="200" w:line="260" w:lineRule="atLeast"/>
        <w:jc w:val="both"/>
      </w:pPr>
      <w:bookmarkStart w:id="1242" w:name="Bookmark_para_33_4"/>
      <w:bookmarkEnd w:id="1242"/>
      <w:r>
        <w:rPr>
          <w:rFonts w:ascii="Arial" w:eastAsia="Arial" w:hAnsi="Arial" w:cs="Arial"/>
          <w:color w:val="000000"/>
          <w:sz w:val="20"/>
        </w:rPr>
        <w:t xml:space="preserve">While the law would permit such a claim, this record simply does not support standing to seek damages on this basis. </w:t>
      </w:r>
      <w:bookmarkStart w:id="1243" w:name="Bookmark_I5JJRVX32SF7X10020000400"/>
      <w:bookmarkEnd w:id="1243"/>
      <w:r>
        <w:rPr>
          <w:rFonts w:ascii="Arial" w:eastAsia="Arial" w:hAnsi="Arial" w:cs="Arial"/>
          <w:color w:val="000000"/>
          <w:sz w:val="20"/>
        </w:rPr>
        <w:t xml:space="preserve">The lawyer's affidavit, aside from general statements about the inaccessibility of the parking, specifically alleged only that the parking inaccessibility had affected his representation of plaintiffs Means and Matney, who have since passed away. Plaintiffs failed to offer evidence that they themselves suffered any injury because of discrimination against their attorney. Without such evidence, plaintiffs lack standing on the basis of their association with their attorney. See </w:t>
      </w:r>
      <w:bookmarkStart w:id="1244" w:name="Bookmark_I5JJRVX32SF7X10010000400"/>
      <w:bookmarkEnd w:id="1244"/>
      <w:r>
        <w:rPr>
          <w:rFonts w:ascii="Arial" w:eastAsia="Arial" w:hAnsi="Arial" w:cs="Arial"/>
          <w:i/>
          <w:color w:val="000000"/>
          <w:sz w:val="20"/>
        </w:rPr>
        <w:t>Estate of Moreland v. Dieter</w:t>
      </w:r>
      <w:r>
        <w:rPr>
          <w:rFonts w:ascii="Arial" w:eastAsia="Arial" w:hAnsi="Arial" w:cs="Arial"/>
          <w:color w:val="000000"/>
          <w:sz w:val="20"/>
        </w:rPr>
        <w:t>, 395 F.3d 747, 759 (7th Cir. 2005) (declining to "scour" the record to help a party overcome summary judgment).</w:t>
      </w:r>
    </w:p>
    <w:p w14:paraId="2C1B89FF" w14:textId="77777777" w:rsidR="002D0E71" w:rsidRDefault="00000000">
      <w:pPr>
        <w:pStyle w:val="Normal8"/>
        <w:widowControl w:val="0"/>
        <w:spacing w:before="200" w:line="260" w:lineRule="atLeast"/>
        <w:jc w:val="both"/>
      </w:pPr>
      <w:bookmarkStart w:id="1245" w:name="Bookmark_para_34_4"/>
      <w:bookmarkEnd w:id="1245"/>
      <w:r>
        <w:rPr>
          <w:rFonts w:ascii="Arial" w:eastAsia="Arial" w:hAnsi="Arial" w:cs="Arial"/>
          <w:color w:val="000000"/>
          <w:sz w:val="20"/>
        </w:rPr>
        <w:t>Unable to establish any claims for damages, plaintiffs Wright and Brandy-Comer argue that their ongoing state cases give them standing to seek injunctive relief. They argue that there is a chance they will be called [**19]  into court on a day when there is snow on the ground. Based on their attorney's past experience with snow making ramps inaccessible, they argue that snow—along with the city's failure to remove it promptly—will make it difficult to reach the court on a day of inclement weather.</w:t>
      </w:r>
    </w:p>
    <w:p w14:paraId="3789B8C7" w14:textId="77777777" w:rsidR="002D0E71" w:rsidRDefault="00000000">
      <w:pPr>
        <w:pStyle w:val="Normal8"/>
        <w:widowControl w:val="0"/>
        <w:spacing w:before="200" w:line="260" w:lineRule="atLeast"/>
        <w:jc w:val="both"/>
      </w:pPr>
      <w:bookmarkStart w:id="1246" w:name="Bookmark_para_35_4"/>
      <w:bookmarkStart w:id="1247" w:name="Bookmark_I0BH7BCJHD3000VXMJ000332"/>
      <w:bookmarkStart w:id="1248" w:name="Bookmark_I5JJRVX32SF7X10040000400"/>
      <w:bookmarkEnd w:id="1246"/>
      <w:bookmarkEnd w:id="1247"/>
      <w:bookmarkEnd w:id="1248"/>
      <w:r>
        <w:rPr>
          <w:rFonts w:ascii="Arial" w:eastAsia="Arial" w:hAnsi="Arial" w:cs="Arial"/>
          <w:color w:val="000000"/>
          <w:sz w:val="20"/>
        </w:rPr>
        <w:t xml:space="preserve">While recognizing that South Bend receives significant snowfall in most winters, we do not find evidence in this record that plaintiffs face a "real and immediate" threat that they will be subjected to a violation of their rights, even assuming that the city's failure to remove the snow constitutes a violation of the federal disability statutes. </w:t>
      </w:r>
      <w:bookmarkStart w:id="1249" w:name="Bookmark_I5JJRVX32N1RHP0010000400"/>
      <w:bookmarkEnd w:id="1249"/>
      <w:r>
        <w:rPr>
          <w:rFonts w:ascii="Arial" w:eastAsia="Arial" w:hAnsi="Arial" w:cs="Arial"/>
          <w:color w:val="000000"/>
          <w:sz w:val="20"/>
        </w:rPr>
        <w:t xml:space="preserve">See </w:t>
      </w:r>
      <w:bookmarkStart w:id="1250" w:name="Bookmark_I5JJRVX32SF7X10030000400"/>
      <w:bookmarkEnd w:id="1250"/>
      <w:r>
        <w:rPr>
          <w:rFonts w:ascii="Arial" w:eastAsia="Arial" w:hAnsi="Arial" w:cs="Arial"/>
          <w:i/>
          <w:color w:val="000000"/>
          <w:sz w:val="20"/>
        </w:rPr>
        <w:t>Scherr</w:t>
      </w:r>
      <w:r>
        <w:rPr>
          <w:rFonts w:ascii="Arial" w:eastAsia="Arial" w:hAnsi="Arial" w:cs="Arial"/>
          <w:color w:val="000000"/>
          <w:sz w:val="20"/>
        </w:rPr>
        <w:t xml:space="preserve">, 703 F.3d at 1074. We could only speculate whether Wright and Brandy-Comer's cases will involve court appearances on future snowy days. This is not to say that the possibility of future injury must be certain, but there must be at least a substantial risk that such harm will occur. </w:t>
      </w:r>
      <w:bookmarkStart w:id="1251" w:name="Bookmark_I5JJRVX32N1RHP0010000400_2"/>
      <w:bookmarkEnd w:id="1251"/>
      <w:r>
        <w:rPr>
          <w:rFonts w:ascii="Arial" w:eastAsia="Arial" w:hAnsi="Arial" w:cs="Arial"/>
          <w:color w:val="000000"/>
          <w:sz w:val="20"/>
        </w:rPr>
        <w:t xml:space="preserve">See </w:t>
      </w:r>
      <w:bookmarkStart w:id="1252" w:name="Bookmark_I5JJRVX32SF7X10050000400"/>
      <w:bookmarkEnd w:id="1252"/>
      <w:r>
        <w:rPr>
          <w:rFonts w:ascii="Arial" w:eastAsia="Arial" w:hAnsi="Arial" w:cs="Arial"/>
          <w:i/>
          <w:color w:val="000000"/>
          <w:sz w:val="20"/>
        </w:rPr>
        <w:t>American Bottom Conservancy v. United States Army Corps of Engineers</w:t>
      </w:r>
      <w:r>
        <w:rPr>
          <w:rFonts w:ascii="Arial" w:eastAsia="Arial" w:hAnsi="Arial" w:cs="Arial"/>
          <w:color w:val="000000"/>
          <w:sz w:val="20"/>
        </w:rPr>
        <w:t>, 650 F.3d 652, 658 (7th Cir. 2011) (</w:t>
      </w:r>
      <w:bookmarkStart w:id="1253" w:name="Bookmark_LNHNREFclscc9_5"/>
      <w:bookmarkEnd w:id="1253"/>
      <w:r>
        <w:rPr>
          <w:rFonts w:ascii="Arial" w:eastAsia="Arial" w:hAnsi="Arial" w:cs="Arial"/>
          <w:color w:val="000000"/>
          <w:sz w:val="20"/>
        </w:rPr>
        <w:t xml:space="preserve">certainty not required; probable harm is enough); </w:t>
      </w:r>
      <w:bookmarkStart w:id="1254" w:name="Bookmark_I5JJRVX32N1RHP0020000400"/>
      <w:bookmarkEnd w:id="1254"/>
      <w:r>
        <w:rPr>
          <w:rFonts w:ascii="Arial" w:eastAsia="Arial" w:hAnsi="Arial" w:cs="Arial"/>
          <w:i/>
          <w:color w:val="000000"/>
          <w:sz w:val="20"/>
        </w:rPr>
        <w:t>Bauer v. Shepard</w:t>
      </w:r>
      <w:r>
        <w:rPr>
          <w:rFonts w:ascii="Arial" w:eastAsia="Arial" w:hAnsi="Arial" w:cs="Arial"/>
          <w:color w:val="000000"/>
          <w:sz w:val="20"/>
        </w:rPr>
        <w:t>, 620 F.3d 704, 708 (7th Cir. 2010) (stating  [*1020]  that "probability of future injury counts as 'injury' for the purpose of standing"). We cannot say that the risk presented here meets that standard, though if there are similar problems in the future, the district court may need to take action [**20]  in a future case.</w:t>
      </w:r>
    </w:p>
    <w:p w14:paraId="39828C86" w14:textId="77777777" w:rsidR="002D0E71" w:rsidRDefault="00000000">
      <w:pPr>
        <w:pStyle w:val="Normal8"/>
        <w:widowControl w:val="0"/>
        <w:spacing w:before="120" w:line="260" w:lineRule="atLeast"/>
      </w:pPr>
      <w:r>
        <w:rPr>
          <w:rFonts w:ascii="Arial" w:eastAsia="Arial" w:hAnsi="Arial" w:cs="Arial"/>
          <w:color w:val="000000"/>
          <w:sz w:val="20"/>
        </w:rPr>
        <w:t xml:space="preserve">C. </w:t>
      </w:r>
      <w:r>
        <w:rPr>
          <w:rFonts w:ascii="Arial" w:eastAsia="Arial" w:hAnsi="Arial" w:cs="Arial"/>
          <w:i/>
          <w:color w:val="000000"/>
          <w:sz w:val="20"/>
        </w:rPr>
        <w:t>Accessibility of the St. Joseph County Courthouse</w:t>
      </w:r>
    </w:p>
    <w:p w14:paraId="6055CF8A" w14:textId="77777777" w:rsidR="002D0E71" w:rsidRDefault="00000000">
      <w:pPr>
        <w:pStyle w:val="Normal8"/>
        <w:widowControl w:val="0"/>
        <w:spacing w:before="200" w:line="260" w:lineRule="atLeast"/>
        <w:jc w:val="both"/>
      </w:pPr>
      <w:bookmarkStart w:id="1255" w:name="Bookmark_para_36_4"/>
      <w:bookmarkEnd w:id="1255"/>
      <w:r>
        <w:rPr>
          <w:rFonts w:ascii="Arial" w:eastAsia="Arial" w:hAnsi="Arial" w:cs="Arial"/>
          <w:color w:val="000000"/>
          <w:sz w:val="20"/>
        </w:rPr>
        <w:t>Finally, plaintiffs raise several accessibility problems posed by various features of the St. Joseph County Courthouse: the restrooms, elevators, water fountains, facilities for jurors, witness stands, podiums for lawyers, clerk counters, entrance ramp, and spectator seating. Plaintiffs also argue that there are insufficient services for the blind. Plaintiffs seek both damages and injunctive relief on these claims.</w:t>
      </w:r>
    </w:p>
    <w:p w14:paraId="5707B953" w14:textId="77777777" w:rsidR="002D0E71" w:rsidRDefault="00000000">
      <w:pPr>
        <w:pStyle w:val="Normal8"/>
        <w:widowControl w:val="0"/>
        <w:spacing w:before="200" w:line="260" w:lineRule="atLeast"/>
        <w:jc w:val="both"/>
      </w:pPr>
      <w:bookmarkStart w:id="1256" w:name="Bookmark_para_37_4"/>
      <w:bookmarkEnd w:id="1256"/>
      <w:r>
        <w:rPr>
          <w:rFonts w:ascii="Arial" w:eastAsia="Arial" w:hAnsi="Arial" w:cs="Arial"/>
          <w:color w:val="000000"/>
          <w:sz w:val="20"/>
        </w:rPr>
        <w:t>We agree with the district court that no plaintiff has offered sufficient evidence to maintain a claim for damages against the county. Three remaining plaintiffs, Hummel, Wright, and Brandy-Comer, have had some experience litigating in the St. Joseph County Courthouse. They have failed to offer evidence that they encountered accessibility problems in the courthouse, that those problems led to their inability to access court services, or that they were discriminated against on the basis of their disabilities.</w:t>
      </w:r>
    </w:p>
    <w:p w14:paraId="5E5D76F9" w14:textId="77777777" w:rsidR="002D0E71" w:rsidRDefault="00000000">
      <w:pPr>
        <w:pStyle w:val="Normal8"/>
        <w:widowControl w:val="0"/>
        <w:spacing w:before="200" w:line="260" w:lineRule="atLeast"/>
        <w:jc w:val="both"/>
      </w:pPr>
      <w:bookmarkStart w:id="1257" w:name="Bookmark_para_38_3"/>
      <w:bookmarkEnd w:id="1257"/>
      <w:r>
        <w:rPr>
          <w:rFonts w:ascii="Arial" w:eastAsia="Arial" w:hAnsi="Arial" w:cs="Arial"/>
          <w:color w:val="000000"/>
          <w:sz w:val="20"/>
        </w:rPr>
        <w:t>Hummel has come the closest to offering evidence sufficient for a claim for damages. Unlike the others, he actually visited the courthouse to participate in a one-day bench trial. Plaintiffs' interrogatory [**21]  answers show that neither Wright nor Brandy-Comer has attended, let alone been harmed by attending, a court hearing in the St. Joseph County Courthouse.</w:t>
      </w:r>
    </w:p>
    <w:p w14:paraId="42AA15C9" w14:textId="77777777" w:rsidR="002D0E71" w:rsidRDefault="00000000">
      <w:pPr>
        <w:pStyle w:val="Normal8"/>
        <w:widowControl w:val="0"/>
        <w:spacing w:before="200" w:line="260" w:lineRule="atLeast"/>
        <w:jc w:val="both"/>
      </w:pPr>
      <w:bookmarkStart w:id="1258" w:name="Bookmark_para_39_3"/>
      <w:bookmarkEnd w:id="1258"/>
      <w:r>
        <w:rPr>
          <w:rFonts w:ascii="Arial" w:eastAsia="Arial" w:hAnsi="Arial" w:cs="Arial"/>
          <w:color w:val="000000"/>
          <w:sz w:val="20"/>
        </w:rPr>
        <w:t xml:space="preserve">But Hummel failed to offer evidence of more than his mere presence at trial. </w:t>
      </w:r>
      <w:bookmarkStart w:id="1259" w:name="Bookmark_I5JJRVX32N1RHP0050000400"/>
      <w:bookmarkEnd w:id="1259"/>
      <w:r>
        <w:rPr>
          <w:rFonts w:ascii="Arial" w:eastAsia="Arial" w:hAnsi="Arial" w:cs="Arial"/>
          <w:color w:val="000000"/>
          <w:sz w:val="20"/>
        </w:rPr>
        <w:t xml:space="preserve">He argued to the district court that the "Court has well summarized [in its prior decision] the difficulties and problems individuals with disabilities faced in the main Courthouse" and that "Hummel is in that group." As noted above, the district court did not err by refusing to consider as evidence citations to its prior decision at the preliminary injunction hearing. Allegations that some litigants with disabilities may suffer discrimination when they enter the St. Joseph County Courthouse are not enough to show a genuine issue of material fact about whether Hummel personally suffered discrimination when he went to court. See </w:t>
      </w:r>
      <w:bookmarkStart w:id="1260" w:name="Bookmark_I5JJRVX32N1RHP0040000400"/>
      <w:bookmarkEnd w:id="1260"/>
      <w:r>
        <w:rPr>
          <w:rFonts w:ascii="Arial" w:eastAsia="Arial" w:hAnsi="Arial" w:cs="Arial"/>
          <w:i/>
          <w:color w:val="000000"/>
          <w:sz w:val="20"/>
        </w:rPr>
        <w:t>Argyropoulos v. City of Alton</w:t>
      </w:r>
      <w:r>
        <w:rPr>
          <w:rFonts w:ascii="Arial" w:eastAsia="Arial" w:hAnsi="Arial" w:cs="Arial"/>
          <w:color w:val="000000"/>
          <w:sz w:val="20"/>
        </w:rPr>
        <w:t>, 539 F.3d 724, 732 (7th Cir. 2008) (noting that "</w:t>
      </w:r>
      <w:bookmarkStart w:id="1261" w:name="Bookmark_LNHNREFclscc10_5"/>
      <w:bookmarkEnd w:id="1261"/>
      <w:r>
        <w:rPr>
          <w:rFonts w:ascii="Arial" w:eastAsia="Arial" w:hAnsi="Arial" w:cs="Arial"/>
          <w:color w:val="000000"/>
          <w:sz w:val="20"/>
        </w:rPr>
        <w:t>our favor toward the nonmoving party does not extend to drawing inferences that are supported by only speculation or conjecture") (internal quotation marks, citation, and alteration omitted).</w:t>
      </w:r>
    </w:p>
    <w:p w14:paraId="12128601" w14:textId="77777777" w:rsidR="002D0E71" w:rsidRDefault="00000000">
      <w:pPr>
        <w:pStyle w:val="Normal8"/>
        <w:widowControl w:val="0"/>
        <w:spacing w:before="200" w:line="260" w:lineRule="atLeast"/>
        <w:jc w:val="both"/>
      </w:pPr>
      <w:bookmarkStart w:id="1262" w:name="Bookmark_para_40_3"/>
      <w:bookmarkEnd w:id="1262"/>
      <w:r>
        <w:rPr>
          <w:rFonts w:ascii="Arial" w:eastAsia="Arial" w:hAnsi="Arial" w:cs="Arial"/>
          <w:color w:val="000000"/>
          <w:sz w:val="20"/>
        </w:rPr>
        <w:t>This inference would be especially difficult to draw given the sworn statement of Judge Reagan, the judge who presided over Hummel's [**22]  bench trial, indicating that she had no indication that anyone with a disability was having a difficult time during the trial. Plaintiffs are correct, of course, that Hummel may still have been discriminated against even if Judge Reagan had no reason to know that. There is no need to complain informally before suing (though it is hard to imagine that an informal complaint would have been futile). But again, plaintiffs offered no evidence to this effect.</w:t>
      </w:r>
    </w:p>
    <w:p w14:paraId="6BABA0DD" w14:textId="77777777" w:rsidR="002D0E71" w:rsidRDefault="00000000">
      <w:pPr>
        <w:pStyle w:val="Normal8"/>
        <w:widowControl w:val="0"/>
        <w:spacing w:before="200" w:line="260" w:lineRule="atLeast"/>
        <w:jc w:val="both"/>
      </w:pPr>
      <w:bookmarkStart w:id="1263" w:name="Bookmark_para_41_3"/>
      <w:bookmarkEnd w:id="1263"/>
      <w:r>
        <w:rPr>
          <w:rFonts w:ascii="Arial" w:eastAsia="Arial" w:hAnsi="Arial" w:cs="Arial"/>
          <w:color w:val="000000"/>
          <w:sz w:val="20"/>
        </w:rPr>
        <w:t>The result is the same on the question of injunctive relief. Here, the district court correctly concluded that Wright and Brandy-Comer have standing to challenge the features of the courthouse that could cause them to suffer future discrimination because they had cases pending at the courthouse. They do not, however, have standing to challenge the  [*1021]  features that would not directly affect a litigant, such as the jury facilities, or facilities that are inaccessible to the blind, a disability they do not have.</w:t>
      </w:r>
    </w:p>
    <w:p w14:paraId="32472995" w14:textId="77777777" w:rsidR="002D0E71" w:rsidRDefault="00000000">
      <w:pPr>
        <w:pStyle w:val="Normal8"/>
        <w:widowControl w:val="0"/>
        <w:spacing w:before="200" w:line="260" w:lineRule="atLeast"/>
        <w:jc w:val="both"/>
      </w:pPr>
      <w:bookmarkStart w:id="1264" w:name="Bookmark_para_42_3"/>
      <w:bookmarkStart w:id="1265" w:name="Bookmark_I5JJRVX32D6N4C0020000400"/>
      <w:bookmarkEnd w:id="1264"/>
      <w:bookmarkEnd w:id="1265"/>
      <w:r>
        <w:rPr>
          <w:rFonts w:ascii="Arial" w:eastAsia="Arial" w:hAnsi="Arial" w:cs="Arial"/>
          <w:color w:val="000000"/>
          <w:sz w:val="20"/>
        </w:rPr>
        <w:t xml:space="preserve">It is reasonable to infer from their concrete plans to continue pursuing state court litigation that Wright and Brandy-Comer will enter the courthouse in the future. Assuming they are correct that the courthouse is not in compliance [**23]  with the ADA, it is also reasonable to infer that the features about which plaintiffs complain will limit the accessibility of the courthouse to plaintiffs for the foreseeable future. See </w:t>
      </w:r>
      <w:bookmarkStart w:id="1266" w:name="Bookmark_I5JJRVX32D6N4C0010000400"/>
      <w:bookmarkEnd w:id="1266"/>
      <w:r>
        <w:rPr>
          <w:rFonts w:ascii="Arial" w:eastAsia="Arial" w:hAnsi="Arial" w:cs="Arial"/>
          <w:i/>
          <w:color w:val="000000"/>
          <w:sz w:val="20"/>
        </w:rPr>
        <w:t>Scherr</w:t>
      </w:r>
      <w:r>
        <w:rPr>
          <w:rFonts w:ascii="Arial" w:eastAsia="Arial" w:hAnsi="Arial" w:cs="Arial"/>
          <w:color w:val="000000"/>
          <w:sz w:val="20"/>
        </w:rPr>
        <w:t>, 703 F.3d at 1074-75. In other words, unlike the speculative risk that they might encounter snow at the courthouse some day in the future, there is a more substantial risk that plaintiffs will encounter discrimination based on these more permanent features of the courthouse.</w:t>
      </w:r>
    </w:p>
    <w:p w14:paraId="6F131729" w14:textId="77777777" w:rsidR="002D0E71" w:rsidRDefault="00000000">
      <w:pPr>
        <w:pStyle w:val="Normal8"/>
        <w:widowControl w:val="0"/>
        <w:spacing w:before="200" w:line="260" w:lineRule="atLeast"/>
        <w:jc w:val="both"/>
      </w:pPr>
      <w:bookmarkStart w:id="1267" w:name="Bookmark_para_43_3"/>
      <w:bookmarkEnd w:id="1267"/>
      <w:r>
        <w:rPr>
          <w:rFonts w:ascii="Arial" w:eastAsia="Arial" w:hAnsi="Arial" w:cs="Arial"/>
          <w:color w:val="000000"/>
          <w:sz w:val="20"/>
        </w:rPr>
        <w:t>But Wright and Brandy-Comer do not have standing to challenge all aspects of the courthouse. Because Wright and Brandy-Comer have failed to offer evidence explaining how they—as non-blind individuals with disabilities—might be injured by the lack of services for blind individuals, we conclude that the district court was right to deny plaintiffs standing to challenge services for the blind. Plaintiffs also do not have standing to challenge the jury facilities, although that poses a closer question. The district court rejected plaintiffs' attempts to establish standing to challenge juror facilities based on the mere prospect that they might someday be called to be jurors. Although there is a chance these plaintiffs will be called to serve as jurors [**24]  at some point, there is no concrete evidence that plaintiffs have already been or likely will be called as jurors. The prospect of jury service remains too speculative to support standing to challenge juror facilities.</w:t>
      </w:r>
    </w:p>
    <w:p w14:paraId="4A6C7E86" w14:textId="77777777" w:rsidR="002D0E71" w:rsidRDefault="00000000">
      <w:pPr>
        <w:pStyle w:val="Normal8"/>
        <w:widowControl w:val="0"/>
        <w:spacing w:before="200" w:line="260" w:lineRule="atLeast"/>
        <w:jc w:val="both"/>
      </w:pPr>
      <w:bookmarkStart w:id="1268" w:name="Bookmark_para_44_2"/>
      <w:bookmarkStart w:id="1269" w:name="Bookmark_I5JJRVX32D6N4C0040000400"/>
      <w:bookmarkEnd w:id="1268"/>
      <w:bookmarkEnd w:id="1269"/>
      <w:r>
        <w:rPr>
          <w:rFonts w:ascii="Arial" w:eastAsia="Arial" w:hAnsi="Arial" w:cs="Arial"/>
          <w:color w:val="000000"/>
          <w:sz w:val="20"/>
        </w:rPr>
        <w:t xml:space="preserve">On appeal, plaintiffs offer a new theory to support their standing to challenge the facilities for jurors. They argue that, as litigants in civil cases, plaintiffs have standing to raise the rights of jurors who have been excluded from serving on the jury for discriminatory reasons. See </w:t>
      </w:r>
      <w:bookmarkStart w:id="1270" w:name="Bookmark_I5JJRVX32D6N4C0030000400"/>
      <w:bookmarkEnd w:id="1270"/>
      <w:r>
        <w:rPr>
          <w:rFonts w:ascii="Arial" w:eastAsia="Arial" w:hAnsi="Arial" w:cs="Arial"/>
          <w:i/>
          <w:color w:val="000000"/>
          <w:sz w:val="20"/>
        </w:rPr>
        <w:t>J.E.B. v. Alabama ex rel. T.B.</w:t>
      </w:r>
      <w:r>
        <w:rPr>
          <w:rFonts w:ascii="Arial" w:eastAsia="Arial" w:hAnsi="Arial" w:cs="Arial"/>
          <w:color w:val="000000"/>
          <w:sz w:val="20"/>
        </w:rPr>
        <w:t xml:space="preserve">, 511 U.S. 127, 128, 114 S. Ct. 1419, 128 L. Ed. 2d 89 (1994) ("We have recognized that whether the trial is criminal or civil, potential jurors, as well as litigants, have an equal protection right to jury selection procedures that are free from state-sponsored group stereotypes rooted in, and reflective of, historical prejudice."); </w:t>
      </w:r>
      <w:bookmarkStart w:id="1271" w:name="Bookmark_I5JJRVX32D6N4C0050000400"/>
      <w:bookmarkEnd w:id="1271"/>
      <w:r>
        <w:rPr>
          <w:rFonts w:ascii="Arial" w:eastAsia="Arial" w:hAnsi="Arial" w:cs="Arial"/>
          <w:i/>
          <w:color w:val="000000"/>
          <w:sz w:val="20"/>
        </w:rPr>
        <w:t>Edmonson v. Leesville Concrete Co.</w:t>
      </w:r>
      <w:r>
        <w:rPr>
          <w:rFonts w:ascii="Arial" w:eastAsia="Arial" w:hAnsi="Arial" w:cs="Arial"/>
          <w:color w:val="000000"/>
          <w:sz w:val="20"/>
        </w:rPr>
        <w:t xml:space="preserve">, 500 U.S. 614, 618, 111 S. Ct. 2077, 114 L. Ed. 2d 660 (1991); see also </w:t>
      </w:r>
      <w:bookmarkStart w:id="1272" w:name="Bookmark_I5JJRVX328T44X0020000400"/>
      <w:bookmarkEnd w:id="1272"/>
      <w:r>
        <w:rPr>
          <w:rFonts w:ascii="Arial" w:eastAsia="Arial" w:hAnsi="Arial" w:cs="Arial"/>
          <w:i/>
          <w:color w:val="000000"/>
          <w:sz w:val="20"/>
        </w:rPr>
        <w:t>United States v. Harris</w:t>
      </w:r>
      <w:r>
        <w:rPr>
          <w:rFonts w:ascii="Arial" w:eastAsia="Arial" w:hAnsi="Arial" w:cs="Arial"/>
          <w:color w:val="000000"/>
          <w:sz w:val="20"/>
        </w:rPr>
        <w:t>, 197 F.3d 870, 876 (7th Cir. 1999) (allowing challenge of peremptory strike of juror on the basis of her disability even if only under "rationality review").</w:t>
      </w:r>
    </w:p>
    <w:p w14:paraId="3F3EB39F" w14:textId="77777777" w:rsidR="002D0E71" w:rsidRDefault="00000000">
      <w:pPr>
        <w:pStyle w:val="Normal8"/>
        <w:widowControl w:val="0"/>
        <w:spacing w:before="200" w:line="260" w:lineRule="atLeast"/>
        <w:jc w:val="both"/>
      </w:pPr>
      <w:bookmarkStart w:id="1273" w:name="Bookmark_para_45_2"/>
      <w:bookmarkStart w:id="1274" w:name="Bookmark_I5JJRVX328T44X0050000400"/>
      <w:bookmarkEnd w:id="1273"/>
      <w:bookmarkEnd w:id="1274"/>
      <w:r>
        <w:rPr>
          <w:rFonts w:ascii="Arial" w:eastAsia="Arial" w:hAnsi="Arial" w:cs="Arial"/>
          <w:color w:val="000000"/>
          <w:sz w:val="20"/>
        </w:rPr>
        <w:t xml:space="preserve">There are two reasons, however, that we cannot base plaintiffs' standing on potential disability discrimination that St. Joseph County Courthouse jurors might face. First, plaintiffs did not argue this theory of standing in the district court, so it is waived. See </w:t>
      </w:r>
      <w:bookmarkStart w:id="1275" w:name="Bookmark_I5JJRVX328T44X0040000400"/>
      <w:bookmarkEnd w:id="1275"/>
      <w:r>
        <w:rPr>
          <w:rFonts w:ascii="Arial" w:eastAsia="Arial" w:hAnsi="Arial" w:cs="Arial"/>
          <w:i/>
          <w:color w:val="000000"/>
          <w:sz w:val="20"/>
        </w:rPr>
        <w:t>Economy Folding Box Corp. v. Anchor Frozen Foods Corp.</w:t>
      </w:r>
      <w:r>
        <w:rPr>
          <w:rFonts w:ascii="Arial" w:eastAsia="Arial" w:hAnsi="Arial" w:cs="Arial"/>
          <w:color w:val="000000"/>
          <w:sz w:val="20"/>
        </w:rPr>
        <w:t xml:space="preserve">, 515 F.3d 718, 720 (7th Cir. 2008); </w:t>
      </w:r>
      <w:bookmarkStart w:id="1276" w:name="Bookmark_I5JJRVX32HM6250010000400"/>
      <w:bookmarkEnd w:id="1276"/>
      <w:r>
        <w:rPr>
          <w:rFonts w:ascii="Arial" w:eastAsia="Arial" w:hAnsi="Arial" w:cs="Arial"/>
          <w:i/>
          <w:color w:val="000000"/>
          <w:sz w:val="20"/>
        </w:rPr>
        <w:t>Robyns v. Reliance Standard Life Insurance Co.</w:t>
      </w:r>
      <w:r>
        <w:rPr>
          <w:rFonts w:ascii="Arial" w:eastAsia="Arial" w:hAnsi="Arial" w:cs="Arial"/>
          <w:color w:val="000000"/>
          <w:sz w:val="20"/>
        </w:rPr>
        <w:t>, 130 F.3d 1231, 1237-38 (7th Cir. 1997) ("</w:t>
      </w:r>
      <w:bookmarkStart w:id="1277" w:name="Bookmark_LNHNREFclscc11_4"/>
      <w:bookmarkEnd w:id="1277"/>
      <w:r>
        <w:rPr>
          <w:rFonts w:ascii="Arial" w:eastAsia="Arial" w:hAnsi="Arial" w:cs="Arial"/>
          <w:color w:val="000000"/>
          <w:sz w:val="20"/>
        </w:rPr>
        <w:t xml:space="preserve">The well-established [**25]  rule in this Circuit is that a plaintiff waives the right to argue an issue on appeal if she fails to raise the issue before a lower court."). </w:t>
      </w:r>
      <w:bookmarkStart w:id="1278" w:name="Bookmark_I5JJRVX32HM6250040000400"/>
      <w:bookmarkEnd w:id="1278"/>
      <w:r>
        <w:rPr>
          <w:rFonts w:ascii="Arial" w:eastAsia="Arial" w:hAnsi="Arial" w:cs="Arial"/>
          <w:color w:val="000000"/>
          <w:sz w:val="20"/>
        </w:rPr>
        <w:t xml:space="preserve">Second, even if we overlooked that waiver, plaintiffs have put nothing in the record indicating more than a speculative probability that any of their state cases will require the use of a jury or that any members of the jury panel will be disabled. </w:t>
      </w:r>
      <w:bookmarkStart w:id="1279" w:name="Bookmark_I5JJRVX32HM6250040000400_2"/>
      <w:bookmarkEnd w:id="1279"/>
      <w:r>
        <w:rPr>
          <w:rFonts w:ascii="Arial" w:eastAsia="Arial" w:hAnsi="Arial" w:cs="Arial"/>
          <w:color w:val="000000"/>
          <w:sz w:val="20"/>
        </w:rPr>
        <w:t xml:space="preserve">Usually, the party challenging the composition of the jury wants to undo the verdict the jury  [*1022]  reached. See, e.g., </w:t>
      </w:r>
      <w:bookmarkStart w:id="1280" w:name="Bookmark_I5JJRVX32HM6250030000400"/>
      <w:bookmarkEnd w:id="1280"/>
      <w:r>
        <w:rPr>
          <w:rFonts w:ascii="Arial" w:eastAsia="Arial" w:hAnsi="Arial" w:cs="Arial"/>
          <w:i/>
          <w:color w:val="000000"/>
          <w:sz w:val="20"/>
        </w:rPr>
        <w:t>Edmonson</w:t>
      </w:r>
      <w:r>
        <w:rPr>
          <w:rFonts w:ascii="Arial" w:eastAsia="Arial" w:hAnsi="Arial" w:cs="Arial"/>
          <w:color w:val="000000"/>
          <w:sz w:val="20"/>
        </w:rPr>
        <w:t>, 500 U.S. at 617. The case for standing here is far more speculative. The district court correctly determined that these plaintiffs lacked standing to challenge the facilities for jurors.</w:t>
      </w:r>
      <w:r>
        <w:rPr>
          <w:rFonts w:ascii="Arial" w:eastAsia="Arial" w:hAnsi="Arial" w:cs="Arial"/>
          <w:vertAlign w:val="superscript"/>
        </w:rPr>
        <w:footnoteReference w:customMarkFollows="1" w:id="26"/>
        <w:t>2</w:t>
      </w:r>
    </w:p>
    <w:p w14:paraId="637DA58A" w14:textId="77777777" w:rsidR="002D0E71" w:rsidRDefault="00000000">
      <w:pPr>
        <w:pStyle w:val="Normal8"/>
        <w:widowControl w:val="0"/>
        <w:spacing w:before="200" w:line="260" w:lineRule="atLeast"/>
        <w:jc w:val="both"/>
      </w:pPr>
      <w:bookmarkStart w:id="1282" w:name="Bookmark_para_46_1"/>
      <w:bookmarkStart w:id="1283" w:name="Bookmark_I5JJRVX32SF7X20010000400"/>
      <w:bookmarkEnd w:id="1282"/>
      <w:bookmarkEnd w:id="1283"/>
      <w:r>
        <w:rPr>
          <w:rFonts w:ascii="Arial" w:eastAsia="Arial" w:hAnsi="Arial" w:cs="Arial"/>
          <w:color w:val="000000"/>
          <w:sz w:val="20"/>
        </w:rPr>
        <w:t xml:space="preserve">As for the features of the courthouse that plaintiffs do have standing to challenge, the district court was correct to grant defendants' motion for summary judgment. Absent plaintiffs' reliance on the district court's order denying a preliminary injunction, plaintiffs failed to present evidence that the witness stands, drinking fountains, spectator [**26]  seating, lawyer podiums, and clerk counters violate the ADA or Rehabilitation Act. Plaintiffs provided evidence that the elevator is very old, but without more that evidence would not support a finding that the elevator renders court services not readily accessible. See </w:t>
      </w:r>
      <w:bookmarkStart w:id="1284" w:name="Bookmark_I5JJRVX32HM6250050000400"/>
      <w:bookmarkEnd w:id="1284"/>
      <w:r>
        <w:rPr>
          <w:rFonts w:ascii="Arial" w:eastAsia="Arial" w:hAnsi="Arial" w:cs="Arial"/>
          <w:i/>
          <w:color w:val="000000"/>
          <w:sz w:val="20"/>
        </w:rPr>
        <w:t>Carroll v. Lynch</w:t>
      </w:r>
      <w:r>
        <w:rPr>
          <w:rFonts w:ascii="Arial" w:eastAsia="Arial" w:hAnsi="Arial" w:cs="Arial"/>
          <w:color w:val="000000"/>
          <w:sz w:val="20"/>
        </w:rPr>
        <w:t>, 698 F.3d 561, 564 (7th Cir. 2012). There was much debate about the accessibility problems posed by the entrance ramp during the preliminary injunction hearing. At least two individuals suggested it was ADA-compliant, and the district court reminded plaintiffs that they had not produced any evidence that the ramp was not ADA-compliant. Plaintiffs did not or could not respond. In opposing summary judgment, they failed to offer additional evidence about accessibility problems posed by the ramp. The ramp might or might not be ADA-compliant, but plaintiffs' lack of evidence requires us to affirm summary judgment on the point.</w:t>
      </w:r>
    </w:p>
    <w:p w14:paraId="6644839C" w14:textId="77777777" w:rsidR="002D0E71" w:rsidRDefault="00000000">
      <w:pPr>
        <w:pStyle w:val="Normal8"/>
        <w:widowControl w:val="0"/>
        <w:spacing w:before="200" w:line="260" w:lineRule="atLeast"/>
        <w:jc w:val="both"/>
      </w:pPr>
      <w:bookmarkStart w:id="1285" w:name="Bookmark_para_47_1"/>
      <w:bookmarkEnd w:id="1285"/>
      <w:r>
        <w:rPr>
          <w:rFonts w:ascii="Arial" w:eastAsia="Arial" w:hAnsi="Arial" w:cs="Arial"/>
          <w:color w:val="000000"/>
          <w:sz w:val="20"/>
        </w:rPr>
        <w:t>Finally, on the issue that looked most promising to plaintiffs at the preliminary injunction hearing—whether sufficient restroom facilities were accessible to plaintiffs using the St. Joseph County Courthouse—we agree with the district court that the county's intervening installation of ADA-compliant restrooms has eliminated any need [**27]  for injunctive relief. Plaintiffs emphasize that at one point a person with a disability would have needed to go down to the courthouse basement and travel through a tunnel ramp to the neighboring county building to use an ADA-compliant restroom. That led the district court to conclude in its preliminary injunction opinion that "it appears that there are no public restrooms accessible to individuals in wheelchairs in the Courthouse itself, and there is no indication that the County accommodates individuals with disabilities by reassigning cases involving disabled parties, attorneys, witnesses, or spectators to fully accessible facilities elsewhere." As a result, the district court thought that there was at least a reasonable likelihood that plaintiffs could establish that the lack of restroom access rendered the courthouse less than readily accessible.</w:t>
      </w:r>
    </w:p>
    <w:p w14:paraId="6D79E7C3" w14:textId="77777777" w:rsidR="002D0E71" w:rsidRDefault="00000000">
      <w:pPr>
        <w:pStyle w:val="Normal8"/>
        <w:widowControl w:val="0"/>
        <w:spacing w:before="200" w:line="260" w:lineRule="atLeast"/>
        <w:jc w:val="both"/>
      </w:pPr>
      <w:bookmarkStart w:id="1286" w:name="Bookmark_para_48_1"/>
      <w:bookmarkEnd w:id="1286"/>
      <w:r>
        <w:rPr>
          <w:rFonts w:ascii="Arial" w:eastAsia="Arial" w:hAnsi="Arial" w:cs="Arial"/>
          <w:color w:val="000000"/>
          <w:sz w:val="20"/>
        </w:rPr>
        <w:t>But the restroom situation has changed since that decision. The record indicates that there are now ADA-compliant restrooms in the St. Joseph County Courthouse. Plaintiffs conceded as much in their cross-motion for summary judgment, making clear that there was no longer a dispute of material fact that the county installed accessible restrooms [**28]  in the courthouse.</w:t>
      </w:r>
    </w:p>
    <w:p w14:paraId="78BD19D9" w14:textId="77777777" w:rsidR="002D0E71" w:rsidRDefault="00000000">
      <w:pPr>
        <w:pStyle w:val="Normal8"/>
        <w:widowControl w:val="0"/>
        <w:spacing w:before="200" w:line="260" w:lineRule="atLeast"/>
        <w:jc w:val="both"/>
      </w:pPr>
      <w:bookmarkStart w:id="1287" w:name="Bookmark_para_49_1"/>
      <w:bookmarkStart w:id="1288" w:name="Bookmark_I0BH7BCJN77000VXMJ0004FR"/>
      <w:bookmarkStart w:id="1289" w:name="Bookmark_I0BH7BCJT2C000VXMJ000334"/>
      <w:bookmarkStart w:id="1290" w:name="Bookmark_I5JJRVX32SF7X20030000400"/>
      <w:bookmarkStart w:id="1291" w:name="Bookmark_I5JJRVX32D6N4D0040000400"/>
      <w:bookmarkStart w:id="1292" w:name="Bookmark_LNHNREFclscc12_4"/>
      <w:bookmarkEnd w:id="1287"/>
      <w:bookmarkEnd w:id="1288"/>
      <w:bookmarkEnd w:id="1289"/>
      <w:bookmarkEnd w:id="1290"/>
      <w:bookmarkEnd w:id="1291"/>
      <w:bookmarkEnd w:id="1292"/>
      <w:r>
        <w:rPr>
          <w:rFonts w:ascii="Arial" w:eastAsia="Arial" w:hAnsi="Arial" w:cs="Arial"/>
          <w:color w:val="000000"/>
          <w:sz w:val="20"/>
        </w:rPr>
        <w:t xml:space="preserve">Where, as here, an issue is no longer "live" and the parties "lack a legally cognizable interest in the outcome," the claim is "moot and must be dismissed for lack of jurisdiction." </w:t>
      </w:r>
      <w:bookmarkStart w:id="1293" w:name="Bookmark_I5JJRVX32SF7X20020000400"/>
      <w:bookmarkEnd w:id="1293"/>
      <w:r>
        <w:rPr>
          <w:rFonts w:ascii="Arial" w:eastAsia="Arial" w:hAnsi="Arial" w:cs="Arial"/>
          <w:i/>
          <w:color w:val="000000"/>
          <w:sz w:val="20"/>
        </w:rPr>
        <w:t>St. John's United Church of Christ v. City of Chicago</w:t>
      </w:r>
      <w:r>
        <w:rPr>
          <w:rFonts w:ascii="Arial" w:eastAsia="Arial" w:hAnsi="Arial" w:cs="Arial"/>
          <w:color w:val="000000"/>
          <w:sz w:val="20"/>
        </w:rPr>
        <w:t xml:space="preserve">, 502 F.3d 616, 626 (7th Cir. 2007), quoting </w:t>
      </w:r>
      <w:bookmarkStart w:id="1294" w:name="Bookmark_I5JJRVX32SF7X20040000400"/>
      <w:bookmarkEnd w:id="1294"/>
      <w:r>
        <w:rPr>
          <w:rFonts w:ascii="Arial" w:eastAsia="Arial" w:hAnsi="Arial" w:cs="Arial"/>
          <w:i/>
          <w:color w:val="000000"/>
          <w:sz w:val="20"/>
        </w:rPr>
        <w:t>Powell v. McCormack</w:t>
      </w:r>
      <w:r>
        <w:rPr>
          <w:rFonts w:ascii="Arial" w:eastAsia="Arial" w:hAnsi="Arial" w:cs="Arial"/>
          <w:color w:val="000000"/>
          <w:sz w:val="20"/>
        </w:rPr>
        <w:t xml:space="preserve">, 395 U.S. 486, 496, 89 S. Ct. 1944, 23 L. Ed. 2d 491 (1969); see also </w:t>
      </w:r>
      <w:bookmarkStart w:id="1295" w:name="Bookmark_I5JJRVX32D6N4D0010000400"/>
      <w:bookmarkEnd w:id="1295"/>
      <w:r>
        <w:rPr>
          <w:rFonts w:ascii="Arial" w:eastAsia="Arial" w:hAnsi="Arial" w:cs="Arial"/>
          <w:i/>
          <w:color w:val="000000"/>
          <w:sz w:val="20"/>
        </w:rPr>
        <w:t>Brown v. Bartholomew Consolidated  [*1023]  School Corp.</w:t>
      </w:r>
      <w:r>
        <w:rPr>
          <w:rFonts w:ascii="Arial" w:eastAsia="Arial" w:hAnsi="Arial" w:cs="Arial"/>
          <w:color w:val="000000"/>
          <w:sz w:val="20"/>
        </w:rPr>
        <w:t xml:space="preserve">, 442 F.3d 588, 596 (7th Cir. 2006) ("A case becomes moot when a court's decision can no longer affect the rights of litigants in the case before them and simply would be an opinion advising what the law would be upon a hypothetical state of facts.") (citation and internal quotation marks omitted). It is not enough that the controversy was live at an earlier stage of the case. Article III requires a live controversy throughout the existence of the case. See </w:t>
      </w:r>
      <w:bookmarkStart w:id="1296" w:name="Bookmark_I5JJRVX32D6N4D0030000400"/>
      <w:bookmarkEnd w:id="1296"/>
      <w:r>
        <w:rPr>
          <w:rFonts w:ascii="Arial" w:eastAsia="Arial" w:hAnsi="Arial" w:cs="Arial"/>
          <w:i/>
          <w:color w:val="000000"/>
          <w:sz w:val="20"/>
        </w:rPr>
        <w:t>St. John's United Church of Christ</w:t>
      </w:r>
      <w:r>
        <w:rPr>
          <w:rFonts w:ascii="Arial" w:eastAsia="Arial" w:hAnsi="Arial" w:cs="Arial"/>
          <w:color w:val="000000"/>
          <w:sz w:val="20"/>
        </w:rPr>
        <w:t xml:space="preserve">, 502 F.3d at 626, citing </w:t>
      </w:r>
      <w:bookmarkStart w:id="1297" w:name="Bookmark_I5JJRVX32D6N4D0050000400"/>
      <w:bookmarkEnd w:id="1297"/>
      <w:r>
        <w:rPr>
          <w:rFonts w:ascii="Arial" w:eastAsia="Arial" w:hAnsi="Arial" w:cs="Arial"/>
          <w:i/>
          <w:color w:val="000000"/>
          <w:sz w:val="20"/>
        </w:rPr>
        <w:t>Arizonans for Official English v. Arizona</w:t>
      </w:r>
      <w:r>
        <w:rPr>
          <w:rFonts w:ascii="Arial" w:eastAsia="Arial" w:hAnsi="Arial" w:cs="Arial"/>
          <w:color w:val="000000"/>
          <w:sz w:val="20"/>
        </w:rPr>
        <w:t>, 520 U.S. 43, 68 n.22, 117 S. Ct. 1055, 137 L. Ed. 2d 170 (1997). Because the county provided plaintiffs the relief they sought on this claim, plaintiffs do not currently have an interest in maintaining this claim.</w:t>
      </w:r>
    </w:p>
    <w:p w14:paraId="09959D56" w14:textId="77777777" w:rsidR="002D0E71" w:rsidRDefault="00000000">
      <w:pPr>
        <w:pStyle w:val="Normal8"/>
        <w:widowControl w:val="0"/>
        <w:spacing w:before="200" w:line="260" w:lineRule="atLeast"/>
        <w:jc w:val="both"/>
      </w:pPr>
      <w:bookmarkStart w:id="1298" w:name="Bookmark_para_50_1"/>
      <w:bookmarkStart w:id="1299" w:name="Bookmark_I5JJRVX32HM6260030000400"/>
      <w:bookmarkEnd w:id="1298"/>
      <w:bookmarkEnd w:id="1299"/>
      <w:r>
        <w:rPr>
          <w:rFonts w:ascii="Arial" w:eastAsia="Arial" w:hAnsi="Arial" w:cs="Arial"/>
          <w:color w:val="000000"/>
          <w:sz w:val="20"/>
        </w:rPr>
        <w:t xml:space="preserve">That said, </w:t>
      </w:r>
      <w:bookmarkStart w:id="1300" w:name="Bookmark_LNHNREFclscc13_3"/>
      <w:bookmarkEnd w:id="1300"/>
      <w:r>
        <w:rPr>
          <w:rFonts w:ascii="Arial" w:eastAsia="Arial" w:hAnsi="Arial" w:cs="Arial"/>
          <w:color w:val="000000"/>
          <w:sz w:val="20"/>
        </w:rPr>
        <w:t xml:space="preserve">a defendant's decision to comply voluntarily with a plaintiff's demands does not always moot a request for injunctive relief. </w:t>
      </w:r>
      <w:bookmarkStart w:id="1301" w:name="Bookmark_I5JJRVX32N1RHR0020000400"/>
      <w:bookmarkEnd w:id="1301"/>
      <w:r>
        <w:rPr>
          <w:rFonts w:ascii="Arial" w:eastAsia="Arial" w:hAnsi="Arial" w:cs="Arial"/>
          <w:color w:val="000000"/>
          <w:sz w:val="20"/>
        </w:rPr>
        <w:t xml:space="preserve">There may still be a risk that a defendant could reverse course once a claim is dismissed. See </w:t>
      </w:r>
      <w:bookmarkStart w:id="1302" w:name="Bookmark_I5JJRVX32HM6260020000400"/>
      <w:bookmarkEnd w:id="1302"/>
      <w:r>
        <w:rPr>
          <w:rFonts w:ascii="Arial" w:eastAsia="Arial" w:hAnsi="Arial" w:cs="Arial"/>
          <w:i/>
          <w:color w:val="000000"/>
          <w:sz w:val="20"/>
        </w:rPr>
        <w:t>Friends of the Earth, Inc. v. Laidlaw Environmental Services (TOC), Inc.</w:t>
      </w:r>
      <w:r>
        <w:rPr>
          <w:rFonts w:ascii="Arial" w:eastAsia="Arial" w:hAnsi="Arial" w:cs="Arial"/>
          <w:color w:val="000000"/>
          <w:sz w:val="20"/>
        </w:rPr>
        <w:t xml:space="preserve">, 528 U.S. 167, 189, 120 S. Ct. 693, 145 L. Ed. 2d 610 (2000); </w:t>
      </w:r>
      <w:bookmarkStart w:id="1303" w:name="Bookmark_I5JJRVX32HM6260040000400"/>
      <w:bookmarkEnd w:id="1303"/>
      <w:r>
        <w:rPr>
          <w:rFonts w:ascii="Arial" w:eastAsia="Arial" w:hAnsi="Arial" w:cs="Arial"/>
          <w:i/>
          <w:color w:val="000000"/>
          <w:sz w:val="20"/>
        </w:rPr>
        <w:t>Chicago United Industries, Ltd. v. City of Chicago</w:t>
      </w:r>
      <w:r>
        <w:rPr>
          <w:rFonts w:ascii="Arial" w:eastAsia="Arial" w:hAnsi="Arial" w:cs="Arial"/>
          <w:color w:val="000000"/>
          <w:sz w:val="20"/>
        </w:rPr>
        <w:t xml:space="preserve">, 445 F.3d 940, 947 (7th Cir. 2006). </w:t>
      </w:r>
      <w:bookmarkStart w:id="1304" w:name="Bookmark_I5JJRVX32N1RHR0020000400_2"/>
      <w:bookmarkStart w:id="1305" w:name="Bookmark_I5JJRVX32SF7X30010000400"/>
      <w:bookmarkEnd w:id="1304"/>
      <w:bookmarkEnd w:id="1305"/>
      <w:r>
        <w:rPr>
          <w:rFonts w:ascii="Arial" w:eastAsia="Arial" w:hAnsi="Arial" w:cs="Arial"/>
          <w:color w:val="000000"/>
          <w:sz w:val="20"/>
        </w:rPr>
        <w:t xml:space="preserve">But voluntary conduct can moot a case "if the defendant can demonstrate that there is no reasonable expectation that the wrong will be repeated." </w:t>
      </w:r>
      <w:bookmarkStart w:id="1306" w:name="Bookmark_I5JJRVX32N1RHR0010000400"/>
      <w:bookmarkEnd w:id="1306"/>
      <w:r>
        <w:rPr>
          <w:rFonts w:ascii="Arial" w:eastAsia="Arial" w:hAnsi="Arial" w:cs="Arial"/>
          <w:i/>
          <w:color w:val="000000"/>
          <w:sz w:val="20"/>
        </w:rPr>
        <w:t>Chicago United Industries, Ltd.</w:t>
      </w:r>
      <w:r>
        <w:rPr>
          <w:rFonts w:ascii="Arial" w:eastAsia="Arial" w:hAnsi="Arial" w:cs="Arial"/>
          <w:color w:val="000000"/>
          <w:sz w:val="20"/>
        </w:rPr>
        <w:t xml:space="preserve">, 445 F.3d at 947 (citation [**29]  and internal quotation marks omitted); see also </w:t>
      </w:r>
      <w:bookmarkStart w:id="1307" w:name="Bookmark_I5JJRVX32N1RHR0030000400"/>
      <w:bookmarkEnd w:id="1307"/>
      <w:r>
        <w:rPr>
          <w:rFonts w:ascii="Arial" w:eastAsia="Arial" w:hAnsi="Arial" w:cs="Arial"/>
          <w:i/>
          <w:color w:val="000000"/>
          <w:sz w:val="20"/>
        </w:rPr>
        <w:t>Friends of the Earth, Inc.</w:t>
      </w:r>
      <w:r>
        <w:rPr>
          <w:rFonts w:ascii="Arial" w:eastAsia="Arial" w:hAnsi="Arial" w:cs="Arial"/>
          <w:color w:val="000000"/>
          <w:sz w:val="20"/>
        </w:rPr>
        <w:t xml:space="preserve">, 528 U.S. at 190 ("[A] defendant claiming that its voluntary compliance moots a case bears the formidable burden of showing that it is absolutely clear the allegedly wrongful behavior could not reasonably be expected to recur."). </w:t>
      </w:r>
      <w:bookmarkStart w:id="1308" w:name="Bookmark_I5JJRVX32SF7X30010000400_2"/>
      <w:bookmarkEnd w:id="1308"/>
      <w:r>
        <w:rPr>
          <w:rFonts w:ascii="Arial" w:eastAsia="Arial" w:hAnsi="Arial" w:cs="Arial"/>
          <w:color w:val="000000"/>
          <w:sz w:val="20"/>
        </w:rPr>
        <w:t xml:space="preserve">When the defendant is a government actor, however, we ordinarily presume that the objectionable behavior will not recur. See </w:t>
      </w:r>
      <w:bookmarkStart w:id="1309" w:name="Bookmark_I5JJRVX32N1RHR0050000400"/>
      <w:bookmarkEnd w:id="1309"/>
      <w:r>
        <w:rPr>
          <w:rFonts w:ascii="Arial" w:eastAsia="Arial" w:hAnsi="Arial" w:cs="Arial"/>
          <w:i/>
          <w:color w:val="000000"/>
          <w:sz w:val="20"/>
        </w:rPr>
        <w:t>Chicago United Industries, Ltd.</w:t>
      </w:r>
      <w:r>
        <w:rPr>
          <w:rFonts w:ascii="Arial" w:eastAsia="Arial" w:hAnsi="Arial" w:cs="Arial"/>
          <w:color w:val="000000"/>
          <w:sz w:val="20"/>
        </w:rPr>
        <w:t>, 445 F.3d at 947. In this case, the structural alterations to the courthouse would be difficult to undo, and there is no evidence that the county intends to prevent individuals with disabilities from using these ADA-compliant restrooms in the future. The district court properly dismissed the claims related to the restrooms.</w:t>
      </w:r>
    </w:p>
    <w:p w14:paraId="4BC19753" w14:textId="77777777" w:rsidR="002D0E71" w:rsidRDefault="00000000">
      <w:pPr>
        <w:pStyle w:val="Normal8"/>
        <w:widowControl w:val="0"/>
        <w:spacing w:before="120" w:line="260" w:lineRule="atLeast"/>
      </w:pPr>
      <w:r>
        <w:rPr>
          <w:rFonts w:ascii="Arial" w:eastAsia="Arial" w:hAnsi="Arial" w:cs="Arial"/>
          <w:color w:val="000000"/>
          <w:sz w:val="20"/>
        </w:rPr>
        <w:t xml:space="preserve">IV. </w:t>
      </w:r>
      <w:r>
        <w:rPr>
          <w:rFonts w:ascii="Arial" w:eastAsia="Arial" w:hAnsi="Arial" w:cs="Arial"/>
          <w:i/>
          <w:color w:val="000000"/>
          <w:sz w:val="20"/>
        </w:rPr>
        <w:t>Plaintiffs' Cross-Motion for Summary Judgment</w:t>
      </w:r>
    </w:p>
    <w:p w14:paraId="5CD73600" w14:textId="77777777" w:rsidR="002D0E71" w:rsidRDefault="00000000">
      <w:pPr>
        <w:pStyle w:val="Normal8"/>
        <w:widowControl w:val="0"/>
        <w:spacing w:before="200" w:line="260" w:lineRule="atLeast"/>
        <w:jc w:val="both"/>
      </w:pPr>
      <w:bookmarkStart w:id="1310" w:name="Bookmark_para_51_1"/>
      <w:bookmarkEnd w:id="1310"/>
      <w:r>
        <w:rPr>
          <w:rFonts w:ascii="Arial" w:eastAsia="Arial" w:hAnsi="Arial" w:cs="Arial"/>
          <w:color w:val="000000"/>
          <w:sz w:val="20"/>
        </w:rPr>
        <w:t>For the same reasons, we also affirm the district court's decision to deny plaintiffs' cross-motion for summary judgment. Plaintiffs sought a permanent injunction and a declaratory judgment requiring the county to maintain the restrooms it installed and to formalize the policy the county courts seem to have adopted to transfer a case involving a person with a disability to an ADA-compliant courtroom. Because all the underlying claims have since been disposed [**30]  of—and there is no evidence that defendants will cease giving plaintiffs the accommodations they desire—there is nothing the county is currently doing or failing to do that these particular plaintiffs might still challenge.</w:t>
      </w:r>
    </w:p>
    <w:p w14:paraId="473F7897" w14:textId="77777777" w:rsidR="002D0E71" w:rsidRDefault="00000000">
      <w:pPr>
        <w:pStyle w:val="Normal8"/>
        <w:widowControl w:val="0"/>
        <w:spacing w:before="200" w:line="260" w:lineRule="atLeast"/>
        <w:jc w:val="both"/>
      </w:pPr>
      <w:bookmarkStart w:id="1311" w:name="Bookmark_para_52_0"/>
      <w:bookmarkStart w:id="1312" w:name="Bookmark_I5JJRVX32SF7X30030000400"/>
      <w:bookmarkEnd w:id="1311"/>
      <w:bookmarkEnd w:id="1312"/>
      <w:r>
        <w:rPr>
          <w:rFonts w:ascii="Arial" w:eastAsia="Arial" w:hAnsi="Arial" w:cs="Arial"/>
          <w:color w:val="000000"/>
          <w:sz w:val="20"/>
        </w:rPr>
        <w:t xml:space="preserve">Absent an ongoing challenge about whether the county has failed to make readily accessible to plaintiffs the court services it provides, that portion of this case has become, at least on this record, "an abstract dispute about the law not linked to the rights of a particular plaintiff." </w:t>
      </w:r>
      <w:bookmarkStart w:id="1313" w:name="Bookmark_I5JJRVX32SF7X30020000400"/>
      <w:bookmarkEnd w:id="1313"/>
      <w:r>
        <w:rPr>
          <w:rFonts w:ascii="Arial" w:eastAsia="Arial" w:hAnsi="Arial" w:cs="Arial"/>
          <w:i/>
          <w:color w:val="000000"/>
          <w:sz w:val="20"/>
        </w:rPr>
        <w:t>Milwaukee Police Ass'n v. Board of Fire &amp; Police Comm'rs</w:t>
      </w:r>
      <w:r>
        <w:rPr>
          <w:rFonts w:ascii="Arial" w:eastAsia="Arial" w:hAnsi="Arial" w:cs="Arial"/>
          <w:color w:val="000000"/>
          <w:sz w:val="20"/>
        </w:rPr>
        <w:t xml:space="preserve">, 708 F.3d 921, 932-33 (7th Cir. 2013) (citation and internal quotation marks omitted); see also </w:t>
      </w:r>
      <w:bookmarkStart w:id="1314" w:name="Bookmark_I5JJRVX32SF7X30040000400"/>
      <w:bookmarkEnd w:id="1314"/>
      <w:r>
        <w:rPr>
          <w:rFonts w:ascii="Arial" w:eastAsia="Arial" w:hAnsi="Arial" w:cs="Arial"/>
          <w:i/>
          <w:color w:val="000000"/>
          <w:sz w:val="20"/>
        </w:rPr>
        <w:t>Volkman v. Ryker</w:t>
      </w:r>
      <w:r>
        <w:rPr>
          <w:rFonts w:ascii="Arial" w:eastAsia="Arial" w:hAnsi="Arial" w:cs="Arial"/>
          <w:color w:val="000000"/>
          <w:sz w:val="20"/>
        </w:rPr>
        <w:t xml:space="preserve">, 736 F.3d 1084, 1091 n.1 (7th Cir. 2013) ("If the injunctive relief is moot, we doubt whether, on these facts, the declaratory judgment request can stand alone."), citing </w:t>
      </w:r>
      <w:bookmarkStart w:id="1315" w:name="Bookmark_I5JJRVX328T44Y0010000400"/>
      <w:bookmarkEnd w:id="1315"/>
      <w:r>
        <w:rPr>
          <w:rFonts w:ascii="Arial" w:eastAsia="Arial" w:hAnsi="Arial" w:cs="Arial"/>
          <w:i/>
          <w:color w:val="000000"/>
          <w:sz w:val="20"/>
        </w:rPr>
        <w:t>Rhodes v. Stewart</w:t>
      </w:r>
      <w:r>
        <w:rPr>
          <w:rFonts w:ascii="Arial" w:eastAsia="Arial" w:hAnsi="Arial" w:cs="Arial"/>
          <w:color w:val="000000"/>
          <w:sz w:val="20"/>
        </w:rPr>
        <w:t xml:space="preserve">, 488 U.S. 1, 4, 109 S. Ct. 202, 102 L. Ed. 2d 1 (1988),  [*1024]  and </w:t>
      </w:r>
      <w:bookmarkStart w:id="1316" w:name="Bookmark_I5JJRVX328T44Y0030000400"/>
      <w:bookmarkEnd w:id="1316"/>
      <w:r>
        <w:rPr>
          <w:rFonts w:ascii="Arial" w:eastAsia="Arial" w:hAnsi="Arial" w:cs="Arial"/>
          <w:i/>
          <w:color w:val="000000"/>
          <w:sz w:val="20"/>
        </w:rPr>
        <w:t>Ashcroft v. Mattis</w:t>
      </w:r>
      <w:r>
        <w:rPr>
          <w:rFonts w:ascii="Arial" w:eastAsia="Arial" w:hAnsi="Arial" w:cs="Arial"/>
          <w:color w:val="000000"/>
          <w:sz w:val="20"/>
        </w:rPr>
        <w:t>, 431 U.S. 171, 172, 97 S. Ct. 1739, 52 L. Ed. 2d 219 (1977). The district court correctly denied plaintiffs' request for a permanent injunction and declaratory relief rather than adjudicate a hypothetical issue.</w:t>
      </w:r>
      <w:r>
        <w:rPr>
          <w:rFonts w:ascii="Arial" w:eastAsia="Arial" w:hAnsi="Arial" w:cs="Arial"/>
          <w:vertAlign w:val="superscript"/>
        </w:rPr>
        <w:footnoteReference w:customMarkFollows="1" w:id="27"/>
        <w:t>3</w:t>
      </w:r>
    </w:p>
    <w:p w14:paraId="6902037B" w14:textId="77777777" w:rsidR="002D0E71" w:rsidRDefault="00000000">
      <w:pPr>
        <w:pStyle w:val="Normal8"/>
        <w:widowControl w:val="0"/>
        <w:spacing w:before="200" w:line="260" w:lineRule="atLeast"/>
        <w:jc w:val="both"/>
      </w:pPr>
      <w:bookmarkStart w:id="1321" w:name="Bookmark_para_53_0"/>
      <w:bookmarkEnd w:id="1321"/>
      <w:r>
        <w:rPr>
          <w:rFonts w:ascii="Arial" w:eastAsia="Arial" w:hAnsi="Arial" w:cs="Arial"/>
          <w:color w:val="000000"/>
          <w:sz w:val="20"/>
        </w:rPr>
        <w:t>For all these reasons, the judgment of the district court is AFFIRMED.</w:t>
      </w:r>
    </w:p>
    <w:p w14:paraId="0D4C8298" w14:textId="77777777" w:rsidR="002D0E71" w:rsidRDefault="002D0E71">
      <w:pPr>
        <w:pStyle w:val="Normal8"/>
      </w:pPr>
    </w:p>
    <w:p w14:paraId="4B3AACD4" w14:textId="2A680DC9" w:rsidR="002D0E71" w:rsidRDefault="00000000">
      <w:pPr>
        <w:pStyle w:val="Normal8"/>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76672" behindDoc="0" locked="0" layoutInCell="1" allowOverlap="1" wp14:anchorId="6100BCEA" wp14:editId="6E2C0927">
                <wp:simplePos x="0" y="0"/>
                <wp:positionH relativeFrom="column">
                  <wp:posOffset>0</wp:posOffset>
                </wp:positionH>
                <wp:positionV relativeFrom="paragraph">
                  <wp:posOffset>127000</wp:posOffset>
                </wp:positionV>
                <wp:extent cx="6502400" cy="0"/>
                <wp:effectExtent l="9525" t="12700" r="12700" b="6350"/>
                <wp:wrapNone/>
                <wp:docPr id="141245199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98B11" id="Line 19"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5050FEB" w14:textId="77777777" w:rsidR="002D0E71" w:rsidRDefault="002D0E71">
      <w:pPr>
        <w:pStyle w:val="Normal9"/>
        <w:sectPr w:rsidR="002D0E71">
          <w:headerReference w:type="even" r:id="rId60"/>
          <w:headerReference w:type="default" r:id="rId61"/>
          <w:footerReference w:type="even" r:id="rId62"/>
          <w:footerReference w:type="default" r:id="rId63"/>
          <w:headerReference w:type="first" r:id="rId64"/>
          <w:footerReference w:type="first" r:id="rId65"/>
          <w:pgSz w:w="12240" w:h="15840"/>
          <w:pgMar w:top="840" w:right="1000" w:bottom="840" w:left="1000" w:header="400" w:footer="400" w:gutter="0"/>
          <w:cols w:space="720"/>
          <w:titlePg/>
        </w:sectPr>
      </w:pPr>
    </w:p>
    <w:p w14:paraId="4E40681D" w14:textId="77777777" w:rsidR="002D0E71" w:rsidRDefault="002D0E71">
      <w:pPr>
        <w:pStyle w:val="Normal9"/>
      </w:pPr>
    </w:p>
    <w:p w14:paraId="17E6EDCA" w14:textId="77777777" w:rsidR="002D0E71" w:rsidRDefault="00000000">
      <w:pPr>
        <w:pStyle w:val="Heading18"/>
        <w:keepNext w:val="0"/>
        <w:widowControl w:val="0"/>
        <w:spacing w:after="200" w:line="340" w:lineRule="atLeast"/>
        <w:jc w:val="center"/>
      </w:pPr>
      <w:r>
        <w:rPr>
          <w:rFonts w:eastAsia="Arial"/>
          <w:color w:val="000000"/>
          <w:sz w:val="28"/>
        </w:rPr>
        <w:t>A.G. v. Paradise Valley Unified Sch. Dist. No. 69</w:t>
      </w:r>
    </w:p>
    <w:p w14:paraId="113D1C47" w14:textId="77777777" w:rsidR="002D0E71" w:rsidRDefault="00000000">
      <w:pPr>
        <w:pStyle w:val="Normal9"/>
        <w:widowControl w:val="0"/>
        <w:spacing w:before="120" w:line="260" w:lineRule="atLeast"/>
        <w:jc w:val="center"/>
      </w:pPr>
      <w:r>
        <w:rPr>
          <w:rFonts w:ascii="Arial" w:eastAsia="Arial" w:hAnsi="Arial" w:cs="Arial"/>
          <w:color w:val="000000"/>
          <w:sz w:val="20"/>
        </w:rPr>
        <w:t>United States Court of Appeals for the Ninth Circuit</w:t>
      </w:r>
    </w:p>
    <w:p w14:paraId="7072849D" w14:textId="77777777" w:rsidR="002D0E71" w:rsidRDefault="00000000">
      <w:pPr>
        <w:pStyle w:val="Normal9"/>
        <w:widowControl w:val="0"/>
        <w:spacing w:before="120" w:line="260" w:lineRule="atLeast"/>
        <w:jc w:val="center"/>
      </w:pPr>
      <w:r>
        <w:rPr>
          <w:rFonts w:ascii="Arial" w:eastAsia="Arial" w:hAnsi="Arial" w:cs="Arial"/>
          <w:color w:val="000000"/>
          <w:sz w:val="20"/>
        </w:rPr>
        <w:t>September 16, 2015, Argued and Submitted, San Francisco, California; March 3, 2016, Filed</w:t>
      </w:r>
    </w:p>
    <w:p w14:paraId="74567D68" w14:textId="77777777" w:rsidR="002D0E71" w:rsidRDefault="00000000">
      <w:pPr>
        <w:pStyle w:val="Normal9"/>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Nos. 13-16239, 13-16707</w:t>
      </w:r>
    </w:p>
    <w:p w14:paraId="35160115" w14:textId="77777777" w:rsidR="002D0E71" w:rsidRDefault="002D0E71">
      <w:pPr>
        <w:pStyle w:val="Normal9"/>
        <w:widowControl w:val="0"/>
        <w:spacing w:line="240" w:lineRule="atLeast"/>
        <w:jc w:val="both"/>
      </w:pPr>
      <w:bookmarkStart w:id="1322" w:name="Bookmark_10"/>
      <w:bookmarkEnd w:id="1322"/>
    </w:p>
    <w:p w14:paraId="283457AD" w14:textId="77777777" w:rsidR="002D0E71" w:rsidRDefault="00000000">
      <w:pPr>
        <w:pStyle w:val="Normal9"/>
        <w:widowControl w:val="0"/>
        <w:spacing w:before="200" w:line="240" w:lineRule="atLeast"/>
      </w:pPr>
      <w:bookmarkStart w:id="1323" w:name="Reporter_8"/>
      <w:bookmarkEnd w:id="1323"/>
      <w:r>
        <w:rPr>
          <w:rFonts w:ascii="Arial" w:eastAsia="Arial" w:hAnsi="Arial" w:cs="Arial"/>
          <w:b/>
          <w:color w:val="000000"/>
          <w:sz w:val="18"/>
        </w:rPr>
        <w:t>Reporter</w:t>
      </w:r>
    </w:p>
    <w:p w14:paraId="7B14418A" w14:textId="77777777" w:rsidR="002D0E71" w:rsidRDefault="00000000">
      <w:pPr>
        <w:pStyle w:val="Normal9"/>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815 F.3d 1195 *; 2016 U.S. App. LEXIS 3994 **</w:t>
      </w:r>
    </w:p>
    <w:p w14:paraId="53234617" w14:textId="77777777" w:rsidR="002D0E71" w:rsidRDefault="00000000">
      <w:pPr>
        <w:pStyle w:val="Normal9"/>
        <w:widowControl w:val="0"/>
        <w:spacing w:before="120" w:line="260" w:lineRule="atLeast"/>
      </w:pPr>
      <w:r>
        <w:rPr>
          <w:rFonts w:ascii="Arial" w:eastAsia="Arial" w:hAnsi="Arial" w:cs="Arial"/>
          <w:color w:val="000000"/>
          <w:sz w:val="20"/>
        </w:rPr>
        <w:t>A.G., a student, by and through parents William Grundemann and Rhonda Grundemann; WILLIAM GRUNDEMANN; and RHONDA GRUNDEMANN, individually, Plaintiffs-Appellants/Cross-Appellees, v. PARADISE VALLEY UNIFIED SCHOOL DISTRICT NO. 69; JAMES P. LEE, Dr./Superintendent; NANCY CASE; JULIE BACON; ANNE GREENBERG; MARK LANE; SUE M. SKIDMORE, Board Members; LAURA BISTROW, PVUSD Special Education Director; ELAINE JACOBS, Principal at Vista Verde Middle School; ROBERT KURKLAN, School Psychologist at Vista Verde Middle School; KAREN HUDSON, Teacher at Vista Verde Middle School; LORNA GREEN, Principal of Roadrunner School; DEBBIE HARPER, Interventionist at Roadrunner School; BARBARA SICKLES, Interventionist at Roadrunner School; JUDY CARLYLE, Paraprofessional at Roadrunner School; JENNIFER WILSON, Teacher at Roadrunner School; CYNTHIA GILMORE, Teacher at Roadrunner School, Defendants-Appellees/Cross-Appellants.</w:t>
      </w:r>
    </w:p>
    <w:p w14:paraId="0B44BD0C" w14:textId="77777777" w:rsidR="002D0E71" w:rsidRDefault="00000000">
      <w:pPr>
        <w:pStyle w:val="Normal9"/>
        <w:widowControl w:val="0"/>
        <w:spacing w:before="240" w:line="260" w:lineRule="atLeast"/>
        <w:jc w:val="both"/>
      </w:pPr>
      <w:bookmarkStart w:id="1324" w:name="Prior_History_8"/>
      <w:bookmarkEnd w:id="1324"/>
      <w:r>
        <w:rPr>
          <w:rFonts w:ascii="Arial" w:eastAsia="Arial" w:hAnsi="Arial" w:cs="Arial"/>
          <w:b/>
          <w:color w:val="000000"/>
          <w:sz w:val="20"/>
        </w:rPr>
        <w:t>Prior History:</w:t>
      </w:r>
      <w:r>
        <w:rPr>
          <w:rFonts w:ascii="Arial" w:eastAsia="Arial" w:hAnsi="Arial" w:cs="Arial"/>
          <w:color w:val="000000"/>
          <w:sz w:val="20"/>
        </w:rPr>
        <w:t> </w:t>
      </w:r>
      <w:bookmarkStart w:id="1325" w:name="Bookmark_para_1_8"/>
      <w:bookmarkEnd w:id="1325"/>
      <w:r>
        <w:rPr>
          <w:rFonts w:ascii="Arial" w:eastAsia="Arial" w:hAnsi="Arial" w:cs="Arial"/>
          <w:color w:val="000000"/>
          <w:sz w:val="20"/>
        </w:rPr>
        <w:t> [**1] Appeal from the United States District Court For the District of Arizona. D.C. No. 2:11-cv-01899-NVW. Neil V. Wake, District Judge, Presiding.</w:t>
      </w:r>
    </w:p>
    <w:p w14:paraId="67151CEB" w14:textId="77777777" w:rsidR="002D0E71" w:rsidRDefault="00000000">
      <w:pPr>
        <w:pStyle w:val="Normal9"/>
        <w:widowControl w:val="0"/>
        <w:spacing w:before="120" w:line="260" w:lineRule="atLeast"/>
      </w:pPr>
      <w:r>
        <w:rPr>
          <w:rFonts w:ascii="Arial" w:eastAsia="Arial" w:hAnsi="Arial" w:cs="Arial"/>
          <w:color w:val="000000"/>
          <w:sz w:val="20"/>
        </w:rPr>
        <w:t>Grundemann v. Paradise Valley Unified Sch. Dist., 2013 U.S. Dist. LEXIS 200063 (D. Ariz., Aug. 15, 2013)</w:t>
      </w:r>
    </w:p>
    <w:p w14:paraId="30035FFA" w14:textId="77777777" w:rsidR="002D0E71" w:rsidRDefault="00000000">
      <w:pPr>
        <w:pStyle w:val="Normal9"/>
        <w:widowControl w:val="0"/>
        <w:spacing w:before="120" w:line="260" w:lineRule="atLeast"/>
      </w:pPr>
      <w:r>
        <w:rPr>
          <w:rFonts w:ascii="Arial" w:eastAsia="Arial" w:hAnsi="Arial" w:cs="Arial"/>
          <w:color w:val="000000"/>
          <w:sz w:val="20"/>
        </w:rPr>
        <w:t>Grundemann v. Paradise Valley Unified Sch. Dist. No. 69, 2013 U.S. Dist. LEXIS 201015 (D. Ariz., May 16, 2013)</w:t>
      </w:r>
    </w:p>
    <w:p w14:paraId="0C85D649" w14:textId="77777777" w:rsidR="002D0E71" w:rsidRDefault="00000000">
      <w:pPr>
        <w:pStyle w:val="Normal9"/>
        <w:widowControl w:val="0"/>
        <w:spacing w:before="240" w:line="260" w:lineRule="atLeast"/>
        <w:jc w:val="both"/>
      </w:pPr>
      <w:bookmarkStart w:id="1326" w:name="Disposition_1"/>
      <w:bookmarkEnd w:id="1326"/>
      <w:r>
        <w:rPr>
          <w:rFonts w:ascii="Arial" w:eastAsia="Arial" w:hAnsi="Arial" w:cs="Arial"/>
          <w:b/>
          <w:color w:val="000000"/>
          <w:sz w:val="20"/>
        </w:rPr>
        <w:t>Disposition:</w:t>
      </w:r>
      <w:r>
        <w:rPr>
          <w:rFonts w:ascii="Arial" w:eastAsia="Arial" w:hAnsi="Arial" w:cs="Arial"/>
          <w:color w:val="000000"/>
          <w:sz w:val="20"/>
        </w:rPr>
        <w:t> </w:t>
      </w:r>
      <w:bookmarkStart w:id="1327" w:name="Bookmark_clspara_4_1"/>
      <w:bookmarkEnd w:id="1327"/>
      <w:r>
        <w:rPr>
          <w:rFonts w:ascii="Arial" w:eastAsia="Arial" w:hAnsi="Arial" w:cs="Arial"/>
          <w:color w:val="000000"/>
          <w:sz w:val="20"/>
        </w:rPr>
        <w:t>REVERSED in part; AFFIRMED in part; VACATED in part; and REMANDED. Each party shall bear its own costs on appeal.</w:t>
      </w:r>
    </w:p>
    <w:p w14:paraId="057A678B" w14:textId="77777777" w:rsidR="002D0E71" w:rsidRDefault="00000000">
      <w:pPr>
        <w:pStyle w:val="Normal9"/>
        <w:widowControl w:val="0"/>
        <w:spacing w:before="240" w:line="260" w:lineRule="atLeast"/>
      </w:pPr>
      <w:bookmarkStart w:id="1328" w:name="Summary"/>
      <w:bookmarkEnd w:id="1328"/>
      <w:r>
        <w:rPr>
          <w:rFonts w:ascii="Arial" w:eastAsia="Arial" w:hAnsi="Arial" w:cs="Arial"/>
          <w:b/>
          <w:color w:val="000000"/>
          <w:sz w:val="20"/>
        </w:rPr>
        <w:t>Summary:</w:t>
      </w:r>
    </w:p>
    <w:p w14:paraId="43E2FBBD" w14:textId="77777777" w:rsidR="002D0E71" w:rsidRDefault="00000000">
      <w:pPr>
        <w:pStyle w:val="Normal9"/>
        <w:widowControl w:val="0"/>
        <w:spacing w:before="240" w:line="260" w:lineRule="atLeast"/>
        <w:jc w:val="both"/>
      </w:pPr>
      <w:bookmarkStart w:id="1329" w:name="Bookmark_clspara_5"/>
      <w:bookmarkEnd w:id="1329"/>
      <w:r>
        <w:rPr>
          <w:rFonts w:ascii="Arial" w:eastAsia="Arial" w:hAnsi="Arial" w:cs="Arial"/>
          <w:b/>
          <w:color w:val="000000"/>
          <w:sz w:val="20"/>
        </w:rPr>
        <w:t>SUMMARY</w:t>
      </w:r>
      <w:r>
        <w:rPr>
          <w:rFonts w:ascii="Arial" w:eastAsia="Arial" w:hAnsi="Arial" w:cs="Arial"/>
          <w:vertAlign w:val="superscript"/>
        </w:rPr>
        <w:footnoteReference w:customMarkFollows="1" w:id="28"/>
        <w:t>**</w:t>
      </w:r>
    </w:p>
    <w:p w14:paraId="75E05CFF" w14:textId="77777777" w:rsidR="002D0E71" w:rsidRDefault="00000000">
      <w:pPr>
        <w:pStyle w:val="Normal9"/>
        <w:widowControl w:val="0"/>
        <w:spacing w:before="240" w:line="260" w:lineRule="atLeast"/>
        <w:jc w:val="both"/>
      </w:pPr>
      <w:bookmarkStart w:id="1331" w:name="Bookmark_clspara_6"/>
      <w:bookmarkEnd w:id="1331"/>
      <w:r>
        <w:rPr>
          <w:rFonts w:ascii="Arial" w:eastAsia="Arial" w:hAnsi="Arial" w:cs="Arial"/>
          <w:b/>
          <w:color w:val="000000"/>
          <w:sz w:val="20"/>
        </w:rPr>
        <w:t>Disability Discrimination</w:t>
      </w:r>
    </w:p>
    <w:p w14:paraId="3B5C8C96" w14:textId="77777777" w:rsidR="002D0E71" w:rsidRDefault="00000000">
      <w:pPr>
        <w:pStyle w:val="Normal9"/>
        <w:widowControl w:val="0"/>
        <w:spacing w:before="240" w:line="260" w:lineRule="atLeast"/>
        <w:jc w:val="both"/>
      </w:pPr>
      <w:bookmarkStart w:id="1332" w:name="Bookmark_clspara_7"/>
      <w:bookmarkEnd w:id="1332"/>
      <w:r>
        <w:rPr>
          <w:rFonts w:ascii="Arial" w:eastAsia="Arial" w:hAnsi="Arial" w:cs="Arial"/>
          <w:color w:val="000000"/>
          <w:sz w:val="20"/>
        </w:rPr>
        <w:t>The panel reversed the district court's summary judgment in favor of defendants on claims of discrimination under section 504 of the Rehabilitation Act and Title II of the Americans with Disabilities Act, reversed in part the district court's summary judgment on tort claims under Arizona state law, and vacated a costs order in an action brought by a student and her parents against a school district and related employees and principals.</w:t>
      </w:r>
    </w:p>
    <w:p w14:paraId="688A2A56" w14:textId="77777777" w:rsidR="002D0E71" w:rsidRDefault="00000000">
      <w:pPr>
        <w:pStyle w:val="Normal9"/>
        <w:widowControl w:val="0"/>
        <w:spacing w:before="240" w:line="260" w:lineRule="atLeast"/>
        <w:jc w:val="both"/>
      </w:pPr>
      <w:bookmarkStart w:id="1333" w:name="Bookmark_clspara_8"/>
      <w:bookmarkEnd w:id="1333"/>
      <w:r>
        <w:rPr>
          <w:rFonts w:ascii="Arial" w:eastAsia="Arial" w:hAnsi="Arial" w:cs="Arial"/>
          <w:color w:val="000000"/>
          <w:sz w:val="20"/>
        </w:rPr>
        <w:t>Clarifying the standards for disability discrimination claims by disabled children based on access to educational services, the panel stated that the Individuals with Disabilities Education Act ("IDEA") focuses on making a free appropriate public education ("FAPE") available to disabled students through development of Individualized Education Programs [**2]  ("IEPs"). The IDEA creates a cause of action for children and parents to pursue injunctive or other prospective relief through a civil action following an administrative due process hearing in order to compel compliance with the Act and proper implementation or modification of the child's IEP. Section 504 of the Rehabilitation Act is broader than the IDEA; it is concerned with discrimination in the provision of state services to all individuals with disabilities. The regulations adopted pursuant to section 504 require qualifying public schools to "provide a free appropriate public education to each qualified handicapped person." FAPE is defined differently for purposes of section 504 than it is for the IDEA, and section 504's regulations gauge the adequacy of services provided to disabled individuals by comparing them to the level of services provided to individuals who are not disabled. Title II of the Americans with Disabilities Act ("ADA") was modeled after section 504 and sets forth similar requirements for establishing a valid claim.</w:t>
      </w:r>
    </w:p>
    <w:p w14:paraId="178708E6" w14:textId="77777777" w:rsidR="002D0E71" w:rsidRDefault="00000000">
      <w:pPr>
        <w:pStyle w:val="Normal9"/>
        <w:widowControl w:val="0"/>
        <w:spacing w:before="240" w:line="260" w:lineRule="atLeast"/>
        <w:jc w:val="both"/>
      </w:pPr>
      <w:bookmarkStart w:id="1334" w:name="Bookmark_clspara_9"/>
      <w:bookmarkEnd w:id="1334"/>
      <w:r>
        <w:rPr>
          <w:rFonts w:ascii="Arial" w:eastAsia="Arial" w:hAnsi="Arial" w:cs="Arial"/>
          <w:color w:val="000000"/>
          <w:sz w:val="20"/>
        </w:rPr>
        <w:t xml:space="preserve">A plaintiff bringing suit under section 504 or Title II of the ADA must show: (1) she is a qualified individual with a disability; (2) she was denied "a reasonable accommodation that [she] needs in order to enjoy meaningful access [**3]  to the benefits of public services;" and (3) the program providing the benefit receives federal financial assistance. To prevail on a claim for damages, the plaintiff must also prove a </w:t>
      </w:r>
      <w:r>
        <w:rPr>
          <w:rFonts w:ascii="Arial" w:eastAsia="Arial" w:hAnsi="Arial" w:cs="Arial"/>
          <w:i/>
          <w:color w:val="000000"/>
          <w:sz w:val="20"/>
        </w:rPr>
        <w:t>mens rea</w:t>
      </w:r>
      <w:r>
        <w:rPr>
          <w:rFonts w:ascii="Arial" w:eastAsia="Arial" w:hAnsi="Arial" w:cs="Arial"/>
          <w:color w:val="000000"/>
          <w:sz w:val="20"/>
        </w:rPr>
        <w:t xml:space="preserve"> of intentional discrimination.</w:t>
      </w:r>
    </w:p>
    <w:p w14:paraId="326D295C" w14:textId="77777777" w:rsidR="002D0E71" w:rsidRDefault="00000000">
      <w:pPr>
        <w:pStyle w:val="Normal9"/>
        <w:widowControl w:val="0"/>
        <w:spacing w:before="240" w:line="260" w:lineRule="atLeast"/>
        <w:jc w:val="both"/>
      </w:pPr>
      <w:bookmarkStart w:id="1335" w:name="Bookmark_clspara_10"/>
      <w:bookmarkEnd w:id="1335"/>
      <w:r>
        <w:rPr>
          <w:rFonts w:ascii="Arial" w:eastAsia="Arial" w:hAnsi="Arial" w:cs="Arial"/>
          <w:color w:val="000000"/>
          <w:sz w:val="20"/>
        </w:rPr>
        <w:t>The panel reversed the district court's summary judgment on a claim that defendants denied the student meaningful access to educational benefits by violating 34 C.F.R. §§ 104.33(b)(1) and 104.34(a). The panel held that the parents' consent to the student's placement did not waive this claim.</w:t>
      </w:r>
    </w:p>
    <w:p w14:paraId="20D8850B" w14:textId="77777777" w:rsidR="002D0E71" w:rsidRDefault="00000000">
      <w:pPr>
        <w:pStyle w:val="Normal9"/>
        <w:widowControl w:val="0"/>
        <w:spacing w:before="240" w:line="260" w:lineRule="atLeast"/>
        <w:jc w:val="both"/>
      </w:pPr>
      <w:bookmarkStart w:id="1336" w:name="Bookmark_clspara_11"/>
      <w:bookmarkEnd w:id="1336"/>
      <w:r>
        <w:rPr>
          <w:rFonts w:ascii="Arial" w:eastAsia="Arial" w:hAnsi="Arial" w:cs="Arial"/>
          <w:color w:val="000000"/>
          <w:sz w:val="20"/>
        </w:rPr>
        <w:t>The panel reversed the district court's summary judgment on plaintiffs' reasonable accommodation claim under section 504 and Title II. The panel concluded that a triable factual dispute existed as to whether the services plaintiffs faulted the school district for failing to provide were actually reasonable, necessary, and available accommodations for the student. The district court also erred in dismissing plaintiffs' damages claim for failure to show that the school district was on notice of the need for accommodation.</w:t>
      </w:r>
    </w:p>
    <w:p w14:paraId="2D74A993" w14:textId="77777777" w:rsidR="002D0E71" w:rsidRDefault="00000000">
      <w:pPr>
        <w:pStyle w:val="Normal9"/>
        <w:widowControl w:val="0"/>
        <w:spacing w:before="240" w:line="260" w:lineRule="atLeast"/>
        <w:jc w:val="both"/>
      </w:pPr>
      <w:bookmarkStart w:id="1337" w:name="Bookmark_clspara_12"/>
      <w:bookmarkEnd w:id="1337"/>
      <w:r>
        <w:rPr>
          <w:rFonts w:ascii="Arial" w:eastAsia="Arial" w:hAnsi="Arial" w:cs="Arial"/>
          <w:color w:val="000000"/>
          <w:sz w:val="20"/>
        </w:rPr>
        <w:t>The panel affirmed the district court's summary judgment on claims under Arizona state law for intentional and negligent infliction of emotional distress. The panel reversed the district court's summary judgment [**4]  on claims for assault, battery, and false imprisonment.</w:t>
      </w:r>
    </w:p>
    <w:p w14:paraId="6F9A372E" w14:textId="77777777" w:rsidR="002D0E71" w:rsidRDefault="00000000">
      <w:pPr>
        <w:pStyle w:val="Normal9"/>
        <w:widowControl w:val="0"/>
        <w:spacing w:before="240" w:line="260" w:lineRule="atLeast"/>
        <w:jc w:val="both"/>
      </w:pPr>
      <w:bookmarkStart w:id="1338" w:name="Bookmark_clspara_13"/>
      <w:bookmarkEnd w:id="1338"/>
      <w:r>
        <w:rPr>
          <w:rFonts w:ascii="Arial" w:eastAsia="Arial" w:hAnsi="Arial" w:cs="Arial"/>
          <w:color w:val="000000"/>
          <w:sz w:val="20"/>
        </w:rPr>
        <w:t>The panel vacated the district court's order denying costs to defendants, and it remanded the case to the district court for further proceedings.</w:t>
      </w:r>
    </w:p>
    <w:p w14:paraId="0A43C432" w14:textId="77777777" w:rsidR="002D0E71" w:rsidRDefault="00000000">
      <w:pPr>
        <w:pStyle w:val="Normal9"/>
        <w:widowControl w:val="0"/>
        <w:spacing w:before="240" w:line="260" w:lineRule="atLeast"/>
      </w:pPr>
      <w:bookmarkStart w:id="1339" w:name="Counsel_8"/>
      <w:bookmarkEnd w:id="1339"/>
      <w:r>
        <w:rPr>
          <w:rFonts w:ascii="Arial" w:eastAsia="Arial" w:hAnsi="Arial" w:cs="Arial"/>
          <w:b/>
          <w:color w:val="000000"/>
          <w:sz w:val="20"/>
        </w:rPr>
        <w:t>Counsel:</w:t>
      </w:r>
      <w:r>
        <w:rPr>
          <w:rFonts w:ascii="Arial" w:eastAsia="Arial" w:hAnsi="Arial" w:cs="Arial"/>
          <w:color w:val="000000"/>
          <w:sz w:val="20"/>
        </w:rPr>
        <w:t> JoAnn Falgout, Law Office of JoAnn Falgout, P.L.C., Tempe, Arizona, and Richard J. Murphy, Law Office of Richard J. Murphy, P.L.C., Phoenix, Arizona, for Plaintiffs-Appellants/Cross-Appellees.</w:t>
      </w:r>
    </w:p>
    <w:p w14:paraId="64CA559A" w14:textId="77777777" w:rsidR="002D0E71" w:rsidRDefault="00000000">
      <w:pPr>
        <w:pStyle w:val="Normal9"/>
        <w:widowControl w:val="0"/>
        <w:spacing w:before="120" w:line="260" w:lineRule="atLeast"/>
      </w:pPr>
      <w:r>
        <w:rPr>
          <w:rFonts w:ascii="Arial" w:eastAsia="Arial" w:hAnsi="Arial" w:cs="Arial"/>
          <w:color w:val="000000"/>
          <w:sz w:val="20"/>
        </w:rPr>
        <w:t>Erin H. Walz and R. Scott Currey, Udall Shumway PLC, Mesa, Arizona, for Defendants-Appellees/Cross-Appellants.</w:t>
      </w:r>
    </w:p>
    <w:p w14:paraId="4142F1ED" w14:textId="77777777" w:rsidR="002D0E71" w:rsidRDefault="00000000">
      <w:pPr>
        <w:pStyle w:val="Normal9"/>
        <w:widowControl w:val="0"/>
        <w:spacing w:before="120" w:line="260" w:lineRule="atLeast"/>
      </w:pPr>
      <w:r>
        <w:rPr>
          <w:rFonts w:ascii="Arial" w:eastAsia="Arial" w:hAnsi="Arial" w:cs="Arial"/>
          <w:color w:val="000000"/>
          <w:sz w:val="20"/>
        </w:rPr>
        <w:t>Barrie L. Brejcha, Yea-Jin Angela Chang, Donna J. Williams, Jenny A. Austin, Angela C. Vigil, and Keith L. Wurster, Baker &amp; McKenzie LLP, Palo Alto, California, for Amicus Curiae Council of Parent Attorneys and Advocates, Inc.</w:t>
      </w:r>
    </w:p>
    <w:p w14:paraId="4047EA0A" w14:textId="77777777" w:rsidR="002D0E71" w:rsidRDefault="00000000">
      <w:pPr>
        <w:pStyle w:val="Normal9"/>
        <w:widowControl w:val="0"/>
        <w:spacing w:before="240" w:line="260" w:lineRule="atLeast"/>
      </w:pPr>
      <w:bookmarkStart w:id="1340" w:name="Judges_8"/>
      <w:bookmarkEnd w:id="1340"/>
      <w:r>
        <w:rPr>
          <w:rFonts w:ascii="Arial" w:eastAsia="Arial" w:hAnsi="Arial" w:cs="Arial"/>
          <w:b/>
          <w:color w:val="000000"/>
          <w:sz w:val="20"/>
        </w:rPr>
        <w:t>Judges:</w:t>
      </w:r>
      <w:r>
        <w:rPr>
          <w:rFonts w:ascii="Arial" w:eastAsia="Arial" w:hAnsi="Arial" w:cs="Arial"/>
          <w:color w:val="000000"/>
          <w:sz w:val="20"/>
        </w:rPr>
        <w:t> Before: Morgan Christen and Michelle T. Friedland, Circuit Judges, and Ivan L.R. Lemelle, Senior District Judge.</w:t>
      </w:r>
      <w:r>
        <w:rPr>
          <w:rFonts w:ascii="Arial" w:eastAsia="Arial" w:hAnsi="Arial" w:cs="Arial"/>
          <w:vertAlign w:val="superscript"/>
        </w:rPr>
        <w:footnoteReference w:customMarkFollows="1" w:id="29"/>
        <w:t>*</w:t>
      </w:r>
      <w:r>
        <w:rPr>
          <w:rFonts w:ascii="Arial" w:eastAsia="Arial" w:hAnsi="Arial" w:cs="Arial"/>
          <w:color w:val="000000"/>
          <w:sz w:val="20"/>
        </w:rPr>
        <w:t xml:space="preserve"> Opinion by Judge Lemelle.</w:t>
      </w:r>
    </w:p>
    <w:p w14:paraId="21EA4C6A" w14:textId="77777777" w:rsidR="002D0E71" w:rsidRDefault="00000000">
      <w:pPr>
        <w:pStyle w:val="Normal9"/>
        <w:widowControl w:val="0"/>
        <w:spacing w:before="240" w:line="260" w:lineRule="atLeast"/>
      </w:pPr>
      <w:bookmarkStart w:id="1342" w:name="Opinion_by_6"/>
      <w:bookmarkEnd w:id="1342"/>
      <w:r>
        <w:rPr>
          <w:rFonts w:ascii="Arial" w:eastAsia="Arial" w:hAnsi="Arial" w:cs="Arial"/>
          <w:b/>
          <w:color w:val="000000"/>
          <w:sz w:val="20"/>
        </w:rPr>
        <w:t>Opinion by:</w:t>
      </w:r>
      <w:r>
        <w:rPr>
          <w:rFonts w:ascii="Arial" w:eastAsia="Arial" w:hAnsi="Arial" w:cs="Arial"/>
          <w:color w:val="000000"/>
          <w:sz w:val="20"/>
        </w:rPr>
        <w:t> Ivan L.R. Lemelle</w:t>
      </w:r>
    </w:p>
    <w:p w14:paraId="34823CA0" w14:textId="77777777" w:rsidR="002D0E71" w:rsidRDefault="00000000">
      <w:pPr>
        <w:pStyle w:val="Normal9"/>
        <w:keepNext/>
        <w:widowControl w:val="0"/>
        <w:spacing w:before="240" w:line="340" w:lineRule="atLeast"/>
      </w:pPr>
      <w:bookmarkStart w:id="1343" w:name="Opinion_8"/>
      <w:bookmarkEnd w:id="1343"/>
      <w:r>
        <w:rPr>
          <w:rFonts w:ascii="Arial" w:eastAsia="Arial" w:hAnsi="Arial" w:cs="Arial"/>
          <w:b/>
          <w:color w:val="000000"/>
          <w:sz w:val="28"/>
        </w:rPr>
        <w:t>Opinion</w:t>
      </w:r>
    </w:p>
    <w:p w14:paraId="035C8FDC" w14:textId="0D1D0F40" w:rsidR="002D0E71" w:rsidRDefault="002939DF">
      <w:pPr>
        <w:pStyle w:val="Normal9"/>
        <w:spacing w:line="60" w:lineRule="exact"/>
      </w:pPr>
      <w:r>
        <w:rPr>
          <w:noProof/>
        </w:rPr>
        <mc:AlternateContent>
          <mc:Choice Requires="wps">
            <w:drawing>
              <wp:anchor distT="0" distB="0" distL="114300" distR="114300" simplePos="0" relativeHeight="251677696" behindDoc="0" locked="0" layoutInCell="1" allowOverlap="1" wp14:anchorId="745C3C3D" wp14:editId="5416E35B">
                <wp:simplePos x="0" y="0"/>
                <wp:positionH relativeFrom="column">
                  <wp:posOffset>0</wp:posOffset>
                </wp:positionH>
                <wp:positionV relativeFrom="paragraph">
                  <wp:posOffset>25400</wp:posOffset>
                </wp:positionV>
                <wp:extent cx="3187700" cy="0"/>
                <wp:effectExtent l="19050" t="15875" r="12700" b="12700"/>
                <wp:wrapTopAndBottom/>
                <wp:docPr id="141761674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F4B9B1" id="Line 2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1079436" w14:textId="77777777" w:rsidR="002D0E71" w:rsidRDefault="002D0E71">
      <w:pPr>
        <w:pStyle w:val="Normal9"/>
      </w:pPr>
    </w:p>
    <w:p w14:paraId="6ACD9250" w14:textId="77777777" w:rsidR="002D0E71" w:rsidRDefault="00000000">
      <w:pPr>
        <w:pStyle w:val="Normal9"/>
        <w:widowControl w:val="0"/>
        <w:spacing w:before="200" w:line="260" w:lineRule="atLeast"/>
        <w:jc w:val="both"/>
      </w:pPr>
      <w:bookmarkStart w:id="1344" w:name="Bookmark_para_2_8"/>
      <w:bookmarkEnd w:id="1344"/>
      <w:r>
        <w:rPr>
          <w:rFonts w:ascii="Arial" w:eastAsia="Arial" w:hAnsi="Arial" w:cs="Arial"/>
          <w:color w:val="000000"/>
          <w:sz w:val="20"/>
        </w:rPr>
        <w:t> [*1199]  LEMELLE, District Judge:</w:t>
      </w:r>
    </w:p>
    <w:p w14:paraId="6B72F7D4" w14:textId="77777777" w:rsidR="002D0E71" w:rsidRDefault="00000000">
      <w:pPr>
        <w:pStyle w:val="Normal9"/>
        <w:widowControl w:val="0"/>
        <w:spacing w:before="200" w:line="260" w:lineRule="atLeast"/>
        <w:jc w:val="both"/>
      </w:pPr>
      <w:bookmarkStart w:id="1345" w:name="Bookmark_para_3_8"/>
      <w:bookmarkEnd w:id="1345"/>
      <w:r>
        <w:rPr>
          <w:rFonts w:ascii="Arial" w:eastAsia="Arial" w:hAnsi="Arial" w:cs="Arial"/>
          <w:color w:val="000000"/>
          <w:sz w:val="20"/>
        </w:rPr>
        <w:t>A.G., a student eligible for special education services, and her parents appeal the district court's order granting summary judgment on claims of discrimination [**5]  under section 504 of the Rehabilitation Act, 29 U.S.C. § 794, and Title II of the Americans with Disabilities Act, 42 U.S.C. §§ 12131-12134, as well as on their tort claims under Arizona state law against Paradise Valley Unified School District and related employees and principals (together "defendants"). Defendants cross-appeal the district court's order vacating taxation of costs. The parties settled other claims, including claims under the Individuals with Disabilities in Education Act, 20 U.S.C. §§ 1400-1491.</w:t>
      </w:r>
    </w:p>
    <w:p w14:paraId="349A6818" w14:textId="77777777" w:rsidR="002D0E71" w:rsidRDefault="00000000">
      <w:pPr>
        <w:pStyle w:val="Normal9"/>
        <w:widowControl w:val="0"/>
        <w:spacing w:before="200" w:line="260" w:lineRule="atLeast"/>
        <w:jc w:val="both"/>
      </w:pPr>
      <w:bookmarkStart w:id="1346" w:name="Bookmark_para_4_8"/>
      <w:bookmarkEnd w:id="1346"/>
      <w:r>
        <w:rPr>
          <w:rFonts w:ascii="Arial" w:eastAsia="Arial" w:hAnsi="Arial" w:cs="Arial"/>
          <w:color w:val="000000"/>
          <w:sz w:val="20"/>
        </w:rPr>
        <w:t>We reverse the district court's order granting summary judgment on plaintiffs' federal law claims, reverse in part the district court's order granting summary  [*1200]  judgment on plaintiffs' state law claims, vacate the district court's order addressing costs, and remand for further proceedings.</w:t>
      </w:r>
    </w:p>
    <w:p w14:paraId="22981FBC" w14:textId="77777777" w:rsidR="002D0E71" w:rsidRDefault="00000000">
      <w:pPr>
        <w:pStyle w:val="Normal9"/>
        <w:widowControl w:val="0"/>
        <w:spacing w:before="200" w:line="260" w:lineRule="atLeast"/>
        <w:jc w:val="both"/>
      </w:pPr>
      <w:bookmarkStart w:id="1347" w:name="Bookmark_para_5_8"/>
      <w:bookmarkEnd w:id="1347"/>
      <w:r>
        <w:rPr>
          <w:rFonts w:ascii="Arial" w:eastAsia="Arial" w:hAnsi="Arial" w:cs="Arial"/>
          <w:color w:val="000000"/>
          <w:sz w:val="20"/>
        </w:rPr>
        <w:t>This appeal implicates overlapping federal statutes addressing discrimination on the basis of disability. Specifically, we address the requirement that all children with disabilities receive a free appropriate public education ("FAPE"), and the distinct but overlapping features of FAPE set forth under the different statutory schemes. The related statutory schemes at issue here are the Individuals with Disabilities in Education Act ("IDEA"), 20 U.S.C. §§ 1400-1491; section 504 of the Rehabilitation Act of 1973 ("section 504") [**6] , 29 U.S.C. § 794; and Title II of the Americans with Disabilities Act ("ADA"), 42 U.S.C. §§ 12131-12134. The parties entered into a settlement agreement that narrowed the scope of plaintiffs' claims so only claims under the Rehabilitation Act and the ADA are at issue, but we review all three statutes to clarify the different definitions and standards for FAPE that must be applied on remand. We also discuss plaintiffs' state law tort claims.</w:t>
      </w:r>
    </w:p>
    <w:p w14:paraId="41063FEC" w14:textId="77777777" w:rsidR="002D0E71" w:rsidRDefault="00000000">
      <w:pPr>
        <w:pStyle w:val="Normal9"/>
        <w:widowControl w:val="0"/>
        <w:spacing w:before="240" w:line="260" w:lineRule="atLeast"/>
      </w:pPr>
      <w:r>
        <w:br/>
      </w:r>
      <w:r>
        <w:rPr>
          <w:rFonts w:ascii="Arial" w:eastAsia="Arial" w:hAnsi="Arial" w:cs="Arial"/>
          <w:b/>
          <w:color w:val="000000"/>
          <w:sz w:val="20"/>
        </w:rPr>
        <w:t>FACTS AND PROCEDURAL BACKGROUND</w:t>
      </w:r>
    </w:p>
    <w:p w14:paraId="27CF054C" w14:textId="77777777" w:rsidR="002D0E71" w:rsidRDefault="00000000">
      <w:pPr>
        <w:pStyle w:val="Normal9"/>
        <w:widowControl w:val="0"/>
        <w:spacing w:before="200" w:line="260" w:lineRule="atLeast"/>
        <w:jc w:val="both"/>
      </w:pPr>
      <w:bookmarkStart w:id="1348" w:name="Bookmark_para_6_8"/>
      <w:bookmarkEnd w:id="1348"/>
      <w:r>
        <w:rPr>
          <w:rFonts w:ascii="Arial" w:eastAsia="Arial" w:hAnsi="Arial" w:cs="Arial"/>
          <w:color w:val="000000"/>
          <w:sz w:val="20"/>
        </w:rPr>
        <w:t>A.G. attended school in the Paradise Valley Unified School District at various times between 2002 and September of 2010. From August 17, 2009 through January 19, 2010, A.G. attended seventh grade at Vista Verde Middle School in the Uniquely Gifted Program for students with high IQs and one or more learning or behavioral disabilities. During that time, A.G. periodically demonstrated aggressive, disruptive, and noncompliant behavior. In November of 2009, A.G.'s Individualized Education Plan ("IEP") Team, which included herself and her parents, adopted an IEP setting forth various educational services that would be provided to A.G.</w:t>
      </w:r>
      <w:r>
        <w:rPr>
          <w:rFonts w:ascii="Arial" w:eastAsia="Arial" w:hAnsi="Arial" w:cs="Arial"/>
          <w:vertAlign w:val="superscript"/>
        </w:rPr>
        <w:footnoteReference w:customMarkFollows="1" w:id="30"/>
        <w:t>1</w:t>
      </w:r>
      <w:r>
        <w:rPr>
          <w:rFonts w:ascii="Arial" w:eastAsia="Arial" w:hAnsi="Arial" w:cs="Arial"/>
          <w:color w:val="000000"/>
          <w:sz w:val="20"/>
        </w:rPr>
        <w:t xml:space="preserve"> Unfortunately, in December of 2009, A.G.'s behavior began to deteriorate. By January of 2010, she refused to go [**7]  to class, destroyed school property, threatened to harm herself, wrote graffiti on a bathroom wall, and was uncooperative with a school resource officer, eventually physically striking that officer. A.G. was suspended from Vista Verde following the last incident.</w:t>
      </w:r>
    </w:p>
    <w:p w14:paraId="4C0AEFCD" w14:textId="77777777" w:rsidR="002D0E71" w:rsidRDefault="00000000">
      <w:pPr>
        <w:pStyle w:val="Normal9"/>
        <w:widowControl w:val="0"/>
        <w:spacing w:before="200" w:line="260" w:lineRule="atLeast"/>
        <w:jc w:val="both"/>
      </w:pPr>
      <w:bookmarkStart w:id="1351" w:name="Bookmark_para_7_8"/>
      <w:bookmarkEnd w:id="1351"/>
      <w:r>
        <w:rPr>
          <w:rFonts w:ascii="Arial" w:eastAsia="Arial" w:hAnsi="Arial" w:cs="Arial"/>
          <w:color w:val="000000"/>
          <w:sz w:val="20"/>
        </w:rPr>
        <w:t>In February 2010, A.G.'s IEP Team met and adopted an Addendum to A.G.'s IEP. Pursuant to the Addendum, A.G. was to be transferred to the Roadrunner School, a school primarily designed for children with emotional disturbances, where she was to participate in an assortment of counseling, behavior management, and special education programs. The IEP Addendum indicates that A.G.'s parents visited Roadrunner and agreed that it would be an appropriate placement for A.G., and that A.G.'s parents were informed that A.G. would not be restrained at Roadrunner unless she became a danger to herself or others.</w:t>
      </w:r>
    </w:p>
    <w:p w14:paraId="5A9E7858" w14:textId="77777777" w:rsidR="002D0E71" w:rsidRDefault="00000000">
      <w:pPr>
        <w:pStyle w:val="Normal9"/>
        <w:widowControl w:val="0"/>
        <w:spacing w:before="200" w:line="260" w:lineRule="atLeast"/>
        <w:jc w:val="both"/>
      </w:pPr>
      <w:bookmarkStart w:id="1352" w:name="Bookmark_para_8_8"/>
      <w:bookmarkEnd w:id="1352"/>
      <w:r>
        <w:rPr>
          <w:rFonts w:ascii="Arial" w:eastAsia="Arial" w:hAnsi="Arial" w:cs="Arial"/>
          <w:color w:val="000000"/>
          <w:sz w:val="20"/>
        </w:rPr>
        <w:t>A.G. demonstrated behavioral issues on her second day at Roadrunner. She resisted entering [**8]  the school that day and had to be physically escorted onto the premises by staff members and led to the "Intervention Room." During that incident, A.G. kicked a paraprofessional in the face. Officer Lori Welsh, a city police officer who worked as off-duty security at the school, was summoned and she arrested A.G. for aggravated assault and criminal damage. Officer Welsh placed A.G. in handcuffs and  [*1201]  detained her until her mother arrived to pick her up.</w:t>
      </w:r>
    </w:p>
    <w:p w14:paraId="0C7B9EE4" w14:textId="77777777" w:rsidR="002D0E71" w:rsidRDefault="00000000">
      <w:pPr>
        <w:pStyle w:val="Normal9"/>
        <w:widowControl w:val="0"/>
        <w:spacing w:before="200" w:line="260" w:lineRule="atLeast"/>
        <w:jc w:val="both"/>
      </w:pPr>
      <w:bookmarkStart w:id="1353" w:name="Bookmark_para_9_8"/>
      <w:bookmarkEnd w:id="1353"/>
      <w:r>
        <w:rPr>
          <w:rFonts w:ascii="Arial" w:eastAsia="Arial" w:hAnsi="Arial" w:cs="Arial"/>
          <w:color w:val="000000"/>
          <w:sz w:val="20"/>
        </w:rPr>
        <w:t>Later, on March 23, 2010, Officer Welsh was again summoned by one of A.G.'s teachers to escort A.G. to the Intervention Room. Officer Welsh attempted to handcuff A.G. for allegedly poking her in the eye, but A.G. resisted and eventually scratched Officer Welsh in the face and neck. Officer Welsh placed A.G. in an arm bar, applied handcuffs, and called for backup. A.G. was eventually arrested for aggravated assault, transported to the police precinct for booking, and placed in a juvenile detention room where she kicked the table and chair. After being transported to the Juvenile Court Center, A.G. was released to her parents. The charges stemming from both incidents were later dismissed, and A.G. returned to the Roadrunner School. She was [**9]  eventually moved to the Howard S. Gray School, a private psychiatric school, at district expense.</w:t>
      </w:r>
    </w:p>
    <w:p w14:paraId="7D8B38E9" w14:textId="77777777" w:rsidR="002D0E71" w:rsidRDefault="00000000">
      <w:pPr>
        <w:pStyle w:val="Normal9"/>
        <w:widowControl w:val="0"/>
        <w:spacing w:before="200" w:line="260" w:lineRule="atLeast"/>
        <w:jc w:val="both"/>
      </w:pPr>
      <w:bookmarkStart w:id="1354" w:name="Bookmark_para_10_8"/>
      <w:bookmarkEnd w:id="1354"/>
      <w:r>
        <w:rPr>
          <w:rFonts w:ascii="Arial" w:eastAsia="Arial" w:hAnsi="Arial" w:cs="Arial"/>
          <w:color w:val="000000"/>
          <w:sz w:val="20"/>
        </w:rPr>
        <w:t>On June 16, 2011, A.G. and her parents filed an administrative due process complaint with the Arizona Department of Education alleging that A.G. was denied a FAPE by the school district and its named representatives and employees (the "school district defendants"). The administrative complaint sought remedies available under the IDEA. Plaintiffs also filed the present action in Arizona state court against the school district defendants, the City of Phoenix, and Officer Welsh. Defendants later removed the action to the United States District Court for the District of Arizona.</w:t>
      </w:r>
    </w:p>
    <w:p w14:paraId="611349AA" w14:textId="77777777" w:rsidR="002D0E71" w:rsidRDefault="00000000">
      <w:pPr>
        <w:pStyle w:val="Normal9"/>
        <w:widowControl w:val="0"/>
        <w:spacing w:before="200" w:line="260" w:lineRule="atLeast"/>
        <w:jc w:val="both"/>
      </w:pPr>
      <w:bookmarkStart w:id="1355" w:name="Bookmark_para_11_8"/>
      <w:bookmarkEnd w:id="1355"/>
      <w:r>
        <w:rPr>
          <w:rFonts w:ascii="Arial" w:eastAsia="Arial" w:hAnsi="Arial" w:cs="Arial"/>
          <w:color w:val="000000"/>
          <w:sz w:val="20"/>
        </w:rPr>
        <w:t>In their First Amended Complaint, plaintiffs alleged a denial of FAPE under the procedural provisions of the IDEA, Title II of the ADA, and section 504 of the Rehabilitation Act, as well as various state common law tort claims against the school district defendants. Plaintiffs' principal discrimination-based claims relate to the school district's alleged failure to provide adequate accommodations, including a Functional Behavior Assessment ("FBA"), a Behavior Intervention Plan ("BIP"), and a full-time aide, and to the school district's decision to change A.G.'s [**10]  placement from Vista Verde to the Roadrunner School. Plaintiffs alleged that having further accommodations would have allowed A.G. to continue attending Vista Verde.</w:t>
      </w:r>
    </w:p>
    <w:p w14:paraId="3BFDE4E3" w14:textId="77777777" w:rsidR="002D0E71" w:rsidRDefault="00000000">
      <w:pPr>
        <w:pStyle w:val="Normal9"/>
        <w:widowControl w:val="0"/>
        <w:spacing w:before="200" w:line="260" w:lineRule="atLeast"/>
        <w:jc w:val="both"/>
      </w:pPr>
      <w:bookmarkStart w:id="1356" w:name="Bookmark_para_12_8"/>
      <w:bookmarkEnd w:id="1356"/>
      <w:r>
        <w:rPr>
          <w:rFonts w:ascii="Arial" w:eastAsia="Arial" w:hAnsi="Arial" w:cs="Arial"/>
          <w:color w:val="000000"/>
          <w:sz w:val="20"/>
        </w:rPr>
        <w:t>In April of 2012, plaintiffs and the school district defendants entered into a settlement agreement releasing plaintiffs' IDEA claims. Among other things, the settlement released the school district defendants of all liability for administrative remedies available under the IDEA relating to the failure to provide A.G. with a FAPE under the terms of that Act.</w:t>
      </w:r>
      <w:r>
        <w:rPr>
          <w:rFonts w:ascii="Arial" w:eastAsia="Arial" w:hAnsi="Arial" w:cs="Arial"/>
          <w:vertAlign w:val="superscript"/>
        </w:rPr>
        <w:footnoteReference w:customMarkFollows="1" w:id="31"/>
        <w:t>2</w:t>
      </w:r>
      <w:r>
        <w:rPr>
          <w:rFonts w:ascii="Arial" w:eastAsia="Arial" w:hAnsi="Arial" w:cs="Arial"/>
          <w:color w:val="000000"/>
          <w:sz w:val="20"/>
        </w:rPr>
        <w:t xml:space="preserve"> The settlement agreement expressly reserved plaintiffs' ability to proceed on their other federal claims pending in district court. On April 23, 2013, the district court also approved a settlement agreement dismissing all claims against the City of Phoenix and Officer Welsh.</w:t>
      </w:r>
    </w:p>
    <w:p w14:paraId="1642A20C" w14:textId="77777777" w:rsidR="002D0E71" w:rsidRDefault="00000000">
      <w:pPr>
        <w:pStyle w:val="Normal9"/>
        <w:widowControl w:val="0"/>
        <w:spacing w:before="200" w:line="260" w:lineRule="atLeast"/>
        <w:jc w:val="both"/>
      </w:pPr>
      <w:bookmarkStart w:id="1358" w:name="Bookmark_para_13_8"/>
      <w:bookmarkEnd w:id="1358"/>
      <w:r>
        <w:rPr>
          <w:rFonts w:ascii="Arial" w:eastAsia="Arial" w:hAnsi="Arial" w:cs="Arial"/>
          <w:color w:val="000000"/>
          <w:sz w:val="20"/>
        </w:rPr>
        <w:t>In May of 2013, the district court granted summary judgment in favor of the school district defendants on all remaining claims, dismissing plaintiffs' claims under section 504 of the Rehabilitation Act and Title II of the ADA, as well as plaintiffs' state tort law claims. After the district court entered [**11]  its final judgment, the school district submitted a bill of costs to the clerk of court and plaintiffs filed objections thereto. The clerk issued a Judgment on Taxation of Costs in favor of the school district, but plaintiffs later filed a motion seeking review of that judgment pursuant to Federal Rule of Civil Procedure 54(d)(1)  [*1202]  and sanctions for defendants' allegedly improper reimbursement request. The district court agreed with plaintiffs and vacated the clerk's assessment of costs. Plaintiffs timely appealed the order granting summary judgment and defendants timely cross-appealed the order vacating costs.</w:t>
      </w:r>
    </w:p>
    <w:p w14:paraId="154F6813" w14:textId="77777777" w:rsidR="002D0E71" w:rsidRDefault="00000000">
      <w:pPr>
        <w:pStyle w:val="Normal9"/>
        <w:widowControl w:val="0"/>
        <w:spacing w:before="240" w:line="260" w:lineRule="atLeast"/>
      </w:pPr>
      <w:r>
        <w:br/>
      </w:r>
      <w:r>
        <w:rPr>
          <w:rFonts w:ascii="Arial" w:eastAsia="Arial" w:hAnsi="Arial" w:cs="Arial"/>
          <w:b/>
          <w:color w:val="000000"/>
          <w:sz w:val="20"/>
        </w:rPr>
        <w:t>JURISDICTION AND STANDARD OF REVIEW</w:t>
      </w:r>
    </w:p>
    <w:p w14:paraId="22585FD8" w14:textId="77777777" w:rsidR="002D0E71" w:rsidRDefault="00000000">
      <w:pPr>
        <w:pStyle w:val="Normal9"/>
        <w:widowControl w:val="0"/>
        <w:spacing w:before="200" w:line="260" w:lineRule="atLeast"/>
        <w:jc w:val="both"/>
      </w:pPr>
      <w:bookmarkStart w:id="1359" w:name="Bookmark_para_14_8"/>
      <w:bookmarkEnd w:id="1359"/>
      <w:r>
        <w:rPr>
          <w:rFonts w:ascii="Arial" w:eastAsia="Arial" w:hAnsi="Arial" w:cs="Arial"/>
          <w:color w:val="000000"/>
          <w:sz w:val="20"/>
        </w:rPr>
        <w:t>The district court had jurisdiction over plaintiffs' federal law claims and plaintiffs' Rule 54(d) motion concerning costs pursuant to 28 U.S.C. § 1331 and plaintiffs' state law claims pursuant to 28 U.S.C. § 1367. We have appellate jurisdiction pursuant to 28 U.S.C. § 1291.</w:t>
      </w:r>
    </w:p>
    <w:p w14:paraId="3361AB20" w14:textId="77777777" w:rsidR="002D0E71" w:rsidRDefault="00000000">
      <w:pPr>
        <w:pStyle w:val="Normal9"/>
        <w:widowControl w:val="0"/>
        <w:spacing w:before="200" w:line="260" w:lineRule="atLeast"/>
        <w:jc w:val="both"/>
      </w:pPr>
      <w:bookmarkStart w:id="1360" w:name="Bookmark_para_15_8"/>
      <w:bookmarkStart w:id="1361" w:name="Bookmark_I5JD87M62N1RJ20020000400"/>
      <w:bookmarkStart w:id="1362" w:name="Bookmark_I5JD87M62N1RJ30010000400"/>
      <w:bookmarkStart w:id="1363" w:name="Bookmark_LNHNREFclscc2_7"/>
      <w:bookmarkEnd w:id="1360"/>
      <w:bookmarkEnd w:id="1361"/>
      <w:bookmarkEnd w:id="1362"/>
      <w:bookmarkEnd w:id="1363"/>
      <w:r>
        <w:rPr>
          <w:rFonts w:ascii="Arial" w:eastAsia="Arial" w:hAnsi="Arial" w:cs="Arial"/>
          <w:color w:val="000000"/>
          <w:sz w:val="20"/>
        </w:rPr>
        <w:t xml:space="preserve">We review de novo an order granting or denying a motion for summary judgment. </w:t>
      </w:r>
      <w:bookmarkStart w:id="1364" w:name="Bookmark_I5JD87M62N1RJ20010000400"/>
      <w:bookmarkEnd w:id="1364"/>
      <w:r>
        <w:rPr>
          <w:rFonts w:ascii="Arial" w:eastAsia="Arial" w:hAnsi="Arial" w:cs="Arial"/>
          <w:i/>
          <w:color w:val="000000"/>
          <w:sz w:val="20"/>
        </w:rPr>
        <w:t>Mark H. v. Hamamoto</w:t>
      </w:r>
      <w:r>
        <w:rPr>
          <w:rFonts w:ascii="Arial" w:eastAsia="Arial" w:hAnsi="Arial" w:cs="Arial"/>
          <w:color w:val="000000"/>
          <w:sz w:val="20"/>
        </w:rPr>
        <w:t xml:space="preserve">, 620 F.3d 1090, 1097 (9th Cir. 2010); </w:t>
      </w:r>
      <w:bookmarkStart w:id="1365" w:name="Bookmark_I5JD87M62N1RJ20030000400"/>
      <w:bookmarkEnd w:id="1365"/>
      <w:r>
        <w:rPr>
          <w:rFonts w:ascii="Arial" w:eastAsia="Arial" w:hAnsi="Arial" w:cs="Arial"/>
          <w:i/>
          <w:color w:val="000000"/>
          <w:sz w:val="20"/>
        </w:rPr>
        <w:t>Delta Sav. Bank v. United States</w:t>
      </w:r>
      <w:r>
        <w:rPr>
          <w:rFonts w:ascii="Arial" w:eastAsia="Arial" w:hAnsi="Arial" w:cs="Arial"/>
          <w:color w:val="000000"/>
          <w:sz w:val="20"/>
        </w:rPr>
        <w:t xml:space="preserve">, 265 F.3d 1017, 1021 (9th Cir. 2001). We may "affirm a summary judgment only if, viewing the evidence in the light most favorable to the party against whom it is granted," there is no genuine issue of material fact such that the prevailing party is entitled to judgment as a matter of law. </w:t>
      </w:r>
      <w:bookmarkStart w:id="1366" w:name="Bookmark_I5JD87M62N1RJ20050000400"/>
      <w:bookmarkEnd w:id="1366"/>
      <w:r>
        <w:rPr>
          <w:rFonts w:ascii="Arial" w:eastAsia="Arial" w:hAnsi="Arial" w:cs="Arial"/>
          <w:i/>
          <w:color w:val="000000"/>
          <w:sz w:val="20"/>
        </w:rPr>
        <w:t>Hamamoto</w:t>
      </w:r>
      <w:r>
        <w:rPr>
          <w:rFonts w:ascii="Arial" w:eastAsia="Arial" w:hAnsi="Arial" w:cs="Arial"/>
          <w:color w:val="000000"/>
          <w:sz w:val="20"/>
        </w:rPr>
        <w:t xml:space="preserve">, 620 F.3d at 1097 (citing </w:t>
      </w:r>
      <w:bookmarkStart w:id="1367" w:name="Bookmark_I5JD87M62N1RJ30020000400"/>
      <w:bookmarkEnd w:id="1367"/>
      <w:r>
        <w:rPr>
          <w:rFonts w:ascii="Arial" w:eastAsia="Arial" w:hAnsi="Arial" w:cs="Arial"/>
          <w:i/>
          <w:color w:val="000000"/>
          <w:sz w:val="20"/>
        </w:rPr>
        <w:t>Tribal Village of Akutan v. Hodel</w:t>
      </w:r>
      <w:r>
        <w:rPr>
          <w:rFonts w:ascii="Arial" w:eastAsia="Arial" w:hAnsi="Arial" w:cs="Arial"/>
          <w:color w:val="000000"/>
          <w:sz w:val="20"/>
        </w:rPr>
        <w:t xml:space="preserve">, 869 F.2d 1185, 1189 (9th Cir. 1989)). We draw all justifiable factual [**12]  inferences in favor of the nonmoving party, and we reverse an order granting summary judgment if any rational trier of fact could resolve a material factual issue in favor of the nonmoving party. </w:t>
      </w:r>
      <w:r>
        <w:rPr>
          <w:rFonts w:ascii="Arial" w:eastAsia="Arial" w:hAnsi="Arial" w:cs="Arial"/>
          <w:i/>
          <w:color w:val="000000"/>
          <w:sz w:val="20"/>
        </w:rPr>
        <w:t>Id.</w:t>
      </w:r>
    </w:p>
    <w:p w14:paraId="44EEB34E" w14:textId="77777777" w:rsidR="002D0E71" w:rsidRDefault="00000000">
      <w:pPr>
        <w:pStyle w:val="Normal9"/>
        <w:widowControl w:val="0"/>
        <w:spacing w:before="200" w:line="260" w:lineRule="atLeast"/>
        <w:jc w:val="both"/>
      </w:pPr>
      <w:bookmarkStart w:id="1368" w:name="Bookmark_para_16_8"/>
      <w:bookmarkStart w:id="1369" w:name="Bookmark_I5JD87M62N1RJ30050000400"/>
      <w:bookmarkStart w:id="1370" w:name="Bookmark_LNHNREFclscc3_7"/>
      <w:bookmarkEnd w:id="1368"/>
      <w:bookmarkEnd w:id="1369"/>
      <w:bookmarkEnd w:id="1370"/>
      <w:r>
        <w:rPr>
          <w:rFonts w:ascii="Arial" w:eastAsia="Arial" w:hAnsi="Arial" w:cs="Arial"/>
          <w:color w:val="000000"/>
          <w:sz w:val="20"/>
        </w:rPr>
        <w:t xml:space="preserve">We review the district court's decision to grant or deny costs for abuse of discretion. </w:t>
      </w:r>
      <w:bookmarkStart w:id="1371" w:name="Bookmark_I5JD87M62N1RJ30040000400"/>
      <w:bookmarkEnd w:id="1371"/>
      <w:r>
        <w:rPr>
          <w:rFonts w:ascii="Arial" w:eastAsia="Arial" w:hAnsi="Arial" w:cs="Arial"/>
          <w:i/>
          <w:color w:val="000000"/>
          <w:sz w:val="20"/>
        </w:rPr>
        <w:t>Ass'n of Mexican-Am. Educators v. California</w:t>
      </w:r>
      <w:r>
        <w:rPr>
          <w:rFonts w:ascii="Arial" w:eastAsia="Arial" w:hAnsi="Arial" w:cs="Arial"/>
          <w:color w:val="000000"/>
          <w:sz w:val="20"/>
        </w:rPr>
        <w:t>, 231 F.3d 572, 592 (9th Cir. 2000) (en banc).</w:t>
      </w:r>
    </w:p>
    <w:p w14:paraId="14619885" w14:textId="77777777" w:rsidR="002D0E71" w:rsidRDefault="00000000">
      <w:pPr>
        <w:pStyle w:val="Normal9"/>
        <w:widowControl w:val="0"/>
        <w:spacing w:before="240" w:line="260" w:lineRule="atLeast"/>
      </w:pPr>
      <w:r>
        <w:br/>
      </w:r>
      <w:r>
        <w:rPr>
          <w:rFonts w:ascii="Arial" w:eastAsia="Arial" w:hAnsi="Arial" w:cs="Arial"/>
          <w:b/>
          <w:color w:val="000000"/>
          <w:sz w:val="20"/>
        </w:rPr>
        <w:t>DISCUSSION</w:t>
      </w:r>
    </w:p>
    <w:p w14:paraId="7F24F058" w14:textId="77777777" w:rsidR="002D0E71" w:rsidRDefault="00000000">
      <w:pPr>
        <w:pStyle w:val="Normal9"/>
        <w:widowControl w:val="0"/>
        <w:spacing w:before="200" w:line="260" w:lineRule="atLeast"/>
        <w:jc w:val="both"/>
      </w:pPr>
      <w:bookmarkStart w:id="1372" w:name="Bookmark_para_17_7"/>
      <w:bookmarkEnd w:id="1372"/>
      <w:r>
        <w:rPr>
          <w:rFonts w:ascii="Arial" w:eastAsia="Arial" w:hAnsi="Arial" w:cs="Arial"/>
          <w:color w:val="000000"/>
          <w:sz w:val="20"/>
        </w:rPr>
        <w:t>In the district court, the parties' briefing conflated the requirements for claims made under the IDEA, the ADA, and section 504 of the Rehabilitation Act. Because remand is necessary, we clarify the relevant standards for disability discrimination claims by disabled children based on access to educational services. We also briefly address plaintiffs' state law claims. The parties' dispute concerning costs is mooted by the need to remand for further proceedings consistent with this opinion.</w:t>
      </w:r>
    </w:p>
    <w:p w14:paraId="47254B7E" w14:textId="77777777" w:rsidR="002D0E71" w:rsidRDefault="00000000">
      <w:pPr>
        <w:pStyle w:val="Normal9"/>
        <w:widowControl w:val="0"/>
        <w:spacing w:before="240" w:line="260" w:lineRule="atLeast"/>
      </w:pPr>
      <w:r>
        <w:br/>
      </w:r>
      <w:r>
        <w:rPr>
          <w:rFonts w:ascii="Arial" w:eastAsia="Arial" w:hAnsi="Arial" w:cs="Arial"/>
          <w:b/>
          <w:color w:val="000000"/>
          <w:sz w:val="20"/>
        </w:rPr>
        <w:t>I. Federal Legislation Addressing Special Education for Disabled Children</w:t>
      </w:r>
      <w:r>
        <w:rPr>
          <w:rFonts w:ascii="Arial" w:eastAsia="Arial" w:hAnsi="Arial" w:cs="Arial"/>
          <w:color w:val="000000"/>
          <w:sz w:val="20"/>
        </w:rPr>
        <w:t>.</w:t>
      </w:r>
    </w:p>
    <w:p w14:paraId="7CCDED6C" w14:textId="77777777" w:rsidR="002D0E71" w:rsidRDefault="00000000">
      <w:pPr>
        <w:pStyle w:val="Normal9"/>
        <w:widowControl w:val="0"/>
        <w:spacing w:before="200" w:line="260" w:lineRule="atLeast"/>
        <w:jc w:val="both"/>
      </w:pPr>
      <w:bookmarkStart w:id="1373" w:name="Bookmark_para_18_7"/>
      <w:bookmarkEnd w:id="1373"/>
      <w:r>
        <w:rPr>
          <w:rFonts w:ascii="Arial" w:eastAsia="Arial" w:hAnsi="Arial" w:cs="Arial"/>
          <w:color w:val="000000"/>
          <w:sz w:val="20"/>
        </w:rPr>
        <w:t>There are three primary and overlapping pieces of federal legislation applicable to plaintiffs' discrimination claims: The IDEA, 20 U.S.C. §§ 1400-1491; section 504 of the Rehabilitation Act, 29 U.S.C. § 794; and Title II of the ADA, 42 U.S.C. §§ 12131-12134.</w:t>
      </w:r>
    </w:p>
    <w:p w14:paraId="031A4179" w14:textId="77777777" w:rsidR="002D0E71" w:rsidRDefault="00000000">
      <w:pPr>
        <w:pStyle w:val="Normal9"/>
        <w:widowControl w:val="0"/>
        <w:spacing w:before="200" w:line="260" w:lineRule="atLeast"/>
        <w:jc w:val="both"/>
      </w:pPr>
      <w:bookmarkStart w:id="1374" w:name="Bookmark_para_19_7"/>
      <w:bookmarkStart w:id="1375" w:name="Bookmark_I5JD87M628T45D0020000400"/>
      <w:bookmarkStart w:id="1376" w:name="Bookmark_LNHNREFclscc4_7"/>
      <w:bookmarkEnd w:id="1374"/>
      <w:bookmarkEnd w:id="1375"/>
      <w:bookmarkEnd w:id="1376"/>
      <w:r>
        <w:rPr>
          <w:rFonts w:ascii="Arial" w:eastAsia="Arial" w:hAnsi="Arial" w:cs="Arial"/>
          <w:color w:val="000000"/>
          <w:sz w:val="20"/>
        </w:rPr>
        <w:t xml:space="preserve">Congress enacted the IDEA "to ensure that all children with disabilities have available to them a free appropriate public education [or 'FAPE'] that emphasizes special [**13]  education and related services designed to meet their unique needs and prepare them for further education, employment, and independent living." </w:t>
      </w:r>
      <w:bookmarkStart w:id="1377" w:name="Bookmark_I5JD87M628T45D0010000400"/>
      <w:bookmarkEnd w:id="1377"/>
      <w:r>
        <w:rPr>
          <w:rFonts w:ascii="Arial" w:eastAsia="Arial" w:hAnsi="Arial" w:cs="Arial"/>
          <w:i/>
          <w:color w:val="000000"/>
          <w:sz w:val="20"/>
        </w:rPr>
        <w:t>Mark H. v. Lemahieu</w:t>
      </w:r>
      <w:r>
        <w:rPr>
          <w:rFonts w:ascii="Arial" w:eastAsia="Arial" w:hAnsi="Arial" w:cs="Arial"/>
          <w:color w:val="000000"/>
          <w:sz w:val="20"/>
        </w:rPr>
        <w:t xml:space="preserve">, 513 F.3d 922, 928 (9th Cir. 2008) (quoting 20 U.S.C. § 1400(d)(1)(A)). </w:t>
      </w:r>
      <w:bookmarkStart w:id="1378" w:name="Bookmark_I5JD87M628T45D0040000400"/>
      <w:bookmarkEnd w:id="1378"/>
      <w:r>
        <w:rPr>
          <w:rFonts w:ascii="Arial" w:eastAsia="Arial" w:hAnsi="Arial" w:cs="Arial"/>
          <w:color w:val="000000"/>
          <w:sz w:val="20"/>
        </w:rPr>
        <w:t>The IDEA focuses on making a FAPE available to disabled students through development of Individualized Education Programs ("IEPs").</w:t>
      </w:r>
      <w:r>
        <w:rPr>
          <w:rFonts w:ascii="Arial" w:eastAsia="Arial" w:hAnsi="Arial" w:cs="Arial"/>
          <w:vertAlign w:val="superscript"/>
        </w:rPr>
        <w:footnoteReference w:customMarkFollows="1" w:id="32"/>
        <w:t>3</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20 U.S.C. § 1401(9) (defining FAPE in part as "special education and related services that . . . are provided in conformity with the individualized education program required under section 1414(d)"). States receiving federal financial assistance under  [*1203]  the IDEA must have in place "policies and procedures" to properly develop IEPs for qualifying children. </w:t>
      </w:r>
      <w:bookmarkStart w:id="1381" w:name="Bookmark_I5JD87M628T45D0040000400_2"/>
      <w:bookmarkEnd w:id="1381"/>
      <w:r>
        <w:rPr>
          <w:rFonts w:ascii="Arial" w:eastAsia="Arial" w:hAnsi="Arial" w:cs="Arial"/>
          <w:i/>
          <w:color w:val="000000"/>
          <w:sz w:val="20"/>
        </w:rPr>
        <w:t>Id.</w:t>
      </w:r>
      <w:r>
        <w:rPr>
          <w:rFonts w:ascii="Arial" w:eastAsia="Arial" w:hAnsi="Arial" w:cs="Arial"/>
          <w:color w:val="000000"/>
          <w:sz w:val="20"/>
        </w:rPr>
        <w:t xml:space="preserve"> The IDEA creates a cause of action for children and parents to pursue injunctive or other prospective relief through a civil action following an administrative due process hearing in order to compel compliance with the Act and proper implementation or modification of the child's IEP. </w:t>
      </w:r>
      <w:r>
        <w:rPr>
          <w:rFonts w:ascii="Arial" w:eastAsia="Arial" w:hAnsi="Arial" w:cs="Arial"/>
          <w:i/>
          <w:color w:val="000000"/>
          <w:sz w:val="20"/>
        </w:rPr>
        <w:t>See</w:t>
      </w:r>
      <w:r>
        <w:rPr>
          <w:rFonts w:ascii="Arial" w:eastAsia="Arial" w:hAnsi="Arial" w:cs="Arial"/>
          <w:color w:val="000000"/>
          <w:sz w:val="20"/>
        </w:rPr>
        <w:t xml:space="preserve"> 20 U.S.C. § 1415(i)(2)(C)(iii); </w:t>
      </w:r>
      <w:bookmarkStart w:id="1382" w:name="Bookmark_I5JD87M628T45D0030000400"/>
      <w:bookmarkEnd w:id="1382"/>
      <w:r>
        <w:rPr>
          <w:rFonts w:ascii="Arial" w:eastAsia="Arial" w:hAnsi="Arial" w:cs="Arial"/>
          <w:i/>
          <w:color w:val="000000"/>
          <w:sz w:val="20"/>
        </w:rPr>
        <w:t>Lemahieu</w:t>
      </w:r>
      <w:r>
        <w:rPr>
          <w:rFonts w:ascii="Arial" w:eastAsia="Arial" w:hAnsi="Arial" w:cs="Arial"/>
          <w:color w:val="000000"/>
          <w:sz w:val="20"/>
        </w:rPr>
        <w:t>, 513 F.3d at 928-29.</w:t>
      </w:r>
    </w:p>
    <w:p w14:paraId="214E6E8A" w14:textId="77777777" w:rsidR="002D0E71" w:rsidRDefault="00000000">
      <w:pPr>
        <w:pStyle w:val="Normal9"/>
        <w:widowControl w:val="0"/>
        <w:spacing w:before="200" w:line="260" w:lineRule="atLeast"/>
        <w:jc w:val="both"/>
      </w:pPr>
      <w:bookmarkStart w:id="1383" w:name="Bookmark_para_20_6"/>
      <w:bookmarkStart w:id="1384" w:name="Bookmark_I5JD87M62HM62J0010000400"/>
      <w:bookmarkStart w:id="1385" w:name="Bookmark_LNHNREFclscc6_7"/>
      <w:bookmarkEnd w:id="1383"/>
      <w:bookmarkEnd w:id="1384"/>
      <w:bookmarkEnd w:id="1385"/>
      <w:r>
        <w:rPr>
          <w:rFonts w:ascii="Arial" w:eastAsia="Arial" w:hAnsi="Arial" w:cs="Arial"/>
          <w:color w:val="000000"/>
          <w:sz w:val="20"/>
        </w:rPr>
        <w:t xml:space="preserve">Section 504 of the Rehabilitation Act is broader than the IDEA; it is concerned [**14]  with discrimination in the provision of state services to all individuals with disabilities. </w:t>
      </w:r>
      <w:bookmarkStart w:id="1386" w:name="Bookmark_I5JD87M62HM62J0030000400"/>
      <w:bookmarkStart w:id="1387" w:name="Bookmark_I5JD87M628T45D0050000400"/>
      <w:bookmarkEnd w:id="1386"/>
      <w:bookmarkEnd w:id="1387"/>
      <w:r>
        <w:rPr>
          <w:rFonts w:ascii="Arial" w:eastAsia="Arial" w:hAnsi="Arial" w:cs="Arial"/>
          <w:i/>
          <w:color w:val="000000"/>
          <w:sz w:val="20"/>
        </w:rPr>
        <w:t>Lemahieu</w:t>
      </w:r>
      <w:r>
        <w:rPr>
          <w:rFonts w:ascii="Arial" w:eastAsia="Arial" w:hAnsi="Arial" w:cs="Arial"/>
          <w:color w:val="000000"/>
          <w:sz w:val="20"/>
        </w:rPr>
        <w:t xml:space="preserve">, 513 F.3d at 929. It provides that "[n]o otherwise qualified individual with a disability in the United States . . . shall, solely by reason of her or his disability, be excluded from the participation in, be denied the benefits of, or be subjected to discrimination under any program or activity receiving Federal financial assistance[.]" 29 U.S.C. § 794(a). </w:t>
      </w:r>
      <w:bookmarkStart w:id="1388" w:name="Bookmark_I5JD87M62HM62J0030000400_2"/>
      <w:bookmarkStart w:id="1389" w:name="Bookmark_I5JD87M62HM62J0050000400"/>
      <w:bookmarkEnd w:id="1388"/>
      <w:bookmarkEnd w:id="1389"/>
      <w:r>
        <w:rPr>
          <w:rFonts w:ascii="Arial" w:eastAsia="Arial" w:hAnsi="Arial" w:cs="Arial"/>
          <w:color w:val="000000"/>
          <w:sz w:val="20"/>
        </w:rPr>
        <w:t xml:space="preserve">Like the IDEA, section 504 applies to public schools that receive federal financial assistance. 29 U.S.C. § 794(b)(2)(B); </w:t>
      </w:r>
      <w:r>
        <w:rPr>
          <w:rFonts w:ascii="Arial" w:eastAsia="Arial" w:hAnsi="Arial" w:cs="Arial"/>
          <w:i/>
          <w:color w:val="000000"/>
          <w:sz w:val="20"/>
        </w:rPr>
        <w:t xml:space="preserve">see also </w:t>
      </w:r>
      <w:bookmarkStart w:id="1390" w:name="Bookmark_I5JD87M62HM62J0020000400"/>
      <w:bookmarkEnd w:id="1390"/>
      <w:r>
        <w:rPr>
          <w:rFonts w:ascii="Arial" w:eastAsia="Arial" w:hAnsi="Arial" w:cs="Arial"/>
          <w:i/>
          <w:color w:val="000000"/>
          <w:sz w:val="20"/>
        </w:rPr>
        <w:t>Lemahieu</w:t>
      </w:r>
      <w:r>
        <w:rPr>
          <w:rFonts w:ascii="Arial" w:eastAsia="Arial" w:hAnsi="Arial" w:cs="Arial"/>
          <w:color w:val="000000"/>
          <w:sz w:val="20"/>
        </w:rPr>
        <w:t xml:space="preserve">, 513 F.3d at 929. </w:t>
      </w:r>
      <w:bookmarkStart w:id="1391" w:name="Bookmark_I5JD87M62HM62J0050000400_2"/>
      <w:bookmarkEnd w:id="1391"/>
      <w:r>
        <w:rPr>
          <w:rFonts w:ascii="Arial" w:eastAsia="Arial" w:hAnsi="Arial" w:cs="Arial"/>
          <w:color w:val="000000"/>
          <w:sz w:val="20"/>
        </w:rPr>
        <w:t xml:space="preserve">Section 504's provisions are not expressly affirmative in nature, but the Rehabilitation Act empowers federal agencies to devise regulations aimed at preventing prohibited discrimination. </w:t>
      </w:r>
      <w:r>
        <w:rPr>
          <w:rFonts w:ascii="Arial" w:eastAsia="Arial" w:hAnsi="Arial" w:cs="Arial"/>
          <w:i/>
          <w:color w:val="000000"/>
          <w:sz w:val="20"/>
        </w:rPr>
        <w:t xml:space="preserve">See </w:t>
      </w:r>
      <w:bookmarkStart w:id="1392" w:name="Bookmark_I5JD87M62HM62J0040000400"/>
      <w:bookmarkEnd w:id="1392"/>
      <w:r>
        <w:rPr>
          <w:rFonts w:ascii="Arial" w:eastAsia="Arial" w:hAnsi="Arial" w:cs="Arial"/>
          <w:i/>
          <w:color w:val="000000"/>
          <w:sz w:val="20"/>
        </w:rPr>
        <w:t>Lemahieu</w:t>
      </w:r>
      <w:r>
        <w:rPr>
          <w:rFonts w:ascii="Arial" w:eastAsia="Arial" w:hAnsi="Arial" w:cs="Arial"/>
          <w:color w:val="000000"/>
          <w:sz w:val="20"/>
        </w:rPr>
        <w:t>, 513 F.3d at 929.</w:t>
      </w:r>
    </w:p>
    <w:p w14:paraId="58F364B9" w14:textId="77777777" w:rsidR="002D0E71" w:rsidRDefault="00000000">
      <w:pPr>
        <w:pStyle w:val="Normal9"/>
        <w:widowControl w:val="0"/>
        <w:spacing w:before="200" w:line="260" w:lineRule="atLeast"/>
        <w:jc w:val="both"/>
      </w:pPr>
      <w:bookmarkStart w:id="1393" w:name="Bookmark_para_21_6"/>
      <w:bookmarkStart w:id="1394" w:name="Bookmark_I5JD87M62HM62K0020000400"/>
      <w:bookmarkStart w:id="1395" w:name="Bookmark_LNHNREFclscc7_7"/>
      <w:bookmarkEnd w:id="1393"/>
      <w:bookmarkEnd w:id="1394"/>
      <w:bookmarkEnd w:id="1395"/>
      <w:r>
        <w:rPr>
          <w:rFonts w:ascii="Arial" w:eastAsia="Arial" w:hAnsi="Arial" w:cs="Arial"/>
          <w:color w:val="000000"/>
          <w:sz w:val="20"/>
        </w:rPr>
        <w:t xml:space="preserve">The regulations adopted pursuant to section 504 require qualifying public schools to "provide a free appropriate public education to each qualified handicapped person." 34 C.F.R. § 104.33(a); </w:t>
      </w:r>
      <w:bookmarkStart w:id="1396" w:name="Bookmark_I5JD87M62HM62K0010000400"/>
      <w:bookmarkEnd w:id="1396"/>
      <w:r>
        <w:rPr>
          <w:rFonts w:ascii="Arial" w:eastAsia="Arial" w:hAnsi="Arial" w:cs="Arial"/>
          <w:i/>
          <w:color w:val="000000"/>
          <w:sz w:val="20"/>
        </w:rPr>
        <w:t>Lemahieu</w:t>
      </w:r>
      <w:r>
        <w:rPr>
          <w:rFonts w:ascii="Arial" w:eastAsia="Arial" w:hAnsi="Arial" w:cs="Arial"/>
          <w:color w:val="000000"/>
          <w:sz w:val="20"/>
        </w:rPr>
        <w:t>, 513 F.3d at 929.</w:t>
      </w:r>
      <w:r>
        <w:rPr>
          <w:rFonts w:ascii="Arial" w:eastAsia="Arial" w:hAnsi="Arial" w:cs="Arial"/>
          <w:vertAlign w:val="superscript"/>
        </w:rPr>
        <w:footnoteReference w:customMarkFollows="1" w:id="33"/>
        <w:t>4</w:t>
      </w:r>
      <w:r>
        <w:rPr>
          <w:rFonts w:ascii="Arial" w:eastAsia="Arial" w:hAnsi="Arial" w:cs="Arial"/>
          <w:color w:val="000000"/>
          <w:sz w:val="20"/>
        </w:rPr>
        <w:t xml:space="preserve"> "FAPE" is defined differently for purposes of section 504 than it is for the IDEA. Under those section 504 regulations, FAPE requires "regular or special education and related aids and services that (i) are designed to meet individual educational needs of handicapped persons </w:t>
      </w:r>
      <w:r>
        <w:rPr>
          <w:rFonts w:ascii="Arial" w:eastAsia="Arial" w:hAnsi="Arial" w:cs="Arial"/>
          <w:i/>
          <w:color w:val="000000"/>
          <w:sz w:val="20"/>
        </w:rPr>
        <w:t>as adequately as the needs of nonhandicapped persons are met</w:t>
      </w:r>
      <w:r>
        <w:rPr>
          <w:rFonts w:ascii="Arial" w:eastAsia="Arial" w:hAnsi="Arial" w:cs="Arial"/>
          <w:color w:val="000000"/>
          <w:sz w:val="20"/>
        </w:rPr>
        <w:t xml:space="preserve"> and (ii) are </w:t>
      </w:r>
      <w:r>
        <w:rPr>
          <w:rFonts w:ascii="Arial" w:eastAsia="Arial" w:hAnsi="Arial" w:cs="Arial"/>
          <w:i/>
          <w:color w:val="000000"/>
          <w:sz w:val="20"/>
        </w:rPr>
        <w:t>based upon adherence to procedures [**15] </w:t>
      </w:r>
      <w:r>
        <w:rPr>
          <w:rFonts w:ascii="Arial" w:eastAsia="Arial" w:hAnsi="Arial" w:cs="Arial"/>
          <w:color w:val="000000"/>
          <w:sz w:val="20"/>
        </w:rPr>
        <w:t xml:space="preserve"> that satisfy the requirements of [34 C.F.R.] §§ 104.34, 104.35, and 104.36." 34 C.F.R. § 104.33(b)(1) (emphasis added). </w:t>
      </w:r>
      <w:bookmarkStart w:id="1398" w:name="Bookmark_I5JD87M62HM62K0040000400"/>
      <w:bookmarkEnd w:id="1398"/>
      <w:r>
        <w:rPr>
          <w:rFonts w:ascii="Arial" w:eastAsia="Arial" w:hAnsi="Arial" w:cs="Arial"/>
          <w:color w:val="000000"/>
          <w:sz w:val="20"/>
        </w:rPr>
        <w:t xml:space="preserve">Section 504's regulations gauge the adequacy of services provided to disabled individuals by comparing them to the level of services provided to individuals who are not disabled. One method of ensuring that the educational aids and services are "designed to meet individual education needs" as required under § 104.33(b)(1)(i) is to implement an IEP developed in accordance with the IDEA, 34 C.F.R. § 104.33(b)(2), but a showing that FAPE was denied under the IDEA does not necessarily establish a denial of FAPE under section 504. </w:t>
      </w:r>
      <w:bookmarkStart w:id="1399" w:name="Bookmark_I5JD87M62HM62K0040000400_2"/>
      <w:bookmarkStart w:id="1400" w:name="Bookmark_I5JD87M62HM62K0030000400"/>
      <w:bookmarkEnd w:id="1399"/>
      <w:bookmarkEnd w:id="1400"/>
      <w:r>
        <w:rPr>
          <w:rFonts w:ascii="Arial" w:eastAsia="Arial" w:hAnsi="Arial" w:cs="Arial"/>
          <w:i/>
          <w:color w:val="000000"/>
          <w:sz w:val="20"/>
        </w:rPr>
        <w:t>Lemahieu</w:t>
      </w:r>
      <w:r>
        <w:rPr>
          <w:rFonts w:ascii="Arial" w:eastAsia="Arial" w:hAnsi="Arial" w:cs="Arial"/>
          <w:color w:val="000000"/>
          <w:sz w:val="20"/>
        </w:rPr>
        <w:t>, 513 F.3d at 933 ("Plaintiffs who allege a violation of the [section 504] FAPE requirement . . . may not obtain damages simply by proving that the IDEA FAPE requirements were not met.").</w:t>
      </w:r>
    </w:p>
    <w:p w14:paraId="0C6BEDB8" w14:textId="77777777" w:rsidR="002D0E71" w:rsidRDefault="00000000">
      <w:pPr>
        <w:pStyle w:val="Normal9"/>
        <w:widowControl w:val="0"/>
        <w:spacing w:before="200" w:line="260" w:lineRule="atLeast"/>
        <w:jc w:val="both"/>
      </w:pPr>
      <w:bookmarkStart w:id="1401" w:name="Bookmark_para_22_6"/>
      <w:bookmarkStart w:id="1402" w:name="Bookmark_I5JD87M62SF7XG0010000400"/>
      <w:bookmarkStart w:id="1403" w:name="Bookmark_I5JD87M62SF7XG0030000400"/>
      <w:bookmarkStart w:id="1404" w:name="Bookmark_LNHNREFclscc8_7"/>
      <w:bookmarkEnd w:id="1401"/>
      <w:bookmarkEnd w:id="1402"/>
      <w:bookmarkEnd w:id="1403"/>
      <w:bookmarkEnd w:id="1404"/>
      <w:r>
        <w:rPr>
          <w:rFonts w:ascii="Arial" w:eastAsia="Arial" w:hAnsi="Arial" w:cs="Arial"/>
          <w:color w:val="000000"/>
          <w:sz w:val="20"/>
        </w:rPr>
        <w:t xml:space="preserve">Title II of the ADA was modeled after section 504 of the Rehabilitation Act. </w:t>
      </w:r>
      <w:bookmarkStart w:id="1405" w:name="Bookmark_I5JD87M62HM62K0050000400"/>
      <w:bookmarkEnd w:id="1405"/>
      <w:r>
        <w:rPr>
          <w:rFonts w:ascii="Arial" w:eastAsia="Arial" w:hAnsi="Arial" w:cs="Arial"/>
          <w:i/>
          <w:color w:val="000000"/>
          <w:sz w:val="20"/>
        </w:rPr>
        <w:t>Duvall v. County of Kitsap</w:t>
      </w:r>
      <w:r>
        <w:rPr>
          <w:rFonts w:ascii="Arial" w:eastAsia="Arial" w:hAnsi="Arial" w:cs="Arial"/>
          <w:color w:val="000000"/>
          <w:sz w:val="20"/>
        </w:rPr>
        <w:t xml:space="preserve">, 260 F.3d 1124, 1135 (9th Cir. 2001). It provides that "no qualified individual with a disability shall, by reason of such disability, be excluded from participation in or be denied the benefits of the services, programs, or activities of a public entity, or be subjected to discrimination by any such entity." 42 U.S.C. § 12132. Although Title II is different from section 504 in several respects, </w:t>
      </w:r>
      <w:r>
        <w:rPr>
          <w:rFonts w:ascii="Arial" w:eastAsia="Arial" w:hAnsi="Arial" w:cs="Arial"/>
          <w:i/>
          <w:color w:val="000000"/>
          <w:sz w:val="20"/>
        </w:rPr>
        <w:t xml:space="preserve">see </w:t>
      </w:r>
      <w:bookmarkStart w:id="1406" w:name="Bookmark_I5JD87M62SF7XG0020000400"/>
      <w:bookmarkEnd w:id="1406"/>
      <w:r>
        <w:rPr>
          <w:rFonts w:ascii="Arial" w:eastAsia="Arial" w:hAnsi="Arial" w:cs="Arial"/>
          <w:i/>
          <w:color w:val="000000"/>
          <w:sz w:val="20"/>
        </w:rPr>
        <w:t>K.M. ex rel. Bright v. Tustin Unified Sch. Dist.</w:t>
      </w:r>
      <w:r>
        <w:rPr>
          <w:rFonts w:ascii="Arial" w:eastAsia="Arial" w:hAnsi="Arial" w:cs="Arial"/>
          <w:color w:val="000000"/>
          <w:sz w:val="20"/>
        </w:rPr>
        <w:t>, 725 F.3d 1088, 1099 (9th Cir. 2013),</w:t>
      </w:r>
      <w:r>
        <w:rPr>
          <w:rFonts w:ascii="Arial" w:eastAsia="Arial" w:hAnsi="Arial" w:cs="Arial"/>
          <w:vertAlign w:val="superscript"/>
        </w:rPr>
        <w:footnoteReference w:customMarkFollows="1" w:id="34"/>
        <w:t>5</w:t>
      </w:r>
      <w:r>
        <w:rPr>
          <w:rFonts w:ascii="Arial" w:eastAsia="Arial" w:hAnsi="Arial" w:cs="Arial"/>
          <w:color w:val="000000"/>
          <w:sz w:val="20"/>
        </w:rPr>
        <w:t xml:space="preserve">  [*1204]  for purposes of this [**16]  appeal the elements of a valid Title II claim do not differ in any material sense from those of a valid section 504 claim and the two may be addressed together.</w:t>
      </w:r>
    </w:p>
    <w:p w14:paraId="238B5D86" w14:textId="77777777" w:rsidR="002D0E71" w:rsidRDefault="00000000">
      <w:pPr>
        <w:pStyle w:val="Normal9"/>
        <w:widowControl w:val="0"/>
        <w:spacing w:before="200" w:line="260" w:lineRule="atLeast"/>
        <w:jc w:val="both"/>
      </w:pPr>
      <w:bookmarkStart w:id="1410" w:name="Bookmark_para_23_6"/>
      <w:bookmarkStart w:id="1411" w:name="Bookmark_I5JD87M62SF7XH0020000400"/>
      <w:bookmarkStart w:id="1412" w:name="Bookmark_I5JD87M62SF7XH0040000400"/>
      <w:bookmarkEnd w:id="1410"/>
      <w:bookmarkEnd w:id="1411"/>
      <w:bookmarkEnd w:id="1412"/>
      <w:r>
        <w:rPr>
          <w:rFonts w:ascii="Arial" w:eastAsia="Arial" w:hAnsi="Arial" w:cs="Arial"/>
          <w:color w:val="000000"/>
          <w:sz w:val="20"/>
        </w:rPr>
        <w:t xml:space="preserve">We have held "that </w:t>
      </w:r>
      <w:bookmarkStart w:id="1413" w:name="Bookmark_LNHNREFclscc9_6"/>
      <w:bookmarkEnd w:id="1413"/>
      <w:r>
        <w:rPr>
          <w:rFonts w:ascii="Arial" w:eastAsia="Arial" w:hAnsi="Arial" w:cs="Arial"/>
          <w:color w:val="000000"/>
          <w:sz w:val="20"/>
        </w:rPr>
        <w:t xml:space="preserve">§ 504 contains an implied private right of action for damages to enforce its provisions." </w:t>
      </w:r>
      <w:bookmarkStart w:id="1414" w:name="Bookmark_I5JD87M62SF7XH0010000400"/>
      <w:bookmarkEnd w:id="1414"/>
      <w:r>
        <w:rPr>
          <w:rFonts w:ascii="Arial" w:eastAsia="Arial" w:hAnsi="Arial" w:cs="Arial"/>
          <w:i/>
          <w:color w:val="000000"/>
          <w:sz w:val="20"/>
        </w:rPr>
        <w:t>Lemahieu</w:t>
      </w:r>
      <w:r>
        <w:rPr>
          <w:rFonts w:ascii="Arial" w:eastAsia="Arial" w:hAnsi="Arial" w:cs="Arial"/>
          <w:color w:val="000000"/>
          <w:sz w:val="20"/>
        </w:rPr>
        <w:t xml:space="preserve">, 513 F.3d at 935. A plaintiff bringing suit under section 504 or Title II of the ADA must show: (1) she is a qualified individual with a disability; (2) she was denied "a reasonable accommodation that [she] needs in order to enjoy meaningful access to the benefits of public services;" and (3) the program providing the benefit receives federal financial assistance. </w:t>
      </w:r>
      <w:bookmarkStart w:id="1415" w:name="Bookmark_I5JD87M62N1RJ40010000400"/>
      <w:bookmarkStart w:id="1416" w:name="Bookmark_I5JD87M62SF7XH0030000400"/>
      <w:bookmarkEnd w:id="1415"/>
      <w:bookmarkEnd w:id="1416"/>
      <w:r>
        <w:rPr>
          <w:rFonts w:ascii="Arial" w:eastAsia="Arial" w:hAnsi="Arial" w:cs="Arial"/>
          <w:i/>
          <w:color w:val="000000"/>
          <w:sz w:val="20"/>
        </w:rPr>
        <w:t>Mark H. v. Hamamoto</w:t>
      </w:r>
      <w:r>
        <w:rPr>
          <w:rFonts w:ascii="Arial" w:eastAsia="Arial" w:hAnsi="Arial" w:cs="Arial"/>
          <w:color w:val="000000"/>
          <w:sz w:val="20"/>
        </w:rPr>
        <w:t xml:space="preserve">, 620 F.3d 1090, 1097 (9th Cir. 2010). </w:t>
      </w:r>
      <w:bookmarkStart w:id="1417" w:name="Bookmark_I5JD87M62N1RJ40010000400_2"/>
      <w:bookmarkEnd w:id="1417"/>
      <w:r>
        <w:rPr>
          <w:rFonts w:ascii="Arial" w:eastAsia="Arial" w:hAnsi="Arial" w:cs="Arial"/>
          <w:color w:val="000000"/>
          <w:sz w:val="20"/>
        </w:rPr>
        <w:t xml:space="preserve">A plaintiff may satisfy prong two by showing that the federally funded program denied her services that she needed to enjoy meaningful access to the benefits of a public education and that were available as reasonable accommodations. </w:t>
      </w:r>
      <w:bookmarkStart w:id="1418" w:name="Bookmark_I5JD87M62N1RJ40030000400"/>
      <w:bookmarkStart w:id="1419" w:name="Bookmark_I5JD87M62SF7XH0050000400"/>
      <w:bookmarkEnd w:id="1418"/>
      <w:bookmarkEnd w:id="1419"/>
      <w:r>
        <w:rPr>
          <w:rFonts w:ascii="Arial" w:eastAsia="Arial" w:hAnsi="Arial" w:cs="Arial"/>
          <w:i/>
          <w:color w:val="000000"/>
          <w:sz w:val="20"/>
        </w:rPr>
        <w:t>Id.</w:t>
      </w:r>
      <w:r>
        <w:rPr>
          <w:rFonts w:ascii="Arial" w:eastAsia="Arial" w:hAnsi="Arial" w:cs="Arial"/>
          <w:color w:val="000000"/>
          <w:sz w:val="20"/>
        </w:rPr>
        <w:t xml:space="preserve"> at 1097-98. </w:t>
      </w:r>
      <w:bookmarkStart w:id="1420" w:name="Bookmark_I5JD87M62N1RJ40030000400_2"/>
      <w:bookmarkEnd w:id="1420"/>
      <w:r>
        <w:rPr>
          <w:rFonts w:ascii="Arial" w:eastAsia="Arial" w:hAnsi="Arial" w:cs="Arial"/>
          <w:color w:val="000000"/>
          <w:sz w:val="20"/>
        </w:rPr>
        <w:t xml:space="preserve">A plaintiff can also satisfy prong two by showing that the program denied her meaningful [**17]  access to public education through another means, such as by violating a regulation that implements section 504's prohibitions. </w:t>
      </w:r>
      <w:bookmarkStart w:id="1421" w:name="Bookmark_I5JD87M62N1RJ40020000400"/>
      <w:bookmarkEnd w:id="1421"/>
      <w:r>
        <w:rPr>
          <w:rFonts w:ascii="Arial" w:eastAsia="Arial" w:hAnsi="Arial" w:cs="Arial"/>
          <w:i/>
          <w:color w:val="000000"/>
          <w:sz w:val="20"/>
        </w:rPr>
        <w:t>Lemahieu</w:t>
      </w:r>
      <w:r>
        <w:rPr>
          <w:rFonts w:ascii="Arial" w:eastAsia="Arial" w:hAnsi="Arial" w:cs="Arial"/>
          <w:color w:val="000000"/>
          <w:sz w:val="20"/>
        </w:rPr>
        <w:t xml:space="preserve">, 513 F.3d at 938-39; </w:t>
      </w:r>
      <w:r>
        <w:rPr>
          <w:rFonts w:ascii="Arial" w:eastAsia="Arial" w:hAnsi="Arial" w:cs="Arial"/>
          <w:i/>
          <w:color w:val="000000"/>
          <w:sz w:val="20"/>
        </w:rPr>
        <w:t xml:space="preserve">see </w:t>
      </w:r>
      <w:bookmarkStart w:id="1422" w:name="Bookmark_I5JD87M62N1RJ40040000400"/>
      <w:bookmarkEnd w:id="1422"/>
      <w:r>
        <w:rPr>
          <w:rFonts w:ascii="Arial" w:eastAsia="Arial" w:hAnsi="Arial" w:cs="Arial"/>
          <w:i/>
          <w:color w:val="000000"/>
          <w:sz w:val="20"/>
        </w:rPr>
        <w:t>Alexander v. Choate</w:t>
      </w:r>
      <w:r>
        <w:rPr>
          <w:rFonts w:ascii="Arial" w:eastAsia="Arial" w:hAnsi="Arial" w:cs="Arial"/>
          <w:color w:val="000000"/>
          <w:sz w:val="20"/>
        </w:rPr>
        <w:t>, 469 U.S. 287, 301, 105 S. Ct. 712, 83 L. Ed. 2d 661 (1985) (interpreting section 504 to "requir[e] that an otherwise qualified handicapped individual must be provided with meaningful access to the benefit that the grantee offers").</w:t>
      </w:r>
    </w:p>
    <w:p w14:paraId="348FA191" w14:textId="77777777" w:rsidR="002D0E71" w:rsidRDefault="00000000">
      <w:pPr>
        <w:pStyle w:val="Normal9"/>
        <w:widowControl w:val="0"/>
        <w:spacing w:before="200" w:line="260" w:lineRule="atLeast"/>
        <w:jc w:val="both"/>
      </w:pPr>
      <w:bookmarkStart w:id="1423" w:name="Bookmark_para_24_6"/>
      <w:bookmarkStart w:id="1424" w:name="Bookmark_I5JD87M62N1RJ50020000400"/>
      <w:bookmarkStart w:id="1425" w:name="Bookmark_I5JD87M628T45F0010000400"/>
      <w:bookmarkEnd w:id="1423"/>
      <w:bookmarkEnd w:id="1424"/>
      <w:bookmarkEnd w:id="1425"/>
      <w:r>
        <w:rPr>
          <w:rFonts w:ascii="Arial" w:eastAsia="Arial" w:hAnsi="Arial" w:cs="Arial"/>
          <w:color w:val="000000"/>
          <w:sz w:val="20"/>
        </w:rPr>
        <w:t xml:space="preserve">Finally, </w:t>
      </w:r>
      <w:bookmarkStart w:id="1426" w:name="Bookmark_LNHNREFclscc10_6"/>
      <w:bookmarkEnd w:id="1426"/>
      <w:r>
        <w:rPr>
          <w:rFonts w:ascii="Arial" w:eastAsia="Arial" w:hAnsi="Arial" w:cs="Arial"/>
          <w:color w:val="000000"/>
          <w:sz w:val="20"/>
        </w:rPr>
        <w:t xml:space="preserve">to prevail on a claim for damages under section 504 and Title II, "plaintiffs must prove a </w:t>
      </w:r>
      <w:r>
        <w:rPr>
          <w:rFonts w:ascii="Arial" w:eastAsia="Arial" w:hAnsi="Arial" w:cs="Arial"/>
          <w:i/>
          <w:color w:val="000000"/>
          <w:sz w:val="20"/>
        </w:rPr>
        <w:t>mens rea</w:t>
      </w:r>
      <w:r>
        <w:rPr>
          <w:rFonts w:ascii="Arial" w:eastAsia="Arial" w:hAnsi="Arial" w:cs="Arial"/>
          <w:color w:val="000000"/>
          <w:sz w:val="20"/>
        </w:rPr>
        <w:t xml:space="preserve"> of 'intentional discrimination' . . . [and] that standard may be met by showing 'deliberate indifference,' . . . not only by showing 'discriminatory animus.'" </w:t>
      </w:r>
      <w:bookmarkStart w:id="1427" w:name="Bookmark_I5JD87M62N1RJ50010000400"/>
      <w:bookmarkEnd w:id="1427"/>
      <w:r>
        <w:rPr>
          <w:rFonts w:ascii="Arial" w:eastAsia="Arial" w:hAnsi="Arial" w:cs="Arial"/>
          <w:i/>
          <w:color w:val="000000"/>
          <w:sz w:val="20"/>
        </w:rPr>
        <w:t>Lemahieu</w:t>
      </w:r>
      <w:r>
        <w:rPr>
          <w:rFonts w:ascii="Arial" w:eastAsia="Arial" w:hAnsi="Arial" w:cs="Arial"/>
          <w:color w:val="000000"/>
          <w:sz w:val="20"/>
        </w:rPr>
        <w:t xml:space="preserve">, 513 F.3d at 938 (quoting </w:t>
      </w:r>
      <w:bookmarkStart w:id="1428" w:name="Bookmark_I5JD87M62N1RJ50030000400"/>
      <w:bookmarkEnd w:id="1428"/>
      <w:r>
        <w:rPr>
          <w:rFonts w:ascii="Arial" w:eastAsia="Arial" w:hAnsi="Arial" w:cs="Arial"/>
          <w:i/>
          <w:color w:val="000000"/>
          <w:sz w:val="20"/>
        </w:rPr>
        <w:t>Duvall</w:t>
      </w:r>
      <w:r>
        <w:rPr>
          <w:rFonts w:ascii="Arial" w:eastAsia="Arial" w:hAnsi="Arial" w:cs="Arial"/>
          <w:color w:val="000000"/>
          <w:sz w:val="20"/>
        </w:rPr>
        <w:t xml:space="preserve">, 260 F.3d at 1138). Under our case law, "[d]eliberate indifference requires both knowledge that a harm to a federally protected right is substantially likely, and a failure to act upon that . . . likelihood." </w:t>
      </w:r>
      <w:bookmarkStart w:id="1429" w:name="Bookmark_I5JD87M62N1RJ50050000400"/>
      <w:bookmarkEnd w:id="1429"/>
      <w:r>
        <w:rPr>
          <w:rFonts w:ascii="Arial" w:eastAsia="Arial" w:hAnsi="Arial" w:cs="Arial"/>
          <w:i/>
          <w:color w:val="000000"/>
          <w:sz w:val="20"/>
        </w:rPr>
        <w:t>Duvall</w:t>
      </w:r>
      <w:r>
        <w:rPr>
          <w:rFonts w:ascii="Arial" w:eastAsia="Arial" w:hAnsi="Arial" w:cs="Arial"/>
          <w:color w:val="000000"/>
          <w:sz w:val="20"/>
        </w:rPr>
        <w:t xml:space="preserve">, 260 F.3d at 1139. The plaintiff establishes the requisite knowledge (or notice) on behalf of the defendant when she shows that she "alerted the public entity to [her] need for accommodation (or where the need for accommodation is obvious, or required by statute or regulation)." </w:t>
      </w:r>
      <w:r>
        <w:rPr>
          <w:rFonts w:ascii="Arial" w:eastAsia="Arial" w:hAnsi="Arial" w:cs="Arial"/>
          <w:i/>
          <w:color w:val="000000"/>
          <w:sz w:val="20"/>
        </w:rPr>
        <w:t>Id.</w:t>
      </w:r>
    </w:p>
    <w:p w14:paraId="053600E2" w14:textId="77777777" w:rsidR="002D0E71" w:rsidRDefault="00000000">
      <w:pPr>
        <w:pStyle w:val="Normal9"/>
        <w:widowControl w:val="0"/>
        <w:spacing w:before="200" w:line="260" w:lineRule="atLeast"/>
        <w:jc w:val="both"/>
      </w:pPr>
      <w:bookmarkStart w:id="1430" w:name="Bookmark_para_25_6"/>
      <w:bookmarkStart w:id="1431" w:name="Bookmark_I5JD87M628T45F0030000400"/>
      <w:bookmarkEnd w:id="1430"/>
      <w:bookmarkEnd w:id="1431"/>
      <w:r>
        <w:rPr>
          <w:rFonts w:ascii="Arial" w:eastAsia="Arial" w:hAnsi="Arial" w:cs="Arial"/>
          <w:color w:val="000000"/>
          <w:sz w:val="20"/>
        </w:rPr>
        <w:t xml:space="preserve">"Thus, a public entity can be liable for damages under § 504 if it intentionally or with deliberate indifference fails to provide meaningful access or reasonable accommodation to disabled persons." </w:t>
      </w:r>
      <w:bookmarkStart w:id="1432" w:name="Bookmark_I5JD87M628T45F0020000400"/>
      <w:bookmarkEnd w:id="1432"/>
      <w:r>
        <w:rPr>
          <w:rFonts w:ascii="Arial" w:eastAsia="Arial" w:hAnsi="Arial" w:cs="Arial"/>
          <w:i/>
          <w:color w:val="000000"/>
          <w:sz w:val="20"/>
        </w:rPr>
        <w:t>Lemahieu</w:t>
      </w:r>
      <w:r>
        <w:rPr>
          <w:rFonts w:ascii="Arial" w:eastAsia="Arial" w:hAnsi="Arial" w:cs="Arial"/>
          <w:color w:val="000000"/>
          <w:sz w:val="20"/>
        </w:rPr>
        <w:t>, 513 F.3d at 938.</w:t>
      </w:r>
    </w:p>
    <w:p w14:paraId="03CCA357" w14:textId="77777777" w:rsidR="002D0E71" w:rsidRDefault="00000000">
      <w:pPr>
        <w:pStyle w:val="Normal9"/>
        <w:widowControl w:val="0"/>
        <w:spacing w:before="240" w:line="260" w:lineRule="atLeast"/>
      </w:pPr>
      <w:r>
        <w:br/>
      </w:r>
      <w:r>
        <w:rPr>
          <w:rFonts w:ascii="Arial" w:eastAsia="Arial" w:hAnsi="Arial" w:cs="Arial"/>
          <w:b/>
          <w:color w:val="000000"/>
          <w:sz w:val="20"/>
        </w:rPr>
        <w:t>II. The district</w:t>
      </w:r>
      <w:r>
        <w:rPr>
          <w:rFonts w:ascii="Arial" w:eastAsia="Arial" w:hAnsi="Arial" w:cs="Arial"/>
          <w:color w:val="000000"/>
          <w:sz w:val="20"/>
        </w:rPr>
        <w:t> [**18] </w:t>
      </w:r>
      <w:r>
        <w:rPr>
          <w:rFonts w:ascii="Arial" w:eastAsia="Arial" w:hAnsi="Arial" w:cs="Arial"/>
          <w:b/>
          <w:color w:val="000000"/>
          <w:sz w:val="20"/>
        </w:rPr>
        <w:t xml:space="preserve"> court improperly dismissed A.G.'s meaningful access and reasonable accommodation arguments</w:t>
      </w:r>
      <w:r>
        <w:rPr>
          <w:rFonts w:ascii="Arial" w:eastAsia="Arial" w:hAnsi="Arial" w:cs="Arial"/>
          <w:color w:val="000000"/>
          <w:sz w:val="20"/>
        </w:rPr>
        <w:t>.</w:t>
      </w:r>
    </w:p>
    <w:p w14:paraId="5CA2EDC9" w14:textId="77777777" w:rsidR="002D0E71" w:rsidRDefault="00000000">
      <w:pPr>
        <w:pStyle w:val="Normal9"/>
        <w:widowControl w:val="0"/>
        <w:spacing w:before="240" w:line="260" w:lineRule="atLeast"/>
      </w:pPr>
      <w:r>
        <w:br/>
      </w:r>
      <w:r>
        <w:rPr>
          <w:rFonts w:ascii="Arial" w:eastAsia="Arial" w:hAnsi="Arial" w:cs="Arial"/>
          <w:b/>
          <w:color w:val="000000"/>
          <w:sz w:val="20"/>
        </w:rPr>
        <w:t>A. Meaningful Access</w:t>
      </w:r>
    </w:p>
    <w:p w14:paraId="71892629" w14:textId="77777777" w:rsidR="002D0E71" w:rsidRDefault="00000000">
      <w:pPr>
        <w:pStyle w:val="Normal9"/>
        <w:widowControl w:val="0"/>
        <w:spacing w:before="200" w:line="260" w:lineRule="atLeast"/>
        <w:jc w:val="both"/>
      </w:pPr>
      <w:bookmarkStart w:id="1433" w:name="Bookmark_para_26_6"/>
      <w:bookmarkStart w:id="1434" w:name="Bookmark_I5JD87M628T45F0050000400"/>
      <w:bookmarkStart w:id="1435" w:name="Bookmark_I5JD87M62D6N4W0020000400"/>
      <w:bookmarkEnd w:id="1433"/>
      <w:bookmarkEnd w:id="1434"/>
      <w:bookmarkEnd w:id="1435"/>
      <w:r>
        <w:rPr>
          <w:rFonts w:ascii="Arial" w:eastAsia="Arial" w:hAnsi="Arial" w:cs="Arial"/>
          <w:color w:val="000000"/>
          <w:sz w:val="20"/>
        </w:rPr>
        <w:t xml:space="preserve">We have held that </w:t>
      </w:r>
      <w:bookmarkStart w:id="1436" w:name="Bookmark_LNHNREFclscc11_5"/>
      <w:bookmarkEnd w:id="1436"/>
      <w:r>
        <w:rPr>
          <w:rFonts w:ascii="Arial" w:eastAsia="Arial" w:hAnsi="Arial" w:cs="Arial"/>
          <w:color w:val="000000"/>
          <w:sz w:val="20"/>
        </w:rPr>
        <w:t xml:space="preserve">a plaintiff may establish denial of "meaningful access" under section 504 and Title II by showing there was "a violation of one of the regulations implementing" section 504, if such violation denied the plaintiff meaningful access to a public benefit. </w:t>
      </w:r>
      <w:bookmarkStart w:id="1437" w:name="Bookmark_I5JD87M62D6N4W0040000400"/>
      <w:bookmarkStart w:id="1438" w:name="Bookmark_I5JD87M628T45F0040000400"/>
      <w:bookmarkEnd w:id="1437"/>
      <w:bookmarkEnd w:id="1438"/>
      <w:r>
        <w:rPr>
          <w:rFonts w:ascii="Arial" w:eastAsia="Arial" w:hAnsi="Arial" w:cs="Arial"/>
          <w:i/>
          <w:color w:val="000000"/>
          <w:sz w:val="20"/>
        </w:rPr>
        <w:t>Mark H. v. Hamamoto</w:t>
      </w:r>
      <w:r>
        <w:rPr>
          <w:rFonts w:ascii="Arial" w:eastAsia="Arial" w:hAnsi="Arial" w:cs="Arial"/>
          <w:color w:val="000000"/>
          <w:sz w:val="20"/>
        </w:rPr>
        <w:t xml:space="preserve">, 620 F.3d 1090, 1096 (9th Cir. 2010). To support such a cause of action, the regulation must be an "implementing regulation" within the meaning of </w:t>
      </w:r>
      <w:bookmarkStart w:id="1439" w:name="Bookmark_I5JD87M62D6N4W0010000400"/>
      <w:bookmarkEnd w:id="1439"/>
      <w:r>
        <w:rPr>
          <w:rFonts w:ascii="Arial" w:eastAsia="Arial" w:hAnsi="Arial" w:cs="Arial"/>
          <w:i/>
          <w:color w:val="000000"/>
          <w:sz w:val="20"/>
        </w:rPr>
        <w:t>Alexander v. Sandoval</w:t>
      </w:r>
      <w:r>
        <w:rPr>
          <w:rFonts w:ascii="Arial" w:eastAsia="Arial" w:hAnsi="Arial" w:cs="Arial"/>
          <w:color w:val="000000"/>
          <w:sz w:val="20"/>
        </w:rPr>
        <w:t xml:space="preserve">, 532 U.S. 275, 121 S. Ct. 1511, 149 L. Ed. 2d 517 (2001). </w:t>
      </w:r>
      <w:bookmarkStart w:id="1440" w:name="Bookmark_I5JD87M62D6N4W0040000400_2"/>
      <w:bookmarkEnd w:id="1440"/>
      <w:r>
        <w:rPr>
          <w:rFonts w:ascii="Arial" w:eastAsia="Arial" w:hAnsi="Arial" w:cs="Arial"/>
          <w:i/>
          <w:color w:val="000000"/>
          <w:sz w:val="20"/>
        </w:rPr>
        <w:t xml:space="preserve">See </w:t>
      </w:r>
      <w:bookmarkStart w:id="1441" w:name="Bookmark_I5JD87M62D6N4W0030000400"/>
      <w:bookmarkEnd w:id="1441"/>
      <w:r>
        <w:rPr>
          <w:rFonts w:ascii="Arial" w:eastAsia="Arial" w:hAnsi="Arial" w:cs="Arial"/>
          <w:i/>
          <w:color w:val="000000"/>
          <w:sz w:val="20"/>
        </w:rPr>
        <w:t>Mark H. v. Lemahieu</w:t>
      </w:r>
      <w:r>
        <w:rPr>
          <w:rFonts w:ascii="Arial" w:eastAsia="Arial" w:hAnsi="Arial" w:cs="Arial"/>
          <w:color w:val="000000"/>
          <w:sz w:val="20"/>
        </w:rPr>
        <w:t xml:space="preserve">, 513 F.3d 922, 935 (9th Cir. 2008) ("According to </w:t>
      </w:r>
      <w:r>
        <w:rPr>
          <w:rFonts w:ascii="Arial" w:eastAsia="Arial" w:hAnsi="Arial" w:cs="Arial"/>
          <w:i/>
          <w:color w:val="000000"/>
          <w:sz w:val="20"/>
        </w:rPr>
        <w:t>Sandoval</w:t>
      </w:r>
      <w:r>
        <w:rPr>
          <w:rFonts w:ascii="Arial" w:eastAsia="Arial" w:hAnsi="Arial" w:cs="Arial"/>
          <w:color w:val="000000"/>
          <w:sz w:val="20"/>
        </w:rPr>
        <w:t xml:space="preserve">, regulations can only be enforced through the private right of action contained in a statute when they 'authoritatively construe'  [*1205]  the statute; regulations that go beyond a construction of the statute's prohibitions do not fall within the implied private right of action, even if valid." (quoting </w:t>
      </w:r>
      <w:bookmarkStart w:id="1442" w:name="Bookmark_I5JD87M62D6N4W0050000400"/>
      <w:bookmarkEnd w:id="1442"/>
      <w:r>
        <w:rPr>
          <w:rFonts w:ascii="Arial" w:eastAsia="Arial" w:hAnsi="Arial" w:cs="Arial"/>
          <w:i/>
          <w:color w:val="000000"/>
          <w:sz w:val="20"/>
        </w:rPr>
        <w:t>Sandoval</w:t>
      </w:r>
      <w:r>
        <w:rPr>
          <w:rFonts w:ascii="Arial" w:eastAsia="Arial" w:hAnsi="Arial" w:cs="Arial"/>
          <w:color w:val="000000"/>
          <w:sz w:val="20"/>
        </w:rPr>
        <w:t>, 532 U.S. at 284)).</w:t>
      </w:r>
    </w:p>
    <w:p w14:paraId="3589F38C" w14:textId="77777777" w:rsidR="002D0E71" w:rsidRDefault="00000000">
      <w:pPr>
        <w:pStyle w:val="Normal9"/>
        <w:widowControl w:val="0"/>
        <w:spacing w:before="200" w:line="260" w:lineRule="atLeast"/>
        <w:jc w:val="both"/>
      </w:pPr>
      <w:bookmarkStart w:id="1443" w:name="Bookmark_para_27_6"/>
      <w:bookmarkEnd w:id="1443"/>
      <w:r>
        <w:rPr>
          <w:rFonts w:ascii="Arial" w:eastAsia="Arial" w:hAnsi="Arial" w:cs="Arial"/>
          <w:color w:val="000000"/>
          <w:sz w:val="20"/>
        </w:rPr>
        <w:t xml:space="preserve">On appeal, plaintiffs argue that defendants denied A.G. meaningful access to educational benefits by violating two of section 504's regulations: 34 C.F.R. § 104.33(b)(1) and 34 C.F.R. § 104.34(a). </w:t>
      </w:r>
      <w:bookmarkStart w:id="1444" w:name="Bookmark_LNHNREFclscc12_5"/>
      <w:bookmarkEnd w:id="1444"/>
      <w:r>
        <w:rPr>
          <w:rFonts w:ascii="Arial" w:eastAsia="Arial" w:hAnsi="Arial" w:cs="Arial"/>
          <w:color w:val="000000"/>
          <w:sz w:val="20"/>
        </w:rPr>
        <w:t xml:space="preserve">Section 104.33 requires a school district to provide "regular or special education and related aids and services that (i) are designed to meet individual educational needs of handicapped persons </w:t>
      </w:r>
      <w:r>
        <w:rPr>
          <w:rFonts w:ascii="Arial" w:eastAsia="Arial" w:hAnsi="Arial" w:cs="Arial"/>
          <w:i/>
          <w:color w:val="000000"/>
          <w:sz w:val="20"/>
        </w:rPr>
        <w:t>as adequately as</w:t>
      </w:r>
      <w:r>
        <w:rPr>
          <w:rFonts w:ascii="Arial" w:eastAsia="Arial" w:hAnsi="Arial" w:cs="Arial"/>
          <w:color w:val="000000"/>
          <w:sz w:val="20"/>
        </w:rPr>
        <w:t xml:space="preserve"> the needs of nonhandicapped persons are met and (ii) are based [**19]  upon adherence to procedures that satisfy the requirements of" cross-referenced regulations, including § 104.34 among others. 34 C.F.R. § 104.33(b)(1) (emphasis added). Plaintiffs claim that A.G.'s placement at Roadrunner denied her meaningful access because certain educational opportunities such as art, music, and gifted classes were not available at Roadrunner, and because she was inappropriately placed in the Intervention Room for a total of approximately sixty hours. They also claim that the school district defendants denied A.G. meaningful access to the curriculum at both Vista Verde and Roadrunner because they failed to provide her appropriate behavioral supports and services at the two schools, as reflected in her allegedly deficient IEPs. Therefore, plaintiffs argue, A.G.'s educational opportunities at Vista Verde and Roadrunner were not "as adequate[] as" those provided to her peers at Vista Verde. 34 C.F.R. § 104.33(b)(1)(i).</w:t>
      </w:r>
    </w:p>
    <w:p w14:paraId="0851170E" w14:textId="77777777" w:rsidR="002D0E71" w:rsidRDefault="00000000">
      <w:pPr>
        <w:pStyle w:val="Normal9"/>
        <w:widowControl w:val="0"/>
        <w:spacing w:before="200" w:line="260" w:lineRule="atLeast"/>
        <w:jc w:val="both"/>
      </w:pPr>
      <w:bookmarkStart w:id="1445" w:name="Bookmark_para_28_6"/>
      <w:bookmarkStart w:id="1446" w:name="Bookmark_LNHNREFclscc13_4"/>
      <w:bookmarkEnd w:id="1445"/>
      <w:bookmarkEnd w:id="1446"/>
      <w:r>
        <w:rPr>
          <w:rFonts w:ascii="Arial" w:eastAsia="Arial" w:hAnsi="Arial" w:cs="Arial"/>
          <w:color w:val="000000"/>
          <w:sz w:val="20"/>
        </w:rPr>
        <w:t>Section 104.34 mandates that a disabled student be placed in the least restrictive "regular educational environment[,]" and requires that school districts comply with various evaluative procedures and justify any changes in placement. 34 C.F.R. § 104.34(a). Plaintiffs argue that the school district transferred her to Roadrunner school without [**20]  complying with § 104.34's procedural requirements, and that this transfer prevented her from accessing certain educational opportunities.</w:t>
      </w:r>
    </w:p>
    <w:p w14:paraId="29EE3BB8" w14:textId="77777777" w:rsidR="002D0E71" w:rsidRDefault="00000000">
      <w:pPr>
        <w:pStyle w:val="Normal9"/>
        <w:widowControl w:val="0"/>
        <w:spacing w:before="200" w:line="260" w:lineRule="atLeast"/>
        <w:jc w:val="both"/>
      </w:pPr>
      <w:bookmarkStart w:id="1447" w:name="Bookmark_para_29_6"/>
      <w:bookmarkEnd w:id="1447"/>
      <w:r>
        <w:rPr>
          <w:rFonts w:ascii="Arial" w:eastAsia="Arial" w:hAnsi="Arial" w:cs="Arial"/>
          <w:color w:val="000000"/>
          <w:sz w:val="20"/>
        </w:rPr>
        <w:t>The district court dismissed plaintiffs' meaningful access argument. In doing so, it appeared to reason that A.G.'s parents' consent to placement at Roadrunner waived the claim. The district court also ruled that A.G. was not "qualified" to participate in the art, music, and gifted education classes of which she claimed to be deprived, because "she had repeatedly refused to do so at Vista Verde." Finally, the court noted that A.G.'s parents participated in the IEP team meetings where they had an opportunity to raise concerns that Roadrunner's behavioral policies were inappropriate for students diagnosed with autism.</w:t>
      </w:r>
    </w:p>
    <w:p w14:paraId="3375CE32" w14:textId="77777777" w:rsidR="002D0E71" w:rsidRDefault="00000000">
      <w:pPr>
        <w:pStyle w:val="Normal9"/>
        <w:widowControl w:val="0"/>
        <w:spacing w:before="200" w:line="260" w:lineRule="atLeast"/>
        <w:jc w:val="both"/>
      </w:pPr>
      <w:bookmarkStart w:id="1448" w:name="Bookmark_para_30_6"/>
      <w:bookmarkStart w:id="1449" w:name="Bookmark_I4GVG7TCGYX000M62HW001YV"/>
      <w:bookmarkStart w:id="1450" w:name="Bookmark_I5JD87M62HM62N0030000400"/>
      <w:bookmarkEnd w:id="1448"/>
      <w:bookmarkEnd w:id="1449"/>
      <w:bookmarkEnd w:id="1450"/>
      <w:r>
        <w:rPr>
          <w:rFonts w:ascii="Arial" w:eastAsia="Arial" w:hAnsi="Arial" w:cs="Arial"/>
          <w:color w:val="000000"/>
          <w:sz w:val="20"/>
        </w:rPr>
        <w:t xml:space="preserve">The district court's reliance on A.G.'s parents' consent was misplaced. We have previously held that </w:t>
      </w:r>
      <w:bookmarkStart w:id="1451" w:name="Bookmark_LNHNREFclscc14_2"/>
      <w:bookmarkEnd w:id="1451"/>
      <w:r>
        <w:rPr>
          <w:rFonts w:ascii="Arial" w:eastAsia="Arial" w:hAnsi="Arial" w:cs="Arial"/>
          <w:color w:val="000000"/>
          <w:sz w:val="20"/>
        </w:rPr>
        <w:t xml:space="preserve">claims challenging the placement of a disabled child are not barred simply because the parents of the child consent, or fail to object, to such placement. </w:t>
      </w:r>
      <w:bookmarkStart w:id="1452" w:name="Bookmark_I5JD87M62HM62N0020000400"/>
      <w:bookmarkEnd w:id="1452"/>
      <w:r>
        <w:rPr>
          <w:rFonts w:ascii="Arial" w:eastAsia="Arial" w:hAnsi="Arial" w:cs="Arial"/>
          <w:i/>
          <w:color w:val="000000"/>
          <w:sz w:val="20"/>
        </w:rPr>
        <w:t>J.W. ex rel. J.E.W. v. Fresno Unified Sch. Dist.</w:t>
      </w:r>
      <w:r>
        <w:rPr>
          <w:rFonts w:ascii="Arial" w:eastAsia="Arial" w:hAnsi="Arial" w:cs="Arial"/>
          <w:color w:val="000000"/>
          <w:sz w:val="20"/>
        </w:rPr>
        <w:t xml:space="preserve">, 626 F.3d 431, 447 (9th Cir. 2010). The conclusion in </w:t>
      </w:r>
      <w:r>
        <w:rPr>
          <w:rFonts w:ascii="Arial" w:eastAsia="Arial" w:hAnsi="Arial" w:cs="Arial"/>
          <w:i/>
          <w:color w:val="000000"/>
          <w:sz w:val="20"/>
        </w:rPr>
        <w:t>J.W.</w:t>
      </w:r>
      <w:r>
        <w:rPr>
          <w:rFonts w:ascii="Arial" w:eastAsia="Arial" w:hAnsi="Arial" w:cs="Arial"/>
          <w:color w:val="000000"/>
          <w:sz w:val="20"/>
        </w:rPr>
        <w:t xml:space="preserve"> arose from an IDEA claim rather than claims under section 504 or Title II, but we are persuaded that a claim that meaningful access has been improperly denied within the meaning [**21]  of these latter statutes is not "precluded or waived based on a parent's consent to an IEP," </w:t>
      </w:r>
      <w:r>
        <w:rPr>
          <w:rFonts w:ascii="Arial" w:eastAsia="Arial" w:hAnsi="Arial" w:cs="Arial"/>
          <w:i/>
          <w:color w:val="000000"/>
          <w:sz w:val="20"/>
        </w:rPr>
        <w:t>id.</w:t>
      </w:r>
      <w:r>
        <w:rPr>
          <w:rFonts w:ascii="Arial" w:eastAsia="Arial" w:hAnsi="Arial" w:cs="Arial"/>
          <w:color w:val="000000"/>
          <w:sz w:val="20"/>
        </w:rPr>
        <w:t xml:space="preserve">, at least where the issue is one that requires specialized expertise a parent cannot be expected to have. </w:t>
      </w:r>
      <w:r>
        <w:rPr>
          <w:rFonts w:ascii="Arial" w:eastAsia="Arial" w:hAnsi="Arial" w:cs="Arial"/>
          <w:i/>
          <w:color w:val="000000"/>
          <w:sz w:val="20"/>
        </w:rPr>
        <w:t>Cf. id.</w:t>
      </w:r>
      <w:r>
        <w:rPr>
          <w:rFonts w:ascii="Arial" w:eastAsia="Arial" w:hAnsi="Arial" w:cs="Arial"/>
          <w:color w:val="000000"/>
          <w:sz w:val="20"/>
        </w:rPr>
        <w:t xml:space="preserve"> (providing that parents' affirmative insistence on an intervention, such as mainstreaming, may be a relevant consideration in meaningful access analysis). Given the complex presentation of A.G.'s behavioral challenges, the question whether Roadrunner was an appropriate placement  [*1206]  for A.G. required specialized expertise. Because the district court relied on A.G.'s parents' consent to placement at Roadrunner in dismissing plaintiffs' meaningful access claim without evaluating whether A.G.'s educational needs were met as adequately as those of her non-disabled peers, its decision must be reversed and remanded.</w:t>
      </w:r>
    </w:p>
    <w:p w14:paraId="49743186" w14:textId="77777777" w:rsidR="002D0E71" w:rsidRDefault="00000000">
      <w:pPr>
        <w:pStyle w:val="Normal9"/>
        <w:widowControl w:val="0"/>
        <w:spacing w:before="200" w:line="260" w:lineRule="atLeast"/>
        <w:jc w:val="both"/>
      </w:pPr>
      <w:bookmarkStart w:id="1453" w:name="Bookmark_para_31_6"/>
      <w:bookmarkStart w:id="1454" w:name="Bookmark_I5JD87M62HM62N0050000400"/>
      <w:bookmarkEnd w:id="1453"/>
      <w:bookmarkEnd w:id="1454"/>
      <w:r>
        <w:rPr>
          <w:rFonts w:ascii="Arial" w:eastAsia="Arial" w:hAnsi="Arial" w:cs="Arial"/>
          <w:color w:val="000000"/>
          <w:sz w:val="20"/>
        </w:rPr>
        <w:t xml:space="preserve">That said, on remand the district court will need to evaluate in the first instance whether plaintiffs have a valid claim under these or other section 504 regulations. </w:t>
      </w:r>
      <w:bookmarkStart w:id="1455" w:name="Bookmark_I4GVG7TCMT2000M62HW001YW"/>
      <w:bookmarkStart w:id="1456" w:name="Bookmark_I4GVG7TCYR2000M62HW001YY"/>
      <w:bookmarkStart w:id="1457" w:name="Bookmark_I5JD87M62SF7XJ0020000400"/>
      <w:bookmarkEnd w:id="1455"/>
      <w:bookmarkEnd w:id="1456"/>
      <w:bookmarkEnd w:id="1457"/>
      <w:r>
        <w:rPr>
          <w:rFonts w:ascii="Arial" w:eastAsia="Arial" w:hAnsi="Arial" w:cs="Arial"/>
          <w:i/>
          <w:color w:val="000000"/>
          <w:sz w:val="20"/>
        </w:rPr>
        <w:t xml:space="preserve">See </w:t>
      </w:r>
      <w:bookmarkStart w:id="1458" w:name="Bookmark_I5JD87M62HM62N0040000400"/>
      <w:bookmarkEnd w:id="1458"/>
      <w:r>
        <w:rPr>
          <w:rFonts w:ascii="Arial" w:eastAsia="Arial" w:hAnsi="Arial" w:cs="Arial"/>
          <w:i/>
          <w:color w:val="000000"/>
          <w:sz w:val="20"/>
        </w:rPr>
        <w:t>Lemahieu</w:t>
      </w:r>
      <w:r>
        <w:rPr>
          <w:rFonts w:ascii="Arial" w:eastAsia="Arial" w:hAnsi="Arial" w:cs="Arial"/>
          <w:color w:val="000000"/>
          <w:sz w:val="20"/>
        </w:rPr>
        <w:t xml:space="preserve">, 513 F.3d at 939-40. It is unclear from the appellate record exactly which regulations plaintiffs allege were violated by defendants and which violations allegedly prevented A.G. from meaningfully accessing public education. </w:t>
      </w:r>
      <w:bookmarkStart w:id="1459" w:name="Bookmark_I5JD87M62SF7XJ0020000400_2"/>
      <w:bookmarkEnd w:id="1459"/>
      <w:r>
        <w:rPr>
          <w:rFonts w:ascii="Arial" w:eastAsia="Arial" w:hAnsi="Arial" w:cs="Arial"/>
          <w:color w:val="000000"/>
          <w:sz w:val="20"/>
        </w:rPr>
        <w:t xml:space="preserve">Thus, on [**22]  remand, the district court should evaluate (1) which claims for violation of section 504 regulations plaintiffs preserved; (2) whether those regulations "fall within the scope of the prohibition contained in § 504 itself," </w:t>
      </w:r>
      <w:bookmarkStart w:id="1460" w:name="Bookmark_I5JD87M62SF7XJ0010000400"/>
      <w:bookmarkEnd w:id="1460"/>
      <w:r>
        <w:rPr>
          <w:rFonts w:ascii="Arial" w:eastAsia="Arial" w:hAnsi="Arial" w:cs="Arial"/>
          <w:i/>
          <w:color w:val="000000"/>
          <w:sz w:val="20"/>
        </w:rPr>
        <w:t>Lemahieu</w:t>
      </w:r>
      <w:r>
        <w:rPr>
          <w:rFonts w:ascii="Arial" w:eastAsia="Arial" w:hAnsi="Arial" w:cs="Arial"/>
          <w:color w:val="000000"/>
          <w:sz w:val="20"/>
        </w:rPr>
        <w:t xml:space="preserve">, 513 F.3d at 935 (citing </w:t>
      </w:r>
      <w:bookmarkStart w:id="1461" w:name="Bookmark_I5JD87M62SF7XJ0030000400"/>
      <w:bookmarkEnd w:id="1461"/>
      <w:r>
        <w:rPr>
          <w:rFonts w:ascii="Arial" w:eastAsia="Arial" w:hAnsi="Arial" w:cs="Arial"/>
          <w:i/>
          <w:color w:val="000000"/>
          <w:sz w:val="20"/>
        </w:rPr>
        <w:t>Sandoval</w:t>
      </w:r>
      <w:r>
        <w:rPr>
          <w:rFonts w:ascii="Arial" w:eastAsia="Arial" w:hAnsi="Arial" w:cs="Arial"/>
          <w:color w:val="000000"/>
          <w:sz w:val="20"/>
        </w:rPr>
        <w:t xml:space="preserve">, 532 U.S. at 284); (3) whether the school district violated those regulations; and (4) whether the school district's violation of those regulations prevented A.G. from accessing her public education, </w:t>
      </w:r>
      <w:bookmarkStart w:id="1462" w:name="Bookmark_I5JD87M62SF7XJ0050000400"/>
      <w:bookmarkEnd w:id="1462"/>
      <w:r>
        <w:rPr>
          <w:rFonts w:ascii="Arial" w:eastAsia="Arial" w:hAnsi="Arial" w:cs="Arial"/>
          <w:i/>
          <w:color w:val="000000"/>
          <w:sz w:val="20"/>
        </w:rPr>
        <w:t>Hamamoto</w:t>
      </w:r>
      <w:r>
        <w:rPr>
          <w:rFonts w:ascii="Arial" w:eastAsia="Arial" w:hAnsi="Arial" w:cs="Arial"/>
          <w:color w:val="000000"/>
          <w:sz w:val="20"/>
        </w:rPr>
        <w:t>, 620 F.3d at 1101.</w:t>
      </w:r>
    </w:p>
    <w:p w14:paraId="099CC7F6" w14:textId="77777777" w:rsidR="002D0E71" w:rsidRDefault="00000000">
      <w:pPr>
        <w:pStyle w:val="Normal9"/>
        <w:widowControl w:val="0"/>
        <w:spacing w:before="240" w:line="260" w:lineRule="atLeast"/>
      </w:pPr>
      <w:r>
        <w:br/>
      </w:r>
      <w:r>
        <w:rPr>
          <w:rFonts w:ascii="Arial" w:eastAsia="Arial" w:hAnsi="Arial" w:cs="Arial"/>
          <w:b/>
          <w:color w:val="000000"/>
          <w:sz w:val="20"/>
        </w:rPr>
        <w:t>B. Reasonable Accommodation</w:t>
      </w:r>
    </w:p>
    <w:p w14:paraId="5EAFD985" w14:textId="77777777" w:rsidR="002D0E71" w:rsidRDefault="00000000">
      <w:pPr>
        <w:pStyle w:val="Normal9"/>
        <w:widowControl w:val="0"/>
        <w:spacing w:before="200" w:line="260" w:lineRule="atLeast"/>
        <w:jc w:val="both"/>
      </w:pPr>
      <w:bookmarkStart w:id="1463" w:name="Bookmark_para_32_5"/>
      <w:bookmarkStart w:id="1464" w:name="Bookmark_I5JD87M62SF7XK0030000400"/>
      <w:bookmarkStart w:id="1465" w:name="Bookmark_LNHNREFclscc15_1"/>
      <w:bookmarkEnd w:id="1463"/>
      <w:bookmarkEnd w:id="1464"/>
      <w:bookmarkEnd w:id="1465"/>
      <w:r>
        <w:rPr>
          <w:rFonts w:ascii="Arial" w:eastAsia="Arial" w:hAnsi="Arial" w:cs="Arial"/>
          <w:color w:val="000000"/>
          <w:sz w:val="20"/>
        </w:rPr>
        <w:t xml:space="preserve">A plaintiff may establish prohibited discrimination under section 504 and Title II by showing that a public entity denied her a "reasonable accommodation" necessary to achieve meaningful access to her education. To succeed on such a claim, a plaintiff must show that the "defendant failed to make reasonable modifications that would accommodate the plaintiff's disability without fundamentally altering the nature of the program or activity," 1 Americans with Disabilities: Practice and Compliance Manual § 1:247 (2015); </w:t>
      </w:r>
      <w:bookmarkStart w:id="1466" w:name="Bookmark_I5JD87M62SF7XK0020000400"/>
      <w:bookmarkEnd w:id="1466"/>
      <w:r>
        <w:rPr>
          <w:rFonts w:ascii="Arial" w:eastAsia="Arial" w:hAnsi="Arial" w:cs="Arial"/>
          <w:i/>
          <w:color w:val="000000"/>
          <w:sz w:val="20"/>
        </w:rPr>
        <w:t>Wong v. Regents of the Univ. of Cal.</w:t>
      </w:r>
      <w:r>
        <w:rPr>
          <w:rFonts w:ascii="Arial" w:eastAsia="Arial" w:hAnsi="Arial" w:cs="Arial"/>
          <w:color w:val="000000"/>
          <w:sz w:val="20"/>
        </w:rPr>
        <w:t xml:space="preserve">, 192 F.3d 807, 816 (9th Cir. 1999), and that the accommodation would have enabled her to meet the "program's essential eligibility requirements." </w:t>
      </w:r>
      <w:bookmarkStart w:id="1467" w:name="Bookmark_I5JD87M62SF7XK0040000400"/>
      <w:bookmarkEnd w:id="1467"/>
      <w:r>
        <w:rPr>
          <w:rFonts w:ascii="Arial" w:eastAsia="Arial" w:hAnsi="Arial" w:cs="Arial"/>
          <w:i/>
          <w:color w:val="000000"/>
          <w:sz w:val="20"/>
        </w:rPr>
        <w:t>E.R.K. ex rel. R.K. v. Haw. Dep't of Educ.</w:t>
      </w:r>
      <w:r>
        <w:rPr>
          <w:rFonts w:ascii="Arial" w:eastAsia="Arial" w:hAnsi="Arial" w:cs="Arial"/>
          <w:color w:val="000000"/>
          <w:sz w:val="20"/>
        </w:rPr>
        <w:t>, 728 F.3d 982, 992 (9th Cir. 2013).</w:t>
      </w:r>
    </w:p>
    <w:p w14:paraId="1B38A327" w14:textId="77777777" w:rsidR="002D0E71" w:rsidRDefault="00000000">
      <w:pPr>
        <w:pStyle w:val="Normal9"/>
        <w:widowControl w:val="0"/>
        <w:spacing w:before="200" w:line="260" w:lineRule="atLeast"/>
        <w:jc w:val="both"/>
      </w:pPr>
      <w:bookmarkStart w:id="1468" w:name="Bookmark_para_33_5"/>
      <w:bookmarkEnd w:id="1468"/>
      <w:r>
        <w:rPr>
          <w:rFonts w:ascii="Arial" w:eastAsia="Arial" w:hAnsi="Arial" w:cs="Arial"/>
          <w:color w:val="000000"/>
          <w:sz w:val="20"/>
        </w:rPr>
        <w:t>Relying on the report and deposition testimony of their behavioral psychologist expert, Dr. Jolenea B. Ferro, PhD., BCBA-D, plaintiffs argued below that A.G. [**23]  needed further behavioral services, including a full time behavioral aide, to meaningfully access her education. They also assert that the school district's inquiry into these accommodations would have demonstrated that they were necessary, reasonable, and available and that they would have allowed A.G. to continue her education at Vista Verde rather than be transferred to Roadrunner.</w:t>
      </w:r>
    </w:p>
    <w:p w14:paraId="66D7CEDB" w14:textId="77777777" w:rsidR="002D0E71" w:rsidRDefault="00000000">
      <w:pPr>
        <w:pStyle w:val="Normal9"/>
        <w:widowControl w:val="0"/>
        <w:spacing w:before="200" w:line="260" w:lineRule="atLeast"/>
        <w:jc w:val="both"/>
      </w:pPr>
      <w:bookmarkStart w:id="1469" w:name="Bookmark_para_34_5"/>
      <w:bookmarkEnd w:id="1469"/>
      <w:r>
        <w:rPr>
          <w:rFonts w:ascii="Arial" w:eastAsia="Arial" w:hAnsi="Arial" w:cs="Arial"/>
          <w:color w:val="000000"/>
          <w:sz w:val="20"/>
        </w:rPr>
        <w:t>The district court dismissed this claim, noting that "[o]n the evidence presented, it cannot be assumed that if A.G. had been provided a Functional Behavior Assessment, a Behavior Intervention Plan, and a full-time behavioral aide, she would have had fewer behavior problems and would not have posed a danger to herself and others." But this conclusion directly contradicts the conclusions of Dr. Ferro, whose report and testimony plaintiffs submitted in support of their reasonable accommodation claim. Dr. Ferro stated that A.G.'s outbursts at Vista Verde "demonstrate[d] that AG needed the accommodations of an FBA and a BIP to have meaningful access to her education." Dr. Ferro's opinions were corroborated by evidence that A.G.'s classroom teacher believed that A.G. needed more behavioral support and that the teacher sought [**24]  assistance to better meet A.G.'s needs. This evidence creates an issue of material fact as to whether accommodations, such as a personal behavioral aide, would have helped A.G. remain at Vista Verde.  [*1207]  Moreover, defendants did not dispute in the district court or on appeal that a full-time aide could have been available.</w:t>
      </w:r>
    </w:p>
    <w:p w14:paraId="0027908A" w14:textId="77777777" w:rsidR="002D0E71" w:rsidRDefault="00000000">
      <w:pPr>
        <w:pStyle w:val="Normal9"/>
        <w:widowControl w:val="0"/>
        <w:spacing w:before="200" w:line="260" w:lineRule="atLeast"/>
        <w:jc w:val="both"/>
      </w:pPr>
      <w:bookmarkStart w:id="1470" w:name="Bookmark_para_35_5"/>
      <w:bookmarkStart w:id="1471" w:name="Bookmark_I5JD87M62N1RJ60020000400"/>
      <w:bookmarkEnd w:id="1470"/>
      <w:bookmarkEnd w:id="1471"/>
      <w:r>
        <w:rPr>
          <w:rFonts w:ascii="Arial" w:eastAsia="Arial" w:hAnsi="Arial" w:cs="Arial"/>
          <w:color w:val="000000"/>
          <w:sz w:val="20"/>
        </w:rPr>
        <w:t xml:space="preserve">The district court also observed that A.G.'s parents never requested some of the services she later argued the school district should have provided. We agree with this observation, but it overlooks that A.G.'s parents did not have the expertise—nor the legal duty—to determine what accommodations might allow A.G. to remain in her regular educational environment. </w:t>
      </w:r>
      <w:r>
        <w:rPr>
          <w:rFonts w:ascii="Arial" w:eastAsia="Arial" w:hAnsi="Arial" w:cs="Arial"/>
          <w:i/>
          <w:color w:val="000000"/>
          <w:sz w:val="20"/>
        </w:rPr>
        <w:t>See</w:t>
      </w:r>
      <w:r>
        <w:rPr>
          <w:rFonts w:ascii="Arial" w:eastAsia="Arial" w:hAnsi="Arial" w:cs="Arial"/>
          <w:color w:val="000000"/>
          <w:sz w:val="20"/>
        </w:rPr>
        <w:t xml:space="preserve"> 1 Americans with Disabilities: Practice and Compliance Manual § 1:247 (2015) (</w:t>
      </w:r>
      <w:bookmarkStart w:id="1472" w:name="Bookmark_LNHNREFclscc16_1"/>
      <w:bookmarkEnd w:id="1472"/>
      <w:r>
        <w:rPr>
          <w:rFonts w:ascii="Arial" w:eastAsia="Arial" w:hAnsi="Arial" w:cs="Arial"/>
          <w:color w:val="000000"/>
          <w:sz w:val="20"/>
        </w:rPr>
        <w:t xml:space="preserve">"[A] plaintiff's failure to expressly 'request' an accommodation is not fatal to a claim where the defendant otherwise had knowledge of an individual's disability and needs but took no action."); </w:t>
      </w:r>
      <w:bookmarkStart w:id="1473" w:name="Bookmark_I5JD87M62N1RJ60010000400"/>
      <w:bookmarkEnd w:id="1473"/>
      <w:r>
        <w:rPr>
          <w:rFonts w:ascii="Arial" w:eastAsia="Arial" w:hAnsi="Arial" w:cs="Arial"/>
          <w:i/>
          <w:color w:val="000000"/>
          <w:sz w:val="20"/>
        </w:rPr>
        <w:t>Duvall</w:t>
      </w:r>
      <w:r>
        <w:rPr>
          <w:rFonts w:ascii="Arial" w:eastAsia="Arial" w:hAnsi="Arial" w:cs="Arial"/>
          <w:color w:val="000000"/>
          <w:sz w:val="20"/>
        </w:rPr>
        <w:t>, 260 F.3d at 1136 (Section 504 "create[s] a duty to gather sufficient information from the disabled individual and qualified experts as needed to determine what accommodations are necessary.").</w:t>
      </w:r>
    </w:p>
    <w:p w14:paraId="08E09D9B" w14:textId="77777777" w:rsidR="002D0E71" w:rsidRDefault="00000000">
      <w:pPr>
        <w:pStyle w:val="Normal9"/>
        <w:widowControl w:val="0"/>
        <w:spacing w:before="200" w:line="260" w:lineRule="atLeast"/>
        <w:jc w:val="both"/>
      </w:pPr>
      <w:bookmarkStart w:id="1474" w:name="Bookmark_para_36_5"/>
      <w:bookmarkEnd w:id="1474"/>
      <w:r>
        <w:rPr>
          <w:rFonts w:ascii="Arial" w:eastAsia="Arial" w:hAnsi="Arial" w:cs="Arial"/>
          <w:color w:val="000000"/>
          <w:sz w:val="20"/>
        </w:rPr>
        <w:t xml:space="preserve">As a consequence, we conclude that a triable factual dispute exists as to whether the services [**25]  plaintiffs fault the school district for failing to provide were actually reasonable, necessary, and available accommodations for A.G. Thus, summary judgment on this issue was improper. </w:t>
      </w:r>
      <w:r>
        <w:rPr>
          <w:rFonts w:ascii="Arial" w:eastAsia="Arial" w:hAnsi="Arial" w:cs="Arial"/>
          <w:i/>
          <w:color w:val="000000"/>
          <w:sz w:val="20"/>
        </w:rPr>
        <w:t>See</w:t>
      </w:r>
      <w:r>
        <w:rPr>
          <w:rFonts w:ascii="Arial" w:eastAsia="Arial" w:hAnsi="Arial" w:cs="Arial"/>
          <w:color w:val="000000"/>
          <w:sz w:val="20"/>
        </w:rPr>
        <w:t xml:space="preserve"> Fed. R. Civ. P. 56(a).</w:t>
      </w:r>
      <w:r>
        <w:rPr>
          <w:rFonts w:ascii="Arial" w:eastAsia="Arial" w:hAnsi="Arial" w:cs="Arial"/>
          <w:vertAlign w:val="superscript"/>
        </w:rPr>
        <w:footnoteReference w:customMarkFollows="1" w:id="35"/>
        <w:t>6</w:t>
      </w:r>
    </w:p>
    <w:p w14:paraId="2C0B01E0" w14:textId="77777777" w:rsidR="002D0E71" w:rsidRDefault="00000000">
      <w:pPr>
        <w:pStyle w:val="Normal9"/>
        <w:widowControl w:val="0"/>
        <w:spacing w:before="240" w:line="260" w:lineRule="atLeast"/>
      </w:pPr>
      <w:r>
        <w:br/>
      </w:r>
      <w:r>
        <w:rPr>
          <w:rFonts w:ascii="Arial" w:eastAsia="Arial" w:hAnsi="Arial" w:cs="Arial"/>
          <w:b/>
          <w:color w:val="000000"/>
          <w:sz w:val="20"/>
        </w:rPr>
        <w:t>C. Deliberate Indifference</w:t>
      </w:r>
    </w:p>
    <w:p w14:paraId="3D53C9EE" w14:textId="77777777" w:rsidR="002D0E71" w:rsidRDefault="00000000">
      <w:pPr>
        <w:pStyle w:val="Normal9"/>
        <w:widowControl w:val="0"/>
        <w:spacing w:before="200" w:line="260" w:lineRule="atLeast"/>
        <w:jc w:val="both"/>
      </w:pPr>
      <w:bookmarkStart w:id="1476" w:name="Bookmark_para_37_5"/>
      <w:bookmarkStart w:id="1477" w:name="Bookmark_I5JD87M62N1RJ60040000400"/>
      <w:bookmarkStart w:id="1478" w:name="Bookmark_LNHNREFclscc17_1"/>
      <w:bookmarkEnd w:id="1476"/>
      <w:bookmarkEnd w:id="1477"/>
      <w:bookmarkEnd w:id="1478"/>
      <w:r>
        <w:rPr>
          <w:rFonts w:ascii="Arial" w:eastAsia="Arial" w:hAnsi="Arial" w:cs="Arial"/>
          <w:color w:val="000000"/>
          <w:sz w:val="20"/>
        </w:rPr>
        <w:t xml:space="preserve">Where, as here, the plaintiff seeks damages under section 504 and the ADA, she must show the defendant had notice of her need for an accommodation and "fail[ed] to act." </w:t>
      </w:r>
      <w:bookmarkStart w:id="1479" w:name="Bookmark_I5JD87M62N1RJ60030000400"/>
      <w:bookmarkEnd w:id="1479"/>
      <w:r>
        <w:rPr>
          <w:rFonts w:ascii="Arial" w:eastAsia="Arial" w:hAnsi="Arial" w:cs="Arial"/>
          <w:i/>
          <w:color w:val="000000"/>
          <w:sz w:val="20"/>
        </w:rPr>
        <w:t>Duvall</w:t>
      </w:r>
      <w:r>
        <w:rPr>
          <w:rFonts w:ascii="Arial" w:eastAsia="Arial" w:hAnsi="Arial" w:cs="Arial"/>
          <w:color w:val="000000"/>
          <w:sz w:val="20"/>
        </w:rPr>
        <w:t xml:space="preserve">, 260 F.3d at 1139. She can establish notice by showing that she "alerted the public entity to [her] need for accommodation;" or that "the need for accommodation [was] obvious, or required by statute or regulation." </w:t>
      </w:r>
      <w:r>
        <w:rPr>
          <w:rFonts w:ascii="Arial" w:eastAsia="Arial" w:hAnsi="Arial" w:cs="Arial"/>
          <w:i/>
          <w:color w:val="000000"/>
          <w:sz w:val="20"/>
        </w:rPr>
        <w:t>Id.</w:t>
      </w:r>
      <w:r>
        <w:rPr>
          <w:rFonts w:ascii="Arial" w:eastAsia="Arial" w:hAnsi="Arial" w:cs="Arial"/>
          <w:color w:val="000000"/>
          <w:sz w:val="20"/>
        </w:rPr>
        <w:t xml:space="preserve"> When an entity is on notice of the need for accommodation, it "is required to undertake a fact-specific investigation to determine what constitutes a reasonable accommodation." </w:t>
      </w:r>
      <w:r>
        <w:rPr>
          <w:rFonts w:ascii="Arial" w:eastAsia="Arial" w:hAnsi="Arial" w:cs="Arial"/>
          <w:i/>
          <w:color w:val="000000"/>
          <w:sz w:val="20"/>
        </w:rPr>
        <w:t>Id.</w:t>
      </w:r>
    </w:p>
    <w:p w14:paraId="527678B4" w14:textId="77777777" w:rsidR="002D0E71" w:rsidRDefault="00000000">
      <w:pPr>
        <w:pStyle w:val="Normal9"/>
        <w:widowControl w:val="0"/>
        <w:spacing w:before="200" w:line="260" w:lineRule="atLeast"/>
        <w:jc w:val="both"/>
      </w:pPr>
      <w:bookmarkStart w:id="1480" w:name="Bookmark_para_38_4"/>
      <w:bookmarkEnd w:id="1480"/>
      <w:r>
        <w:rPr>
          <w:rFonts w:ascii="Arial" w:eastAsia="Arial" w:hAnsi="Arial" w:cs="Arial"/>
          <w:color w:val="000000"/>
          <w:sz w:val="20"/>
        </w:rPr>
        <w:t>The district court dismissed plaintiffs' damages claims after concluding from [**26]  Dr. Ferro's deposition testimony that plaintiffs did not show the school district was on notice of the need for accommodations. Specifically, the district court relied on Dr. Ferro's testimony that some of the services that plaintiffs claim were necessary were "not legally required by federal or state statute."</w:t>
      </w:r>
    </w:p>
    <w:p w14:paraId="26016D41" w14:textId="77777777" w:rsidR="002D0E71" w:rsidRDefault="00000000">
      <w:pPr>
        <w:pStyle w:val="Normal9"/>
        <w:widowControl w:val="0"/>
        <w:spacing w:before="200" w:line="260" w:lineRule="atLeast"/>
        <w:jc w:val="both"/>
      </w:pPr>
      <w:bookmarkStart w:id="1481" w:name="Bookmark_para_39_4"/>
      <w:bookmarkStart w:id="1482" w:name="Bookmark_I5JD87M62N1RJ70010000400"/>
      <w:bookmarkEnd w:id="1481"/>
      <w:bookmarkEnd w:id="1482"/>
      <w:r>
        <w:rPr>
          <w:rFonts w:ascii="Arial" w:eastAsia="Arial" w:hAnsi="Arial" w:cs="Arial"/>
          <w:color w:val="000000"/>
          <w:sz w:val="20"/>
        </w:rPr>
        <w:t xml:space="preserve">Reliance on this testimony was error for three reasons. </w:t>
      </w:r>
      <w:bookmarkStart w:id="1483" w:name="Bookmark_I5JD87M62N1RJ70030000400"/>
      <w:bookmarkEnd w:id="1483"/>
      <w:r>
        <w:rPr>
          <w:rFonts w:ascii="Arial" w:eastAsia="Arial" w:hAnsi="Arial" w:cs="Arial"/>
          <w:color w:val="000000"/>
          <w:sz w:val="20"/>
        </w:rPr>
        <w:t xml:space="preserve">First, Dr. Ferro was not in a position to provide an expert </w:t>
      </w:r>
      <w:r>
        <w:rPr>
          <w:rFonts w:ascii="Arial" w:eastAsia="Arial" w:hAnsi="Arial" w:cs="Arial"/>
          <w:i/>
          <w:color w:val="000000"/>
          <w:sz w:val="20"/>
        </w:rPr>
        <w:t>legal</w:t>
      </w:r>
      <w:r>
        <w:rPr>
          <w:rFonts w:ascii="Arial" w:eastAsia="Arial" w:hAnsi="Arial" w:cs="Arial"/>
          <w:color w:val="000000"/>
          <w:sz w:val="20"/>
        </w:rPr>
        <w:t xml:space="preserve"> opinion. </w:t>
      </w:r>
      <w:r>
        <w:rPr>
          <w:rFonts w:ascii="Arial" w:eastAsia="Arial" w:hAnsi="Arial" w:cs="Arial"/>
          <w:i/>
          <w:color w:val="000000"/>
          <w:sz w:val="20"/>
        </w:rPr>
        <w:t xml:space="preserve">See, e.g., </w:t>
      </w:r>
      <w:bookmarkStart w:id="1484" w:name="Bookmark_I5JD87M62N1RJ60050000400"/>
      <w:bookmarkEnd w:id="1484"/>
      <w:r>
        <w:rPr>
          <w:rFonts w:ascii="Arial" w:eastAsia="Arial" w:hAnsi="Arial" w:cs="Arial"/>
          <w:i/>
          <w:color w:val="000000"/>
          <w:sz w:val="20"/>
        </w:rPr>
        <w:t>Hangarter v. Provident Life &amp; Accident Ins. Co.</w:t>
      </w:r>
      <w:r>
        <w:rPr>
          <w:rFonts w:ascii="Arial" w:eastAsia="Arial" w:hAnsi="Arial" w:cs="Arial"/>
          <w:color w:val="000000"/>
          <w:sz w:val="20"/>
        </w:rPr>
        <w:t>, 373 F.3d 998, 1016 (9th Cir. 2004) (</w:t>
      </w:r>
      <w:bookmarkStart w:id="1485" w:name="Bookmark_LNHNREFclscc18_1"/>
      <w:bookmarkEnd w:id="1485"/>
      <w:r>
        <w:rPr>
          <w:rFonts w:ascii="Arial" w:eastAsia="Arial" w:hAnsi="Arial" w:cs="Arial"/>
          <w:color w:val="000000"/>
          <w:sz w:val="20"/>
        </w:rPr>
        <w:t xml:space="preserve">"[A]n expert witness cannot give an opinion as to her </w:t>
      </w:r>
      <w:r>
        <w:rPr>
          <w:rFonts w:ascii="Arial" w:eastAsia="Arial" w:hAnsi="Arial" w:cs="Arial"/>
          <w:i/>
          <w:color w:val="000000"/>
          <w:sz w:val="20"/>
        </w:rPr>
        <w:t>legal conclusion</w:t>
      </w:r>
      <w:r>
        <w:rPr>
          <w:rFonts w:ascii="Arial" w:eastAsia="Arial" w:hAnsi="Arial" w:cs="Arial"/>
          <w:color w:val="000000"/>
          <w:sz w:val="20"/>
        </w:rPr>
        <w:t xml:space="preserve">, i.e., an opinion on an ultimate issue of law. Similarly, instructing the jury as to the applicable law is the distinct and exclusive province of the court." (internal citations omitted)). </w:t>
      </w:r>
      <w:bookmarkStart w:id="1486" w:name="Bookmark_I5JD87M62N1RJ70030000400_2"/>
      <w:bookmarkEnd w:id="1486"/>
      <w:r>
        <w:rPr>
          <w:rFonts w:ascii="Arial" w:eastAsia="Arial" w:hAnsi="Arial" w:cs="Arial"/>
          <w:color w:val="000000"/>
          <w:sz w:val="20"/>
        </w:rPr>
        <w:t xml:space="preserve">Second, though the district court acknowledged the three distinct means for establishing that the school district had notice of the need for accommodation, it conflated the latter two means for establishing notice when it concluded: "[i]f legal necessity was not obvious to Dr. Ferro, then it cannot be assumed that it would be obvious to Defendants." But </w:t>
      </w:r>
      <w:bookmarkStart w:id="1487" w:name="Bookmark_LNHNREFclscc19_0"/>
      <w:bookmarkEnd w:id="1487"/>
      <w:r>
        <w:rPr>
          <w:rFonts w:ascii="Arial" w:eastAsia="Arial" w:hAnsi="Arial" w:cs="Arial"/>
          <w:color w:val="000000"/>
          <w:sz w:val="20"/>
        </w:rPr>
        <w:t xml:space="preserve">the fact that an accommodation was legally required by statute or regulation serves as an independent basis to establish notice, </w:t>
      </w:r>
      <w:bookmarkStart w:id="1488" w:name="Bookmark_I5JD87M62N1RJ70020000400"/>
      <w:bookmarkEnd w:id="1488"/>
      <w:r>
        <w:rPr>
          <w:rFonts w:ascii="Arial" w:eastAsia="Arial" w:hAnsi="Arial" w:cs="Arial"/>
          <w:i/>
          <w:color w:val="000000"/>
          <w:sz w:val="20"/>
        </w:rPr>
        <w:t>Duvall</w:t>
      </w:r>
      <w:r>
        <w:rPr>
          <w:rFonts w:ascii="Arial" w:eastAsia="Arial" w:hAnsi="Arial" w:cs="Arial"/>
          <w:color w:val="000000"/>
          <w:sz w:val="20"/>
        </w:rPr>
        <w:t xml:space="preserve">, 260 F.3d  [*1208]  at 1139; whether [**27]  the need for accommodation was obvious is a separate factual inquiry. </w:t>
      </w:r>
      <w:r>
        <w:rPr>
          <w:rFonts w:ascii="Arial" w:eastAsia="Arial" w:hAnsi="Arial" w:cs="Arial"/>
          <w:i/>
          <w:color w:val="000000"/>
          <w:sz w:val="20"/>
        </w:rPr>
        <w:t>Id.</w:t>
      </w:r>
      <w:r>
        <w:rPr>
          <w:rFonts w:ascii="Arial" w:eastAsia="Arial" w:hAnsi="Arial" w:cs="Arial"/>
          <w:color w:val="000000"/>
          <w:sz w:val="20"/>
        </w:rPr>
        <w:t xml:space="preserve"> ("When the plaintiff has alerted the public entity to his need for accommodation (</w:t>
      </w:r>
      <w:r>
        <w:rPr>
          <w:rFonts w:ascii="Arial" w:eastAsia="Arial" w:hAnsi="Arial" w:cs="Arial"/>
          <w:i/>
          <w:color w:val="000000"/>
          <w:sz w:val="20"/>
        </w:rPr>
        <w:t>or</w:t>
      </w:r>
      <w:r>
        <w:rPr>
          <w:rFonts w:ascii="Arial" w:eastAsia="Arial" w:hAnsi="Arial" w:cs="Arial"/>
          <w:color w:val="000000"/>
          <w:sz w:val="20"/>
        </w:rPr>
        <w:t xml:space="preserve"> where the need for accommodation is obvious, </w:t>
      </w:r>
      <w:r>
        <w:rPr>
          <w:rFonts w:ascii="Arial" w:eastAsia="Arial" w:hAnsi="Arial" w:cs="Arial"/>
          <w:i/>
          <w:color w:val="000000"/>
          <w:sz w:val="20"/>
        </w:rPr>
        <w:t>or</w:t>
      </w:r>
      <w:r>
        <w:rPr>
          <w:rFonts w:ascii="Arial" w:eastAsia="Arial" w:hAnsi="Arial" w:cs="Arial"/>
          <w:color w:val="000000"/>
          <w:sz w:val="20"/>
        </w:rPr>
        <w:t xml:space="preserve"> required by statute or regulation), the public entity is on notice that an accommodation is required, and the plaintiff has satisfied the first element of the deliberate indifference test." (emphasis added)).</w:t>
      </w:r>
    </w:p>
    <w:p w14:paraId="1FC9249E" w14:textId="77777777" w:rsidR="002D0E71" w:rsidRDefault="00000000">
      <w:pPr>
        <w:pStyle w:val="Normal9"/>
        <w:widowControl w:val="0"/>
        <w:spacing w:before="200" w:line="260" w:lineRule="atLeast"/>
        <w:jc w:val="both"/>
      </w:pPr>
      <w:bookmarkStart w:id="1489" w:name="Bookmark_para_40_4"/>
      <w:bookmarkEnd w:id="1489"/>
      <w:r>
        <w:rPr>
          <w:rFonts w:ascii="Arial" w:eastAsia="Arial" w:hAnsi="Arial" w:cs="Arial"/>
          <w:color w:val="000000"/>
          <w:sz w:val="20"/>
        </w:rPr>
        <w:t xml:space="preserve">Third, the district court erred in failing to recognize that there exists a genuine factual dispute as to whether the need for accommodations was obvious. Dr. Ferro testified—improperly and without citation to authority—that the accommodation was not </w:t>
      </w:r>
      <w:r>
        <w:rPr>
          <w:rFonts w:ascii="Arial" w:eastAsia="Arial" w:hAnsi="Arial" w:cs="Arial"/>
          <w:i/>
          <w:color w:val="000000"/>
          <w:sz w:val="20"/>
        </w:rPr>
        <w:t>legally required</w:t>
      </w:r>
      <w:r>
        <w:rPr>
          <w:rFonts w:ascii="Arial" w:eastAsia="Arial" w:hAnsi="Arial" w:cs="Arial"/>
          <w:color w:val="000000"/>
          <w:sz w:val="20"/>
        </w:rPr>
        <w:t>, but she never testified that the need for accommodation was not obvious. To the contrary, Dr. Ferro asserted in her expert report that the documented deterioration in A.G.'s behavior should have triggered accommodations. Plaintiffs also introduced an email from one of A.G.'s teachers complaining that the existing behavioral support regime was insufficient to meet A.G.'s needs, and evidence that A.G.'s parents had previously requested a full-time behavioral aide for A.G. The school district does not expressly rebut [**28]  plaintiffs' assertion that A.G.'s deteriorating behavior made the need for accommodations obvious but cites instead to the IEP Addendum and argues that it shows A.G. was able to access her special education classes without the implementation of further services. The parties' competing assertions on this point only establish that a factual dispute exists regarding whether the need for accommodation was obvious and whether the school district was therefore constructively on notice of the need.</w:t>
      </w:r>
    </w:p>
    <w:p w14:paraId="028E7840" w14:textId="77777777" w:rsidR="002D0E71" w:rsidRDefault="00000000">
      <w:pPr>
        <w:pStyle w:val="Normal9"/>
        <w:widowControl w:val="0"/>
        <w:spacing w:before="200" w:line="260" w:lineRule="atLeast"/>
        <w:jc w:val="both"/>
      </w:pPr>
      <w:bookmarkStart w:id="1490" w:name="Bookmark_para_41_4"/>
      <w:bookmarkEnd w:id="1490"/>
      <w:r>
        <w:rPr>
          <w:rFonts w:ascii="Arial" w:eastAsia="Arial" w:hAnsi="Arial" w:cs="Arial"/>
          <w:color w:val="000000"/>
          <w:sz w:val="20"/>
        </w:rPr>
        <w:t>In light of the foregoing, we reverse the district court's order granting summary judgment in favor of the school district on plaintiffs' section 504 and Title II claims and remand for further consideration consistent with this opinion.</w:t>
      </w:r>
    </w:p>
    <w:p w14:paraId="2EA7E13B" w14:textId="77777777" w:rsidR="002D0E71" w:rsidRDefault="00000000">
      <w:pPr>
        <w:pStyle w:val="Normal9"/>
        <w:widowControl w:val="0"/>
        <w:spacing w:before="240" w:line="260" w:lineRule="atLeast"/>
      </w:pPr>
      <w:r>
        <w:br/>
      </w:r>
      <w:r>
        <w:rPr>
          <w:rFonts w:ascii="Arial" w:eastAsia="Arial" w:hAnsi="Arial" w:cs="Arial"/>
          <w:b/>
          <w:color w:val="000000"/>
          <w:sz w:val="20"/>
        </w:rPr>
        <w:t>III. Arizona State Law Tort Claims</w:t>
      </w:r>
    </w:p>
    <w:p w14:paraId="79784DD4" w14:textId="77777777" w:rsidR="002D0E71" w:rsidRDefault="00000000">
      <w:pPr>
        <w:pStyle w:val="Normal9"/>
        <w:widowControl w:val="0"/>
        <w:spacing w:before="200" w:line="260" w:lineRule="atLeast"/>
        <w:jc w:val="both"/>
      </w:pPr>
      <w:bookmarkStart w:id="1491" w:name="Bookmark_para_42_4"/>
      <w:bookmarkEnd w:id="1491"/>
      <w:r>
        <w:rPr>
          <w:rFonts w:ascii="Arial" w:eastAsia="Arial" w:hAnsi="Arial" w:cs="Arial"/>
          <w:color w:val="000000"/>
          <w:sz w:val="20"/>
        </w:rPr>
        <w:t>Plaintiffs also brought tort claims against the school district defendants under Arizona law. The district court dismissed all of these claims, and we reverse in part this portion of the district court's order.</w:t>
      </w:r>
      <w:r>
        <w:rPr>
          <w:rFonts w:ascii="Arial" w:eastAsia="Arial" w:hAnsi="Arial" w:cs="Arial"/>
          <w:vertAlign w:val="superscript"/>
        </w:rPr>
        <w:footnoteReference w:customMarkFollows="1" w:id="36"/>
        <w:t>7</w:t>
      </w:r>
    </w:p>
    <w:p w14:paraId="174EB41B" w14:textId="77777777" w:rsidR="002D0E71" w:rsidRDefault="00000000">
      <w:pPr>
        <w:pStyle w:val="Normal9"/>
        <w:widowControl w:val="0"/>
        <w:spacing w:before="240" w:line="260" w:lineRule="atLeast"/>
      </w:pPr>
      <w:r>
        <w:br/>
      </w:r>
      <w:r>
        <w:rPr>
          <w:rFonts w:ascii="Arial" w:eastAsia="Arial" w:hAnsi="Arial" w:cs="Arial"/>
          <w:b/>
          <w:color w:val="000000"/>
          <w:sz w:val="20"/>
        </w:rPr>
        <w:t>A. Intentional and Negligent Infliction of Emotional Distress</w:t>
      </w:r>
    </w:p>
    <w:p w14:paraId="41602D7A" w14:textId="77777777" w:rsidR="002D0E71" w:rsidRDefault="00000000">
      <w:pPr>
        <w:pStyle w:val="Normal9"/>
        <w:widowControl w:val="0"/>
        <w:spacing w:before="200" w:line="260" w:lineRule="atLeast"/>
        <w:jc w:val="both"/>
      </w:pPr>
      <w:bookmarkStart w:id="1493" w:name="Bookmark_para_43_4"/>
      <w:bookmarkStart w:id="1494" w:name="Bookmark_I4GVG7TD7CB000M62HW00201"/>
      <w:bookmarkStart w:id="1495" w:name="Bookmark_I5JD87M62N1RJ70050000400"/>
      <w:bookmarkStart w:id="1496" w:name="Bookmark_I5JD87M628T45H0020000400"/>
      <w:bookmarkStart w:id="1497" w:name="Bookmark_LNHNREFclscc20_0"/>
      <w:bookmarkEnd w:id="1493"/>
      <w:bookmarkEnd w:id="1494"/>
      <w:bookmarkEnd w:id="1495"/>
      <w:bookmarkEnd w:id="1496"/>
      <w:bookmarkEnd w:id="1497"/>
      <w:r>
        <w:rPr>
          <w:rFonts w:ascii="Arial" w:eastAsia="Arial" w:hAnsi="Arial" w:cs="Arial"/>
          <w:color w:val="000000"/>
          <w:sz w:val="20"/>
        </w:rPr>
        <w:t xml:space="preserve">To establish a [**29]  claim for intentional infliction of emotional distress ("IIED") under Arizona law, a plaintiff must prove: (1) extreme and outrageous conduct by the defendant; (2) intent to cause emotional distress or reckless disregard of the near certainty that such distress will result from the defendant's conduct; and (3) severe emotional distress on the plaintiff's part that occurs as a result. </w:t>
      </w:r>
      <w:bookmarkStart w:id="1498" w:name="Bookmark_I5JD87M62N1RJ70040000400"/>
      <w:bookmarkEnd w:id="1498"/>
      <w:r>
        <w:rPr>
          <w:rFonts w:ascii="Arial" w:eastAsia="Arial" w:hAnsi="Arial" w:cs="Arial"/>
          <w:i/>
          <w:color w:val="000000"/>
          <w:sz w:val="20"/>
        </w:rPr>
        <w:t>Citizen Publ'g Co. v. Miller</w:t>
      </w:r>
      <w:r>
        <w:rPr>
          <w:rFonts w:ascii="Arial" w:eastAsia="Arial" w:hAnsi="Arial" w:cs="Arial"/>
          <w:color w:val="000000"/>
          <w:sz w:val="20"/>
        </w:rPr>
        <w:t xml:space="preserve">, 210 Ariz. 513, 115 P.3d 107, 110 (Ariz. 2005) (en banc). A plaintiff must show that the defendant's acts were "so outrageous in character and so extreme in degree, as to go beyond all possible bounds of decency, and to be regarded as atrocious and utterly intolerable in a civilized community." </w:t>
      </w:r>
      <w:bookmarkStart w:id="1499" w:name="Bookmark_I5JD87M628T45H0010000400"/>
      <w:bookmarkEnd w:id="1499"/>
      <w:r>
        <w:rPr>
          <w:rFonts w:ascii="Arial" w:eastAsia="Arial" w:hAnsi="Arial" w:cs="Arial"/>
          <w:i/>
          <w:color w:val="000000"/>
          <w:sz w:val="20"/>
        </w:rPr>
        <w:t>Mintz v. Bell Atl. Sys. Leasing Int'l, Inc.</w:t>
      </w:r>
      <w:r>
        <w:rPr>
          <w:rFonts w:ascii="Arial" w:eastAsia="Arial" w:hAnsi="Arial" w:cs="Arial"/>
          <w:color w:val="000000"/>
          <w:sz w:val="20"/>
        </w:rPr>
        <w:t xml:space="preserve">, 183 Ariz. 550, 905 P.2d 559, 563 (Ariz. Ct. App. 1995) (citing </w:t>
      </w:r>
      <w:bookmarkStart w:id="1500" w:name="Bookmark_I5JD87M628T45H0030000400"/>
      <w:bookmarkEnd w:id="1500"/>
      <w:r>
        <w:rPr>
          <w:rFonts w:ascii="Arial" w:eastAsia="Arial" w:hAnsi="Arial" w:cs="Arial"/>
          <w:i/>
          <w:color w:val="000000"/>
          <w:sz w:val="20"/>
        </w:rPr>
        <w:t>Cluff v. Farmers Ins. Exch.</w:t>
      </w:r>
      <w:r>
        <w:rPr>
          <w:rFonts w:ascii="Arial" w:eastAsia="Arial" w:hAnsi="Arial" w:cs="Arial"/>
          <w:color w:val="000000"/>
          <w:sz w:val="20"/>
        </w:rPr>
        <w:t>, 10 Ariz. App. 560, 460 P.2d 666, 668 (Ariz. Ct. App. 1969)).</w:t>
      </w:r>
    </w:p>
    <w:p w14:paraId="21BD679B" w14:textId="77777777" w:rsidR="002D0E71" w:rsidRDefault="00000000">
      <w:pPr>
        <w:pStyle w:val="Normal9"/>
        <w:widowControl w:val="0"/>
        <w:spacing w:before="200" w:line="260" w:lineRule="atLeast"/>
        <w:jc w:val="both"/>
      </w:pPr>
      <w:bookmarkStart w:id="1501" w:name="Bookmark_para_44_3"/>
      <w:bookmarkStart w:id="1502" w:name="Bookmark_I5JD87M62D6N4Y0010000400"/>
      <w:bookmarkStart w:id="1503" w:name="Bookmark_I5JD87M62D6N4Y0030000400"/>
      <w:bookmarkEnd w:id="1501"/>
      <w:bookmarkEnd w:id="1502"/>
      <w:bookmarkEnd w:id="1503"/>
      <w:r>
        <w:rPr>
          <w:rFonts w:ascii="Arial" w:eastAsia="Arial" w:hAnsi="Arial" w:cs="Arial"/>
          <w:color w:val="000000"/>
          <w:sz w:val="20"/>
        </w:rPr>
        <w:t xml:space="preserve">To determine whether a defendant's conduct was outrageous and a plaintiff's emotional distress severe, Arizona courts have traditionally considered "defendant's knowledge that the plaintiff is peculiarly susceptible to emotional distress by reason  [*1209]  of some physical or mental condition." </w:t>
      </w:r>
      <w:bookmarkStart w:id="1504" w:name="Bookmark_I5JD87M628T45H0050000400"/>
      <w:bookmarkEnd w:id="1504"/>
      <w:r>
        <w:rPr>
          <w:rFonts w:ascii="Arial" w:eastAsia="Arial" w:hAnsi="Arial" w:cs="Arial"/>
          <w:i/>
          <w:color w:val="000000"/>
          <w:sz w:val="20"/>
        </w:rPr>
        <w:t>Lucchesi v. Frederic N. Stimmell, M.D., Ltd.</w:t>
      </w:r>
      <w:r>
        <w:rPr>
          <w:rFonts w:ascii="Arial" w:eastAsia="Arial" w:hAnsi="Arial" w:cs="Arial"/>
          <w:color w:val="000000"/>
          <w:sz w:val="20"/>
        </w:rPr>
        <w:t xml:space="preserve">, 149 Ariz. 76, 716 P.2d 1013, 1016 (Ariz. 1986) (in banc) (citations omitted). This focus on the plaintiff's susceptibility to emotional distress is also referred to as the "eggshell plaintiff" rule. </w:t>
      </w:r>
      <w:r>
        <w:rPr>
          <w:rFonts w:ascii="Arial" w:eastAsia="Arial" w:hAnsi="Arial" w:cs="Arial"/>
          <w:i/>
          <w:color w:val="000000"/>
          <w:sz w:val="20"/>
        </w:rPr>
        <w:t xml:space="preserve">See </w:t>
      </w:r>
      <w:bookmarkStart w:id="1505" w:name="Bookmark_I5JD87M62D6N4Y0020000400"/>
      <w:bookmarkEnd w:id="1505"/>
      <w:r>
        <w:rPr>
          <w:rFonts w:ascii="Arial" w:eastAsia="Arial" w:hAnsi="Arial" w:cs="Arial"/>
          <w:i/>
          <w:color w:val="000000"/>
          <w:sz w:val="20"/>
        </w:rPr>
        <w:t>Yanes v. Maricopa County</w:t>
      </w:r>
      <w:r>
        <w:rPr>
          <w:rFonts w:ascii="Arial" w:eastAsia="Arial" w:hAnsi="Arial" w:cs="Arial"/>
          <w:color w:val="000000"/>
          <w:sz w:val="20"/>
        </w:rPr>
        <w:t xml:space="preserve">, No. CV-11-0274, 2012 Ariz. App. Unpub. LEXIS 1456, 2012 WL 5989327, at *5 n.9 (Ariz. Ct. App. Nov. 8, 2012) ("The Restatement clearly recognizes the application of the eggshell [**30]  plaintiff rule to claims for intentional infliction of emotional distress." (citing Restatement (Second) of Torts § 46 cmt. j (Am. Law. Inst. 1965))); </w:t>
      </w:r>
      <w:r>
        <w:rPr>
          <w:rFonts w:ascii="Arial" w:eastAsia="Arial" w:hAnsi="Arial" w:cs="Arial"/>
          <w:i/>
          <w:color w:val="000000"/>
          <w:sz w:val="20"/>
        </w:rPr>
        <w:t>see also</w:t>
      </w:r>
      <w:r>
        <w:rPr>
          <w:rFonts w:ascii="Arial" w:eastAsia="Arial" w:hAnsi="Arial" w:cs="Arial"/>
          <w:color w:val="000000"/>
          <w:sz w:val="20"/>
        </w:rPr>
        <w:t xml:space="preserve"> Restatement (Second) of Torts § 46 cmt. f ("The extreme and outrageous character of the conduct may arise from the actor's knowledge that the other is peculiarly susceptible to emotional distress, by reason of some physical or mental condition or peculiarity.").</w:t>
      </w:r>
    </w:p>
    <w:p w14:paraId="7A3C6751" w14:textId="77777777" w:rsidR="002D0E71" w:rsidRDefault="00000000">
      <w:pPr>
        <w:pStyle w:val="Normal9"/>
        <w:widowControl w:val="0"/>
        <w:spacing w:before="200" w:line="260" w:lineRule="atLeast"/>
        <w:jc w:val="both"/>
      </w:pPr>
      <w:bookmarkStart w:id="1506" w:name="Bookmark_para_45_3"/>
      <w:bookmarkStart w:id="1507" w:name="Bookmark_I5JD87M62D6N4Y0050000400"/>
      <w:bookmarkEnd w:id="1506"/>
      <w:bookmarkEnd w:id="1507"/>
      <w:r>
        <w:rPr>
          <w:rFonts w:ascii="Arial" w:eastAsia="Arial" w:hAnsi="Arial" w:cs="Arial"/>
          <w:color w:val="000000"/>
          <w:sz w:val="20"/>
        </w:rPr>
        <w:t xml:space="preserve">Despite this necessarily fact-intensive analysis, it is only when reasonable minds could differ in determining whether conduct is sufficiently extreme or outrageous that an IIED claim should survive summary judgment. </w:t>
      </w:r>
      <w:bookmarkStart w:id="1508" w:name="Bookmark_I5JD87M62D6N4Y0040000400"/>
      <w:bookmarkEnd w:id="1508"/>
      <w:r>
        <w:rPr>
          <w:rFonts w:ascii="Arial" w:eastAsia="Arial" w:hAnsi="Arial" w:cs="Arial"/>
          <w:i/>
          <w:color w:val="000000"/>
          <w:sz w:val="20"/>
        </w:rPr>
        <w:t>Mintz</w:t>
      </w:r>
      <w:r>
        <w:rPr>
          <w:rFonts w:ascii="Arial" w:eastAsia="Arial" w:hAnsi="Arial" w:cs="Arial"/>
          <w:color w:val="000000"/>
          <w:sz w:val="20"/>
        </w:rPr>
        <w:t xml:space="preserve">, 905 P.2d at 563. </w:t>
      </w:r>
      <w:bookmarkStart w:id="1509" w:name="Bookmark_I5JD87M628T45J0020000400"/>
      <w:bookmarkEnd w:id="1509"/>
      <w:r>
        <w:rPr>
          <w:rFonts w:ascii="Arial" w:eastAsia="Arial" w:hAnsi="Arial" w:cs="Arial"/>
          <w:color w:val="000000"/>
          <w:sz w:val="20"/>
        </w:rPr>
        <w:t xml:space="preserve">Here, the district court ruled that plaintiffs failed to raise a genuine issue of material fact showing the school district defendants' conduct was extreme and outrageous. </w:t>
      </w:r>
      <w:bookmarkStart w:id="1510" w:name="Bookmark_I5JD87M628T45J0020000400_2"/>
      <w:bookmarkEnd w:id="1510"/>
      <w:r>
        <w:rPr>
          <w:rFonts w:ascii="Arial" w:eastAsia="Arial" w:hAnsi="Arial" w:cs="Arial"/>
          <w:color w:val="000000"/>
          <w:sz w:val="20"/>
        </w:rPr>
        <w:t>We agree. While Officer Welsh's actions arresting A.G. likely would have warranted review by a jury to decide whether they were extreme or outrageous, plaintiffs settled all claims against Welsh and the City of Phoenix.</w:t>
      </w:r>
      <w:r>
        <w:rPr>
          <w:rFonts w:ascii="Arial" w:eastAsia="Arial" w:hAnsi="Arial" w:cs="Arial"/>
          <w:vertAlign w:val="superscript"/>
        </w:rPr>
        <w:footnoteReference w:customMarkFollows="1" w:id="37"/>
        <w:t>8</w:t>
      </w:r>
      <w:r>
        <w:rPr>
          <w:rFonts w:ascii="Arial" w:eastAsia="Arial" w:hAnsi="Arial" w:cs="Arial"/>
          <w:color w:val="000000"/>
          <w:sz w:val="20"/>
        </w:rPr>
        <w:t xml:space="preserve"> Viewing the evidence in plaintiffs' favor, the conduct fairly attributable to the school district defendants—failure to research whether interventions were appropriate and to provide the necessary accommodations, touching A.G.'s legs in an effort to [**31]  restrain her, escorting A.G. to the Intervention Room, attempting to seat A.G., and enlisting Officer Welsh's assistance—was not "so outrageous in character and so extreme in degree, as to go beyond all possible bounds of decency," </w:t>
      </w:r>
      <w:bookmarkStart w:id="1512" w:name="Bookmark_I5JD87M628T45J0010000400"/>
      <w:bookmarkEnd w:id="1512"/>
      <w:r>
        <w:rPr>
          <w:rFonts w:ascii="Arial" w:eastAsia="Arial" w:hAnsi="Arial" w:cs="Arial"/>
          <w:i/>
          <w:color w:val="000000"/>
          <w:sz w:val="20"/>
        </w:rPr>
        <w:t>Mintz</w:t>
      </w:r>
      <w:r>
        <w:rPr>
          <w:rFonts w:ascii="Arial" w:eastAsia="Arial" w:hAnsi="Arial" w:cs="Arial"/>
          <w:color w:val="000000"/>
          <w:sz w:val="20"/>
        </w:rPr>
        <w:t>, 905 P.2d at 563, even considering the "eggshell plaintiff" principle. Because there is no material issue of fact concerning the school district's conduct, plaintiffs' IIED claim was correctly dismissed.</w:t>
      </w:r>
    </w:p>
    <w:p w14:paraId="7A548F99" w14:textId="77777777" w:rsidR="002D0E71" w:rsidRDefault="00000000">
      <w:pPr>
        <w:pStyle w:val="Normal9"/>
        <w:widowControl w:val="0"/>
        <w:spacing w:before="200" w:line="260" w:lineRule="atLeast"/>
        <w:jc w:val="both"/>
      </w:pPr>
      <w:bookmarkStart w:id="1513" w:name="Bookmark_para_46_2"/>
      <w:bookmarkEnd w:id="1513"/>
      <w:r>
        <w:rPr>
          <w:rFonts w:ascii="Arial" w:eastAsia="Arial" w:hAnsi="Arial" w:cs="Arial"/>
          <w:color w:val="000000"/>
          <w:sz w:val="20"/>
        </w:rPr>
        <w:t>The negligent infliction of emotional distress ("NIED") claim was also correctly dismissed. The district court found the facts alleged by plaintiffs did not rise to the predicate level typically required for such a claim in Arizona. Plaintiffs mention the NIED claim in their opening brief, but their reply brief makes clear that they did not intend to preserve this cause of action when they settled with defendants City of Phoenix and Officer Welsh. We affirm the district court's dismissal of this claim.</w:t>
      </w:r>
    </w:p>
    <w:p w14:paraId="1915E67B" w14:textId="77777777" w:rsidR="002D0E71" w:rsidRDefault="00000000">
      <w:pPr>
        <w:pStyle w:val="Normal9"/>
        <w:widowControl w:val="0"/>
        <w:spacing w:before="240" w:line="260" w:lineRule="atLeast"/>
      </w:pPr>
      <w:r>
        <w:br/>
      </w:r>
      <w:r>
        <w:rPr>
          <w:rFonts w:ascii="Arial" w:eastAsia="Arial" w:hAnsi="Arial" w:cs="Arial"/>
          <w:b/>
          <w:color w:val="000000"/>
          <w:sz w:val="20"/>
        </w:rPr>
        <w:t>B. Assault and Battery</w:t>
      </w:r>
    </w:p>
    <w:p w14:paraId="7837C6EF" w14:textId="77777777" w:rsidR="002D0E71" w:rsidRDefault="00000000">
      <w:pPr>
        <w:pStyle w:val="Normal9"/>
        <w:widowControl w:val="0"/>
        <w:spacing w:before="200" w:line="260" w:lineRule="atLeast"/>
        <w:jc w:val="both"/>
      </w:pPr>
      <w:bookmarkStart w:id="1514" w:name="Bookmark_para_47_2"/>
      <w:bookmarkStart w:id="1515" w:name="Bookmark_I5JD87M628T45J0040000400"/>
      <w:bookmarkStart w:id="1516" w:name="Bookmark_I5JD87M62HM62P0010000400"/>
      <w:bookmarkStart w:id="1517" w:name="Bookmark_LNHNREFclscc21_0"/>
      <w:bookmarkEnd w:id="1514"/>
      <w:bookmarkEnd w:id="1515"/>
      <w:bookmarkEnd w:id="1516"/>
      <w:bookmarkEnd w:id="1517"/>
      <w:r>
        <w:rPr>
          <w:rFonts w:ascii="Arial" w:eastAsia="Arial" w:hAnsi="Arial" w:cs="Arial"/>
          <w:color w:val="000000"/>
          <w:sz w:val="20"/>
        </w:rPr>
        <w:t xml:space="preserve">To establish a claim for battery under Arizona law, the plaintiff must [**32]  allege that the defendant intentionally engaged "in an act that results in harmful or offensive contact with the person of another." </w:t>
      </w:r>
      <w:bookmarkStart w:id="1518" w:name="Bookmark_I5JD87M628T45J0030000400"/>
      <w:bookmarkEnd w:id="1518"/>
      <w:r>
        <w:rPr>
          <w:rFonts w:ascii="Arial" w:eastAsia="Arial" w:hAnsi="Arial" w:cs="Arial"/>
          <w:i/>
          <w:color w:val="000000"/>
          <w:sz w:val="20"/>
        </w:rPr>
        <w:t>Duncan v. Scottsdale Med. Imaging, Ltd.</w:t>
      </w:r>
      <w:r>
        <w:rPr>
          <w:rFonts w:ascii="Arial" w:eastAsia="Arial" w:hAnsi="Arial" w:cs="Arial"/>
          <w:color w:val="000000"/>
          <w:sz w:val="20"/>
        </w:rPr>
        <w:t xml:space="preserve">, 205 Ariz. 306, 70 P.3d 435, 438 (Ariz. 2003) (en banc) (citing Restatement (Second) of Torts §§ 13, 18). Similarly, a claim for common-law assault requires that the plaintiff allege that the defendant acted "with intent to cause another harmful or offensive contact or apprehension thereof, and the other person apprehend[ed] imminent contact." </w:t>
      </w:r>
      <w:bookmarkStart w:id="1519" w:name="Bookmark_I5JD87M628T45J0050000400"/>
      <w:bookmarkEnd w:id="1519"/>
      <w:r>
        <w:rPr>
          <w:rFonts w:ascii="Arial" w:eastAsia="Arial" w:hAnsi="Arial" w:cs="Arial"/>
          <w:i/>
          <w:color w:val="000000"/>
          <w:sz w:val="20"/>
        </w:rPr>
        <w:t>Garcia v. United States</w:t>
      </w:r>
      <w:r>
        <w:rPr>
          <w:rFonts w:ascii="Arial" w:eastAsia="Arial" w:hAnsi="Arial" w:cs="Arial"/>
          <w:color w:val="000000"/>
          <w:sz w:val="20"/>
        </w:rPr>
        <w:t xml:space="preserve">, 826 F.2d 806, 809 n.9 (9th Cir. 1987) (citing Restatement (Second) of Torts § 21) (applying Arizona law). </w:t>
      </w:r>
      <w:bookmarkStart w:id="1520" w:name="Bookmark_I5JD87M62HM62P0030000400"/>
      <w:bookmarkEnd w:id="1520"/>
      <w:r>
        <w:rPr>
          <w:rFonts w:ascii="Arial" w:eastAsia="Arial" w:hAnsi="Arial" w:cs="Arial"/>
          <w:color w:val="000000"/>
          <w:sz w:val="20"/>
        </w:rPr>
        <w:t xml:space="preserve">The two claims are the same except that assault does not require the offensive touching or contact.  [*1210]  </w:t>
      </w:r>
      <w:bookmarkStart w:id="1521" w:name="Bookmark_I5JD87M62HM62P0030000400_2"/>
      <w:bookmarkEnd w:id="1521"/>
      <w:r>
        <w:rPr>
          <w:rFonts w:ascii="Arial" w:eastAsia="Arial" w:hAnsi="Arial" w:cs="Arial"/>
          <w:i/>
          <w:color w:val="000000"/>
          <w:sz w:val="20"/>
        </w:rPr>
        <w:t>Id.</w:t>
      </w:r>
      <w:r>
        <w:rPr>
          <w:rFonts w:ascii="Arial" w:eastAsia="Arial" w:hAnsi="Arial" w:cs="Arial"/>
          <w:color w:val="000000"/>
          <w:sz w:val="20"/>
        </w:rPr>
        <w:t xml:space="preserve"> Both require the defendant have the requisite intent. </w:t>
      </w:r>
      <w:bookmarkStart w:id="1522" w:name="Bookmark_I5JD87M62HM62P0020000400"/>
      <w:bookmarkEnd w:id="1522"/>
      <w:r>
        <w:rPr>
          <w:rFonts w:ascii="Arial" w:eastAsia="Arial" w:hAnsi="Arial" w:cs="Arial"/>
          <w:i/>
          <w:color w:val="000000"/>
          <w:sz w:val="20"/>
        </w:rPr>
        <w:t>Chappell v. Wenholz</w:t>
      </w:r>
      <w:r>
        <w:rPr>
          <w:rFonts w:ascii="Arial" w:eastAsia="Arial" w:hAnsi="Arial" w:cs="Arial"/>
          <w:color w:val="000000"/>
          <w:sz w:val="20"/>
        </w:rPr>
        <w:t xml:space="preserve">, 226 Ariz. 309, 247 P.3d 192, 195 (Ariz. Ct. App. 2011) ("Battery is an intentional tort under Arizona law."); </w:t>
      </w:r>
      <w:bookmarkStart w:id="1523" w:name="Bookmark_I5JD87M62HM62P0040000400"/>
      <w:bookmarkEnd w:id="1523"/>
      <w:r>
        <w:rPr>
          <w:rFonts w:ascii="Arial" w:eastAsia="Arial" w:hAnsi="Arial" w:cs="Arial"/>
          <w:i/>
          <w:color w:val="000000"/>
          <w:sz w:val="20"/>
        </w:rPr>
        <w:t>Blankinship v. Duarte</w:t>
      </w:r>
      <w:r>
        <w:rPr>
          <w:rFonts w:ascii="Arial" w:eastAsia="Arial" w:hAnsi="Arial" w:cs="Arial"/>
          <w:color w:val="000000"/>
          <w:sz w:val="20"/>
        </w:rPr>
        <w:t>, 137 Ariz. 217, 669 P.2d 994, 999 (Ariz. Ct. App. 1983) (characterizing assault and battery as intentional torts).</w:t>
      </w:r>
    </w:p>
    <w:p w14:paraId="0ED7BF41" w14:textId="77777777" w:rsidR="002D0E71" w:rsidRDefault="00000000">
      <w:pPr>
        <w:pStyle w:val="Normal9"/>
        <w:widowControl w:val="0"/>
        <w:spacing w:before="200" w:line="260" w:lineRule="atLeast"/>
        <w:jc w:val="both"/>
      </w:pPr>
      <w:bookmarkStart w:id="1524" w:name="Bookmark_para_48_2"/>
      <w:bookmarkStart w:id="1525" w:name="Bookmark_I5JD87M62SF7XM0020000400"/>
      <w:bookmarkEnd w:id="1524"/>
      <w:bookmarkEnd w:id="1525"/>
      <w:r>
        <w:rPr>
          <w:rFonts w:ascii="Arial" w:eastAsia="Arial" w:hAnsi="Arial" w:cs="Arial"/>
          <w:color w:val="000000"/>
          <w:sz w:val="20"/>
        </w:rPr>
        <w:t xml:space="preserve">Plaintiffs assert that in order to prevail on claims for assault and battery in Arizona, a plaintiff need only show that a defendant intended an act, and that the act caused harmful or offensive conduct. </w:t>
      </w:r>
      <w:bookmarkStart w:id="1526" w:name="Bookmark_I5JD87M62SF7XM0040000400"/>
      <w:bookmarkEnd w:id="1526"/>
      <w:r>
        <w:rPr>
          <w:rFonts w:ascii="Arial" w:eastAsia="Arial" w:hAnsi="Arial" w:cs="Arial"/>
          <w:color w:val="000000"/>
          <w:sz w:val="20"/>
        </w:rPr>
        <w:t xml:space="preserve">Plaintiffs are mistaken. </w:t>
      </w:r>
      <w:bookmarkStart w:id="1527" w:name="Bookmark_LNHNREFclscc22_0"/>
      <w:bookmarkEnd w:id="1527"/>
      <w:r>
        <w:rPr>
          <w:rFonts w:ascii="Arial" w:eastAsia="Arial" w:hAnsi="Arial" w:cs="Arial"/>
          <w:color w:val="000000"/>
          <w:sz w:val="20"/>
        </w:rPr>
        <w:t xml:space="preserve">Under Arizona law, "the act that caused the harm will qualify as intentional conduct only if the actor desired to cause the </w:t>
      </w:r>
      <w:r>
        <w:rPr>
          <w:rFonts w:ascii="Arial" w:eastAsia="Arial" w:hAnsi="Arial" w:cs="Arial"/>
          <w:i/>
          <w:color w:val="000000"/>
          <w:sz w:val="20"/>
        </w:rPr>
        <w:t>consequences</w:t>
      </w:r>
      <w:r>
        <w:rPr>
          <w:rFonts w:ascii="Arial" w:eastAsia="Arial" w:hAnsi="Arial" w:cs="Arial"/>
          <w:color w:val="000000"/>
          <w:sz w:val="20"/>
        </w:rPr>
        <w:t xml:space="preserve">—and not merely the act itself—or if he was certain or substantially certain that the </w:t>
      </w:r>
      <w:r>
        <w:rPr>
          <w:rFonts w:ascii="Arial" w:eastAsia="Arial" w:hAnsi="Arial" w:cs="Arial"/>
          <w:i/>
          <w:color w:val="000000"/>
          <w:sz w:val="20"/>
        </w:rPr>
        <w:t>consequences</w:t>
      </w:r>
      <w:r>
        <w:rPr>
          <w:rFonts w:ascii="Arial" w:eastAsia="Arial" w:hAnsi="Arial" w:cs="Arial"/>
          <w:color w:val="000000"/>
          <w:sz w:val="20"/>
        </w:rPr>
        <w:t xml:space="preserve"> would result from the act." </w:t>
      </w:r>
      <w:bookmarkStart w:id="1528" w:name="Bookmark_I5JD87M62SF7XM0010000400"/>
      <w:bookmarkEnd w:id="1528"/>
      <w:r>
        <w:rPr>
          <w:rFonts w:ascii="Arial" w:eastAsia="Arial" w:hAnsi="Arial" w:cs="Arial"/>
          <w:i/>
          <w:color w:val="000000"/>
          <w:sz w:val="20"/>
        </w:rPr>
        <w:t>Mein ex rel. Mein v. Cook</w:t>
      </w:r>
      <w:r>
        <w:rPr>
          <w:rFonts w:ascii="Arial" w:eastAsia="Arial" w:hAnsi="Arial" w:cs="Arial"/>
          <w:color w:val="000000"/>
          <w:sz w:val="20"/>
        </w:rPr>
        <w:t xml:space="preserve">, 219 Ariz. 96, 193 P.3d 790, 794 (Ariz. Ct. App. 2008). </w:t>
      </w:r>
      <w:bookmarkStart w:id="1529" w:name="Bookmark_I5JD87M62SF7XM0040000400_2"/>
      <w:bookmarkEnd w:id="1529"/>
      <w:r>
        <w:rPr>
          <w:rFonts w:ascii="Arial" w:eastAsia="Arial" w:hAnsi="Arial" w:cs="Arial"/>
          <w:color w:val="000000"/>
          <w:sz w:val="20"/>
        </w:rPr>
        <w:t xml:space="preserve">In this respect, [**33]  Arizona law follows the principle from the Restatement (Second) of Torts that: "If the actor knows that the consequences are certain, or substantially certain, to result from his act, and still goes ahead, he is treated by the law as if he had in fact desired to produce the result." </w:t>
      </w:r>
      <w:bookmarkStart w:id="1530" w:name="Bookmark_I5JD87M62SF7XM0030000400"/>
      <w:bookmarkEnd w:id="1530"/>
      <w:r>
        <w:rPr>
          <w:rFonts w:ascii="Arial" w:eastAsia="Arial" w:hAnsi="Arial" w:cs="Arial"/>
          <w:i/>
          <w:color w:val="000000"/>
          <w:sz w:val="20"/>
        </w:rPr>
        <w:t>Mein</w:t>
      </w:r>
      <w:r>
        <w:rPr>
          <w:rFonts w:ascii="Arial" w:eastAsia="Arial" w:hAnsi="Arial" w:cs="Arial"/>
          <w:color w:val="000000"/>
          <w:sz w:val="20"/>
        </w:rPr>
        <w:t xml:space="preserve">, 193 P.3d at 794 (quoting Restatement (Second) of Torts § 8A cmt. </w:t>
      </w:r>
      <w:r>
        <w:rPr>
          <w:rFonts w:ascii="Arial" w:eastAsia="Arial" w:hAnsi="Arial" w:cs="Arial"/>
          <w:i/>
          <w:color w:val="000000"/>
          <w:sz w:val="20"/>
        </w:rPr>
        <w:t>b</w:t>
      </w:r>
      <w:r>
        <w:rPr>
          <w:rFonts w:ascii="Arial" w:eastAsia="Arial" w:hAnsi="Arial" w:cs="Arial"/>
          <w:color w:val="000000"/>
          <w:sz w:val="20"/>
        </w:rPr>
        <w:t>) (emphasis omitted).</w:t>
      </w:r>
    </w:p>
    <w:p w14:paraId="05D0E0FB" w14:textId="77777777" w:rsidR="002D0E71" w:rsidRDefault="00000000">
      <w:pPr>
        <w:pStyle w:val="Normal9"/>
        <w:widowControl w:val="0"/>
        <w:spacing w:before="200" w:line="260" w:lineRule="atLeast"/>
        <w:jc w:val="both"/>
      </w:pPr>
      <w:bookmarkStart w:id="1531" w:name="Bookmark_para_49_2"/>
      <w:bookmarkStart w:id="1532" w:name="Bookmark_I5JD87M62D6N500010000400"/>
      <w:bookmarkEnd w:id="1531"/>
      <w:bookmarkEnd w:id="1532"/>
      <w:r>
        <w:rPr>
          <w:rFonts w:ascii="Arial" w:eastAsia="Arial" w:hAnsi="Arial" w:cs="Arial"/>
          <w:color w:val="000000"/>
          <w:sz w:val="20"/>
        </w:rPr>
        <w:t>Although the district court recited this correct legal standard, it applied it incorrectly. Here, plaintiffs introduced evidence that creates an issue of fact as to whether the school district defendants physically escorted and restrained A.G. when she was not a danger to herself or others and despite knowing of her tactile sensitivity.</w:t>
      </w:r>
      <w:r>
        <w:rPr>
          <w:rFonts w:ascii="Arial" w:eastAsia="Arial" w:hAnsi="Arial" w:cs="Arial"/>
          <w:vertAlign w:val="superscript"/>
        </w:rPr>
        <w:footnoteReference w:customMarkFollows="1" w:id="38"/>
        <w:t>9</w:t>
      </w:r>
      <w:r>
        <w:rPr>
          <w:rFonts w:ascii="Arial" w:eastAsia="Arial" w:hAnsi="Arial" w:cs="Arial"/>
          <w:color w:val="000000"/>
          <w:sz w:val="20"/>
        </w:rPr>
        <w:t xml:space="preserve"> Viewed in plaintiffs' favor, this evidence prevents entry of summary judgment. </w:t>
      </w:r>
      <w:r>
        <w:rPr>
          <w:rFonts w:ascii="Arial" w:eastAsia="Arial" w:hAnsi="Arial" w:cs="Arial"/>
          <w:i/>
          <w:color w:val="000000"/>
          <w:sz w:val="20"/>
        </w:rPr>
        <w:t xml:space="preserve">See </w:t>
      </w:r>
      <w:bookmarkStart w:id="1534" w:name="Bookmark_I5JD87M62SF7XM0050000400"/>
      <w:bookmarkEnd w:id="1534"/>
      <w:r>
        <w:rPr>
          <w:rFonts w:ascii="Arial" w:eastAsia="Arial" w:hAnsi="Arial" w:cs="Arial"/>
          <w:i/>
          <w:color w:val="000000"/>
          <w:sz w:val="20"/>
        </w:rPr>
        <w:t>Duncan</w:t>
      </w:r>
      <w:r>
        <w:rPr>
          <w:rFonts w:ascii="Arial" w:eastAsia="Arial" w:hAnsi="Arial" w:cs="Arial"/>
          <w:color w:val="000000"/>
          <w:sz w:val="20"/>
        </w:rPr>
        <w:t>, 70 P.3d at 438 (</w:t>
      </w:r>
      <w:bookmarkStart w:id="1535" w:name="Bookmark_LNHNREFclscc23_0"/>
      <w:bookmarkEnd w:id="1535"/>
      <w:r>
        <w:rPr>
          <w:rFonts w:ascii="Arial" w:eastAsia="Arial" w:hAnsi="Arial" w:cs="Arial"/>
          <w:color w:val="000000"/>
          <w:sz w:val="20"/>
        </w:rPr>
        <w:t xml:space="preserve">Arizona law provides a remedy for intentional acts that result in "harmful or offensive contact"); </w:t>
      </w:r>
      <w:r>
        <w:rPr>
          <w:rFonts w:ascii="Arial" w:eastAsia="Arial" w:hAnsi="Arial" w:cs="Arial"/>
          <w:i/>
          <w:color w:val="000000"/>
          <w:sz w:val="20"/>
        </w:rPr>
        <w:t xml:space="preserve">see also </w:t>
      </w:r>
      <w:bookmarkStart w:id="1536" w:name="Bookmark_I5JD87M62D6N500020000400"/>
      <w:bookmarkEnd w:id="1536"/>
      <w:r>
        <w:rPr>
          <w:rFonts w:ascii="Arial" w:eastAsia="Arial" w:hAnsi="Arial" w:cs="Arial"/>
          <w:i/>
          <w:color w:val="000000"/>
          <w:sz w:val="20"/>
        </w:rPr>
        <w:t>Garcia</w:t>
      </w:r>
      <w:r>
        <w:rPr>
          <w:rFonts w:ascii="Arial" w:eastAsia="Arial" w:hAnsi="Arial" w:cs="Arial"/>
          <w:color w:val="000000"/>
          <w:sz w:val="20"/>
        </w:rPr>
        <w:t>, 826 F.2d at 809 n.9. As a consequence, summary judgment on plaintiffs' assault and battery claims was improper.</w:t>
      </w:r>
      <w:r>
        <w:rPr>
          <w:rFonts w:ascii="Arial" w:eastAsia="Arial" w:hAnsi="Arial" w:cs="Arial"/>
          <w:vertAlign w:val="superscript"/>
        </w:rPr>
        <w:footnoteReference w:customMarkFollows="1" w:id="39"/>
        <w:t>10</w:t>
      </w:r>
    </w:p>
    <w:p w14:paraId="3953B1C9" w14:textId="77777777" w:rsidR="002D0E71" w:rsidRDefault="00000000">
      <w:pPr>
        <w:pStyle w:val="Normal9"/>
        <w:widowControl w:val="0"/>
        <w:spacing w:before="240" w:line="260" w:lineRule="atLeast"/>
      </w:pPr>
      <w:r>
        <w:br/>
      </w:r>
      <w:r>
        <w:rPr>
          <w:rFonts w:ascii="Arial" w:eastAsia="Arial" w:hAnsi="Arial" w:cs="Arial"/>
          <w:b/>
          <w:color w:val="000000"/>
          <w:sz w:val="20"/>
        </w:rPr>
        <w:t>C. False Imprisonment</w:t>
      </w:r>
    </w:p>
    <w:p w14:paraId="5AD83320" w14:textId="77777777" w:rsidR="002D0E71" w:rsidRDefault="00000000">
      <w:pPr>
        <w:pStyle w:val="Normal9"/>
        <w:widowControl w:val="0"/>
        <w:spacing w:before="200" w:line="260" w:lineRule="atLeast"/>
        <w:jc w:val="both"/>
      </w:pPr>
      <w:bookmarkStart w:id="1540" w:name="Bookmark_para_50_2"/>
      <w:bookmarkStart w:id="1541" w:name="Bookmark_I5JD87M62HM62R0020000400"/>
      <w:bookmarkStart w:id="1542" w:name="Bookmark_I5JD87M62HM62R0040000400"/>
      <w:bookmarkStart w:id="1543" w:name="Bookmark_LNHNREFclscc24_0"/>
      <w:bookmarkEnd w:id="1540"/>
      <w:bookmarkEnd w:id="1541"/>
      <w:bookmarkEnd w:id="1542"/>
      <w:bookmarkEnd w:id="1543"/>
      <w:r>
        <w:rPr>
          <w:rFonts w:ascii="Arial" w:eastAsia="Arial" w:hAnsi="Arial" w:cs="Arial"/>
          <w:color w:val="000000"/>
          <w:sz w:val="20"/>
        </w:rPr>
        <w:t xml:space="preserve">To establish a claim for false imprisonment in Arizona, a plaintiff must show detention without consent or lawful authority. </w:t>
      </w:r>
      <w:r>
        <w:rPr>
          <w:rFonts w:ascii="Arial" w:eastAsia="Arial" w:hAnsi="Arial" w:cs="Arial"/>
          <w:i/>
          <w:color w:val="000000"/>
          <w:sz w:val="20"/>
        </w:rPr>
        <w:t xml:space="preserve">See </w:t>
      </w:r>
      <w:bookmarkStart w:id="1544" w:name="Bookmark_I5JD87M62HM62R0010000400"/>
      <w:bookmarkEnd w:id="1544"/>
      <w:r>
        <w:rPr>
          <w:rFonts w:ascii="Arial" w:eastAsia="Arial" w:hAnsi="Arial" w:cs="Arial"/>
          <w:i/>
          <w:color w:val="000000"/>
          <w:sz w:val="20"/>
        </w:rPr>
        <w:t>Slade v. City of Phoenix</w:t>
      </w:r>
      <w:r>
        <w:rPr>
          <w:rFonts w:ascii="Arial" w:eastAsia="Arial" w:hAnsi="Arial" w:cs="Arial"/>
          <w:color w:val="000000"/>
          <w:sz w:val="20"/>
        </w:rPr>
        <w:t xml:space="preserve">, 112 Ariz. 298, 541 P.2d 550, 552 (Ariz. 1975) (in division). "The essential element necessary to constitute either false arrest or false imprisonment is unlawful [**35]  detention." </w:t>
      </w:r>
      <w:r>
        <w:rPr>
          <w:rFonts w:ascii="Arial" w:eastAsia="Arial" w:hAnsi="Arial" w:cs="Arial"/>
          <w:i/>
          <w:color w:val="000000"/>
          <w:sz w:val="20"/>
        </w:rPr>
        <w:t>Id.</w:t>
      </w:r>
      <w:r>
        <w:rPr>
          <w:rFonts w:ascii="Arial" w:eastAsia="Arial" w:hAnsi="Arial" w:cs="Arial"/>
          <w:color w:val="000000"/>
          <w:sz w:val="20"/>
        </w:rPr>
        <w:t xml:space="preserve"> "[W]here a person is a danger to [herself] or others because of [her] mental condition, . . . it is lawful to restrain [her] so long as necessary until other lawful measures can be followed." </w:t>
      </w:r>
      <w:bookmarkStart w:id="1545" w:name="Bookmark_I5JD87M62HM62R0030000400"/>
      <w:bookmarkEnd w:id="1545"/>
      <w:r>
        <w:rPr>
          <w:rFonts w:ascii="Arial" w:eastAsia="Arial" w:hAnsi="Arial" w:cs="Arial"/>
          <w:i/>
          <w:color w:val="000000"/>
          <w:sz w:val="20"/>
        </w:rPr>
        <w:t>Furrh v. Ariz.  [*1211]  Bd. of Regents</w:t>
      </w:r>
      <w:r>
        <w:rPr>
          <w:rFonts w:ascii="Arial" w:eastAsia="Arial" w:hAnsi="Arial" w:cs="Arial"/>
          <w:color w:val="000000"/>
          <w:sz w:val="20"/>
        </w:rPr>
        <w:t>, 139 Ariz. 83, 676 P.2d 1141, 1146 (Ariz. Ct. App. 1983).</w:t>
      </w:r>
    </w:p>
    <w:p w14:paraId="332E3AED" w14:textId="77777777" w:rsidR="002D0E71" w:rsidRDefault="00000000">
      <w:pPr>
        <w:pStyle w:val="Normal9"/>
        <w:widowControl w:val="0"/>
        <w:spacing w:before="200" w:line="260" w:lineRule="atLeast"/>
        <w:jc w:val="both"/>
      </w:pPr>
      <w:bookmarkStart w:id="1546" w:name="Bookmark_para_51_2"/>
      <w:bookmarkEnd w:id="1546"/>
      <w:r>
        <w:rPr>
          <w:rFonts w:ascii="Arial" w:eastAsia="Arial" w:hAnsi="Arial" w:cs="Arial"/>
          <w:color w:val="000000"/>
          <w:sz w:val="20"/>
        </w:rPr>
        <w:t>Plaintiffs argue that the school district falsely imprisoned A.G. when they physically restrained her, despite A.G.'s IEP Addendum providing that she would not be restrained unless she presented a danger to herself or others, and the district's training manuals directing staff to stop transporting a student who is struggling against an escort. The district court ruled that, in light of the numerous instances reflected in the record where A.G. is alleged to have presented a danger to herself or others, there was evidence that she presented such a danger on February 3, 2010 and March 23, 2010, dates when defendants could not have avoided restraining her. But the district court neglected to consider the evidence in the record showing that A.G. presented no such danger on those occasions. Because plaintiffs introduced evidence sufficient to create a genuine issue of material fact as to whether A.G. was a danger to herself or others when school district staff restrained her, summary judgment [**36]  on plaintiffs' false imprisonment claim was improper.</w:t>
      </w:r>
      <w:r>
        <w:rPr>
          <w:rFonts w:ascii="Arial" w:eastAsia="Arial" w:hAnsi="Arial" w:cs="Arial"/>
          <w:vertAlign w:val="superscript"/>
        </w:rPr>
        <w:footnoteReference w:customMarkFollows="1" w:id="40"/>
        <w:t>11</w:t>
      </w:r>
    </w:p>
    <w:p w14:paraId="0F9769F2" w14:textId="77777777" w:rsidR="002D0E71" w:rsidRDefault="00000000">
      <w:pPr>
        <w:pStyle w:val="Normal9"/>
        <w:widowControl w:val="0"/>
        <w:spacing w:before="240" w:line="260" w:lineRule="atLeast"/>
      </w:pPr>
      <w:r>
        <w:br/>
      </w:r>
      <w:r>
        <w:rPr>
          <w:rFonts w:ascii="Arial" w:eastAsia="Arial" w:hAnsi="Arial" w:cs="Arial"/>
          <w:b/>
          <w:color w:val="000000"/>
          <w:sz w:val="20"/>
        </w:rPr>
        <w:t>IV. Taxation of Costs</w:t>
      </w:r>
    </w:p>
    <w:p w14:paraId="3EC82635" w14:textId="77777777" w:rsidR="002D0E71" w:rsidRDefault="00000000">
      <w:pPr>
        <w:pStyle w:val="Normal9"/>
        <w:widowControl w:val="0"/>
        <w:spacing w:before="200" w:line="260" w:lineRule="atLeast"/>
        <w:jc w:val="both"/>
      </w:pPr>
      <w:bookmarkStart w:id="1550" w:name="Bookmark_para_52_1"/>
      <w:bookmarkStart w:id="1551" w:name="Bookmark_I5JD87M62SF7XN0030000400"/>
      <w:bookmarkEnd w:id="1550"/>
      <w:bookmarkEnd w:id="1551"/>
      <w:r>
        <w:rPr>
          <w:rFonts w:ascii="Arial" w:eastAsia="Arial" w:hAnsi="Arial" w:cs="Arial"/>
          <w:color w:val="000000"/>
          <w:sz w:val="20"/>
        </w:rPr>
        <w:t xml:space="preserve">Because it is necessary to reverse the order granting summary judgment on plaintiffs' section 504 and Title II claims, the order denying costs to the defendants is vacated. </w:t>
      </w:r>
      <w:r>
        <w:rPr>
          <w:rFonts w:ascii="Arial" w:eastAsia="Arial" w:hAnsi="Arial" w:cs="Arial"/>
          <w:i/>
          <w:color w:val="000000"/>
          <w:sz w:val="20"/>
        </w:rPr>
        <w:t xml:space="preserve">See </w:t>
      </w:r>
      <w:bookmarkStart w:id="1552" w:name="Bookmark_I5JD87M62SF7XN0020000400"/>
      <w:bookmarkEnd w:id="1552"/>
      <w:r>
        <w:rPr>
          <w:rFonts w:ascii="Arial" w:eastAsia="Arial" w:hAnsi="Arial" w:cs="Arial"/>
          <w:i/>
          <w:color w:val="000000"/>
          <w:sz w:val="20"/>
        </w:rPr>
        <w:t>Atonio v. Wards Cove Packing Co.</w:t>
      </w:r>
      <w:r>
        <w:rPr>
          <w:rFonts w:ascii="Arial" w:eastAsia="Arial" w:hAnsi="Arial" w:cs="Arial"/>
          <w:color w:val="000000"/>
          <w:sz w:val="20"/>
        </w:rPr>
        <w:t xml:space="preserve">, 10 F.3d 1485, 1504 (9th Cir. 1993) (citing </w:t>
      </w:r>
      <w:bookmarkStart w:id="1553" w:name="Bookmark_I5JD87M62SF7XN0040000400"/>
      <w:bookmarkEnd w:id="1553"/>
      <w:r>
        <w:rPr>
          <w:rFonts w:ascii="Arial" w:eastAsia="Arial" w:hAnsi="Arial" w:cs="Arial"/>
          <w:i/>
          <w:color w:val="000000"/>
          <w:sz w:val="20"/>
        </w:rPr>
        <w:t>Garrett v. City &amp; County of San Francisco</w:t>
      </w:r>
      <w:r>
        <w:rPr>
          <w:rFonts w:ascii="Arial" w:eastAsia="Arial" w:hAnsi="Arial" w:cs="Arial"/>
          <w:color w:val="000000"/>
          <w:sz w:val="20"/>
        </w:rPr>
        <w:t>, 818 F.2d 1515, 1521 (9th Cir. 1987)).</w:t>
      </w:r>
    </w:p>
    <w:p w14:paraId="1F6E8910" w14:textId="77777777" w:rsidR="002D0E71" w:rsidRDefault="00000000">
      <w:pPr>
        <w:pStyle w:val="Normal9"/>
        <w:widowControl w:val="0"/>
        <w:spacing w:before="200" w:line="260" w:lineRule="atLeast"/>
        <w:jc w:val="both"/>
      </w:pPr>
      <w:bookmarkStart w:id="1554" w:name="Bookmark_para_53_1"/>
      <w:bookmarkEnd w:id="1554"/>
      <w:r>
        <w:rPr>
          <w:rFonts w:ascii="Arial" w:eastAsia="Arial" w:hAnsi="Arial" w:cs="Arial"/>
          <w:b/>
          <w:color w:val="000000"/>
          <w:sz w:val="20"/>
        </w:rPr>
        <w:t>REVERSED in part; AFFIRMED in part; VACATED in part; and REMANDED. Each party shall bear its own costs on appeal</w:t>
      </w:r>
      <w:r>
        <w:rPr>
          <w:rFonts w:ascii="Arial" w:eastAsia="Arial" w:hAnsi="Arial" w:cs="Arial"/>
          <w:color w:val="000000"/>
          <w:sz w:val="20"/>
        </w:rPr>
        <w:t>.</w:t>
      </w:r>
    </w:p>
    <w:p w14:paraId="6E8CDB10" w14:textId="77777777" w:rsidR="002D0E71" w:rsidRDefault="002D0E71">
      <w:pPr>
        <w:pStyle w:val="Normal9"/>
      </w:pPr>
    </w:p>
    <w:p w14:paraId="2CBCF41E" w14:textId="7B562C5F" w:rsidR="002D0E71" w:rsidRDefault="00000000">
      <w:pPr>
        <w:pStyle w:val="Normal9"/>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78720" behindDoc="0" locked="0" layoutInCell="1" allowOverlap="1" wp14:anchorId="117FEB32" wp14:editId="5B5C347B">
                <wp:simplePos x="0" y="0"/>
                <wp:positionH relativeFrom="column">
                  <wp:posOffset>0</wp:posOffset>
                </wp:positionH>
                <wp:positionV relativeFrom="paragraph">
                  <wp:posOffset>127000</wp:posOffset>
                </wp:positionV>
                <wp:extent cx="6502400" cy="0"/>
                <wp:effectExtent l="9525" t="12700" r="12700" b="6350"/>
                <wp:wrapNone/>
                <wp:docPr id="2125113976"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022D57" id="Line 21"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7EDEDC0" w14:textId="77777777" w:rsidR="002D0E71" w:rsidRDefault="002D0E71">
      <w:pPr>
        <w:pStyle w:val="Normal10"/>
        <w:sectPr w:rsidR="002D0E71">
          <w:headerReference w:type="even" r:id="rId66"/>
          <w:headerReference w:type="default" r:id="rId67"/>
          <w:footerReference w:type="even" r:id="rId68"/>
          <w:footerReference w:type="default" r:id="rId69"/>
          <w:headerReference w:type="first" r:id="rId70"/>
          <w:footerReference w:type="first" r:id="rId71"/>
          <w:pgSz w:w="12240" w:h="15840"/>
          <w:pgMar w:top="840" w:right="1000" w:bottom="840" w:left="1000" w:header="400" w:footer="400" w:gutter="0"/>
          <w:cols w:space="720"/>
          <w:titlePg/>
        </w:sectPr>
      </w:pPr>
    </w:p>
    <w:p w14:paraId="2DC6CA33" w14:textId="77777777" w:rsidR="002D0E71" w:rsidRDefault="002D0E71">
      <w:pPr>
        <w:pStyle w:val="Normal10"/>
      </w:pPr>
    </w:p>
    <w:p w14:paraId="3E47CC23" w14:textId="77777777" w:rsidR="002D0E71" w:rsidRDefault="00000000">
      <w:pPr>
        <w:pStyle w:val="Heading19"/>
        <w:keepNext w:val="0"/>
        <w:widowControl w:val="0"/>
        <w:spacing w:after="200" w:line="340" w:lineRule="atLeast"/>
        <w:jc w:val="center"/>
      </w:pPr>
      <w:r>
        <w:rPr>
          <w:rFonts w:eastAsia="Arial"/>
          <w:color w:val="000000"/>
          <w:sz w:val="28"/>
        </w:rPr>
        <w:t>Hunt v. Aimco Props., L.P.</w:t>
      </w:r>
    </w:p>
    <w:p w14:paraId="636F2ABD" w14:textId="77777777" w:rsidR="002D0E71" w:rsidRDefault="00000000">
      <w:pPr>
        <w:pStyle w:val="Normal10"/>
        <w:widowControl w:val="0"/>
        <w:spacing w:before="120" w:line="260" w:lineRule="atLeast"/>
        <w:jc w:val="center"/>
      </w:pPr>
      <w:r>
        <w:rPr>
          <w:rFonts w:ascii="Arial" w:eastAsia="Arial" w:hAnsi="Arial" w:cs="Arial"/>
          <w:color w:val="000000"/>
          <w:sz w:val="20"/>
        </w:rPr>
        <w:t>United States Court of Appeals for the Eleventh Circuit</w:t>
      </w:r>
    </w:p>
    <w:p w14:paraId="3AC76E33" w14:textId="77777777" w:rsidR="002D0E71" w:rsidRDefault="00000000">
      <w:pPr>
        <w:pStyle w:val="Normal10"/>
        <w:widowControl w:val="0"/>
        <w:spacing w:before="120" w:line="260" w:lineRule="atLeast"/>
        <w:jc w:val="center"/>
      </w:pPr>
      <w:r>
        <w:rPr>
          <w:rFonts w:ascii="Arial" w:eastAsia="Arial" w:hAnsi="Arial" w:cs="Arial"/>
          <w:color w:val="000000"/>
          <w:sz w:val="20"/>
        </w:rPr>
        <w:t>February 18, 2016, Decided</w:t>
      </w:r>
    </w:p>
    <w:p w14:paraId="0FDB76B1" w14:textId="77777777" w:rsidR="002D0E71" w:rsidRDefault="00000000">
      <w:pPr>
        <w:pStyle w:val="Normal10"/>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14-14085</w:t>
      </w:r>
    </w:p>
    <w:p w14:paraId="716527CF" w14:textId="77777777" w:rsidR="002D0E71" w:rsidRDefault="002D0E71">
      <w:pPr>
        <w:pStyle w:val="Normal10"/>
        <w:widowControl w:val="0"/>
        <w:spacing w:line="240" w:lineRule="atLeast"/>
        <w:jc w:val="both"/>
      </w:pPr>
      <w:bookmarkStart w:id="1555" w:name="Bookmark_11"/>
      <w:bookmarkEnd w:id="1555"/>
    </w:p>
    <w:p w14:paraId="50B5234A" w14:textId="77777777" w:rsidR="002D0E71" w:rsidRDefault="00000000">
      <w:pPr>
        <w:pStyle w:val="Normal10"/>
        <w:widowControl w:val="0"/>
        <w:spacing w:before="200" w:line="240" w:lineRule="atLeast"/>
      </w:pPr>
      <w:bookmarkStart w:id="1556" w:name="Reporter_9"/>
      <w:bookmarkEnd w:id="1556"/>
      <w:r>
        <w:rPr>
          <w:rFonts w:ascii="Arial" w:eastAsia="Arial" w:hAnsi="Arial" w:cs="Arial"/>
          <w:b/>
          <w:color w:val="000000"/>
          <w:sz w:val="18"/>
        </w:rPr>
        <w:t>Reporter</w:t>
      </w:r>
    </w:p>
    <w:p w14:paraId="5017A7B9" w14:textId="77777777" w:rsidR="002D0E71" w:rsidRDefault="00000000">
      <w:pPr>
        <w:pStyle w:val="Normal10"/>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814 F.3d 1213 *; 2016 U.S. App. LEXIS 2788 **; 26 Fla. L. Weekly Fed. C 37</w:t>
      </w:r>
    </w:p>
    <w:p w14:paraId="368A35E1" w14:textId="77777777" w:rsidR="002D0E71" w:rsidRDefault="00000000">
      <w:pPr>
        <w:pStyle w:val="Normal10"/>
        <w:widowControl w:val="0"/>
        <w:spacing w:before="120" w:line="260" w:lineRule="atLeast"/>
      </w:pPr>
      <w:r>
        <w:rPr>
          <w:rFonts w:ascii="Arial" w:eastAsia="Arial" w:hAnsi="Arial" w:cs="Arial"/>
          <w:color w:val="000000"/>
          <w:sz w:val="20"/>
        </w:rPr>
        <w:t>DYAN HUNT, individually and as parent and guardian for Karl Hunt, Plaintiff - Appellant, versus AIMCO PROPERTIES, L.P., Defendant - Appellee.</w:t>
      </w:r>
    </w:p>
    <w:p w14:paraId="6F41D220" w14:textId="77777777" w:rsidR="002D0E71" w:rsidRDefault="00000000">
      <w:pPr>
        <w:pStyle w:val="Normal10"/>
        <w:widowControl w:val="0"/>
        <w:spacing w:before="240" w:line="260" w:lineRule="atLeast"/>
        <w:jc w:val="both"/>
      </w:pPr>
      <w:bookmarkStart w:id="1557" w:name="Prior_History_9"/>
      <w:bookmarkEnd w:id="1557"/>
      <w:r>
        <w:rPr>
          <w:rFonts w:ascii="Arial" w:eastAsia="Arial" w:hAnsi="Arial" w:cs="Arial"/>
          <w:b/>
          <w:color w:val="000000"/>
          <w:sz w:val="20"/>
        </w:rPr>
        <w:t>Prior History:</w:t>
      </w:r>
      <w:r>
        <w:rPr>
          <w:rFonts w:ascii="Arial" w:eastAsia="Arial" w:hAnsi="Arial" w:cs="Arial"/>
          <w:color w:val="000000"/>
          <w:sz w:val="20"/>
        </w:rPr>
        <w:t> </w:t>
      </w:r>
      <w:bookmarkStart w:id="1558" w:name="Bookmark_para_1_9"/>
      <w:bookmarkEnd w:id="1558"/>
      <w:r>
        <w:rPr>
          <w:rFonts w:ascii="Arial" w:eastAsia="Arial" w:hAnsi="Arial" w:cs="Arial"/>
          <w:color w:val="000000"/>
          <w:sz w:val="20"/>
        </w:rPr>
        <w:t> [**1] Appeal from the United States District Court for the Southern District of Florida. D.C. Docket No. 9:14-cv-80432-KLR.</w:t>
      </w:r>
    </w:p>
    <w:p w14:paraId="4B270A37" w14:textId="77777777" w:rsidR="002D0E71" w:rsidRDefault="00000000">
      <w:pPr>
        <w:pStyle w:val="Normal10"/>
        <w:widowControl w:val="0"/>
        <w:spacing w:before="120" w:line="260" w:lineRule="atLeast"/>
      </w:pPr>
      <w:r>
        <w:rPr>
          <w:rFonts w:ascii="Arial" w:eastAsia="Arial" w:hAnsi="Arial" w:cs="Arial"/>
          <w:color w:val="000000"/>
          <w:sz w:val="20"/>
        </w:rPr>
        <w:t>Hunt v. Aimco Props., L.P., 2014 U.S. Dist. LEXIS 199115 (S.D. Fla., June 16, 2014)</w:t>
      </w:r>
    </w:p>
    <w:p w14:paraId="33BFABBC" w14:textId="77777777" w:rsidR="002D0E71" w:rsidRDefault="00000000">
      <w:pPr>
        <w:pStyle w:val="Normal10"/>
        <w:widowControl w:val="0"/>
        <w:spacing w:before="240" w:line="260" w:lineRule="atLeast"/>
        <w:jc w:val="both"/>
      </w:pPr>
      <w:bookmarkStart w:id="1559" w:name="Disposition_2"/>
      <w:bookmarkEnd w:id="1559"/>
      <w:r>
        <w:rPr>
          <w:rFonts w:ascii="Arial" w:eastAsia="Arial" w:hAnsi="Arial" w:cs="Arial"/>
          <w:b/>
          <w:color w:val="000000"/>
          <w:sz w:val="20"/>
        </w:rPr>
        <w:t>Disposition:</w:t>
      </w:r>
      <w:r>
        <w:rPr>
          <w:rFonts w:ascii="Arial" w:eastAsia="Arial" w:hAnsi="Arial" w:cs="Arial"/>
          <w:color w:val="000000"/>
          <w:sz w:val="20"/>
        </w:rPr>
        <w:t> </w:t>
      </w:r>
      <w:bookmarkStart w:id="1560" w:name="Bookmark_clspara_4_2"/>
      <w:bookmarkEnd w:id="1560"/>
      <w:r>
        <w:rPr>
          <w:rFonts w:ascii="Arial" w:eastAsia="Arial" w:hAnsi="Arial" w:cs="Arial"/>
          <w:color w:val="000000"/>
          <w:sz w:val="20"/>
        </w:rPr>
        <w:t>REVERSED AND REMANDED.</w:t>
      </w:r>
    </w:p>
    <w:p w14:paraId="5B2C1746" w14:textId="77777777" w:rsidR="002D0E71" w:rsidRDefault="00000000">
      <w:pPr>
        <w:pStyle w:val="Normal10"/>
        <w:widowControl w:val="0"/>
        <w:spacing w:before="240" w:line="260" w:lineRule="atLeast"/>
      </w:pPr>
      <w:bookmarkStart w:id="1561" w:name="Counsel_9"/>
      <w:bookmarkEnd w:id="1561"/>
      <w:r>
        <w:rPr>
          <w:rFonts w:ascii="Arial" w:eastAsia="Arial" w:hAnsi="Arial" w:cs="Arial"/>
          <w:b/>
          <w:color w:val="000000"/>
          <w:sz w:val="20"/>
        </w:rPr>
        <w:t>Counsel:</w:t>
      </w:r>
      <w:r>
        <w:rPr>
          <w:rFonts w:ascii="Arial" w:eastAsia="Arial" w:hAnsi="Arial" w:cs="Arial"/>
          <w:color w:val="000000"/>
          <w:sz w:val="20"/>
        </w:rPr>
        <w:t> For DYAN HUNT, individually and as parent and guardian for Karl Hunt, Plaintiff - Appellant: Matthew W. Dietz, Rachel Laura Goldstein, Disability Independence Group, MIAMI, FL.</w:t>
      </w:r>
    </w:p>
    <w:p w14:paraId="4585B950" w14:textId="77777777" w:rsidR="002D0E71" w:rsidRDefault="00000000">
      <w:pPr>
        <w:pStyle w:val="Normal10"/>
        <w:widowControl w:val="0"/>
        <w:spacing w:before="120" w:line="260" w:lineRule="atLeast"/>
      </w:pPr>
      <w:r>
        <w:rPr>
          <w:rFonts w:ascii="Arial" w:eastAsia="Arial" w:hAnsi="Arial" w:cs="Arial"/>
          <w:color w:val="000000"/>
          <w:sz w:val="20"/>
        </w:rPr>
        <w:t>For AIMCO PROPERTIES, L.P., Defendant - Appellee: Scott M. Badami, William Christian Moffitt, Fox Rothschild, LLP, BLUE BELL, PA; L. Jason Cornell, Fox Rothschild, LLP, WEST PALM BEACH, FL.</w:t>
      </w:r>
    </w:p>
    <w:p w14:paraId="36230695" w14:textId="77777777" w:rsidR="002D0E71" w:rsidRDefault="00000000">
      <w:pPr>
        <w:pStyle w:val="Normal10"/>
        <w:widowControl w:val="0"/>
        <w:spacing w:before="120" w:line="260" w:lineRule="atLeast"/>
      </w:pPr>
      <w:r>
        <w:rPr>
          <w:rFonts w:ascii="Arial" w:eastAsia="Arial" w:hAnsi="Arial" w:cs="Arial"/>
          <w:color w:val="000000"/>
          <w:sz w:val="20"/>
        </w:rPr>
        <w:t>For DISABILITY RIGHTS FLORIDA INC, NATIONAL DISABILITY RIGHTS NETWORK, HOUSING UMBRELLA GROUP OF FLORIDA LEGAL SERVICE, HOUSING OPPORTUNITIES PROJECT FOR EXCELLENCE, FAIR HOUSING CENTER OF THE GREATER PALM BEACHES, LEGAL AID SOCIETY OF PALM BEACH COUNTY, Amicus Curiaes: Christopher Thomas White, Disability Rights Florida Inc., TAMPA, FL.</w:t>
      </w:r>
    </w:p>
    <w:p w14:paraId="78C057C5" w14:textId="77777777" w:rsidR="002D0E71" w:rsidRDefault="00000000">
      <w:pPr>
        <w:pStyle w:val="Normal10"/>
        <w:widowControl w:val="0"/>
        <w:spacing w:before="120" w:line="260" w:lineRule="atLeast"/>
      </w:pPr>
      <w:r>
        <w:rPr>
          <w:rFonts w:ascii="Arial" w:eastAsia="Arial" w:hAnsi="Arial" w:cs="Arial"/>
          <w:color w:val="000000"/>
          <w:sz w:val="20"/>
        </w:rPr>
        <w:t>For COALITION FOR INDEPENDENT LIVING OPTIONS, Amicus Curiaes: Christopher Thomas White, Amanda Erin Heystek, Disability Rights Florida Inc., TAMPA, FL; Curtis Filaroski, Disability Rights Florida, TALLAHASSEE, FL.</w:t>
      </w:r>
    </w:p>
    <w:p w14:paraId="05F41203" w14:textId="77777777" w:rsidR="002D0E71" w:rsidRDefault="00000000">
      <w:pPr>
        <w:pStyle w:val="Normal10"/>
        <w:widowControl w:val="0"/>
        <w:spacing w:before="240" w:line="260" w:lineRule="atLeast"/>
      </w:pPr>
      <w:bookmarkStart w:id="1562" w:name="Judges_9"/>
      <w:bookmarkEnd w:id="1562"/>
      <w:r>
        <w:rPr>
          <w:rFonts w:ascii="Arial" w:eastAsia="Arial" w:hAnsi="Arial" w:cs="Arial"/>
          <w:b/>
          <w:color w:val="000000"/>
          <w:sz w:val="20"/>
        </w:rPr>
        <w:t>Judges:</w:t>
      </w:r>
      <w:r>
        <w:rPr>
          <w:rFonts w:ascii="Arial" w:eastAsia="Arial" w:hAnsi="Arial" w:cs="Arial"/>
          <w:color w:val="000000"/>
          <w:sz w:val="20"/>
        </w:rPr>
        <w:t> Before MARCUS, WILLIAM PRYOR and JILL PRYOR, Circuit Judges.</w:t>
      </w:r>
    </w:p>
    <w:p w14:paraId="7F63B0DD" w14:textId="77777777" w:rsidR="002D0E71" w:rsidRDefault="00000000">
      <w:pPr>
        <w:pStyle w:val="Normal10"/>
        <w:widowControl w:val="0"/>
        <w:spacing w:before="240" w:line="260" w:lineRule="atLeast"/>
      </w:pPr>
      <w:bookmarkStart w:id="1563" w:name="Opinion_by_7"/>
      <w:bookmarkEnd w:id="1563"/>
      <w:r>
        <w:rPr>
          <w:rFonts w:ascii="Arial" w:eastAsia="Arial" w:hAnsi="Arial" w:cs="Arial"/>
          <w:b/>
          <w:color w:val="000000"/>
          <w:sz w:val="20"/>
        </w:rPr>
        <w:t>Opinion by:</w:t>
      </w:r>
      <w:r>
        <w:rPr>
          <w:rFonts w:ascii="Arial" w:eastAsia="Arial" w:hAnsi="Arial" w:cs="Arial"/>
          <w:color w:val="000000"/>
          <w:sz w:val="20"/>
        </w:rPr>
        <w:t> JILL PRYOR</w:t>
      </w:r>
    </w:p>
    <w:p w14:paraId="2E84FBD5" w14:textId="77777777" w:rsidR="002D0E71" w:rsidRDefault="00000000">
      <w:pPr>
        <w:pStyle w:val="Normal10"/>
        <w:keepNext/>
        <w:widowControl w:val="0"/>
        <w:spacing w:before="240" w:line="340" w:lineRule="atLeast"/>
      </w:pPr>
      <w:bookmarkStart w:id="1564" w:name="Opinion_9"/>
      <w:bookmarkEnd w:id="1564"/>
      <w:r>
        <w:rPr>
          <w:rFonts w:ascii="Arial" w:eastAsia="Arial" w:hAnsi="Arial" w:cs="Arial"/>
          <w:b/>
          <w:color w:val="000000"/>
          <w:sz w:val="28"/>
        </w:rPr>
        <w:t>Opinion</w:t>
      </w:r>
    </w:p>
    <w:p w14:paraId="3EBDE36F" w14:textId="556BF2CD" w:rsidR="002D0E71" w:rsidRDefault="002939DF">
      <w:pPr>
        <w:pStyle w:val="Normal10"/>
        <w:spacing w:line="60" w:lineRule="exact"/>
      </w:pPr>
      <w:r>
        <w:rPr>
          <w:noProof/>
        </w:rPr>
        <mc:AlternateContent>
          <mc:Choice Requires="wps">
            <w:drawing>
              <wp:anchor distT="0" distB="0" distL="114300" distR="114300" simplePos="0" relativeHeight="251679744" behindDoc="0" locked="0" layoutInCell="1" allowOverlap="1" wp14:anchorId="736E9A87" wp14:editId="7AC0E707">
                <wp:simplePos x="0" y="0"/>
                <wp:positionH relativeFrom="column">
                  <wp:posOffset>0</wp:posOffset>
                </wp:positionH>
                <wp:positionV relativeFrom="paragraph">
                  <wp:posOffset>25400</wp:posOffset>
                </wp:positionV>
                <wp:extent cx="3187700" cy="0"/>
                <wp:effectExtent l="19050" t="15875" r="12700" b="12700"/>
                <wp:wrapTopAndBottom/>
                <wp:docPr id="30985100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A97DFE" id="Line 2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5CAF6FD" w14:textId="77777777" w:rsidR="002D0E71" w:rsidRDefault="002D0E71">
      <w:pPr>
        <w:pStyle w:val="Normal10"/>
      </w:pPr>
    </w:p>
    <w:p w14:paraId="2671FD56" w14:textId="77777777" w:rsidR="002D0E71" w:rsidRDefault="00000000">
      <w:pPr>
        <w:pStyle w:val="Normal10"/>
        <w:widowControl w:val="0"/>
        <w:spacing w:before="200" w:line="260" w:lineRule="atLeast"/>
        <w:jc w:val="both"/>
      </w:pPr>
      <w:bookmarkStart w:id="1565" w:name="Bookmark_para_2_9"/>
      <w:bookmarkEnd w:id="1565"/>
      <w:r>
        <w:rPr>
          <w:rFonts w:ascii="Arial" w:eastAsia="Arial" w:hAnsi="Arial" w:cs="Arial"/>
          <w:color w:val="000000"/>
          <w:sz w:val="20"/>
        </w:rPr>
        <w:t> [*1217]  JILL PRYOR, Circuit Judge:</w:t>
      </w:r>
    </w:p>
    <w:p w14:paraId="7E109345" w14:textId="77777777" w:rsidR="002D0E71" w:rsidRDefault="00000000">
      <w:pPr>
        <w:pStyle w:val="Normal10"/>
        <w:widowControl w:val="0"/>
        <w:spacing w:before="200" w:line="260" w:lineRule="atLeast"/>
        <w:jc w:val="both"/>
      </w:pPr>
      <w:bookmarkStart w:id="1566" w:name="Bookmark_para_3_9"/>
      <w:bookmarkEnd w:id="1566"/>
      <w:r>
        <w:rPr>
          <w:rFonts w:ascii="Arial" w:eastAsia="Arial" w:hAnsi="Arial" w:cs="Arial"/>
          <w:color w:val="000000"/>
          <w:sz w:val="20"/>
        </w:rPr>
        <w:t>Dyan Hunt lives with her son, Karl Hunt, who was [**2]  born with Down Syndrome. They reside in the Reflections apartment complex, which was owned by Aimco Properties ("Aimco") when this  [*1218]  lawsuit was first filed. Dyan sued Aimco, for herself and on behalf of Karl as his parent and guardian (collectively "the Hunts"), alleging that Aimco threatened her and her son with eviction and non-renewal of their lease purportedly because Karl had harassed and made threats to members of the apartment complex's staff. The Hunts alleged that Aimco violated the Fair Housing Act, 42 U.S.C. § 3604, by denying or making unavailable to them their apartment because of Karl's disability; discriminating in the terms, conditions, or privileges of the apartment rental because of Karl's disability; and failing to reasonably accommodate Karl's disability. The district court granted Aimco's motion to dismiss the complaint, and the Hunts appealed. After careful consideration of the parties' briefs, and with the benefit of oral argument, we reverse and remand for further proceedings.</w:t>
      </w:r>
    </w:p>
    <w:p w14:paraId="5CEEC5C3" w14:textId="77777777" w:rsidR="002D0E71" w:rsidRDefault="00000000">
      <w:pPr>
        <w:pStyle w:val="Normal10"/>
        <w:widowControl w:val="0"/>
        <w:spacing w:before="240" w:line="260" w:lineRule="atLeast"/>
      </w:pPr>
      <w:r>
        <w:br/>
      </w:r>
      <w:r>
        <w:rPr>
          <w:rFonts w:ascii="Arial" w:eastAsia="Arial" w:hAnsi="Arial" w:cs="Arial"/>
          <w:b/>
          <w:color w:val="000000"/>
          <w:sz w:val="20"/>
        </w:rPr>
        <w:t>I. BACKGROUND</w:t>
      </w:r>
    </w:p>
    <w:p w14:paraId="4F25A1E1" w14:textId="77777777" w:rsidR="002D0E71" w:rsidRDefault="00000000">
      <w:pPr>
        <w:pStyle w:val="Normal10"/>
        <w:widowControl w:val="0"/>
        <w:spacing w:before="240" w:line="260" w:lineRule="atLeast"/>
      </w:pPr>
      <w:r>
        <w:br/>
      </w:r>
      <w:r>
        <w:rPr>
          <w:rFonts w:ascii="Arial" w:eastAsia="Arial" w:hAnsi="Arial" w:cs="Arial"/>
          <w:b/>
          <w:color w:val="000000"/>
          <w:sz w:val="20"/>
        </w:rPr>
        <w:t>A. Federal Law Prohibiting Discrimination in Housing Based on Disability</w:t>
      </w:r>
    </w:p>
    <w:p w14:paraId="71C01EFC" w14:textId="77777777" w:rsidR="002D0E71" w:rsidRDefault="00000000">
      <w:pPr>
        <w:pStyle w:val="Normal10"/>
        <w:widowControl w:val="0"/>
        <w:spacing w:before="200" w:line="260" w:lineRule="atLeast"/>
        <w:jc w:val="both"/>
      </w:pPr>
      <w:bookmarkStart w:id="1567" w:name="Bookmark_para_4_9"/>
      <w:bookmarkStart w:id="1568" w:name="Bookmark_LNHNREFclscc1_8"/>
      <w:bookmarkEnd w:id="1567"/>
      <w:bookmarkEnd w:id="1568"/>
      <w:r>
        <w:rPr>
          <w:rFonts w:ascii="Arial" w:eastAsia="Arial" w:hAnsi="Arial" w:cs="Arial"/>
          <w:color w:val="000000"/>
          <w:sz w:val="20"/>
        </w:rPr>
        <w:t xml:space="preserve">Originally Title VIII of the Civil Rights Act of 1968, the Fair Housing Act prohibited discrimination in housing on the [**3]  basis of race, color, religion, national origin, and, later, gender. </w:t>
      </w:r>
      <w:r>
        <w:rPr>
          <w:rFonts w:ascii="Arial" w:eastAsia="Arial" w:hAnsi="Arial" w:cs="Arial"/>
          <w:i/>
          <w:color w:val="000000"/>
          <w:sz w:val="20"/>
        </w:rPr>
        <w:t>See</w:t>
      </w:r>
      <w:r>
        <w:rPr>
          <w:rFonts w:ascii="Arial" w:eastAsia="Arial" w:hAnsi="Arial" w:cs="Arial"/>
          <w:color w:val="000000"/>
          <w:sz w:val="20"/>
        </w:rPr>
        <w:t xml:space="preserve"> Pub. L. No. 90-284, 82 Stat. 81 (1968); Pub. L. No. 93-383, 88 Stat. 729 (1974). The Fair Housing Amendments Act of 1988 amended the Fair Housing Act (as amended, the "FHA") to bar housing discrimination based on disability. </w:t>
      </w:r>
      <w:r>
        <w:rPr>
          <w:rFonts w:ascii="Arial" w:eastAsia="Arial" w:hAnsi="Arial" w:cs="Arial"/>
          <w:i/>
          <w:color w:val="000000"/>
          <w:sz w:val="20"/>
        </w:rPr>
        <w:t>See</w:t>
      </w:r>
      <w:r>
        <w:rPr>
          <w:rFonts w:ascii="Arial" w:eastAsia="Arial" w:hAnsi="Arial" w:cs="Arial"/>
          <w:color w:val="000000"/>
          <w:sz w:val="20"/>
        </w:rPr>
        <w:t xml:space="preserve"> Pub. L. No. 100-430, 102 Stat. 1619 (1988) (codified at 42 U.S.C. § 3604(f)). </w:t>
      </w:r>
      <w:bookmarkStart w:id="1569" w:name="Bookmark_LNHNREFclscc2_8"/>
      <w:bookmarkEnd w:id="1569"/>
      <w:r>
        <w:rPr>
          <w:rFonts w:ascii="Arial" w:eastAsia="Arial" w:hAnsi="Arial" w:cs="Arial"/>
          <w:color w:val="000000"/>
          <w:sz w:val="20"/>
        </w:rPr>
        <w:t>In relevant part, section 3604(f) makes it unlawful:</w:t>
      </w:r>
    </w:p>
    <w:p w14:paraId="7271991D" w14:textId="77777777" w:rsidR="002D0E71" w:rsidRDefault="00000000">
      <w:pPr>
        <w:pStyle w:val="Normal10"/>
        <w:widowControl w:val="0"/>
        <w:spacing w:line="260" w:lineRule="atLeast"/>
        <w:ind w:left="400"/>
        <w:jc w:val="both"/>
      </w:pPr>
      <w:bookmarkStart w:id="1570" w:name="Bookmark_para_5_9"/>
      <w:bookmarkEnd w:id="1570"/>
      <w:r>
        <w:rPr>
          <w:rFonts w:ascii="Arial" w:eastAsia="Arial" w:hAnsi="Arial" w:cs="Arial"/>
          <w:color w:val="000000"/>
          <w:sz w:val="20"/>
        </w:rPr>
        <w:t>(1) To discriminate in the sale or rental, or to otherwise make unavailable or deny, a dwelling to any buyer or renter because of a handicap of . . . that buyer or renter . . . [or] any person associated with that buyer or renter.</w:t>
      </w:r>
    </w:p>
    <w:p w14:paraId="0B0BD936" w14:textId="77777777" w:rsidR="002D0E71" w:rsidRDefault="00000000">
      <w:pPr>
        <w:pStyle w:val="Normal10"/>
        <w:widowControl w:val="0"/>
        <w:spacing w:line="260" w:lineRule="atLeast"/>
        <w:ind w:left="400"/>
        <w:jc w:val="both"/>
      </w:pPr>
      <w:bookmarkStart w:id="1571" w:name="Bookmark_para_6_9"/>
      <w:bookmarkEnd w:id="1571"/>
      <w:r>
        <w:rPr>
          <w:rFonts w:ascii="Arial" w:eastAsia="Arial" w:hAnsi="Arial" w:cs="Arial"/>
          <w:color w:val="000000"/>
          <w:sz w:val="20"/>
        </w:rPr>
        <w:t>(2) To discriminate against any person in the terms, conditions, or privileges of sale or rental of a dwelling, or in the provision of services or facilities in connection with such dwelling, because of a handicap of . . . that person . . . [or] any person associated with that person.</w:t>
      </w:r>
    </w:p>
    <w:p w14:paraId="6098A0D7" w14:textId="77777777" w:rsidR="002D0E71" w:rsidRDefault="00000000">
      <w:pPr>
        <w:pStyle w:val="Normal10"/>
        <w:widowControl w:val="0"/>
        <w:spacing w:line="260" w:lineRule="atLeast"/>
        <w:jc w:val="both"/>
      </w:pPr>
      <w:r>
        <w:rPr>
          <w:rFonts w:ascii="Arial" w:eastAsia="Arial" w:hAnsi="Arial" w:cs="Arial"/>
          <w:color w:val="000000"/>
          <w:sz w:val="20"/>
        </w:rPr>
        <w:t>42 U.S.C. § 3604(f)(1)-(2).</w:t>
      </w:r>
      <w:r>
        <w:rPr>
          <w:rFonts w:ascii="Arial" w:eastAsia="Arial" w:hAnsi="Arial" w:cs="Arial"/>
          <w:vertAlign w:val="superscript"/>
        </w:rPr>
        <w:footnoteReference w:customMarkFollows="1" w:id="41"/>
        <w:t>1</w:t>
      </w:r>
      <w:r>
        <w:rPr>
          <w:rFonts w:ascii="Arial" w:eastAsia="Arial" w:hAnsi="Arial" w:cs="Arial"/>
          <w:color w:val="000000"/>
          <w:sz w:val="20"/>
        </w:rPr>
        <w:t xml:space="preserve"> </w:t>
      </w:r>
      <w:bookmarkStart w:id="1576" w:name="Bookmark_LNHNREFclscc3_8"/>
      <w:bookmarkEnd w:id="1576"/>
      <w:r>
        <w:rPr>
          <w:rFonts w:ascii="Arial" w:eastAsia="Arial" w:hAnsi="Arial" w:cs="Arial"/>
          <w:color w:val="000000"/>
          <w:sz w:val="20"/>
        </w:rPr>
        <w:t>Under section 3604(f), "discrimination includes," among other things,</w:t>
      </w:r>
    </w:p>
    <w:p w14:paraId="5A5F4919" w14:textId="77777777" w:rsidR="002D0E71" w:rsidRDefault="00000000">
      <w:pPr>
        <w:pStyle w:val="Normal10"/>
        <w:widowControl w:val="0"/>
        <w:spacing w:line="260" w:lineRule="atLeast"/>
        <w:ind w:left="400"/>
        <w:jc w:val="both"/>
      </w:pPr>
      <w:bookmarkStart w:id="1577" w:name="Bookmark_para_7_9"/>
      <w:bookmarkEnd w:id="1577"/>
      <w:r>
        <w:rPr>
          <w:rFonts w:ascii="Arial" w:eastAsia="Arial" w:hAnsi="Arial" w:cs="Arial"/>
          <w:color w:val="000000"/>
          <w:sz w:val="20"/>
        </w:rPr>
        <w:t>a refusal to make reasonable accommodations in rules, policies, practices, or services, when such accommodations may be necessary to afford such person equal opportunity to use and enjoy a dwelling[.]</w:t>
      </w:r>
    </w:p>
    <w:p w14:paraId="14841AA1" w14:textId="77777777" w:rsidR="002D0E71" w:rsidRDefault="00000000">
      <w:pPr>
        <w:pStyle w:val="Normal10"/>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 3604(f)(3)(B).</w:t>
      </w:r>
    </w:p>
    <w:p w14:paraId="2AFE3E19" w14:textId="77777777" w:rsidR="002D0E71" w:rsidRDefault="00000000">
      <w:pPr>
        <w:pStyle w:val="Normal10"/>
        <w:widowControl w:val="0"/>
        <w:spacing w:before="200" w:line="260" w:lineRule="atLeast"/>
        <w:jc w:val="both"/>
      </w:pPr>
      <w:bookmarkStart w:id="1578" w:name="Bookmark_para_8_9"/>
      <w:bookmarkStart w:id="1579" w:name="Bookmark_I5JB61GR2HM6NB0040000400"/>
      <w:bookmarkEnd w:id="1578"/>
      <w:bookmarkEnd w:id="1579"/>
      <w:r>
        <w:rPr>
          <w:rFonts w:ascii="Arial" w:eastAsia="Arial" w:hAnsi="Arial" w:cs="Arial"/>
          <w:color w:val="000000"/>
          <w:sz w:val="20"/>
        </w:rPr>
        <w:t>With these statutory elements in mind, we review the Hunts' allegations.</w:t>
      </w:r>
      <w:r>
        <w:rPr>
          <w:rFonts w:ascii="Arial" w:eastAsia="Arial" w:hAnsi="Arial" w:cs="Arial"/>
          <w:vertAlign w:val="superscript"/>
        </w:rPr>
        <w:footnoteReference w:customMarkFollows="1" w:id="42"/>
        <w:t>2</w:t>
      </w:r>
    </w:p>
    <w:p w14:paraId="76A113FA" w14:textId="77777777" w:rsidR="002D0E71" w:rsidRDefault="00000000">
      <w:pPr>
        <w:pStyle w:val="Normal10"/>
        <w:widowControl w:val="0"/>
        <w:spacing w:before="240" w:line="260" w:lineRule="atLeast"/>
      </w:pPr>
      <w:r>
        <w:br/>
      </w:r>
      <w:r>
        <w:rPr>
          <w:rFonts w:ascii="Arial" w:eastAsia="Arial" w:hAnsi="Arial" w:cs="Arial"/>
          <w:b/>
          <w:color w:val="000000"/>
          <w:sz w:val="20"/>
        </w:rPr>
        <w:t>B. Factual Background</w:t>
      </w:r>
    </w:p>
    <w:p w14:paraId="1C88684A" w14:textId="77777777" w:rsidR="002D0E71" w:rsidRDefault="00000000">
      <w:pPr>
        <w:pStyle w:val="Normal10"/>
        <w:widowControl w:val="0"/>
        <w:spacing w:before="200" w:line="260" w:lineRule="atLeast"/>
        <w:jc w:val="both"/>
      </w:pPr>
      <w:bookmarkStart w:id="1583" w:name="Bookmark_para_9_9"/>
      <w:bookmarkEnd w:id="1583"/>
      <w:r>
        <w:rPr>
          <w:rFonts w:ascii="Arial" w:eastAsia="Arial" w:hAnsi="Arial" w:cs="Arial"/>
          <w:color w:val="000000"/>
          <w:sz w:val="20"/>
        </w:rPr>
        <w:t>Dyan and Karl Hunt have lived in the Reflections apartment complex in West  [*1219]  Palm Beach, Florida since November 2006. Aimco owned and managed Reflections at the time of the events in question, August and September 2012. Karl, who was 21 years old at that time, was born with Down Syndrome. His intellectual disability causes him to "act[] like a child that is seven years old." Second Am. Compl. ¶ 6, Doc. 21.</w:t>
      </w:r>
      <w:r>
        <w:rPr>
          <w:rFonts w:ascii="Arial" w:eastAsia="Arial" w:hAnsi="Arial" w:cs="Arial"/>
          <w:vertAlign w:val="superscript"/>
        </w:rPr>
        <w:footnoteReference w:customMarkFollows="1" w:id="43"/>
        <w:t>3</w:t>
      </w:r>
    </w:p>
    <w:p w14:paraId="3815AC22" w14:textId="77777777" w:rsidR="002D0E71" w:rsidRDefault="00000000">
      <w:pPr>
        <w:pStyle w:val="Normal10"/>
        <w:widowControl w:val="0"/>
        <w:spacing w:before="200" w:line="260" w:lineRule="atLeast"/>
        <w:jc w:val="both"/>
      </w:pPr>
      <w:bookmarkStart w:id="1585" w:name="Bookmark_para_10_9"/>
      <w:bookmarkEnd w:id="1585"/>
      <w:r>
        <w:rPr>
          <w:rFonts w:ascii="Arial" w:eastAsia="Arial" w:hAnsi="Arial" w:cs="Arial"/>
          <w:color w:val="000000"/>
          <w:sz w:val="20"/>
        </w:rPr>
        <w:t xml:space="preserve">On August 13, 2012, the Hunts received from Aimco a Notice of Required Notice to Vacate informing them that their 12-month lease was due to expire on November 19, 2012. The notice invited them to renew their lease, adding that Aimco would "gladly discuss flexible renewal options." </w:t>
      </w:r>
      <w:r>
        <w:rPr>
          <w:rFonts w:ascii="Arial" w:eastAsia="Arial" w:hAnsi="Arial" w:cs="Arial"/>
          <w:i/>
          <w:color w:val="000000"/>
          <w:sz w:val="20"/>
        </w:rPr>
        <w:t>Id.</w:t>
      </w:r>
      <w:r>
        <w:rPr>
          <w:rFonts w:ascii="Arial" w:eastAsia="Arial" w:hAnsi="Arial" w:cs="Arial"/>
          <w:color w:val="000000"/>
          <w:sz w:val="20"/>
        </w:rPr>
        <w:t xml:space="preserve"> ¶ 13.</w:t>
      </w:r>
    </w:p>
    <w:p w14:paraId="3279789B" w14:textId="77777777" w:rsidR="002D0E71" w:rsidRDefault="00000000">
      <w:pPr>
        <w:pStyle w:val="Normal10"/>
        <w:widowControl w:val="0"/>
        <w:spacing w:before="200" w:line="260" w:lineRule="atLeast"/>
        <w:jc w:val="both"/>
      </w:pPr>
      <w:bookmarkStart w:id="1586" w:name="Bookmark_para_11_9"/>
      <w:bookmarkEnd w:id="1586"/>
      <w:r>
        <w:rPr>
          <w:rFonts w:ascii="Arial" w:eastAsia="Arial" w:hAnsi="Arial" w:cs="Arial"/>
          <w:color w:val="000000"/>
          <w:sz w:val="20"/>
        </w:rPr>
        <w:t xml:space="preserve">On August 30, 2012, Dyan discovered that her son "was being used as a maintenance person" by the Reflections [**5]  staff and had been cleaning the bathroom of the complex's clubhouse. </w:t>
      </w:r>
      <w:r>
        <w:rPr>
          <w:rFonts w:ascii="Arial" w:eastAsia="Arial" w:hAnsi="Arial" w:cs="Arial"/>
          <w:i/>
          <w:color w:val="000000"/>
          <w:sz w:val="20"/>
        </w:rPr>
        <w:t>Id.</w:t>
      </w:r>
      <w:r>
        <w:rPr>
          <w:rFonts w:ascii="Arial" w:eastAsia="Arial" w:hAnsi="Arial" w:cs="Arial"/>
          <w:color w:val="000000"/>
          <w:sz w:val="20"/>
        </w:rPr>
        <w:t xml:space="preserve"> ¶ 15. Karl appeared upset; Dyan believed that the apartment community manager, Anne-Valery Jackson, had chastised him for stealing toilet paper. Later that day, Dyan called Ms. Jackson, who claimed that on August 25, 2012, Karl had drawn on a map of the property and, when asked what he was doing, had informed Ms. Jackson that he was going to sacrifice her and another Reflections employee and then trap all the residents in their apartments and set the property on fire. Dyan advised Ms. Jackson that Karl was describing an episode of a Japanese anime television series that he watched and that he did not mean any harm. Ms. Jackson warned Dyan that "words like that 'should not come out in a joking manner.'" </w:t>
      </w:r>
      <w:r>
        <w:rPr>
          <w:rFonts w:ascii="Arial" w:eastAsia="Arial" w:hAnsi="Arial" w:cs="Arial"/>
          <w:i/>
          <w:color w:val="000000"/>
          <w:sz w:val="20"/>
        </w:rPr>
        <w:t>Id.</w:t>
      </w:r>
      <w:r>
        <w:rPr>
          <w:rFonts w:ascii="Arial" w:eastAsia="Arial" w:hAnsi="Arial" w:cs="Arial"/>
          <w:color w:val="000000"/>
          <w:sz w:val="20"/>
        </w:rPr>
        <w:t xml:space="preserve"> ¶ 18. Ms. Jackson told Dyan that the Reflections office staff had called Aimco's corporate office because they did not feel safe working at the office and that Aimco's legal department was now involved.</w:t>
      </w:r>
    </w:p>
    <w:p w14:paraId="7914AD7E" w14:textId="77777777" w:rsidR="002D0E71" w:rsidRDefault="00000000">
      <w:pPr>
        <w:pStyle w:val="Normal10"/>
        <w:widowControl w:val="0"/>
        <w:spacing w:before="200" w:line="260" w:lineRule="atLeast"/>
        <w:jc w:val="both"/>
      </w:pPr>
      <w:bookmarkStart w:id="1587" w:name="Bookmark_para_12_9"/>
      <w:bookmarkEnd w:id="1587"/>
      <w:r>
        <w:rPr>
          <w:rFonts w:ascii="Arial" w:eastAsia="Arial" w:hAnsi="Arial" w:cs="Arial"/>
          <w:color w:val="000000"/>
          <w:sz w:val="20"/>
        </w:rPr>
        <w:t xml:space="preserve">The next morning, Ms. Jackson and Palm Beach County Sheriff Deputy Josh Kushel appeared at the Hunts' apartment and asked to speak with Karl. The officer talked to Karl about the perceived threats toward the office [**6]  staff, which Karl denied. Dyan explained again that Karl was not a threat, that "he has a speech impediment that causes him to speak without properly explaining himself," and that he was merely describing a cartoon that he watched regularly. </w:t>
      </w:r>
      <w:r>
        <w:rPr>
          <w:rFonts w:ascii="Arial" w:eastAsia="Arial" w:hAnsi="Arial" w:cs="Arial"/>
          <w:i/>
          <w:color w:val="000000"/>
          <w:sz w:val="20"/>
        </w:rPr>
        <w:t>Id.</w:t>
      </w:r>
      <w:r>
        <w:rPr>
          <w:rFonts w:ascii="Arial" w:eastAsia="Arial" w:hAnsi="Arial" w:cs="Arial"/>
          <w:color w:val="000000"/>
          <w:sz w:val="20"/>
        </w:rPr>
        <w:t xml:space="preserve"> ¶ 24. Deputy Kushel then warned Karl that if he went in or around the community clubhouse or the office, he would be arrested. Fifteen minutes after the police left, Dyan called Ms. Jackson "crying and said she and Karl are very sorry and she is looking at finding him a place/organization that will have him for the day while she is at work to avoid any more situations." </w:t>
      </w:r>
      <w:r>
        <w:rPr>
          <w:rFonts w:ascii="Arial" w:eastAsia="Arial" w:hAnsi="Arial" w:cs="Arial"/>
          <w:i/>
          <w:color w:val="000000"/>
          <w:sz w:val="20"/>
        </w:rPr>
        <w:t>Id.</w:t>
      </w:r>
      <w:r>
        <w:rPr>
          <w:rFonts w:ascii="Arial" w:eastAsia="Arial" w:hAnsi="Arial" w:cs="Arial"/>
          <w:color w:val="000000"/>
          <w:sz w:val="20"/>
        </w:rPr>
        <w:t xml:space="preserve"> ¶ 26. Aimco ignored Dyan's "explanations of Karl's activities or motivations" and failed to consider her request for a reasonable accommodation. </w:t>
      </w:r>
      <w:r>
        <w:rPr>
          <w:rFonts w:ascii="Arial" w:eastAsia="Arial" w:hAnsi="Arial" w:cs="Arial"/>
          <w:i/>
          <w:color w:val="000000"/>
          <w:sz w:val="20"/>
        </w:rPr>
        <w:t>Id.</w:t>
      </w:r>
      <w:r>
        <w:rPr>
          <w:rFonts w:ascii="Arial" w:eastAsia="Arial" w:hAnsi="Arial" w:cs="Arial"/>
          <w:color w:val="000000"/>
          <w:sz w:val="20"/>
        </w:rPr>
        <w:t xml:space="preserve"> ¶ 84.</w:t>
      </w:r>
    </w:p>
    <w:p w14:paraId="2950BD26" w14:textId="77777777" w:rsidR="002D0E71" w:rsidRDefault="00000000">
      <w:pPr>
        <w:pStyle w:val="Normal10"/>
        <w:widowControl w:val="0"/>
        <w:spacing w:before="200" w:line="260" w:lineRule="atLeast"/>
        <w:jc w:val="both"/>
      </w:pPr>
      <w:bookmarkStart w:id="1588" w:name="Bookmark_para_13_9"/>
      <w:bookmarkEnd w:id="1588"/>
      <w:r>
        <w:rPr>
          <w:rFonts w:ascii="Arial" w:eastAsia="Arial" w:hAnsi="Arial" w:cs="Arial"/>
          <w:color w:val="000000"/>
          <w:sz w:val="20"/>
        </w:rPr>
        <w:t>That same day, Aimco decided not to renew the Hunts' lease based on its attorney's instructions. Ms. Jackson posted on their door a Seven Day Notice of Noncompliance with Opportunity to Cure, stating that Dyan had violated the terms of her lease due to her son's actions, including: (1) aggressive and confrontational language and actions; (2) harassing management employees; (3) using obscenities, vulgar, profane, cursing, [**7]  insulting, belligerent or threatening language or behavior towards management employees in and/or around the office; (4) threatening management employees and/or acting in a threatening manner; and (5) stealing numerous rolls of toilet paper from the restrooms.</w:t>
      </w:r>
    </w:p>
    <w:p w14:paraId="197536BF" w14:textId="77777777" w:rsidR="002D0E71" w:rsidRDefault="00000000">
      <w:pPr>
        <w:pStyle w:val="Normal10"/>
        <w:widowControl w:val="0"/>
        <w:spacing w:before="200" w:line="260" w:lineRule="atLeast"/>
        <w:jc w:val="both"/>
      </w:pPr>
      <w:bookmarkStart w:id="1589" w:name="Bookmark_para_14_9"/>
      <w:bookmarkEnd w:id="1589"/>
      <w:r>
        <w:rPr>
          <w:rFonts w:ascii="Arial" w:eastAsia="Arial" w:hAnsi="Arial" w:cs="Arial"/>
          <w:color w:val="000000"/>
          <w:sz w:val="20"/>
        </w:rPr>
        <w:t> [*1220]  On September 12, 2012, Ms. Jackson posted on the Hunts' door a Notice of Non-Renewal, which stated that the Hunts would be required to vacate on or before November 19, 2012, the date the current lease expired. Dyan packed up the apartment and sold some furniture and personal property. She paid for several background checks for rental applications and a rental agent to assist her with a move. Karl became afraid of the police and terrified to leave the apartment, believing he would be arrested, after the warning from Deputy Kushel.</w:t>
      </w:r>
    </w:p>
    <w:p w14:paraId="40C1EBFE" w14:textId="77777777" w:rsidR="002D0E71" w:rsidRDefault="00000000">
      <w:pPr>
        <w:pStyle w:val="Normal10"/>
        <w:widowControl w:val="0"/>
        <w:spacing w:before="200" w:line="260" w:lineRule="atLeast"/>
        <w:jc w:val="both"/>
      </w:pPr>
      <w:bookmarkStart w:id="1590" w:name="Bookmark_para_15_9"/>
      <w:bookmarkEnd w:id="1590"/>
      <w:r>
        <w:rPr>
          <w:rFonts w:ascii="Arial" w:eastAsia="Arial" w:hAnsi="Arial" w:cs="Arial"/>
          <w:color w:val="000000"/>
          <w:sz w:val="20"/>
        </w:rPr>
        <w:t>On October 12, 2012, the Hunts filed a complaint with the Palm Beach County Office of Equal Opportunity.</w:t>
      </w:r>
      <w:r>
        <w:rPr>
          <w:rFonts w:ascii="Arial" w:eastAsia="Arial" w:hAnsi="Arial" w:cs="Arial"/>
          <w:vertAlign w:val="superscript"/>
        </w:rPr>
        <w:footnoteReference w:customMarkFollows="1" w:id="44"/>
        <w:t>4</w:t>
      </w:r>
      <w:r>
        <w:rPr>
          <w:rFonts w:ascii="Arial" w:eastAsia="Arial" w:hAnsi="Arial" w:cs="Arial"/>
          <w:color w:val="000000"/>
          <w:sz w:val="20"/>
        </w:rPr>
        <w:t xml:space="preserve"> On November 29, 2012, before the Hunts vacated, a new management company took over ownership and operation of Reflections and, after an investigation, determined that Karl was not a threat and allowed the Hunts to remain in their apartment.</w:t>
      </w:r>
    </w:p>
    <w:p w14:paraId="6A87485C" w14:textId="77777777" w:rsidR="002D0E71" w:rsidRDefault="00000000">
      <w:pPr>
        <w:pStyle w:val="Normal10"/>
        <w:widowControl w:val="0"/>
        <w:spacing w:before="200" w:line="260" w:lineRule="atLeast"/>
        <w:jc w:val="both"/>
      </w:pPr>
      <w:bookmarkStart w:id="1592" w:name="Bookmark_para_16_9"/>
      <w:bookmarkEnd w:id="1592"/>
      <w:r>
        <w:rPr>
          <w:rFonts w:ascii="Arial" w:eastAsia="Arial" w:hAnsi="Arial" w:cs="Arial"/>
          <w:color w:val="000000"/>
          <w:sz w:val="20"/>
        </w:rPr>
        <w:t>The Hunts thereafter filed a complaint in federal district court, alleging that under the FHA Aimco unlawfully: (1) denied or made a dwelling unavailable for rental, in violation of 42 U.S.C. § 3604(f)(1) and (2) discriminated in terms and conditions of housing, in violation of 42 U.S.C. § 3604(f)(2). Aimco moved to dismiss the complaint for failure to state a claim. After the district court granted Aimco's motion to dismiss without prejudice, the Hunts filed an Amended Complaint and later a Second Amended Complaint. Both the Amended Complaint and the Second Amended Complaint (now the operative complaint)</w:t>
      </w:r>
      <w:r>
        <w:rPr>
          <w:rFonts w:ascii="Arial" w:eastAsia="Arial" w:hAnsi="Arial" w:cs="Arial"/>
          <w:vertAlign w:val="superscript"/>
        </w:rPr>
        <w:footnoteReference w:customMarkFollows="1" w:id="45"/>
        <w:t>5</w:t>
      </w:r>
      <w:r>
        <w:rPr>
          <w:rFonts w:ascii="Arial" w:eastAsia="Arial" w:hAnsi="Arial" w:cs="Arial"/>
          <w:color w:val="000000"/>
          <w:sz w:val="20"/>
        </w:rPr>
        <w:t xml:space="preserve"> further alleged that Aimco unlawfully failed to reasonably accommodate Karl's disability, in violation of 42 U.S.C. § 3604(f)(3).</w:t>
      </w:r>
    </w:p>
    <w:p w14:paraId="62EFF080" w14:textId="77777777" w:rsidR="002D0E71" w:rsidRDefault="00000000">
      <w:pPr>
        <w:pStyle w:val="Normal10"/>
        <w:widowControl w:val="0"/>
        <w:spacing w:before="200" w:line="260" w:lineRule="atLeast"/>
        <w:jc w:val="both"/>
      </w:pPr>
      <w:bookmarkStart w:id="1594" w:name="Bookmark_para_17_8"/>
      <w:bookmarkEnd w:id="1594"/>
      <w:r>
        <w:rPr>
          <w:rFonts w:ascii="Arial" w:eastAsia="Arial" w:hAnsi="Arial" w:cs="Arial"/>
          <w:color w:val="000000"/>
          <w:sz w:val="20"/>
        </w:rPr>
        <w:t>Aimco again moved to dismiss, and the district court granted the motion with prejudice. The Hunts now appeal the dismissal of their claims.</w:t>
      </w:r>
    </w:p>
    <w:p w14:paraId="29EA3ABD" w14:textId="77777777" w:rsidR="002D0E71" w:rsidRDefault="00000000">
      <w:pPr>
        <w:pStyle w:val="Normal10"/>
        <w:widowControl w:val="0"/>
        <w:spacing w:before="240" w:line="260" w:lineRule="atLeast"/>
      </w:pPr>
      <w:r>
        <w:br/>
      </w:r>
      <w:r>
        <w:rPr>
          <w:rFonts w:ascii="Arial" w:eastAsia="Arial" w:hAnsi="Arial" w:cs="Arial"/>
          <w:b/>
          <w:color w:val="000000"/>
          <w:sz w:val="20"/>
        </w:rPr>
        <w:t>II. DISCUSSION</w:t>
      </w:r>
      <w:r>
        <w:rPr>
          <w:rFonts w:ascii="Arial" w:eastAsia="Arial" w:hAnsi="Arial" w:cs="Arial"/>
          <w:color w:val="000000"/>
          <w:sz w:val="20"/>
        </w:rPr>
        <w:t> [**9] </w:t>
      </w:r>
    </w:p>
    <w:p w14:paraId="19DC2F24" w14:textId="77777777" w:rsidR="002D0E71" w:rsidRDefault="00000000">
      <w:pPr>
        <w:pStyle w:val="Normal10"/>
        <w:widowControl w:val="0"/>
        <w:spacing w:before="240" w:line="260" w:lineRule="atLeast"/>
      </w:pPr>
      <w:r>
        <w:br/>
      </w:r>
      <w:r>
        <w:rPr>
          <w:rFonts w:ascii="Arial" w:eastAsia="Arial" w:hAnsi="Arial" w:cs="Arial"/>
          <w:b/>
          <w:color w:val="000000"/>
          <w:sz w:val="20"/>
        </w:rPr>
        <w:t>A. Mootness</w:t>
      </w:r>
    </w:p>
    <w:p w14:paraId="2F0940AF" w14:textId="77777777" w:rsidR="002D0E71" w:rsidRDefault="00000000">
      <w:pPr>
        <w:pStyle w:val="Normal10"/>
        <w:widowControl w:val="0"/>
        <w:spacing w:before="200" w:line="260" w:lineRule="atLeast"/>
        <w:jc w:val="both"/>
      </w:pPr>
      <w:bookmarkStart w:id="1595" w:name="Bookmark_para_18_8"/>
      <w:bookmarkStart w:id="1596" w:name="Bookmark_I5JB61GR2SF8H50010000400"/>
      <w:bookmarkStart w:id="1597" w:name="Bookmark_I5JB61GR2SF8H50030000400"/>
      <w:bookmarkEnd w:id="1595"/>
      <w:bookmarkEnd w:id="1596"/>
      <w:bookmarkEnd w:id="1597"/>
      <w:r>
        <w:rPr>
          <w:rFonts w:ascii="Arial" w:eastAsia="Arial" w:hAnsi="Arial" w:cs="Arial"/>
          <w:color w:val="000000"/>
          <w:sz w:val="20"/>
        </w:rPr>
        <w:t xml:space="preserve">As a preliminary matter, we note that this case is not moot despite the fact that the Hunts ultimately were allowed to remain in their apartment. </w:t>
      </w:r>
      <w:bookmarkStart w:id="1598" w:name="Bookmark_I5JB61GR2SF8H50050000400"/>
      <w:bookmarkEnd w:id="1598"/>
      <w:r>
        <w:rPr>
          <w:rFonts w:ascii="Arial" w:eastAsia="Arial" w:hAnsi="Arial" w:cs="Arial"/>
          <w:color w:val="000000"/>
          <w:sz w:val="20"/>
        </w:rPr>
        <w:t xml:space="preserve">Although Aimco did not argue mootness in its briefing, </w:t>
      </w:r>
      <w:bookmarkStart w:id="1599" w:name="Bookmark_LNHNREFclscc6_8"/>
      <w:bookmarkEnd w:id="1599"/>
      <w:r>
        <w:rPr>
          <w:rFonts w:ascii="Arial" w:eastAsia="Arial" w:hAnsi="Arial" w:cs="Arial"/>
          <w:color w:val="000000"/>
          <w:sz w:val="20"/>
        </w:rPr>
        <w:t xml:space="preserve">"[i]t is incumbent upon this court to consider issues of mootness </w:t>
      </w:r>
      <w:r>
        <w:rPr>
          <w:rFonts w:ascii="Arial" w:eastAsia="Arial" w:hAnsi="Arial" w:cs="Arial"/>
          <w:i/>
          <w:color w:val="000000"/>
          <w:sz w:val="20"/>
        </w:rPr>
        <w:t>sua sponte</w:t>
      </w:r>
      <w:r>
        <w:rPr>
          <w:rFonts w:ascii="Arial" w:eastAsia="Arial" w:hAnsi="Arial" w:cs="Arial"/>
          <w:color w:val="000000"/>
          <w:sz w:val="20"/>
        </w:rPr>
        <w:t xml:space="preserve"> and, absent an applicable exception to the mootness doctrine, to dismiss any appeal that no longer presents a viable case or controversy." </w:t>
      </w:r>
      <w:bookmarkStart w:id="1600" w:name="Bookmark_I5JB61GR2HM6NB0050000400"/>
      <w:bookmarkEnd w:id="1600"/>
      <w:r>
        <w:rPr>
          <w:rFonts w:ascii="Arial" w:eastAsia="Arial" w:hAnsi="Arial" w:cs="Arial"/>
          <w:i/>
          <w:color w:val="000000"/>
          <w:sz w:val="20"/>
        </w:rPr>
        <w:t>Pac. Ins. Co. v. Gen. Dev. Corp.</w:t>
      </w:r>
      <w:r>
        <w:rPr>
          <w:rFonts w:ascii="Arial" w:eastAsia="Arial" w:hAnsi="Arial" w:cs="Arial"/>
          <w:color w:val="000000"/>
          <w:sz w:val="20"/>
        </w:rPr>
        <w:t xml:space="preserve">, 28 F.3d 1093, 1096 (11th Cir. 1994). "A case is moot when it no longer presents a live controversy with respect to which the court can give meaningful relief." </w:t>
      </w:r>
      <w:bookmarkStart w:id="1601" w:name="Bookmark_I5JB61GR2SF8H50020000400"/>
      <w:bookmarkEnd w:id="1601"/>
      <w:r>
        <w:rPr>
          <w:rFonts w:ascii="Arial" w:eastAsia="Arial" w:hAnsi="Arial" w:cs="Arial"/>
          <w:i/>
          <w:color w:val="000000"/>
          <w:sz w:val="20"/>
        </w:rPr>
        <w:t>Ethredge v. Hail</w:t>
      </w:r>
      <w:r>
        <w:rPr>
          <w:rFonts w:ascii="Arial" w:eastAsia="Arial" w:hAnsi="Arial" w:cs="Arial"/>
          <w:color w:val="000000"/>
          <w:sz w:val="20"/>
        </w:rPr>
        <w:t xml:space="preserve">, 996 F.2d 1173, 1175 (11th Cir. 1993). </w:t>
      </w:r>
      <w:bookmarkStart w:id="1602" w:name="Bookmark_I5JB61GR2SF8H50050000400_2"/>
      <w:bookmarkEnd w:id="1602"/>
      <w:r>
        <w:rPr>
          <w:rFonts w:ascii="Arial" w:eastAsia="Arial" w:hAnsi="Arial" w:cs="Arial"/>
          <w:color w:val="000000"/>
          <w:sz w:val="20"/>
        </w:rPr>
        <w:t xml:space="preserve">Had the Hunts requested only injunctive relief to prevent eviction, their case would be moot. </w:t>
      </w:r>
      <w:r>
        <w:rPr>
          <w:rFonts w:ascii="Arial" w:eastAsia="Arial" w:hAnsi="Arial" w:cs="Arial"/>
          <w:i/>
          <w:color w:val="000000"/>
          <w:sz w:val="20"/>
        </w:rPr>
        <w:t xml:space="preserve">See </w:t>
      </w:r>
      <w:bookmarkStart w:id="1603" w:name="Bookmark_I5JB61GR2SF8H50040000400"/>
      <w:bookmarkEnd w:id="1603"/>
      <w:r>
        <w:rPr>
          <w:rFonts w:ascii="Arial" w:eastAsia="Arial" w:hAnsi="Arial" w:cs="Arial"/>
          <w:i/>
          <w:color w:val="000000"/>
          <w:sz w:val="20"/>
        </w:rPr>
        <w:t>Adler v. Duval Cty. Sch. Bd.</w:t>
      </w:r>
      <w:r>
        <w:rPr>
          <w:rFonts w:ascii="Arial" w:eastAsia="Arial" w:hAnsi="Arial" w:cs="Arial"/>
          <w:color w:val="000000"/>
          <w:sz w:val="20"/>
        </w:rPr>
        <w:t xml:space="preserve">, 112 F.3d 1475, 1477 (11th Cir. 1997) ("When the threat of future harm dissipates, the plaintiff's claims for equitable relief become moot because the plaintiff no longer needs protection from future injury."). </w:t>
      </w:r>
      <w:bookmarkStart w:id="1604" w:name="Bookmark_I5JB61GR2SF8H60020000400"/>
      <w:bookmarkEnd w:id="1604"/>
      <w:r>
        <w:rPr>
          <w:rFonts w:ascii="Arial" w:eastAsia="Arial" w:hAnsi="Arial" w:cs="Arial"/>
          <w:color w:val="000000"/>
          <w:sz w:val="20"/>
        </w:rPr>
        <w:t xml:space="preserve">But the Hunts also sought compensatory and punitive damages  [*1221]  in all three counts of their complaint. Thus, the controversy as to money damages remains live, and we may hear this appeal. </w:t>
      </w:r>
      <w:r>
        <w:rPr>
          <w:rFonts w:ascii="Arial" w:eastAsia="Arial" w:hAnsi="Arial" w:cs="Arial"/>
          <w:i/>
          <w:color w:val="000000"/>
          <w:sz w:val="20"/>
        </w:rPr>
        <w:t xml:space="preserve">See </w:t>
      </w:r>
      <w:bookmarkStart w:id="1605" w:name="Bookmark_I5JB61GR2SF8H60010000400"/>
      <w:bookmarkEnd w:id="1605"/>
      <w:r>
        <w:rPr>
          <w:rFonts w:ascii="Arial" w:eastAsia="Arial" w:hAnsi="Arial" w:cs="Arial"/>
          <w:i/>
          <w:color w:val="000000"/>
          <w:sz w:val="20"/>
        </w:rPr>
        <w:t>id.</w:t>
      </w:r>
      <w:r>
        <w:rPr>
          <w:rFonts w:ascii="Arial" w:eastAsia="Arial" w:hAnsi="Arial" w:cs="Arial"/>
          <w:color w:val="000000"/>
          <w:sz w:val="20"/>
        </w:rPr>
        <w:t xml:space="preserve"> at 1478 (holding that, although high school students' Establishment Clause claims were mooted by their graduation, "[b]ecause the [students'] claim for money damages does not depend on any threat of future harm, this claim remains [**10]  a live controversy"); </w:t>
      </w:r>
      <w:bookmarkStart w:id="1606" w:name="Bookmark_I5JB61GR2SF8H60030000400"/>
      <w:bookmarkEnd w:id="1606"/>
      <w:r>
        <w:rPr>
          <w:rFonts w:ascii="Arial" w:eastAsia="Arial" w:hAnsi="Arial" w:cs="Arial"/>
          <w:i/>
          <w:color w:val="000000"/>
          <w:sz w:val="20"/>
        </w:rPr>
        <w:t>Harris v. Itzhaki</w:t>
      </w:r>
      <w:r>
        <w:rPr>
          <w:rFonts w:ascii="Arial" w:eastAsia="Arial" w:hAnsi="Arial" w:cs="Arial"/>
          <w:color w:val="000000"/>
          <w:sz w:val="20"/>
        </w:rPr>
        <w:t>, 183 F.3d 1043, 1050 (9th Cir. 1999) (concluding that a plaintiff's claim for damages for violation of 42 U.S.C. § 3604(a) was not moot when she received multiple eviction notices but ultimately was not evicted).</w:t>
      </w:r>
    </w:p>
    <w:p w14:paraId="110353CB" w14:textId="77777777" w:rsidR="002D0E71" w:rsidRDefault="00000000">
      <w:pPr>
        <w:pStyle w:val="Normal10"/>
        <w:widowControl w:val="0"/>
        <w:spacing w:before="240" w:line="260" w:lineRule="atLeast"/>
      </w:pPr>
      <w:r>
        <w:br/>
      </w:r>
      <w:r>
        <w:rPr>
          <w:rFonts w:ascii="Arial" w:eastAsia="Arial" w:hAnsi="Arial" w:cs="Arial"/>
          <w:b/>
          <w:color w:val="000000"/>
          <w:sz w:val="20"/>
        </w:rPr>
        <w:t>B. Failure to State a Claim</w:t>
      </w:r>
    </w:p>
    <w:p w14:paraId="47B23A88" w14:textId="77777777" w:rsidR="002D0E71" w:rsidRDefault="00000000">
      <w:pPr>
        <w:pStyle w:val="Normal10"/>
        <w:widowControl w:val="0"/>
        <w:spacing w:before="200" w:line="260" w:lineRule="atLeast"/>
        <w:jc w:val="both"/>
      </w:pPr>
      <w:bookmarkStart w:id="1607" w:name="Bookmark_para_19_8"/>
      <w:bookmarkStart w:id="1608" w:name="Bookmark_I5JB61GR2N1PW50010000400"/>
      <w:bookmarkEnd w:id="1607"/>
      <w:bookmarkEnd w:id="1608"/>
      <w:r>
        <w:rPr>
          <w:rFonts w:ascii="Arial" w:eastAsia="Arial" w:hAnsi="Arial" w:cs="Arial"/>
          <w:color w:val="000000"/>
          <w:sz w:val="20"/>
        </w:rPr>
        <w:t xml:space="preserve">The district court dismissed each of the Hunts' claims under Federal Rule of Civil Procedure 12(b)(6) for failure to state a claim. </w:t>
      </w:r>
      <w:bookmarkStart w:id="1609" w:name="Bookmark_I5JB61GR2N1PW50030000400"/>
      <w:bookmarkStart w:id="1610" w:name="Bookmark_LNHNREFclscc7_8"/>
      <w:bookmarkEnd w:id="1609"/>
      <w:bookmarkEnd w:id="1610"/>
      <w:r>
        <w:rPr>
          <w:rFonts w:ascii="Arial" w:eastAsia="Arial" w:hAnsi="Arial" w:cs="Arial"/>
          <w:color w:val="000000"/>
          <w:sz w:val="20"/>
        </w:rPr>
        <w:t xml:space="preserve">We review the district court's grant of a motion to dismiss for failure to state a claim </w:t>
      </w:r>
      <w:r>
        <w:rPr>
          <w:rFonts w:ascii="Arial" w:eastAsia="Arial" w:hAnsi="Arial" w:cs="Arial"/>
          <w:i/>
          <w:color w:val="000000"/>
          <w:sz w:val="20"/>
        </w:rPr>
        <w:t>de novo</w:t>
      </w:r>
      <w:r>
        <w:rPr>
          <w:rFonts w:ascii="Arial" w:eastAsia="Arial" w:hAnsi="Arial" w:cs="Arial"/>
          <w:color w:val="000000"/>
          <w:sz w:val="20"/>
        </w:rPr>
        <w:t xml:space="preserve">, accepting the allegations in the complaint as true and construing them in the light most favorable to the plaintiff. </w:t>
      </w:r>
      <w:bookmarkStart w:id="1611" w:name="Bookmark_I5JB61GR2N1PW50050000400"/>
      <w:bookmarkStart w:id="1612" w:name="Bookmark_I5JB61GR2SF8H60050000400"/>
      <w:bookmarkEnd w:id="1611"/>
      <w:bookmarkEnd w:id="1612"/>
      <w:r>
        <w:rPr>
          <w:rFonts w:ascii="Arial" w:eastAsia="Arial" w:hAnsi="Arial" w:cs="Arial"/>
          <w:i/>
          <w:color w:val="000000"/>
          <w:sz w:val="20"/>
        </w:rPr>
        <w:t>Adinolfe v. United Techs. Corp.</w:t>
      </w:r>
      <w:r>
        <w:rPr>
          <w:rFonts w:ascii="Arial" w:eastAsia="Arial" w:hAnsi="Arial" w:cs="Arial"/>
          <w:color w:val="000000"/>
          <w:sz w:val="20"/>
        </w:rPr>
        <w:t xml:space="preserve">, 768 F.3d 1161, 1169 (11th Cir. 2014). </w:t>
      </w:r>
      <w:bookmarkStart w:id="1613" w:name="Bookmark_I5JB61GR2N1PW50050000400_2"/>
      <w:bookmarkStart w:id="1614" w:name="Bookmark_I5JB61GR2N1PW50030000400_2"/>
      <w:bookmarkStart w:id="1615" w:name="Bookmark_I5JB61GR28T4V30020000400"/>
      <w:bookmarkStart w:id="1616" w:name="Bookmark_LNHNREFclscc8_8"/>
      <w:bookmarkEnd w:id="1613"/>
      <w:bookmarkEnd w:id="1614"/>
      <w:bookmarkEnd w:id="1615"/>
      <w:bookmarkEnd w:id="1616"/>
      <w:r>
        <w:rPr>
          <w:rFonts w:ascii="Arial" w:eastAsia="Arial" w:hAnsi="Arial" w:cs="Arial"/>
          <w:color w:val="000000"/>
          <w:sz w:val="20"/>
        </w:rPr>
        <w:t xml:space="preserve">To withstand a motion to dismiss under Rule 12(b)(6), a complaint must include "enough facts to state a claim to relief that is plausible on its face." </w:t>
      </w:r>
      <w:bookmarkStart w:id="1617" w:name="Bookmark_I5JB61GR2N1PW50020000400"/>
      <w:bookmarkEnd w:id="1617"/>
      <w:r>
        <w:rPr>
          <w:rFonts w:ascii="Arial" w:eastAsia="Arial" w:hAnsi="Arial" w:cs="Arial"/>
          <w:i/>
          <w:color w:val="000000"/>
          <w:sz w:val="20"/>
        </w:rPr>
        <w:t>Bell Atl. Corp. v. Twombly</w:t>
      </w:r>
      <w:r>
        <w:rPr>
          <w:rFonts w:ascii="Arial" w:eastAsia="Arial" w:hAnsi="Arial" w:cs="Arial"/>
          <w:color w:val="000000"/>
          <w:sz w:val="20"/>
        </w:rPr>
        <w:t xml:space="preserve">, 550 U.S. 544, 570, 127 S. Ct. 1955, 167 L. Ed. 2d 929 (2007). </w:t>
      </w:r>
      <w:bookmarkStart w:id="1618" w:name="Bookmark_I5JB61GR28T4V30020000400_2"/>
      <w:bookmarkEnd w:id="1618"/>
      <w:r>
        <w:rPr>
          <w:rFonts w:ascii="Arial" w:eastAsia="Arial" w:hAnsi="Arial" w:cs="Arial"/>
          <w:color w:val="000000"/>
          <w:sz w:val="20"/>
        </w:rPr>
        <w:t xml:space="preserve">A "claim has facial plausibility when the plaintiff pleads factual content that allows the court to draw the reasonable inference that the defendant is liable for the misconduct alleged." </w:t>
      </w:r>
      <w:bookmarkStart w:id="1619" w:name="Bookmark_I5JB61GR2N1PW50040000400"/>
      <w:bookmarkEnd w:id="1619"/>
      <w:r>
        <w:rPr>
          <w:rFonts w:ascii="Arial" w:eastAsia="Arial" w:hAnsi="Arial" w:cs="Arial"/>
          <w:i/>
          <w:color w:val="000000"/>
          <w:sz w:val="20"/>
        </w:rPr>
        <w:t>Ashcroft v. Iqbal</w:t>
      </w:r>
      <w:r>
        <w:rPr>
          <w:rFonts w:ascii="Arial" w:eastAsia="Arial" w:hAnsi="Arial" w:cs="Arial"/>
          <w:color w:val="000000"/>
          <w:sz w:val="20"/>
        </w:rPr>
        <w:t xml:space="preserve">, 556 U.S. 662, 678, 129 S. Ct. 1937, 173 L. Ed. 2d 868 (2009). </w:t>
      </w:r>
      <w:bookmarkStart w:id="1620" w:name="Bookmark_I5JB61GR28T4V30020000400_3"/>
      <w:bookmarkEnd w:id="1620"/>
      <w:r>
        <w:rPr>
          <w:rFonts w:ascii="Arial" w:eastAsia="Arial" w:hAnsi="Arial" w:cs="Arial"/>
          <w:color w:val="000000"/>
          <w:sz w:val="20"/>
        </w:rPr>
        <w:t xml:space="preserve">Plaintiff's allegations must amount to "more than labels and conclusions, and a formulaic recitation of the elements of a cause of action will not do." </w:t>
      </w:r>
      <w:bookmarkStart w:id="1621" w:name="Bookmark_I5JB61GR28T4V30010000400"/>
      <w:bookmarkEnd w:id="1621"/>
      <w:r>
        <w:rPr>
          <w:rFonts w:ascii="Arial" w:eastAsia="Arial" w:hAnsi="Arial" w:cs="Arial"/>
          <w:i/>
          <w:color w:val="000000"/>
          <w:sz w:val="20"/>
        </w:rPr>
        <w:t>Twombly</w:t>
      </w:r>
      <w:r>
        <w:rPr>
          <w:rFonts w:ascii="Arial" w:eastAsia="Arial" w:hAnsi="Arial" w:cs="Arial"/>
          <w:color w:val="000000"/>
          <w:sz w:val="20"/>
        </w:rPr>
        <w:t>, 550 U.S. at 555.</w:t>
      </w:r>
    </w:p>
    <w:p w14:paraId="1B7C5E8E" w14:textId="77777777" w:rsidR="002D0E71" w:rsidRDefault="00000000">
      <w:pPr>
        <w:pStyle w:val="Normal10"/>
        <w:widowControl w:val="0"/>
        <w:spacing w:before="200" w:line="260" w:lineRule="atLeast"/>
        <w:jc w:val="both"/>
      </w:pPr>
      <w:bookmarkStart w:id="1622" w:name="Bookmark_para_20_7"/>
      <w:bookmarkEnd w:id="1622"/>
      <w:r>
        <w:rPr>
          <w:rFonts w:ascii="Arial" w:eastAsia="Arial" w:hAnsi="Arial" w:cs="Arial"/>
          <w:color w:val="000000"/>
          <w:sz w:val="20"/>
        </w:rPr>
        <w:t>The Hunts alleged three FHA violations: (1) denying or making a dwelling unavailable for rental, in violation of 42 U.S.C. § 3604(f)(1); (2) discriminating in the terms and conditions of housing, in violation of 42 U.S.C. § 3604(f)(2); and (3) failure [**11]  to reasonably accommodate, in violation of 42 U.S.C. § 3604(f)(3). We address in turn whether the Hunts failed to state a claim for each count.</w:t>
      </w:r>
    </w:p>
    <w:p w14:paraId="0D443DB0" w14:textId="77777777" w:rsidR="002D0E71" w:rsidRDefault="00000000">
      <w:pPr>
        <w:pStyle w:val="Normal10"/>
        <w:widowControl w:val="0"/>
        <w:spacing w:before="240" w:line="260" w:lineRule="atLeast"/>
      </w:pPr>
      <w:r>
        <w:br/>
      </w:r>
      <w:r>
        <w:rPr>
          <w:rFonts w:ascii="Arial" w:eastAsia="Arial" w:hAnsi="Arial" w:cs="Arial"/>
          <w:b/>
          <w:color w:val="000000"/>
          <w:sz w:val="20"/>
        </w:rPr>
        <w:t>1. Count I: Making Unavailable or Denying a Rental</w:t>
      </w:r>
    </w:p>
    <w:p w14:paraId="0DFF4316" w14:textId="77777777" w:rsidR="002D0E71" w:rsidRDefault="00000000">
      <w:pPr>
        <w:pStyle w:val="Normal10"/>
        <w:widowControl w:val="0"/>
        <w:spacing w:before="200" w:line="260" w:lineRule="atLeast"/>
        <w:jc w:val="both"/>
      </w:pPr>
      <w:bookmarkStart w:id="1623" w:name="Bookmark_para_21_7"/>
      <w:bookmarkEnd w:id="1623"/>
      <w:r>
        <w:rPr>
          <w:rFonts w:ascii="Arial" w:eastAsia="Arial" w:hAnsi="Arial" w:cs="Arial"/>
          <w:color w:val="000000"/>
          <w:sz w:val="20"/>
        </w:rPr>
        <w:t xml:space="preserve">We address first the Hunts' section 3604(f)(1) claim, which alleged that Aimco discriminated against Dyan and Karl by making their apartment unavailable because of Karl's disability. </w:t>
      </w:r>
      <w:r>
        <w:rPr>
          <w:rFonts w:ascii="Arial" w:eastAsia="Arial" w:hAnsi="Arial" w:cs="Arial"/>
          <w:i/>
          <w:color w:val="000000"/>
          <w:sz w:val="20"/>
        </w:rPr>
        <w:t>See</w:t>
      </w:r>
      <w:r>
        <w:rPr>
          <w:rFonts w:ascii="Arial" w:eastAsia="Arial" w:hAnsi="Arial" w:cs="Arial"/>
          <w:color w:val="000000"/>
          <w:sz w:val="20"/>
        </w:rPr>
        <w:t xml:space="preserve"> 42 U.S.C. § 3604(f)(1)(A). We conclude that the Hunts sufficiently pled a claim under section 3604(f)(1), and the district court erred in dismissing this claim.</w:t>
      </w:r>
    </w:p>
    <w:p w14:paraId="14BD54AC" w14:textId="77777777" w:rsidR="002D0E71" w:rsidRDefault="00000000">
      <w:pPr>
        <w:pStyle w:val="Normal10"/>
        <w:widowControl w:val="0"/>
        <w:spacing w:before="200" w:line="260" w:lineRule="atLeast"/>
        <w:jc w:val="both"/>
      </w:pPr>
      <w:bookmarkStart w:id="1624" w:name="Bookmark_para_22_7"/>
      <w:bookmarkStart w:id="1625" w:name="Bookmark_I5JB61GR28T4V30040000400"/>
      <w:bookmarkStart w:id="1626" w:name="Bookmark_I5JB61GR2N1PW60030000400"/>
      <w:bookmarkEnd w:id="1624"/>
      <w:bookmarkEnd w:id="1625"/>
      <w:bookmarkEnd w:id="1626"/>
      <w:r>
        <w:rPr>
          <w:rFonts w:ascii="Arial" w:eastAsia="Arial" w:hAnsi="Arial" w:cs="Arial"/>
          <w:color w:val="000000"/>
          <w:sz w:val="20"/>
        </w:rPr>
        <w:t xml:space="preserve">We have never expressly set forth the elements of a section 3604(f)(1) claim. </w:t>
      </w:r>
      <w:bookmarkStart w:id="1627" w:name="Bookmark_LNHNREFclscc9_7"/>
      <w:bookmarkEnd w:id="1627"/>
      <w:r>
        <w:rPr>
          <w:rFonts w:ascii="Arial" w:eastAsia="Arial" w:hAnsi="Arial" w:cs="Arial"/>
          <w:color w:val="000000"/>
          <w:sz w:val="20"/>
        </w:rPr>
        <w:t xml:space="preserve">At the pleading stage, the relevant question is whether the complaint provides "a short and plain statement of the claim" that "give[s] the defendant fair notice of what the plaintiff's claim is and the grounds upon which it rests." </w:t>
      </w:r>
      <w:bookmarkStart w:id="1628" w:name="Bookmark_I5JB61GR28T4V30030000400"/>
      <w:bookmarkEnd w:id="1628"/>
      <w:r>
        <w:rPr>
          <w:rFonts w:ascii="Arial" w:eastAsia="Arial" w:hAnsi="Arial" w:cs="Arial"/>
          <w:i/>
          <w:color w:val="000000"/>
          <w:sz w:val="20"/>
        </w:rPr>
        <w:t>Swierkiewicz v. Sorema N. A.</w:t>
      </w:r>
      <w:r>
        <w:rPr>
          <w:rFonts w:ascii="Arial" w:eastAsia="Arial" w:hAnsi="Arial" w:cs="Arial"/>
          <w:color w:val="000000"/>
          <w:sz w:val="20"/>
        </w:rPr>
        <w:t xml:space="preserve">, 534 U.S. 506, 512, 122 S. Ct. 992, 152 L. Ed. 2d 1 (2002) (quoting </w:t>
      </w:r>
      <w:bookmarkStart w:id="1629" w:name="Bookmark_I5JB61GR28T4V30050000400"/>
      <w:bookmarkEnd w:id="1629"/>
      <w:r>
        <w:rPr>
          <w:rFonts w:ascii="Arial" w:eastAsia="Arial" w:hAnsi="Arial" w:cs="Arial"/>
          <w:i/>
          <w:color w:val="000000"/>
          <w:sz w:val="20"/>
        </w:rPr>
        <w:t>Conley v. Gibson</w:t>
      </w:r>
      <w:r>
        <w:rPr>
          <w:rFonts w:ascii="Arial" w:eastAsia="Arial" w:hAnsi="Arial" w:cs="Arial"/>
          <w:color w:val="000000"/>
          <w:sz w:val="20"/>
        </w:rPr>
        <w:t xml:space="preserve">, 355 U.S. 41, 47, 78 S. Ct. 99, 2 L. Ed. 2d 80 (1957)). In a discrimination case, "[b]efore discovery has unearthed relevant facts and evidence, it may be difficult to define the precise formulation of the required prima facie case in a particular case." </w:t>
      </w:r>
      <w:r>
        <w:rPr>
          <w:rFonts w:ascii="Arial" w:eastAsia="Arial" w:hAnsi="Arial" w:cs="Arial"/>
          <w:i/>
          <w:color w:val="000000"/>
          <w:sz w:val="20"/>
        </w:rPr>
        <w:t>Id.</w:t>
      </w:r>
      <w:r>
        <w:rPr>
          <w:rFonts w:ascii="Arial" w:eastAsia="Arial" w:hAnsi="Arial" w:cs="Arial"/>
          <w:color w:val="000000"/>
          <w:sz w:val="20"/>
        </w:rPr>
        <w:t xml:space="preserve"> Thus, the allegations in the complaint "should be judged by the statutory elements of an FHA claim rather than the structure of the prima facie case." </w:t>
      </w:r>
      <w:bookmarkStart w:id="1630" w:name="Bookmark_I5JB61GR2N1PW60020000400"/>
      <w:bookmarkEnd w:id="1630"/>
      <w:r>
        <w:rPr>
          <w:rFonts w:ascii="Arial" w:eastAsia="Arial" w:hAnsi="Arial" w:cs="Arial"/>
          <w:i/>
          <w:color w:val="000000"/>
          <w:sz w:val="20"/>
        </w:rPr>
        <w:t>Gilligan v. Jamco Dev. Corp.</w:t>
      </w:r>
      <w:r>
        <w:rPr>
          <w:rFonts w:ascii="Arial" w:eastAsia="Arial" w:hAnsi="Arial" w:cs="Arial"/>
          <w:color w:val="000000"/>
          <w:sz w:val="20"/>
        </w:rPr>
        <w:t xml:space="preserve">, 108 F.3d 246, 250 (9th Cir. 1997); </w:t>
      </w:r>
      <w:r>
        <w:rPr>
          <w:rFonts w:ascii="Arial" w:eastAsia="Arial" w:hAnsi="Arial" w:cs="Arial"/>
          <w:i/>
          <w:color w:val="000000"/>
          <w:sz w:val="20"/>
        </w:rPr>
        <w:t xml:space="preserve">see also </w:t>
      </w:r>
      <w:bookmarkStart w:id="1631" w:name="Bookmark_I5JB61GR2N1PW60040000400"/>
      <w:bookmarkEnd w:id="1631"/>
      <w:r>
        <w:rPr>
          <w:rFonts w:ascii="Arial" w:eastAsia="Arial" w:hAnsi="Arial" w:cs="Arial"/>
          <w:i/>
          <w:color w:val="000000"/>
          <w:sz w:val="20"/>
        </w:rPr>
        <w:t>Ring v.  [*1222]  First Interstate Mort., Inc.</w:t>
      </w:r>
      <w:r>
        <w:rPr>
          <w:rFonts w:ascii="Arial" w:eastAsia="Arial" w:hAnsi="Arial" w:cs="Arial"/>
          <w:color w:val="000000"/>
          <w:sz w:val="20"/>
        </w:rPr>
        <w:t>, 984 F.2d 924, 927 (8th Cir. 1993).</w:t>
      </w:r>
    </w:p>
    <w:p w14:paraId="3E660E5F" w14:textId="77777777" w:rsidR="002D0E71" w:rsidRDefault="00000000">
      <w:pPr>
        <w:pStyle w:val="Normal10"/>
        <w:widowControl w:val="0"/>
        <w:spacing w:before="200" w:line="260" w:lineRule="atLeast"/>
        <w:jc w:val="both"/>
      </w:pPr>
      <w:bookmarkStart w:id="1632" w:name="Bookmark_para_23_7"/>
      <w:bookmarkEnd w:id="1632"/>
      <w:r>
        <w:rPr>
          <w:rFonts w:ascii="Arial" w:eastAsia="Arial" w:hAnsi="Arial" w:cs="Arial"/>
          <w:color w:val="000000"/>
          <w:sz w:val="20"/>
        </w:rPr>
        <w:t xml:space="preserve">As relevant here, </w:t>
      </w:r>
      <w:bookmarkStart w:id="1633" w:name="Bookmark_LNHNREFclscc10_7"/>
      <w:bookmarkEnd w:id="1633"/>
      <w:r>
        <w:rPr>
          <w:rFonts w:ascii="Arial" w:eastAsia="Arial" w:hAnsi="Arial" w:cs="Arial"/>
          <w:color w:val="000000"/>
          <w:sz w:val="20"/>
        </w:rPr>
        <w:t>section 3604(f)(1) makes it unlawful to discriminate in the rental of, or to otherwise [**12]  make unavailable or deny, a dwelling because of a disability of the renter or a person associated with the renter. 42 U.S.C. § 3604(f)(1). Before discovery, a plaintiff may not be able to plead all the facts necessary to prove that there was discrimination based on the disability. For this reason, it is not necessary to state in the complaint, for example, that the housing remained available or was secured by an individual outside of the protected class.</w:t>
      </w:r>
      <w:r>
        <w:rPr>
          <w:rFonts w:ascii="Arial" w:eastAsia="Arial" w:hAnsi="Arial" w:cs="Arial"/>
          <w:vertAlign w:val="superscript"/>
        </w:rPr>
        <w:footnoteReference w:customMarkFollows="1" w:id="46"/>
        <w:t>6</w:t>
      </w:r>
      <w:r>
        <w:rPr>
          <w:rFonts w:ascii="Arial" w:eastAsia="Arial" w:hAnsi="Arial" w:cs="Arial"/>
          <w:color w:val="000000"/>
          <w:sz w:val="20"/>
        </w:rPr>
        <w:t xml:space="preserve"> But a complaint must allege that the adverse action was taken </w:t>
      </w:r>
      <w:r>
        <w:rPr>
          <w:rFonts w:ascii="Arial" w:eastAsia="Arial" w:hAnsi="Arial" w:cs="Arial"/>
          <w:i/>
          <w:color w:val="000000"/>
          <w:sz w:val="20"/>
        </w:rPr>
        <w:t>because of</w:t>
      </w:r>
      <w:r>
        <w:rPr>
          <w:rFonts w:ascii="Arial" w:eastAsia="Arial" w:hAnsi="Arial" w:cs="Arial"/>
          <w:color w:val="000000"/>
          <w:sz w:val="20"/>
        </w:rPr>
        <w:t xml:space="preserve"> a disability and state the facts on which the plaintiff relies to support that claim.</w:t>
      </w:r>
    </w:p>
    <w:p w14:paraId="6C421BB7" w14:textId="77777777" w:rsidR="002D0E71" w:rsidRDefault="00000000">
      <w:pPr>
        <w:pStyle w:val="Normal10"/>
        <w:widowControl w:val="0"/>
        <w:spacing w:before="200" w:line="260" w:lineRule="atLeast"/>
        <w:jc w:val="both"/>
      </w:pPr>
      <w:bookmarkStart w:id="1639" w:name="Bookmark_para_25_7"/>
      <w:bookmarkEnd w:id="1639"/>
      <w:r>
        <w:rPr>
          <w:rFonts w:ascii="Arial" w:eastAsia="Arial" w:hAnsi="Arial" w:cs="Arial"/>
          <w:color w:val="000000"/>
          <w:sz w:val="20"/>
        </w:rPr>
        <w:t xml:space="preserve">The Hunts pled that Karl has Down Syndrome, an intellectual disability that causes him to act like a seven year old child and have difficulty making himself understood. This meets the definition of </w:t>
      </w:r>
      <w:bookmarkStart w:id="1640" w:name="Bookmark_LNHNREFclscc11_6"/>
      <w:bookmarkEnd w:id="1640"/>
      <w:r>
        <w:rPr>
          <w:rFonts w:ascii="Arial" w:eastAsia="Arial" w:hAnsi="Arial" w:cs="Arial"/>
          <w:color w:val="000000"/>
          <w:sz w:val="20"/>
        </w:rPr>
        <w:t>a disability, which, according to 42 U.S.C. § 3602(h)(1), is "a physical or mental impairment which substantially limits one or more of such person's major life activities." Indeed, Aimco does not argue that the Hunts failed to plead Karl has a disability within the meaning of the FHA.</w:t>
      </w:r>
    </w:p>
    <w:p w14:paraId="3F2E2714" w14:textId="77777777" w:rsidR="002D0E71" w:rsidRDefault="00000000">
      <w:pPr>
        <w:pStyle w:val="Normal10"/>
        <w:widowControl w:val="0"/>
        <w:spacing w:before="200" w:line="260" w:lineRule="atLeast"/>
        <w:jc w:val="both"/>
      </w:pPr>
      <w:bookmarkStart w:id="1641" w:name="Bookmark_para_26_7"/>
      <w:bookmarkEnd w:id="1641"/>
      <w:r>
        <w:rPr>
          <w:rFonts w:ascii="Arial" w:eastAsia="Arial" w:hAnsi="Arial" w:cs="Arial"/>
          <w:color w:val="000000"/>
          <w:sz w:val="20"/>
        </w:rPr>
        <w:t xml:space="preserve">The Hunts further alleged that Aimco "had actual knowledge that Karl . . . has an intellectual disability." Second Am. Compl. ¶ 12. Supporting that allegation were facts showing that Karl has observable behavioral characteristics. In addition to behaving like a seven year old child, Karl, who was 21 years old, "would listen to children's music, such as Disney sing-a-longs, and Pokémon son[g]s, on his headphones in the public areas" of Reflections. </w:t>
      </w:r>
      <w:r>
        <w:rPr>
          <w:rFonts w:ascii="Arial" w:eastAsia="Arial" w:hAnsi="Arial" w:cs="Arial"/>
          <w:i/>
          <w:color w:val="000000"/>
          <w:sz w:val="20"/>
        </w:rPr>
        <w:t>Id.</w:t>
      </w:r>
      <w:r>
        <w:rPr>
          <w:rFonts w:ascii="Arial" w:eastAsia="Arial" w:hAnsi="Arial" w:cs="Arial"/>
          <w:color w:val="000000"/>
          <w:sz w:val="20"/>
        </w:rPr>
        <w:t xml:space="preserve"> ¶ 22.</w:t>
      </w:r>
    </w:p>
    <w:p w14:paraId="689DFDCF" w14:textId="77777777" w:rsidR="002D0E71" w:rsidRDefault="00000000">
      <w:pPr>
        <w:pStyle w:val="Normal10"/>
        <w:widowControl w:val="0"/>
        <w:spacing w:before="200" w:line="260" w:lineRule="atLeast"/>
        <w:jc w:val="both"/>
      </w:pPr>
      <w:bookmarkStart w:id="1642" w:name="Bookmark_para_27_7"/>
      <w:bookmarkEnd w:id="1642"/>
      <w:r>
        <w:rPr>
          <w:rFonts w:ascii="Arial" w:eastAsia="Arial" w:hAnsi="Arial" w:cs="Arial"/>
          <w:color w:val="000000"/>
          <w:sz w:val="20"/>
        </w:rPr>
        <w:t xml:space="preserve">Moreover, the Hunts pled that Aimco took adverse action against them because of Karl's disability. The Hunts alleged that "Aimco treated Karl Hunt differently solely because of his disability and did not want him [**14]  residing at Reflections." </w:t>
      </w:r>
      <w:r>
        <w:rPr>
          <w:rFonts w:ascii="Arial" w:eastAsia="Arial" w:hAnsi="Arial" w:cs="Arial"/>
          <w:i/>
          <w:color w:val="000000"/>
          <w:sz w:val="20"/>
        </w:rPr>
        <w:t>Id.</w:t>
      </w:r>
      <w:r>
        <w:rPr>
          <w:rFonts w:ascii="Arial" w:eastAsia="Arial" w:hAnsi="Arial" w:cs="Arial"/>
          <w:color w:val="000000"/>
          <w:sz w:val="20"/>
        </w:rPr>
        <w:t xml:space="preserve"> ¶ 53. Even though Dyan described to Ms. Jackson how Karl's disability could cause misunderstandings such as the perceived threat, Ms. Jackson disregarded her explanations and continued the eviction process.</w:t>
      </w:r>
    </w:p>
    <w:p w14:paraId="101EDC59" w14:textId="77777777" w:rsidR="002D0E71" w:rsidRDefault="00000000">
      <w:pPr>
        <w:pStyle w:val="Normal10"/>
        <w:widowControl w:val="0"/>
        <w:spacing w:before="200" w:line="260" w:lineRule="atLeast"/>
        <w:jc w:val="both"/>
      </w:pPr>
      <w:bookmarkStart w:id="1643" w:name="Bookmark_para_28_7"/>
      <w:bookmarkEnd w:id="1643"/>
      <w:r>
        <w:rPr>
          <w:rFonts w:ascii="Arial" w:eastAsia="Arial" w:hAnsi="Arial" w:cs="Arial"/>
          <w:color w:val="000000"/>
          <w:sz w:val="20"/>
        </w:rPr>
        <w:t xml:space="preserve">The Hunts also alleged that they were willing and qualified to continue renting the apartment. They had lived together in the Reflections apartment complex for almost six years at the time they received the Notice of Non-Renewal. Shortly before Karl made the alleged threats, a Notice of Required Notice to Vacate had informed the Hunts that the apartment's community manager would "gladly discuss flexible renewal options or renew [their] lease for 12 months." </w:t>
      </w:r>
      <w:r>
        <w:rPr>
          <w:rFonts w:ascii="Arial" w:eastAsia="Arial" w:hAnsi="Arial" w:cs="Arial"/>
          <w:i/>
          <w:color w:val="000000"/>
          <w:sz w:val="20"/>
        </w:rPr>
        <w:t>Id.</w:t>
      </w:r>
      <w:r>
        <w:rPr>
          <w:rFonts w:ascii="Arial" w:eastAsia="Arial" w:hAnsi="Arial" w:cs="Arial"/>
          <w:color w:val="000000"/>
          <w:sz w:val="20"/>
        </w:rPr>
        <w:t xml:space="preserve"> ¶ 13. Despite the fact that the Hunts intended to renew  [*1223]  the lease and were qualified to do so, Aimco allegedly refused to allow the Hunts to continue renting the apartment. The Hunts were given notice to vacate the apartment on a date certain. These allegations would suffice to show that Aimco "ma[d]e unavailable or den[ied], a dwelling to any . . . renter because of a [disability]." 42 U.S.C. § 3604(f)(1).</w:t>
      </w:r>
    </w:p>
    <w:p w14:paraId="0AF7F643" w14:textId="77777777" w:rsidR="002D0E71" w:rsidRDefault="00000000">
      <w:pPr>
        <w:pStyle w:val="Normal10"/>
        <w:widowControl w:val="0"/>
        <w:spacing w:before="200" w:line="260" w:lineRule="atLeast"/>
        <w:jc w:val="both"/>
      </w:pPr>
      <w:bookmarkStart w:id="1644" w:name="Bookmark_para_29_7"/>
      <w:bookmarkStart w:id="1645" w:name="Bookmark_I08P03GGDHS000RK982000F1"/>
      <w:bookmarkStart w:id="1646" w:name="Bookmark_I5JB61GR28T4V40040000400"/>
      <w:bookmarkStart w:id="1647" w:name="Bookmark_I08P03GH3NG000RK982000F6"/>
      <w:bookmarkStart w:id="1648" w:name="Bookmark_I5JB61GR2D6NTM0020000400"/>
      <w:bookmarkEnd w:id="1644"/>
      <w:bookmarkEnd w:id="1645"/>
      <w:bookmarkEnd w:id="1646"/>
      <w:bookmarkEnd w:id="1647"/>
      <w:bookmarkEnd w:id="1648"/>
      <w:r>
        <w:rPr>
          <w:rFonts w:ascii="Arial" w:eastAsia="Arial" w:hAnsi="Arial" w:cs="Arial"/>
          <w:color w:val="000000"/>
          <w:sz w:val="20"/>
        </w:rPr>
        <w:t xml:space="preserve">Given the complaint's allegation that the new owners ultimately permitted the Hunts to remain in the apartment, however, we [**15]  must decide whether the Hunts pled sufficient facts to establish that their apartment was "made unavailable" for the purposes of section 3604(f)(1). </w:t>
      </w:r>
      <w:bookmarkStart w:id="1649" w:name="Bookmark_LNHNREFclscc12_6"/>
      <w:bookmarkEnd w:id="1649"/>
      <w:r>
        <w:rPr>
          <w:rFonts w:ascii="Arial" w:eastAsia="Arial" w:hAnsi="Arial" w:cs="Arial"/>
          <w:color w:val="000000"/>
          <w:sz w:val="20"/>
        </w:rPr>
        <w:t xml:space="preserve">A defendant need not make it impossible for a person to occupy a dwelling to make housing unavailable. </w:t>
      </w:r>
      <w:bookmarkStart w:id="1650" w:name="Bookmark_I5JB61GR2D6NTK0010000400"/>
      <w:bookmarkEnd w:id="1650"/>
      <w:r>
        <w:rPr>
          <w:rFonts w:ascii="Arial" w:eastAsia="Arial" w:hAnsi="Arial" w:cs="Arial"/>
          <w:color w:val="000000"/>
          <w:sz w:val="20"/>
        </w:rPr>
        <w:t xml:space="preserve">In </w:t>
      </w:r>
      <w:r>
        <w:rPr>
          <w:rFonts w:ascii="Arial" w:eastAsia="Arial" w:hAnsi="Arial" w:cs="Arial"/>
          <w:i/>
          <w:color w:val="000000"/>
          <w:sz w:val="20"/>
        </w:rPr>
        <w:t>McDonald v. Verble</w:t>
      </w:r>
      <w:r>
        <w:rPr>
          <w:rFonts w:ascii="Arial" w:eastAsia="Arial" w:hAnsi="Arial" w:cs="Arial"/>
          <w:color w:val="000000"/>
          <w:sz w:val="20"/>
        </w:rPr>
        <w:t>, the Sixth Circuit held that a white couple violated a different, but similar, provision of section 3604</w:t>
      </w:r>
      <w:r>
        <w:rPr>
          <w:rFonts w:ascii="Arial" w:eastAsia="Arial" w:hAnsi="Arial" w:cs="Arial"/>
          <w:vertAlign w:val="superscript"/>
        </w:rPr>
        <w:footnoteReference w:customMarkFollows="1" w:id="47"/>
        <w:t>7</w:t>
      </w:r>
      <w:r>
        <w:rPr>
          <w:rFonts w:ascii="Arial" w:eastAsia="Arial" w:hAnsi="Arial" w:cs="Arial"/>
          <w:color w:val="000000"/>
          <w:sz w:val="20"/>
        </w:rPr>
        <w:t xml:space="preserve"> when it refused to sell a house to a black couple, the McDonalds, even though the McDonalds were able to buy the house after the district court issued a temporary restraining order that allowed the sale. </w:t>
      </w:r>
      <w:bookmarkStart w:id="1654" w:name="Bookmark_I5JB61GR28T4V40030000400"/>
      <w:bookmarkEnd w:id="1654"/>
      <w:r>
        <w:rPr>
          <w:rFonts w:ascii="Arial" w:eastAsia="Arial" w:hAnsi="Arial" w:cs="Arial"/>
          <w:color w:val="000000"/>
          <w:sz w:val="20"/>
        </w:rPr>
        <w:t xml:space="preserve">622 F.2d 1227 (6th Cir. 1980). </w:t>
      </w:r>
      <w:bookmarkStart w:id="1655" w:name="Bookmark_I5JB61GR2D6NTK0010000400_2"/>
      <w:bookmarkStart w:id="1656" w:name="Bookmark_I5JB61GR2D6NTK0030000400"/>
      <w:bookmarkEnd w:id="1655"/>
      <w:bookmarkEnd w:id="1656"/>
      <w:r>
        <w:rPr>
          <w:rFonts w:ascii="Arial" w:eastAsia="Arial" w:hAnsi="Arial" w:cs="Arial"/>
          <w:color w:val="000000"/>
          <w:sz w:val="20"/>
        </w:rPr>
        <w:t xml:space="preserve">We find the Sixth Circuit's reasoning persuasive: "The fact that subsequent to the filing of a lawsuit, the sale of the property was consummated with the McDonalds, does not alter the prior discriminatory conduct. Nor does that fact wipe out the need for consideration of damages." </w:t>
      </w:r>
      <w:bookmarkStart w:id="1657" w:name="Bookmark_I5JB61GR28T4V40050000400"/>
      <w:bookmarkEnd w:id="1657"/>
      <w:r>
        <w:rPr>
          <w:rFonts w:ascii="Arial" w:eastAsia="Arial" w:hAnsi="Arial" w:cs="Arial"/>
          <w:i/>
          <w:color w:val="000000"/>
          <w:sz w:val="20"/>
        </w:rPr>
        <w:t>Id.</w:t>
      </w:r>
      <w:r>
        <w:rPr>
          <w:rFonts w:ascii="Arial" w:eastAsia="Arial" w:hAnsi="Arial" w:cs="Arial"/>
          <w:color w:val="000000"/>
          <w:sz w:val="20"/>
        </w:rPr>
        <w:t xml:space="preserve"> at 1233. </w:t>
      </w:r>
      <w:bookmarkStart w:id="1658" w:name="Bookmark_I5JB61GR2D6NTK0030000400_2"/>
      <w:bookmarkEnd w:id="1658"/>
      <w:r>
        <w:rPr>
          <w:rFonts w:ascii="Arial" w:eastAsia="Arial" w:hAnsi="Arial" w:cs="Arial"/>
          <w:color w:val="000000"/>
          <w:sz w:val="20"/>
        </w:rPr>
        <w:t xml:space="preserve">Additionally, </w:t>
      </w:r>
      <w:bookmarkStart w:id="1659" w:name="Bookmark_LNHNREFclscc13_5"/>
      <w:bookmarkEnd w:id="1659"/>
      <w:r>
        <w:rPr>
          <w:rFonts w:ascii="Arial" w:eastAsia="Arial" w:hAnsi="Arial" w:cs="Arial"/>
          <w:color w:val="000000"/>
          <w:sz w:val="20"/>
        </w:rPr>
        <w:t xml:space="preserve">given the FHA's remedial policy "to provide, within constitutional limitations, for fair housing throughout the United States," 42 U.S.C. § 3601, "the Supreme Court has repeatedly instructed us to give the Fair Housing Act a 'broad and inclusive' interpretation." </w:t>
      </w:r>
      <w:bookmarkStart w:id="1660" w:name="Bookmark_I5JB61GR2D6NTK0020000400"/>
      <w:bookmarkEnd w:id="1660"/>
      <w:r>
        <w:rPr>
          <w:rFonts w:ascii="Arial" w:eastAsia="Arial" w:hAnsi="Arial" w:cs="Arial"/>
          <w:i/>
          <w:color w:val="000000"/>
          <w:sz w:val="20"/>
        </w:rPr>
        <w:t>Schwarz v. City of Treasure Island</w:t>
      </w:r>
      <w:r>
        <w:rPr>
          <w:rFonts w:ascii="Arial" w:eastAsia="Arial" w:hAnsi="Arial" w:cs="Arial"/>
          <w:color w:val="000000"/>
          <w:sz w:val="20"/>
        </w:rPr>
        <w:t xml:space="preserve">, 544 F.3d 1201, 1216 (11th Cir. 2008) (quoting </w:t>
      </w:r>
      <w:bookmarkStart w:id="1661" w:name="Bookmark_I5JB61GR2D6NTK0040000400"/>
      <w:bookmarkEnd w:id="1661"/>
      <w:r>
        <w:rPr>
          <w:rFonts w:ascii="Arial" w:eastAsia="Arial" w:hAnsi="Arial" w:cs="Arial"/>
          <w:i/>
          <w:color w:val="000000"/>
          <w:sz w:val="20"/>
        </w:rPr>
        <w:t>City of Edmonds v. Oxford House, Inc.</w:t>
      </w:r>
      <w:r>
        <w:rPr>
          <w:rFonts w:ascii="Arial" w:eastAsia="Arial" w:hAnsi="Arial" w:cs="Arial"/>
          <w:color w:val="000000"/>
          <w:sz w:val="20"/>
        </w:rPr>
        <w:t>, 514 U.S. 725, 731, 115 S. Ct. 1776, 131 L. Ed. 2d 801 (1995)). Accordingly, we hold that the FHA protects renters not only from eviction, but also from [**16]  discriminatory actions that would lead to eviction but for an intervening cause.</w:t>
      </w:r>
    </w:p>
    <w:p w14:paraId="65AF1718" w14:textId="77777777" w:rsidR="002D0E71" w:rsidRDefault="00000000">
      <w:pPr>
        <w:pStyle w:val="Normal10"/>
        <w:widowControl w:val="0"/>
        <w:spacing w:before="200" w:line="260" w:lineRule="atLeast"/>
        <w:jc w:val="both"/>
      </w:pPr>
      <w:bookmarkStart w:id="1662" w:name="Bookmark_para_30_7"/>
      <w:bookmarkEnd w:id="1662"/>
      <w:r>
        <w:rPr>
          <w:rFonts w:ascii="Arial" w:eastAsia="Arial" w:hAnsi="Arial" w:cs="Arial"/>
          <w:color w:val="000000"/>
          <w:sz w:val="20"/>
        </w:rPr>
        <w:t>Here, Aimco never evicted the Hunts, but it nevertheless made the Hunts' housing unavailable by refusing to renew their lease and directing them to vacate their apartment. Aimco made the decision not to renew their lease shortly after Karl made purported threats to the Reflections office staff. According to the complaint, Dyan explained to Ms. Jackson that the perceived threats were the result of a misunderstanding attributable to Karl's disability. Nonetheless, Aimco proceeded with the eviction process. Approximately two weeks after offering to renew the Hunts' lease, the community manager posted a Seven Day Notice of Noncompliance with Opportunity to Cure on the Hunts' door. About two weeks after that, Aimco issued a Notice of Non-Renewal to the Hunts, stating that they were required to vacate the premises on or before November 19. The Hunts prepared for eviction by packing [**17]  up their apartment, selling their furniture and housewares, and paying for background checks and a rental agent to assist them in finding another apartment.</w:t>
      </w:r>
    </w:p>
    <w:p w14:paraId="0915DAC0" w14:textId="77777777" w:rsidR="002D0E71" w:rsidRDefault="00000000">
      <w:pPr>
        <w:pStyle w:val="Normal10"/>
        <w:widowControl w:val="0"/>
        <w:spacing w:before="200" w:line="260" w:lineRule="atLeast"/>
        <w:jc w:val="both"/>
      </w:pPr>
      <w:bookmarkStart w:id="1663" w:name="Bookmark_para_31_7"/>
      <w:bookmarkEnd w:id="1663"/>
      <w:r>
        <w:rPr>
          <w:rFonts w:ascii="Arial" w:eastAsia="Arial" w:hAnsi="Arial" w:cs="Arial"/>
          <w:color w:val="000000"/>
          <w:sz w:val="20"/>
        </w:rPr>
        <w:t xml:space="preserve">Meanwhile, there is no indication in the complaint or its attached exhibits that Aimco ever reconsidered its decision or  [*1224]  gave the Hunts permission to remain in the apartment. </w:t>
      </w:r>
      <w:bookmarkStart w:id="1664" w:name="Bookmark_I08P03GGJBX000RK982000F2"/>
      <w:bookmarkStart w:id="1665" w:name="Bookmark_I5JB61GR2D6NTM0040000400"/>
      <w:bookmarkEnd w:id="1664"/>
      <w:bookmarkEnd w:id="1665"/>
      <w:r>
        <w:rPr>
          <w:rFonts w:ascii="Arial" w:eastAsia="Arial" w:hAnsi="Arial" w:cs="Arial"/>
          <w:color w:val="000000"/>
          <w:sz w:val="20"/>
        </w:rPr>
        <w:t xml:space="preserve">To the contrary, Aimco made the apartment unavailable to them throughout its ownership and operation of the complex. The apartment only became available to the Hunts again because the complex was sold, and the new owners permitted the Hunts to remain. Just as in </w:t>
      </w:r>
      <w:r>
        <w:rPr>
          <w:rFonts w:ascii="Arial" w:eastAsia="Arial" w:hAnsi="Arial" w:cs="Arial"/>
          <w:i/>
          <w:color w:val="000000"/>
          <w:sz w:val="20"/>
        </w:rPr>
        <w:t>McDonald</w:t>
      </w:r>
      <w:r>
        <w:rPr>
          <w:rFonts w:ascii="Arial" w:eastAsia="Arial" w:hAnsi="Arial" w:cs="Arial"/>
          <w:color w:val="000000"/>
          <w:sz w:val="20"/>
        </w:rPr>
        <w:t xml:space="preserve">, the fact that the Hunts were able to remain in their apartment "does not alter the prior discriminatory conduct." </w:t>
      </w:r>
      <w:bookmarkStart w:id="1666" w:name="Bookmark_I5JB61GR2D6NTM0030000400"/>
      <w:bookmarkEnd w:id="1666"/>
      <w:r>
        <w:rPr>
          <w:rFonts w:ascii="Arial" w:eastAsia="Arial" w:hAnsi="Arial" w:cs="Arial"/>
          <w:color w:val="000000"/>
          <w:sz w:val="20"/>
        </w:rPr>
        <w:t>622 F.2d at 1233. The damages the Hunts suffered cannot be ignored simply because a third party stepped in and allowed them to stay.</w:t>
      </w:r>
    </w:p>
    <w:p w14:paraId="2675A1DD" w14:textId="77777777" w:rsidR="002D0E71" w:rsidRDefault="00000000">
      <w:pPr>
        <w:pStyle w:val="Normal10"/>
        <w:widowControl w:val="0"/>
        <w:spacing w:before="200" w:line="260" w:lineRule="atLeast"/>
        <w:jc w:val="both"/>
      </w:pPr>
      <w:bookmarkStart w:id="1667" w:name="Bookmark_para_32_6"/>
      <w:bookmarkStart w:id="1668" w:name="Bookmark_I5JB61GR2HM6NC0010000400"/>
      <w:bookmarkEnd w:id="1667"/>
      <w:bookmarkEnd w:id="1668"/>
      <w:r>
        <w:rPr>
          <w:rFonts w:ascii="Arial" w:eastAsia="Arial" w:hAnsi="Arial" w:cs="Arial"/>
          <w:color w:val="000000"/>
          <w:sz w:val="20"/>
        </w:rPr>
        <w:t xml:space="preserve">The Hunts' allegations contain "factual content that allows the court to draw the reasonable inference" that Aimco discriminated against the Hunts because of Karl's disability. </w:t>
      </w:r>
      <w:bookmarkStart w:id="1669" w:name="Bookmark_I5JB61GR2D6NTM0050000400"/>
      <w:bookmarkEnd w:id="1669"/>
      <w:r>
        <w:rPr>
          <w:rFonts w:ascii="Arial" w:eastAsia="Arial" w:hAnsi="Arial" w:cs="Arial"/>
          <w:i/>
          <w:color w:val="000000"/>
          <w:sz w:val="20"/>
        </w:rPr>
        <w:t>Iqbal</w:t>
      </w:r>
      <w:r>
        <w:rPr>
          <w:rFonts w:ascii="Arial" w:eastAsia="Arial" w:hAnsi="Arial" w:cs="Arial"/>
          <w:color w:val="000000"/>
          <w:sz w:val="20"/>
        </w:rPr>
        <w:t>, 556 U.S. at 663. The district court erred in concluding otherwise.</w:t>
      </w:r>
    </w:p>
    <w:p w14:paraId="09CF51E9" w14:textId="77777777" w:rsidR="002D0E71" w:rsidRDefault="00000000">
      <w:pPr>
        <w:pStyle w:val="Normal10"/>
        <w:widowControl w:val="0"/>
        <w:spacing w:before="240" w:line="260" w:lineRule="atLeast"/>
      </w:pPr>
      <w:r>
        <w:br/>
      </w:r>
      <w:r>
        <w:rPr>
          <w:rFonts w:ascii="Arial" w:eastAsia="Arial" w:hAnsi="Arial" w:cs="Arial"/>
          <w:b/>
          <w:color w:val="000000"/>
          <w:sz w:val="20"/>
        </w:rPr>
        <w:t>2. Count II: Discriminating in the Terms, Conditions, or Privileges of a Rental</w:t>
      </w:r>
    </w:p>
    <w:p w14:paraId="71861B14" w14:textId="77777777" w:rsidR="002D0E71" w:rsidRDefault="00000000">
      <w:pPr>
        <w:pStyle w:val="Normal10"/>
        <w:widowControl w:val="0"/>
        <w:spacing w:before="200" w:line="260" w:lineRule="atLeast"/>
        <w:jc w:val="both"/>
      </w:pPr>
      <w:bookmarkStart w:id="1670" w:name="Bookmark_para_33_6"/>
      <w:bookmarkEnd w:id="1670"/>
      <w:r>
        <w:rPr>
          <w:rFonts w:ascii="Arial" w:eastAsia="Arial" w:hAnsi="Arial" w:cs="Arial"/>
          <w:color w:val="000000"/>
          <w:sz w:val="20"/>
        </w:rPr>
        <w:t>We now address the Hunts' claim under section 3604(f)(2) for disparate treatment [**18]  in the terms, conditions, or privileges of their rental. The Hunts alleged that because of Karl's disability Aimco representatives mistreated him by yelling at him, making him do maintenance work around the complex, and barring him from the community rooms and the office. We conclude that the Hunts stated a claim for relief under section 3604(f)(2).</w:t>
      </w:r>
    </w:p>
    <w:p w14:paraId="40C9BA63" w14:textId="77777777" w:rsidR="002D0E71" w:rsidRDefault="00000000">
      <w:pPr>
        <w:pStyle w:val="Normal10"/>
        <w:widowControl w:val="0"/>
        <w:spacing w:before="200" w:line="260" w:lineRule="atLeast"/>
        <w:jc w:val="both"/>
      </w:pPr>
      <w:bookmarkStart w:id="1671" w:name="Bookmark_para_34_6"/>
      <w:bookmarkStart w:id="1672" w:name="Bookmark_LNHNREFclscc15_2"/>
      <w:bookmarkEnd w:id="1671"/>
      <w:bookmarkEnd w:id="1672"/>
      <w:r>
        <w:rPr>
          <w:rFonts w:ascii="Arial" w:eastAsia="Arial" w:hAnsi="Arial" w:cs="Arial"/>
          <w:color w:val="000000"/>
          <w:sz w:val="20"/>
        </w:rPr>
        <w:t>Section 3604(f)(2) makes it unlawful to discriminate in the terms, conditions, or privileges of, or in the provision of services or facilities in connection with, a rental because of a disability. 42 U.S.C. § 3604(f)(2). The allegations regarding Karl's disability similarly support this claim. According to the complaint, because of Karl's disability Aimco representatives yelled at him and forced him to clean bathrooms and collect garbage. Additionally, the complaint alleged that Karl sat and listened to music in Reflections's "public areas where people congregate" prior to the perceived threats; afterwards, because of the Reflections staff's reaction to his disability, Karl was prohibited from entering the community room, the pool area, and the office. Second Am. Compl. ¶ 22. These alleged facts sufficiently pled that Aimco placed conditions on Karl that were not imposed on other residents and [**19]  restricted his access to facilities in the complex that were open to other residents. The complaint therefore satisfies the pleading requirements for a section 3604(f)(2) claim.</w:t>
      </w:r>
    </w:p>
    <w:p w14:paraId="16004601" w14:textId="77777777" w:rsidR="002D0E71" w:rsidRDefault="00000000">
      <w:pPr>
        <w:pStyle w:val="Normal10"/>
        <w:widowControl w:val="0"/>
        <w:spacing w:before="200" w:line="260" w:lineRule="atLeast"/>
        <w:jc w:val="both"/>
      </w:pPr>
      <w:bookmarkStart w:id="1673" w:name="Bookmark_para_35_6"/>
      <w:bookmarkStart w:id="1674" w:name="Bookmark_I5JB61GR2HM6NC0030000400"/>
      <w:bookmarkEnd w:id="1673"/>
      <w:bookmarkEnd w:id="1674"/>
      <w:r>
        <w:rPr>
          <w:rFonts w:ascii="Arial" w:eastAsia="Arial" w:hAnsi="Arial" w:cs="Arial"/>
          <w:color w:val="000000"/>
          <w:sz w:val="20"/>
        </w:rPr>
        <w:t xml:space="preserve">Aimco argues that it cannot be liable under section 3604(f)(2) because the police, not Aimco, instructed Karl to stay out of the community room. This is a distinction without a difference. </w:t>
      </w:r>
      <w:bookmarkStart w:id="1675" w:name="Bookmark_I5JB61GR2HM6NC0050000400"/>
      <w:bookmarkStart w:id="1676" w:name="Bookmark_LNHNREFclscc16_2"/>
      <w:bookmarkEnd w:id="1675"/>
      <w:bookmarkEnd w:id="1676"/>
      <w:r>
        <w:rPr>
          <w:rFonts w:ascii="Arial" w:eastAsia="Arial" w:hAnsi="Arial" w:cs="Arial"/>
          <w:color w:val="000000"/>
          <w:sz w:val="20"/>
        </w:rPr>
        <w:t xml:space="preserve">A private entity may not use the police as a front for discrimination. We find persuasive an analogous case from the District of Puerto Rico. In </w:t>
      </w:r>
      <w:r>
        <w:rPr>
          <w:rFonts w:ascii="Arial" w:eastAsia="Arial" w:hAnsi="Arial" w:cs="Arial"/>
          <w:i/>
          <w:color w:val="000000"/>
          <w:sz w:val="20"/>
        </w:rPr>
        <w:t>Schroeder v. De Bertolo</w:t>
      </w:r>
      <w:r>
        <w:rPr>
          <w:rFonts w:ascii="Arial" w:eastAsia="Arial" w:hAnsi="Arial" w:cs="Arial"/>
          <w:color w:val="000000"/>
          <w:sz w:val="20"/>
        </w:rPr>
        <w:t xml:space="preserve">, the defendants—board members of the condominium association that governed the plaintiff's housing—allegedly subjected the plaintiff, who had a mental illness, to baseless civil claims and potential criminal charges because the plaintiff allegedly took property from the condominium's common areas. </w:t>
      </w:r>
      <w:bookmarkStart w:id="1677" w:name="Bookmark_I5JB61GR2HM6NC0020000400"/>
      <w:bookmarkEnd w:id="1677"/>
      <w:r>
        <w:rPr>
          <w:rFonts w:ascii="Arial" w:eastAsia="Arial" w:hAnsi="Arial" w:cs="Arial"/>
          <w:color w:val="000000"/>
          <w:sz w:val="20"/>
        </w:rPr>
        <w:t xml:space="preserve">879 F. Supp. 173, 175 (D.P.R. 1995). </w:t>
      </w:r>
      <w:bookmarkStart w:id="1678" w:name="Bookmark_I5JB61GR2HM6NC0050000400_2"/>
      <w:bookmarkStart w:id="1679" w:name="Bookmark_I08P03GH8SB000RK982000F7"/>
      <w:bookmarkStart w:id="1680" w:name="Bookmark_I5JB61GR2HM6ND0020000400"/>
      <w:bookmarkEnd w:id="1678"/>
      <w:bookmarkEnd w:id="1679"/>
      <w:bookmarkEnd w:id="1680"/>
      <w:r>
        <w:rPr>
          <w:rFonts w:ascii="Arial" w:eastAsia="Arial" w:hAnsi="Arial" w:cs="Arial"/>
          <w:color w:val="000000"/>
          <w:sz w:val="20"/>
        </w:rPr>
        <w:t xml:space="preserve">The district court concluded that "[b]y bringing groundless civil claims against [the plaintiff] and threatening to bring criminal actions, defendants' actions could arguably have intimidated [the plaintiff] in such a way that she refrained from exercising  [*1225]  her right to use the lobby and other common areas of the Condominium whenever she wished." </w:t>
      </w:r>
      <w:bookmarkStart w:id="1681" w:name="Bookmark_I5JB61GR2HM6NC0040000400"/>
      <w:bookmarkEnd w:id="1681"/>
      <w:r>
        <w:rPr>
          <w:rFonts w:ascii="Arial" w:eastAsia="Arial" w:hAnsi="Arial" w:cs="Arial"/>
          <w:i/>
          <w:color w:val="000000"/>
          <w:sz w:val="20"/>
        </w:rPr>
        <w:t>Id.</w:t>
      </w:r>
      <w:r>
        <w:rPr>
          <w:rFonts w:ascii="Arial" w:eastAsia="Arial" w:hAnsi="Arial" w:cs="Arial"/>
          <w:color w:val="000000"/>
          <w:sz w:val="20"/>
        </w:rPr>
        <w:t xml:space="preserve"> at 178. </w:t>
      </w:r>
      <w:bookmarkStart w:id="1682" w:name="Bookmark_I5JB61GR2HM6ND0020000400_2"/>
      <w:bookmarkEnd w:id="1682"/>
      <w:r>
        <w:rPr>
          <w:rFonts w:ascii="Arial" w:eastAsia="Arial" w:hAnsi="Arial" w:cs="Arial"/>
          <w:color w:val="000000"/>
          <w:sz w:val="20"/>
        </w:rPr>
        <w:t xml:space="preserve">Similarly, here, although it was Deputy Kushel who warned [**20]  Karl that he would be arrested if he entered the community room, it was an Aimco employee who called the police and accompanied Deputy Kushel to the Hunts' apartment. As in </w:t>
      </w:r>
      <w:bookmarkStart w:id="1683" w:name="Bookmark_I5JB61GR2HM6ND0020000400_3"/>
      <w:bookmarkStart w:id="1684" w:name="Bookmark_I5JB61GR2HM6ND0010000400"/>
      <w:bookmarkEnd w:id="1683"/>
      <w:bookmarkEnd w:id="1684"/>
      <w:r>
        <w:rPr>
          <w:rFonts w:ascii="Arial" w:eastAsia="Arial" w:hAnsi="Arial" w:cs="Arial"/>
          <w:i/>
          <w:color w:val="000000"/>
          <w:sz w:val="20"/>
        </w:rPr>
        <w:t>De Bertolo</w:t>
      </w:r>
      <w:r>
        <w:rPr>
          <w:rFonts w:ascii="Arial" w:eastAsia="Arial" w:hAnsi="Arial" w:cs="Arial"/>
          <w:color w:val="000000"/>
          <w:sz w:val="20"/>
        </w:rPr>
        <w:t>, Karl was discouraged from using common areas at Reflections because Aimco escalated the situation to a law enforcement matter.</w:t>
      </w:r>
    </w:p>
    <w:p w14:paraId="238A4645" w14:textId="77777777" w:rsidR="002D0E71" w:rsidRDefault="00000000">
      <w:pPr>
        <w:pStyle w:val="Normal10"/>
        <w:widowControl w:val="0"/>
        <w:spacing w:before="200" w:line="260" w:lineRule="atLeast"/>
        <w:jc w:val="both"/>
      </w:pPr>
      <w:bookmarkStart w:id="1685" w:name="Bookmark_para_36_6"/>
      <w:bookmarkEnd w:id="1685"/>
      <w:r>
        <w:rPr>
          <w:rFonts w:ascii="Arial" w:eastAsia="Arial" w:hAnsi="Arial" w:cs="Arial"/>
          <w:color w:val="000000"/>
          <w:sz w:val="20"/>
        </w:rPr>
        <w:t xml:space="preserve">Naturally, </w:t>
      </w:r>
      <w:bookmarkStart w:id="1686" w:name="Bookmark_LNHNREFclscc17_2"/>
      <w:bookmarkEnd w:id="1686"/>
      <w:r>
        <w:rPr>
          <w:rFonts w:ascii="Arial" w:eastAsia="Arial" w:hAnsi="Arial" w:cs="Arial"/>
          <w:color w:val="000000"/>
          <w:sz w:val="20"/>
        </w:rPr>
        <w:t xml:space="preserve">in some circumstances it may be legitimate or even necessary to protect public safety by calling the police. </w:t>
      </w:r>
      <w:bookmarkStart w:id="1687" w:name="Bookmark_I5JB61GR2HM6ND0040000400"/>
      <w:bookmarkEnd w:id="1687"/>
      <w:r>
        <w:rPr>
          <w:rFonts w:ascii="Arial" w:eastAsia="Arial" w:hAnsi="Arial" w:cs="Arial"/>
          <w:color w:val="000000"/>
          <w:sz w:val="20"/>
        </w:rPr>
        <w:t>Indeed, the FHA contemplates such a situation: "Nothing in [section 3604] requires that a dwelling be made available to an individual whose tenancy would constitute a direct threat to the health or safety of other individuals or whose tenancy would result in substantial physical damage to the property of others." 42 U.S.C. § 3604(f)(9). It may well be that Aimco took reasonable actions based on Karl's direct threat. But the direct threat exception described in section 3604(f)(9) is an affirmative defense and thus does not aid Aimco at the motion to dismiss stage.</w:t>
      </w:r>
      <w:r>
        <w:rPr>
          <w:rFonts w:ascii="Arial" w:eastAsia="Arial" w:hAnsi="Arial" w:cs="Arial"/>
          <w:vertAlign w:val="superscript"/>
        </w:rPr>
        <w:footnoteReference w:customMarkFollows="1" w:id="48"/>
        <w:t>8</w:t>
      </w:r>
      <w:r>
        <w:rPr>
          <w:rFonts w:ascii="Arial" w:eastAsia="Arial" w:hAnsi="Arial" w:cs="Arial"/>
          <w:color w:val="000000"/>
          <w:sz w:val="20"/>
        </w:rPr>
        <w:t xml:space="preserve"> </w:t>
      </w:r>
      <w:r>
        <w:rPr>
          <w:rFonts w:ascii="Arial" w:eastAsia="Arial" w:hAnsi="Arial" w:cs="Arial"/>
          <w:i/>
          <w:color w:val="000000"/>
          <w:sz w:val="20"/>
        </w:rPr>
        <w:t xml:space="preserve">See </w:t>
      </w:r>
      <w:bookmarkStart w:id="1695" w:name="Bookmark_I5JB61GR2HM6ND0030000400"/>
      <w:bookmarkEnd w:id="1695"/>
      <w:r>
        <w:rPr>
          <w:rFonts w:ascii="Arial" w:eastAsia="Arial" w:hAnsi="Arial" w:cs="Arial"/>
          <w:i/>
          <w:color w:val="000000"/>
          <w:sz w:val="20"/>
        </w:rPr>
        <w:t>Chevron U.S.A. Inc. v. Echazabal</w:t>
      </w:r>
      <w:r>
        <w:rPr>
          <w:rFonts w:ascii="Arial" w:eastAsia="Arial" w:hAnsi="Arial" w:cs="Arial"/>
          <w:color w:val="000000"/>
          <w:sz w:val="20"/>
        </w:rPr>
        <w:t>, 536 U.S. 73, 78, 122 S. Ct. 2045, 153 L. Ed. 2d 82 (2002) (characterizing as an affirmative defense the Americans with Disabilities Act's ("ADA") direct threat provision, 42 U.S.C. § 12113(a)-(b), which similarly exempts adverse action against people with disabilities who "pose a direct threat to the health or safety of other individuals"). [**21]  Considering the alleged facts in the light most favorable to the Hunts, as we must at this stage, the threat of police involvement—regardless of who spoke the warning—restricted Karl's use of the complex's facilities.</w:t>
      </w:r>
    </w:p>
    <w:p w14:paraId="0AB6777F" w14:textId="77777777" w:rsidR="002D0E71" w:rsidRDefault="00000000">
      <w:pPr>
        <w:pStyle w:val="Normal10"/>
        <w:widowControl w:val="0"/>
        <w:spacing w:before="240" w:line="260" w:lineRule="atLeast"/>
      </w:pPr>
      <w:r>
        <w:br/>
      </w:r>
      <w:r>
        <w:rPr>
          <w:rFonts w:ascii="Arial" w:eastAsia="Arial" w:hAnsi="Arial" w:cs="Arial"/>
          <w:b/>
          <w:color w:val="000000"/>
          <w:sz w:val="20"/>
        </w:rPr>
        <w:t>3. Count III: Failure to Reasonably Accommodate</w:t>
      </w:r>
    </w:p>
    <w:p w14:paraId="1512FFFB" w14:textId="77777777" w:rsidR="002D0E71" w:rsidRDefault="00000000">
      <w:pPr>
        <w:pStyle w:val="Normal10"/>
        <w:widowControl w:val="0"/>
        <w:spacing w:before="200" w:line="260" w:lineRule="atLeast"/>
        <w:jc w:val="both"/>
      </w:pPr>
      <w:bookmarkStart w:id="1696" w:name="Bookmark_para_37_6"/>
      <w:bookmarkEnd w:id="1696"/>
      <w:r>
        <w:rPr>
          <w:rFonts w:ascii="Arial" w:eastAsia="Arial" w:hAnsi="Arial" w:cs="Arial"/>
          <w:color w:val="000000"/>
          <w:sz w:val="20"/>
        </w:rPr>
        <w:t xml:space="preserve">Lastly, we address the Hunts' failure to reasonably accommodate claim. The district court decided that the Hunts could not proceed with this claim because Dyan had failed to request from Aimco a reasonable accommodation for Karl's disability as required by section 3604(f)(3). </w:t>
      </w:r>
      <w:bookmarkStart w:id="1697" w:name="Bookmark_I5JB61GR2SF8H70050000400"/>
      <w:bookmarkEnd w:id="1697"/>
      <w:r>
        <w:rPr>
          <w:rFonts w:ascii="Arial" w:eastAsia="Arial" w:hAnsi="Arial" w:cs="Arial"/>
          <w:color w:val="000000"/>
          <w:sz w:val="20"/>
        </w:rPr>
        <w:t xml:space="preserve">But the complaint alleged that Dyan asked Aimco staff to let her and her son remain in their apartment while she found "a place/organization that will have [Karl] for the day while she is at work to avoid any more situations." Second Am. Comp. ¶ 26. We conclude that the complaint presented a plausible set of facts from which we can infer that Dyan requested an accommodation and thus sufficiently [**22]  pled this claim. </w:t>
      </w:r>
      <w:r>
        <w:rPr>
          <w:rFonts w:ascii="Arial" w:eastAsia="Arial" w:hAnsi="Arial" w:cs="Arial"/>
          <w:i/>
          <w:color w:val="000000"/>
          <w:sz w:val="20"/>
        </w:rPr>
        <w:t xml:space="preserve">See </w:t>
      </w:r>
      <w:bookmarkStart w:id="1698" w:name="Bookmark_I5JB61GR2SF8H70040000400"/>
      <w:bookmarkEnd w:id="1698"/>
      <w:r>
        <w:rPr>
          <w:rFonts w:ascii="Arial" w:eastAsia="Arial" w:hAnsi="Arial" w:cs="Arial"/>
          <w:i/>
          <w:color w:val="000000"/>
          <w:sz w:val="20"/>
        </w:rPr>
        <w:t>Iqbal</w:t>
      </w:r>
      <w:r>
        <w:rPr>
          <w:rFonts w:ascii="Arial" w:eastAsia="Arial" w:hAnsi="Arial" w:cs="Arial"/>
          <w:color w:val="000000"/>
          <w:sz w:val="20"/>
        </w:rPr>
        <w:t>, 556 U.S. at 663.</w:t>
      </w:r>
    </w:p>
    <w:p w14:paraId="14F3068B" w14:textId="77777777" w:rsidR="002D0E71" w:rsidRDefault="00000000">
      <w:pPr>
        <w:pStyle w:val="Normal10"/>
        <w:widowControl w:val="0"/>
        <w:spacing w:before="200" w:line="260" w:lineRule="atLeast"/>
        <w:jc w:val="both"/>
      </w:pPr>
      <w:bookmarkStart w:id="1699" w:name="Bookmark_para_38_5"/>
      <w:bookmarkStart w:id="1700" w:name="Bookmark_I08P03GGV16000RK982000F4"/>
      <w:bookmarkStart w:id="1701" w:name="Bookmark_I5JB61GR2SF8H80020000400"/>
      <w:bookmarkStart w:id="1702" w:name="Bookmark_LNHNREFclscc19_1"/>
      <w:bookmarkEnd w:id="1699"/>
      <w:bookmarkEnd w:id="1700"/>
      <w:bookmarkEnd w:id="1701"/>
      <w:bookmarkEnd w:id="1702"/>
      <w:r>
        <w:rPr>
          <w:rFonts w:ascii="Arial" w:eastAsia="Arial" w:hAnsi="Arial" w:cs="Arial"/>
          <w:color w:val="000000"/>
          <w:sz w:val="20"/>
        </w:rPr>
        <w:t xml:space="preserve">To assert a failure to reasonably accommodate claim under section 3604(f)(3), a plaintiff must plead four elements: (1) the plaintiff is a person with a disability within the meaning of the FHA or a person associated with that individual; (2) the plaintiff requested a reasonable accommodation for the disability; (3) the requested accommodation was necessary to afford the plaintiff an opportunity to use and enjoy the dwelling; and (4) the defendant refused to make the accommodation. </w:t>
      </w:r>
      <w:r>
        <w:rPr>
          <w:rFonts w:ascii="Arial" w:eastAsia="Arial" w:hAnsi="Arial" w:cs="Arial"/>
          <w:i/>
          <w:color w:val="000000"/>
          <w:sz w:val="20"/>
        </w:rPr>
        <w:t xml:space="preserve">See </w:t>
      </w:r>
      <w:bookmarkStart w:id="1703" w:name="Bookmark_I5JB61GR2SF8H80010000400"/>
      <w:bookmarkEnd w:id="1703"/>
      <w:r>
        <w:rPr>
          <w:rFonts w:ascii="Arial" w:eastAsia="Arial" w:hAnsi="Arial" w:cs="Arial"/>
          <w:i/>
          <w:color w:val="000000"/>
          <w:sz w:val="20"/>
        </w:rPr>
        <w:t>Bhogaita v. Altamonte Heights Condo. Ass'n, Inc.</w:t>
      </w:r>
      <w:r>
        <w:rPr>
          <w:rFonts w:ascii="Arial" w:eastAsia="Arial" w:hAnsi="Arial" w:cs="Arial"/>
          <w:color w:val="000000"/>
          <w:sz w:val="20"/>
        </w:rPr>
        <w:t>, 765 F.3d 1277, 1285 (11th Cir.  [*1226]  2014).</w:t>
      </w:r>
      <w:r>
        <w:rPr>
          <w:rFonts w:ascii="Arial" w:eastAsia="Arial" w:hAnsi="Arial" w:cs="Arial"/>
          <w:vertAlign w:val="superscript"/>
        </w:rPr>
        <w:footnoteReference w:customMarkFollows="1" w:id="49"/>
        <w:t>9</w:t>
      </w:r>
      <w:r>
        <w:rPr>
          <w:rFonts w:ascii="Arial" w:eastAsia="Arial" w:hAnsi="Arial" w:cs="Arial"/>
          <w:color w:val="000000"/>
          <w:sz w:val="20"/>
        </w:rPr>
        <w:t xml:space="preserve"> Here, the claim turns on whether the complaint sufficiently alleged that Dyan requested a reasonable accommodation.</w:t>
      </w:r>
    </w:p>
    <w:p w14:paraId="4A4ECB7A" w14:textId="77777777" w:rsidR="002D0E71" w:rsidRDefault="00000000">
      <w:pPr>
        <w:pStyle w:val="Normal10"/>
        <w:widowControl w:val="0"/>
        <w:spacing w:before="200" w:line="260" w:lineRule="atLeast"/>
        <w:jc w:val="both"/>
      </w:pPr>
      <w:bookmarkStart w:id="1711" w:name="Bookmark_para_39_5"/>
      <w:bookmarkStart w:id="1712" w:name="Bookmark_I5JB61GR2N1PW70030000400"/>
      <w:bookmarkStart w:id="1713" w:name="Bookmark_I5JB61GR2N1PW70050000400"/>
      <w:bookmarkStart w:id="1714" w:name="Bookmark_LNHNREFclscc21_1"/>
      <w:bookmarkEnd w:id="1711"/>
      <w:bookmarkEnd w:id="1712"/>
      <w:bookmarkEnd w:id="1713"/>
      <w:bookmarkEnd w:id="1714"/>
      <w:r>
        <w:rPr>
          <w:rFonts w:ascii="Arial" w:eastAsia="Arial" w:hAnsi="Arial" w:cs="Arial"/>
          <w:color w:val="000000"/>
          <w:sz w:val="20"/>
        </w:rPr>
        <w:t xml:space="preserve">We have yet to determine "precisely what form the request [for a reasonable accommodation] must take." </w:t>
      </w:r>
      <w:bookmarkStart w:id="1715" w:name="Bookmark_I5JB61GR2N1PW70020000400"/>
      <w:bookmarkEnd w:id="1715"/>
      <w:r>
        <w:rPr>
          <w:rFonts w:ascii="Arial" w:eastAsia="Arial" w:hAnsi="Arial" w:cs="Arial"/>
          <w:i/>
          <w:color w:val="000000"/>
          <w:sz w:val="20"/>
        </w:rPr>
        <w:t>Holly v. Clairson Indus., L.L.C.</w:t>
      </w:r>
      <w:r>
        <w:rPr>
          <w:rFonts w:ascii="Arial" w:eastAsia="Arial" w:hAnsi="Arial" w:cs="Arial"/>
          <w:color w:val="000000"/>
          <w:sz w:val="20"/>
        </w:rPr>
        <w:t xml:space="preserve">, 492 F.3d 1247, 1261 n.14 (11th Cir. 2007). Several other circuits have addressed this issue [**23]  in the context of Title I of the ADA, which includes a similar provision requiring employers to make reasonable accommodations for their employees with disabilities. </w:t>
      </w:r>
      <w:bookmarkStart w:id="1716" w:name="Bookmark_I5JB61GR28T4V60020000400"/>
      <w:bookmarkEnd w:id="1716"/>
      <w:r>
        <w:rPr>
          <w:rFonts w:ascii="Arial" w:eastAsia="Arial" w:hAnsi="Arial" w:cs="Arial"/>
          <w:i/>
          <w:color w:val="000000"/>
          <w:sz w:val="20"/>
        </w:rPr>
        <w:t>See</w:t>
      </w:r>
      <w:r>
        <w:rPr>
          <w:rFonts w:ascii="Arial" w:eastAsia="Arial" w:hAnsi="Arial" w:cs="Arial"/>
          <w:color w:val="000000"/>
          <w:sz w:val="20"/>
        </w:rPr>
        <w:t xml:space="preserve"> 42 U.S.C. § 12112(b)(5)(A); </w:t>
      </w:r>
      <w:bookmarkStart w:id="1717" w:name="Bookmark_I5JB61GR2N1PW70040000400"/>
      <w:bookmarkEnd w:id="1717"/>
      <w:r>
        <w:rPr>
          <w:rFonts w:ascii="Arial" w:eastAsia="Arial" w:hAnsi="Arial" w:cs="Arial"/>
          <w:i/>
          <w:color w:val="000000"/>
          <w:sz w:val="20"/>
        </w:rPr>
        <w:t>Schwarz</w:t>
      </w:r>
      <w:r>
        <w:rPr>
          <w:rFonts w:ascii="Arial" w:eastAsia="Arial" w:hAnsi="Arial" w:cs="Arial"/>
          <w:color w:val="000000"/>
          <w:sz w:val="20"/>
        </w:rPr>
        <w:t xml:space="preserve">, 544 F.3d at 1220 (noting that, in a failure to reasonably accommodate claim, "we look to case law under the [Rehabilitation Act] and the ADA for guidance on what is reasonable under the FHA"). </w:t>
      </w:r>
      <w:bookmarkStart w:id="1718" w:name="Bookmark_I5JB61GR28T4V60020000400_2"/>
      <w:bookmarkEnd w:id="1718"/>
      <w:r>
        <w:rPr>
          <w:rFonts w:ascii="Arial" w:eastAsia="Arial" w:hAnsi="Arial" w:cs="Arial"/>
          <w:color w:val="000000"/>
          <w:sz w:val="20"/>
        </w:rPr>
        <w:t xml:space="preserve">The Third Circuit, for example, has stated that what matters is not "formalisms about the manner of the request," but that the employer has notice of the employee's disability and wish to be accommodated. </w:t>
      </w:r>
      <w:bookmarkStart w:id="1719" w:name="Bookmark_I5JB61GR28T4V60040000400"/>
      <w:bookmarkStart w:id="1720" w:name="Bookmark_I5JB61GR28T4V60010000400"/>
      <w:bookmarkEnd w:id="1719"/>
      <w:bookmarkEnd w:id="1720"/>
      <w:r>
        <w:rPr>
          <w:rFonts w:ascii="Arial" w:eastAsia="Arial" w:hAnsi="Arial" w:cs="Arial"/>
          <w:i/>
          <w:color w:val="000000"/>
          <w:sz w:val="20"/>
        </w:rPr>
        <w:t>Taylor v. Phoenixville Sch. Dist.</w:t>
      </w:r>
      <w:r>
        <w:rPr>
          <w:rFonts w:ascii="Arial" w:eastAsia="Arial" w:hAnsi="Arial" w:cs="Arial"/>
          <w:color w:val="000000"/>
          <w:sz w:val="20"/>
        </w:rPr>
        <w:t xml:space="preserve">, 184 F.3d 296, 313 (3d Cir. 1999). </w:t>
      </w:r>
      <w:bookmarkStart w:id="1721" w:name="Bookmark_I5JB61GR28T4V60040000400_2"/>
      <w:bookmarkStart w:id="1722" w:name="Bookmark_I5JB61GR2D6NTN0010000400"/>
      <w:bookmarkEnd w:id="1721"/>
      <w:bookmarkEnd w:id="1722"/>
      <w:r>
        <w:rPr>
          <w:rFonts w:ascii="Arial" w:eastAsia="Arial" w:hAnsi="Arial" w:cs="Arial"/>
          <w:color w:val="000000"/>
          <w:sz w:val="20"/>
        </w:rPr>
        <w:t xml:space="preserve">Similarly, the Tenth Circuit has emphasized that a plaintiff "need not use magic words" to express a request for accommodation. </w:t>
      </w:r>
      <w:bookmarkStart w:id="1723" w:name="Bookmark_I08P03GHP7S000RK982000FB"/>
      <w:bookmarkStart w:id="1724" w:name="Bookmark_I5JB61GR2D6NTN0030000400"/>
      <w:bookmarkStart w:id="1725" w:name="Bookmark_I5JB61GR28T4V60030000400"/>
      <w:bookmarkEnd w:id="1723"/>
      <w:bookmarkEnd w:id="1724"/>
      <w:bookmarkEnd w:id="1725"/>
      <w:r>
        <w:rPr>
          <w:rFonts w:ascii="Arial" w:eastAsia="Arial" w:hAnsi="Arial" w:cs="Arial"/>
          <w:i/>
          <w:color w:val="000000"/>
          <w:sz w:val="20"/>
        </w:rPr>
        <w:t>Smith v. Midland Brake, Inc.</w:t>
      </w:r>
      <w:r>
        <w:rPr>
          <w:rFonts w:ascii="Arial" w:eastAsia="Arial" w:hAnsi="Arial" w:cs="Arial"/>
          <w:color w:val="000000"/>
          <w:sz w:val="20"/>
        </w:rPr>
        <w:t xml:space="preserve">, 180 F.3d 1154, 1172 (10th Cir. 1999) (en banc). </w:t>
      </w:r>
      <w:bookmarkStart w:id="1726" w:name="Bookmark_I5JB61GR2D6NTN0030000400_2"/>
      <w:bookmarkStart w:id="1727" w:name="Bookmark_I5JB61GR2D6NTN0010000400_2"/>
      <w:bookmarkEnd w:id="1726"/>
      <w:bookmarkEnd w:id="1727"/>
      <w:r>
        <w:rPr>
          <w:rFonts w:ascii="Arial" w:eastAsia="Arial" w:hAnsi="Arial" w:cs="Arial"/>
          <w:color w:val="000000"/>
          <w:sz w:val="20"/>
        </w:rPr>
        <w:t xml:space="preserve">However stated, a plaintiff can be said to have made a request for accommodation when the defendant has "enough information to know of both the disability and desire for an accommodation." </w:t>
      </w:r>
      <w:bookmarkStart w:id="1728" w:name="Bookmark_I5JB61GR28T4V60050000400"/>
      <w:bookmarkEnd w:id="1728"/>
      <w:r>
        <w:rPr>
          <w:rFonts w:ascii="Arial" w:eastAsia="Arial" w:hAnsi="Arial" w:cs="Arial"/>
          <w:i/>
          <w:color w:val="000000"/>
          <w:sz w:val="20"/>
        </w:rPr>
        <w:t>Conneen v. MBNA Am. Bank, N.A.</w:t>
      </w:r>
      <w:r>
        <w:rPr>
          <w:rFonts w:ascii="Arial" w:eastAsia="Arial" w:hAnsi="Arial" w:cs="Arial"/>
          <w:color w:val="000000"/>
          <w:sz w:val="20"/>
        </w:rPr>
        <w:t xml:space="preserve">, 334 F.3d 318, 332 (3d Cir. 2003) (internal quotation marks omitted). We agree with the Third Circuit that "circumstances must at least be sufficient to cause a reasonable [housing provider] to make appropriate inquiries about the possible need for an accommodation." </w:t>
      </w:r>
      <w:bookmarkStart w:id="1729" w:name="Bookmark_I5JB61GR2D6NTN0020000400"/>
      <w:bookmarkEnd w:id="1729"/>
      <w:r>
        <w:rPr>
          <w:rFonts w:ascii="Arial" w:eastAsia="Arial" w:hAnsi="Arial" w:cs="Arial"/>
          <w:i/>
          <w:color w:val="000000"/>
          <w:sz w:val="20"/>
        </w:rPr>
        <w:t>Id.</w:t>
      </w:r>
    </w:p>
    <w:p w14:paraId="4BE0DE03" w14:textId="77777777" w:rsidR="002D0E71" w:rsidRDefault="00000000">
      <w:pPr>
        <w:pStyle w:val="Normal10"/>
        <w:widowControl w:val="0"/>
        <w:spacing w:before="200" w:line="260" w:lineRule="atLeast"/>
        <w:jc w:val="both"/>
      </w:pPr>
      <w:bookmarkStart w:id="1730" w:name="Bookmark_para_40_5"/>
      <w:bookmarkEnd w:id="1730"/>
      <w:r>
        <w:rPr>
          <w:rFonts w:ascii="Arial" w:eastAsia="Arial" w:hAnsi="Arial" w:cs="Arial"/>
          <w:color w:val="000000"/>
          <w:sz w:val="20"/>
        </w:rPr>
        <w:t>Here, the complaint contained allegations that, taken together, meet this standard. [**24]  Dyan explained to Ms. Jackson, the community manager, that Karl was not making threats but rather describing scenes from a cartoon he watched regularly, and that he "was harmless and . . . has a speech impediment that causes him to speak without properly explaining himself," resulting in his words being misconstrued. Second Am. Comp. ¶ 24. After Ms. Jackson and Deputy Kushel left the Hunts' home, Dyan called Ms. Jackson crying and apologizing profusely. Dyan told her that she would look for a facility that would take care of Karl during the day while she was away at work to prevent any more incidents. It is clear from the context that Dyan communicated that she was attempting to make these arrangements for the express purpose of avoiding future conflict as a result of Karl's disability. We conclude that these factual allegations were sufficient to plead that Dyan sought an accommodation in the form of an exception to Aimco's apparent policy or practice of not renewing the leases of tenants who make threats.</w:t>
      </w:r>
    </w:p>
    <w:p w14:paraId="0CB1F900" w14:textId="77777777" w:rsidR="002D0E71" w:rsidRDefault="00000000">
      <w:pPr>
        <w:pStyle w:val="Normal10"/>
        <w:widowControl w:val="0"/>
        <w:spacing w:before="200" w:line="260" w:lineRule="atLeast"/>
        <w:jc w:val="both"/>
      </w:pPr>
      <w:bookmarkStart w:id="1731" w:name="Bookmark_para_41_5"/>
      <w:bookmarkEnd w:id="1731"/>
      <w:r>
        <w:rPr>
          <w:rFonts w:ascii="Arial" w:eastAsia="Arial" w:hAnsi="Arial" w:cs="Arial"/>
          <w:color w:val="000000"/>
          <w:sz w:val="20"/>
        </w:rPr>
        <w:t xml:space="preserve">We can now easily conclude the complaint adequately pled the third and fourth elements of a reasonable accommodation claim. The requested accommodation was necessary to eliminate [**25]  the possibility that Karl would make perceived threats or engage  [*1227]  in other behavior that frightened or disturbed the Reflections staff. It thus was necessary to afford the Hunts an opportunity to continue to use and enjoy the apartment, yet Aimco refused to make the accommodation. The complaint alleged that Aimco disregarded Dyan's plea that Karl "was not a direct threat and . . . ignored her attempts to suggest alternatives short of eviction." </w:t>
      </w:r>
      <w:r>
        <w:rPr>
          <w:rFonts w:ascii="Arial" w:eastAsia="Arial" w:hAnsi="Arial" w:cs="Arial"/>
          <w:i/>
          <w:color w:val="000000"/>
          <w:sz w:val="20"/>
        </w:rPr>
        <w:t>Id.</w:t>
      </w:r>
      <w:r>
        <w:rPr>
          <w:rFonts w:ascii="Arial" w:eastAsia="Arial" w:hAnsi="Arial" w:cs="Arial"/>
          <w:color w:val="000000"/>
          <w:sz w:val="20"/>
        </w:rPr>
        <w:t xml:space="preserve"> ¶ 32. Aimco failed "to modify its existing policies and practices to accommodate [Karl's] disabilities." </w:t>
      </w:r>
      <w:r>
        <w:rPr>
          <w:rFonts w:ascii="Arial" w:eastAsia="Arial" w:hAnsi="Arial" w:cs="Arial"/>
          <w:i/>
          <w:color w:val="000000"/>
          <w:sz w:val="20"/>
        </w:rPr>
        <w:t>Id.</w:t>
      </w:r>
      <w:r>
        <w:rPr>
          <w:rFonts w:ascii="Arial" w:eastAsia="Arial" w:hAnsi="Arial" w:cs="Arial"/>
          <w:color w:val="000000"/>
          <w:sz w:val="20"/>
        </w:rPr>
        <w:t xml:space="preserve"> ¶ 95. These allegations sufficiently support the claim that Aimco failed even to consider, much less make, the reasonable accommodation of permitting the Hunts to remain in their apartment while Dyan made arrangements for Karl to be placed in offsite care to avoid future incidents or misunderstandings. The Hunts stated a claim for failure to make a reasonable accommodation.</w:t>
      </w:r>
    </w:p>
    <w:p w14:paraId="22AA3BA9" w14:textId="77777777" w:rsidR="002D0E71" w:rsidRDefault="00000000">
      <w:pPr>
        <w:pStyle w:val="Normal10"/>
        <w:widowControl w:val="0"/>
        <w:spacing w:before="240" w:line="260" w:lineRule="atLeast"/>
      </w:pPr>
      <w:r>
        <w:br/>
      </w:r>
      <w:r>
        <w:rPr>
          <w:rFonts w:ascii="Arial" w:eastAsia="Arial" w:hAnsi="Arial" w:cs="Arial"/>
          <w:b/>
          <w:color w:val="000000"/>
          <w:sz w:val="20"/>
        </w:rPr>
        <w:t>III. CONCLUSION</w:t>
      </w:r>
    </w:p>
    <w:p w14:paraId="77BF80E2" w14:textId="77777777" w:rsidR="002D0E71" w:rsidRDefault="00000000">
      <w:pPr>
        <w:pStyle w:val="Normal10"/>
        <w:widowControl w:val="0"/>
        <w:spacing w:before="200" w:line="260" w:lineRule="atLeast"/>
        <w:jc w:val="both"/>
      </w:pPr>
      <w:bookmarkStart w:id="1732" w:name="Bookmark_para_42_5"/>
      <w:bookmarkEnd w:id="1732"/>
      <w:r>
        <w:rPr>
          <w:rFonts w:ascii="Arial" w:eastAsia="Arial" w:hAnsi="Arial" w:cs="Arial"/>
          <w:color w:val="000000"/>
          <w:sz w:val="20"/>
        </w:rPr>
        <w:t>For the reasons explained above, we reverse the district court's dismissal of the complaint and remand for further proceedings consistent with this opinion.</w:t>
      </w:r>
    </w:p>
    <w:p w14:paraId="08C04AAD" w14:textId="77777777" w:rsidR="002D0E71" w:rsidRDefault="00000000">
      <w:pPr>
        <w:pStyle w:val="Normal10"/>
        <w:widowControl w:val="0"/>
        <w:spacing w:before="200" w:line="260" w:lineRule="atLeast"/>
        <w:jc w:val="both"/>
      </w:pPr>
      <w:bookmarkStart w:id="1733" w:name="Bookmark_para_43_5"/>
      <w:bookmarkEnd w:id="1733"/>
      <w:r>
        <w:rPr>
          <w:rFonts w:ascii="Arial" w:eastAsia="Arial" w:hAnsi="Arial" w:cs="Arial"/>
          <w:b/>
          <w:color w:val="000000"/>
          <w:sz w:val="20"/>
        </w:rPr>
        <w:t>REVERSED AND REMANDED</w:t>
      </w:r>
      <w:r>
        <w:rPr>
          <w:rFonts w:ascii="Arial" w:eastAsia="Arial" w:hAnsi="Arial" w:cs="Arial"/>
          <w:color w:val="000000"/>
          <w:sz w:val="20"/>
        </w:rPr>
        <w:t>.</w:t>
      </w:r>
    </w:p>
    <w:p w14:paraId="53FD89F7" w14:textId="77777777" w:rsidR="002D0E71" w:rsidRDefault="002D0E71">
      <w:pPr>
        <w:pStyle w:val="Normal10"/>
      </w:pPr>
    </w:p>
    <w:p w14:paraId="40A2AEA2" w14:textId="38B752A4" w:rsidR="002D0E71" w:rsidRDefault="00000000">
      <w:pPr>
        <w:pStyle w:val="Normal10"/>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80768" behindDoc="0" locked="0" layoutInCell="1" allowOverlap="1" wp14:anchorId="752B242D" wp14:editId="5D44EFFB">
                <wp:simplePos x="0" y="0"/>
                <wp:positionH relativeFrom="column">
                  <wp:posOffset>0</wp:posOffset>
                </wp:positionH>
                <wp:positionV relativeFrom="paragraph">
                  <wp:posOffset>127000</wp:posOffset>
                </wp:positionV>
                <wp:extent cx="6502400" cy="0"/>
                <wp:effectExtent l="9525" t="12700" r="12700" b="6350"/>
                <wp:wrapNone/>
                <wp:docPr id="264292320"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273CB8" id="Line 2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C1257E4" w14:textId="77777777" w:rsidR="002D0E71" w:rsidRDefault="002D0E71">
      <w:pPr>
        <w:pStyle w:val="Normal11"/>
        <w:sectPr w:rsidR="002D0E71">
          <w:headerReference w:type="even" r:id="rId72"/>
          <w:headerReference w:type="default" r:id="rId73"/>
          <w:footerReference w:type="even" r:id="rId74"/>
          <w:footerReference w:type="default" r:id="rId75"/>
          <w:headerReference w:type="first" r:id="rId76"/>
          <w:footerReference w:type="first" r:id="rId77"/>
          <w:pgSz w:w="12240" w:h="15840"/>
          <w:pgMar w:top="840" w:right="1000" w:bottom="840" w:left="1000" w:header="400" w:footer="400" w:gutter="0"/>
          <w:cols w:space="720"/>
          <w:titlePg/>
        </w:sectPr>
      </w:pPr>
    </w:p>
    <w:p w14:paraId="26C293E8" w14:textId="77777777" w:rsidR="002D0E71" w:rsidRDefault="002D0E71">
      <w:pPr>
        <w:pStyle w:val="Normal11"/>
      </w:pPr>
    </w:p>
    <w:p w14:paraId="11B0E91A" w14:textId="77777777" w:rsidR="002D0E71" w:rsidRDefault="00000000">
      <w:pPr>
        <w:pStyle w:val="Heading110"/>
        <w:keepNext w:val="0"/>
        <w:widowControl w:val="0"/>
        <w:spacing w:after="200" w:line="340" w:lineRule="atLeast"/>
        <w:jc w:val="center"/>
      </w:pPr>
      <w:r>
        <w:rPr>
          <w:rFonts w:eastAsia="Arial"/>
          <w:color w:val="000000"/>
          <w:sz w:val="28"/>
        </w:rPr>
        <w:t>Choi v. Univ. of Tex. Health Sci. Ctr. at San Antonio</w:t>
      </w:r>
    </w:p>
    <w:p w14:paraId="4AEB384D" w14:textId="77777777" w:rsidR="002D0E71" w:rsidRDefault="00000000">
      <w:pPr>
        <w:pStyle w:val="Normal11"/>
        <w:widowControl w:val="0"/>
        <w:spacing w:before="120" w:line="260" w:lineRule="atLeast"/>
        <w:jc w:val="center"/>
      </w:pPr>
      <w:r>
        <w:rPr>
          <w:rFonts w:ascii="Arial" w:eastAsia="Arial" w:hAnsi="Arial" w:cs="Arial"/>
          <w:color w:val="000000"/>
          <w:sz w:val="20"/>
        </w:rPr>
        <w:t>United States Court of Appeals for the Fifth Circuit</w:t>
      </w:r>
    </w:p>
    <w:p w14:paraId="3CDBC21B" w14:textId="77777777" w:rsidR="002D0E71" w:rsidRDefault="00000000">
      <w:pPr>
        <w:pStyle w:val="Normal11"/>
        <w:widowControl w:val="0"/>
        <w:spacing w:before="120" w:line="260" w:lineRule="atLeast"/>
        <w:jc w:val="center"/>
      </w:pPr>
      <w:r>
        <w:rPr>
          <w:rFonts w:ascii="Arial" w:eastAsia="Arial" w:hAnsi="Arial" w:cs="Arial"/>
          <w:color w:val="000000"/>
          <w:sz w:val="20"/>
        </w:rPr>
        <w:t>December 11, 2015, Filed</w:t>
      </w:r>
    </w:p>
    <w:p w14:paraId="55B2615F" w14:textId="77777777" w:rsidR="002D0E71" w:rsidRDefault="00000000">
      <w:pPr>
        <w:pStyle w:val="Normal11"/>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14-51225</w:t>
      </w:r>
    </w:p>
    <w:p w14:paraId="374E5201" w14:textId="77777777" w:rsidR="002D0E71" w:rsidRDefault="002D0E71">
      <w:pPr>
        <w:pStyle w:val="Normal11"/>
        <w:widowControl w:val="0"/>
        <w:spacing w:line="240" w:lineRule="atLeast"/>
        <w:jc w:val="both"/>
      </w:pPr>
      <w:bookmarkStart w:id="1734" w:name="Bookmark_12"/>
      <w:bookmarkEnd w:id="1734"/>
    </w:p>
    <w:p w14:paraId="52ACB7B2" w14:textId="77777777" w:rsidR="002D0E71" w:rsidRDefault="00000000">
      <w:pPr>
        <w:pStyle w:val="Normal11"/>
        <w:widowControl w:val="0"/>
        <w:spacing w:before="200" w:line="240" w:lineRule="atLeast"/>
      </w:pPr>
      <w:bookmarkStart w:id="1735" w:name="Reporter_10"/>
      <w:bookmarkEnd w:id="1735"/>
      <w:r>
        <w:rPr>
          <w:rFonts w:ascii="Arial" w:eastAsia="Arial" w:hAnsi="Arial" w:cs="Arial"/>
          <w:b/>
          <w:color w:val="000000"/>
          <w:sz w:val="18"/>
        </w:rPr>
        <w:t>Reporter</w:t>
      </w:r>
    </w:p>
    <w:p w14:paraId="470FFE81" w14:textId="77777777" w:rsidR="002D0E71" w:rsidRDefault="00000000">
      <w:pPr>
        <w:pStyle w:val="Normal11"/>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633 Fed. Appx. 214 *; 2015 U.S. App. LEXIS 21482 **</w:t>
      </w:r>
    </w:p>
    <w:p w14:paraId="4BA388B5" w14:textId="77777777" w:rsidR="002D0E71" w:rsidRDefault="00000000">
      <w:pPr>
        <w:pStyle w:val="Normal11"/>
        <w:widowControl w:val="0"/>
        <w:spacing w:before="120" w:line="260" w:lineRule="atLeast"/>
      </w:pPr>
      <w:r>
        <w:rPr>
          <w:rFonts w:ascii="Arial" w:eastAsia="Arial" w:hAnsi="Arial" w:cs="Arial"/>
          <w:color w:val="000000"/>
          <w:sz w:val="20"/>
        </w:rPr>
        <w:t>JIN CHOI, Plaintiff - Appellant v. UNIVERSITY OF TEXAS HEALTH SCIENCE CENTER AT SAN ANTONIO; KENNETH KALKWARF, D.D.S., M.S. Dean, The University of Texas Health Science Center at San Antonio Dental School, In his Official Capacity; RITA R. PARMA, D.D.S. Assistant Professor, at The University of Texas Health Science Center at San Antonio Dental School, In her Individual Capacity; WILLIAM HENRICH, M.D. President The University of Texas Health Science Center at San Antonio In his Official Capacity, Defendants - Appellees</w:t>
      </w:r>
    </w:p>
    <w:p w14:paraId="5BC06C88" w14:textId="77777777" w:rsidR="002D0E71" w:rsidRDefault="00000000">
      <w:pPr>
        <w:pStyle w:val="Normal11"/>
        <w:widowControl w:val="0"/>
        <w:spacing w:before="240" w:line="260" w:lineRule="atLeast"/>
        <w:jc w:val="both"/>
      </w:pPr>
      <w:bookmarkStart w:id="1736" w:name="Notice_1"/>
      <w:bookmarkEnd w:id="1736"/>
      <w:r>
        <w:rPr>
          <w:rFonts w:ascii="Arial" w:eastAsia="Arial" w:hAnsi="Arial" w:cs="Arial"/>
          <w:b/>
          <w:color w:val="000000"/>
          <w:sz w:val="20"/>
        </w:rPr>
        <w:t>Notice:</w:t>
      </w:r>
      <w:r>
        <w:rPr>
          <w:rFonts w:ascii="Arial" w:eastAsia="Arial" w:hAnsi="Arial" w:cs="Arial"/>
          <w:color w:val="000000"/>
          <w:sz w:val="20"/>
        </w:rPr>
        <w:t> </w:t>
      </w:r>
      <w:bookmarkStart w:id="1737" w:name="Bookmark_para_1_10"/>
      <w:bookmarkEnd w:id="1737"/>
      <w:r>
        <w:rPr>
          <w:rFonts w:ascii="Arial" w:eastAsia="Arial" w:hAnsi="Arial" w:cs="Arial"/>
          <w:color w:val="000000"/>
          <w:sz w:val="20"/>
        </w:rPr>
        <w:t>PLEASE REFER TO FEDERAL RULES OF APPELLATE PROCEDURE RULE 32.1 GOVERNING THE CITATION TO UNPUBLISHED OPINIONS.</w:t>
      </w:r>
    </w:p>
    <w:p w14:paraId="00108303" w14:textId="77777777" w:rsidR="002D0E71" w:rsidRDefault="00000000">
      <w:pPr>
        <w:pStyle w:val="Normal11"/>
        <w:widowControl w:val="0"/>
        <w:spacing w:before="240" w:line="260" w:lineRule="atLeast"/>
        <w:jc w:val="both"/>
      </w:pPr>
      <w:bookmarkStart w:id="1738" w:name="Prior_History_10"/>
      <w:bookmarkEnd w:id="1738"/>
      <w:r>
        <w:rPr>
          <w:rFonts w:ascii="Arial" w:eastAsia="Arial" w:hAnsi="Arial" w:cs="Arial"/>
          <w:b/>
          <w:color w:val="000000"/>
          <w:sz w:val="20"/>
        </w:rPr>
        <w:t>Prior History:</w:t>
      </w:r>
      <w:r>
        <w:rPr>
          <w:rFonts w:ascii="Arial" w:eastAsia="Arial" w:hAnsi="Arial" w:cs="Arial"/>
          <w:color w:val="000000"/>
          <w:sz w:val="20"/>
        </w:rPr>
        <w:t> </w:t>
      </w:r>
      <w:bookmarkStart w:id="1739" w:name="Bookmark_para_2_10"/>
      <w:bookmarkEnd w:id="1739"/>
      <w:r>
        <w:rPr>
          <w:rFonts w:ascii="Arial" w:eastAsia="Arial" w:hAnsi="Arial" w:cs="Arial"/>
          <w:color w:val="000000"/>
          <w:sz w:val="20"/>
        </w:rPr>
        <w:t> [**1] Appeals from the United States District Court for the Western District of Texas. USDC No. 5:13-CV-846.</w:t>
      </w:r>
    </w:p>
    <w:p w14:paraId="147EC942" w14:textId="77777777" w:rsidR="002D0E71" w:rsidRDefault="00000000">
      <w:pPr>
        <w:pStyle w:val="Normal11"/>
        <w:widowControl w:val="0"/>
        <w:spacing w:before="240" w:line="260" w:lineRule="atLeast"/>
      </w:pPr>
      <w:bookmarkStart w:id="1740" w:name="Counsel_10"/>
      <w:bookmarkEnd w:id="1740"/>
      <w:r>
        <w:rPr>
          <w:rFonts w:ascii="Arial" w:eastAsia="Arial" w:hAnsi="Arial" w:cs="Arial"/>
          <w:b/>
          <w:color w:val="000000"/>
          <w:sz w:val="20"/>
        </w:rPr>
        <w:t>Counsel:</w:t>
      </w:r>
      <w:r>
        <w:rPr>
          <w:rFonts w:ascii="Arial" w:eastAsia="Arial" w:hAnsi="Arial" w:cs="Arial"/>
          <w:color w:val="000000"/>
          <w:sz w:val="20"/>
        </w:rPr>
        <w:t> For JIN CHOI, Plaintiff - Appellant: Martin J. Cirkiel, Cirkiel &amp; Associates, P.C., Round Rock, TX.</w:t>
      </w:r>
    </w:p>
    <w:p w14:paraId="5EFBA12C" w14:textId="77777777" w:rsidR="002D0E71" w:rsidRDefault="00000000">
      <w:pPr>
        <w:pStyle w:val="Normal11"/>
        <w:widowControl w:val="0"/>
        <w:spacing w:before="120" w:line="260" w:lineRule="atLeast"/>
      </w:pPr>
      <w:r>
        <w:rPr>
          <w:rFonts w:ascii="Arial" w:eastAsia="Arial" w:hAnsi="Arial" w:cs="Arial"/>
          <w:color w:val="000000"/>
          <w:sz w:val="20"/>
        </w:rPr>
        <w:t>For UNIVERSITY OF TEXAS HEALTH SCIENCE CENTER AT SAN ANTONIO, Defendant - Appellee: Amanda Cochran-McCall, Assistant Attorney General, Office of the Attorney General for the State of Texas, Austin, TX; Nancy Kathleen Juren, Assistant Attorney General, Office of the Attorney General, General Litigation Division, Austin, TX.</w:t>
      </w:r>
    </w:p>
    <w:p w14:paraId="76630551" w14:textId="77777777" w:rsidR="002D0E71" w:rsidRDefault="00000000">
      <w:pPr>
        <w:pStyle w:val="Normal11"/>
        <w:widowControl w:val="0"/>
        <w:spacing w:before="120" w:line="260" w:lineRule="atLeast"/>
      </w:pPr>
      <w:r>
        <w:rPr>
          <w:rFonts w:ascii="Arial" w:eastAsia="Arial" w:hAnsi="Arial" w:cs="Arial"/>
          <w:color w:val="000000"/>
          <w:sz w:val="20"/>
        </w:rPr>
        <w:t>For KENNETH KALKWARF, D.D.S., M.S. Dean, The University of Texas Health Science Center at San Antonio Dental School, In his Official Capacity, RITA R. PARMA, D.D.S. Assitant Professor, at The University of Texas Health Science Center at San Antonio Dental School, In her Individual Capacity, WILLIAM HENRICH, M.D. President The University of Texas Health Science Center at San Antonio In his Official Capacity, Defendants - Appellees: Amanda Cochran-McCall, Assistant Attorney General, Office of the Attorney General for the State of Texas, Austin, TX.</w:t>
      </w:r>
    </w:p>
    <w:p w14:paraId="4FCFF77A" w14:textId="77777777" w:rsidR="002D0E71" w:rsidRDefault="00000000">
      <w:pPr>
        <w:pStyle w:val="Normal11"/>
        <w:widowControl w:val="0"/>
        <w:spacing w:before="240" w:line="260" w:lineRule="atLeast"/>
      </w:pPr>
      <w:bookmarkStart w:id="1741" w:name="Judges_10"/>
      <w:bookmarkEnd w:id="1741"/>
      <w:r>
        <w:rPr>
          <w:rFonts w:ascii="Arial" w:eastAsia="Arial" w:hAnsi="Arial" w:cs="Arial"/>
          <w:b/>
          <w:color w:val="000000"/>
          <w:sz w:val="20"/>
        </w:rPr>
        <w:t>Judges:</w:t>
      </w:r>
      <w:r>
        <w:rPr>
          <w:rFonts w:ascii="Arial" w:eastAsia="Arial" w:hAnsi="Arial" w:cs="Arial"/>
          <w:color w:val="000000"/>
          <w:sz w:val="20"/>
        </w:rPr>
        <w:t> Before STEWART, Chief Judge, and CLEMENT and ELROD, Circuit Judges.</w:t>
      </w:r>
    </w:p>
    <w:p w14:paraId="7855D151" w14:textId="77777777" w:rsidR="002D0E71" w:rsidRDefault="00000000">
      <w:pPr>
        <w:pStyle w:val="Normal11"/>
        <w:keepNext/>
        <w:widowControl w:val="0"/>
        <w:spacing w:before="240" w:line="340" w:lineRule="atLeast"/>
      </w:pPr>
      <w:bookmarkStart w:id="1742" w:name="Opinion_10"/>
      <w:bookmarkEnd w:id="1742"/>
      <w:r>
        <w:rPr>
          <w:rFonts w:ascii="Arial" w:eastAsia="Arial" w:hAnsi="Arial" w:cs="Arial"/>
          <w:b/>
          <w:color w:val="000000"/>
          <w:sz w:val="28"/>
        </w:rPr>
        <w:t>Opinion</w:t>
      </w:r>
    </w:p>
    <w:p w14:paraId="0F4C1401" w14:textId="7C5CA76B" w:rsidR="002D0E71" w:rsidRDefault="002939DF">
      <w:pPr>
        <w:pStyle w:val="Normal11"/>
        <w:spacing w:line="60" w:lineRule="exact"/>
      </w:pPr>
      <w:r>
        <w:rPr>
          <w:noProof/>
        </w:rPr>
        <mc:AlternateContent>
          <mc:Choice Requires="wps">
            <w:drawing>
              <wp:anchor distT="0" distB="0" distL="114300" distR="114300" simplePos="0" relativeHeight="251681792" behindDoc="0" locked="0" layoutInCell="1" allowOverlap="1" wp14:anchorId="1317CB5C" wp14:editId="335C70B5">
                <wp:simplePos x="0" y="0"/>
                <wp:positionH relativeFrom="column">
                  <wp:posOffset>0</wp:posOffset>
                </wp:positionH>
                <wp:positionV relativeFrom="paragraph">
                  <wp:posOffset>25400</wp:posOffset>
                </wp:positionV>
                <wp:extent cx="3187700" cy="0"/>
                <wp:effectExtent l="19050" t="15875" r="12700" b="12700"/>
                <wp:wrapTopAndBottom/>
                <wp:docPr id="549838546"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BC098B" id="Line 24"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4A81C56" w14:textId="77777777" w:rsidR="002D0E71" w:rsidRDefault="002D0E71">
      <w:pPr>
        <w:pStyle w:val="Normal11"/>
      </w:pPr>
    </w:p>
    <w:p w14:paraId="7054155C" w14:textId="77777777" w:rsidR="002D0E71" w:rsidRDefault="00000000">
      <w:pPr>
        <w:pStyle w:val="Normal11"/>
        <w:widowControl w:val="0"/>
        <w:spacing w:before="200" w:line="260" w:lineRule="atLeast"/>
        <w:jc w:val="both"/>
      </w:pPr>
      <w:bookmarkStart w:id="1743" w:name="Bookmark_para_3_10"/>
      <w:bookmarkEnd w:id="1743"/>
      <w:r>
        <w:rPr>
          <w:rFonts w:ascii="Arial" w:eastAsia="Arial" w:hAnsi="Arial" w:cs="Arial"/>
          <w:color w:val="000000"/>
          <w:sz w:val="20"/>
        </w:rPr>
        <w:t> [*214]  PER CURIAM:</w:t>
      </w:r>
      <w:r>
        <w:rPr>
          <w:rFonts w:ascii="Arial" w:eastAsia="Arial" w:hAnsi="Arial" w:cs="Arial"/>
          <w:vertAlign w:val="superscript"/>
        </w:rPr>
        <w:footnoteReference w:customMarkFollows="1" w:id="50"/>
        <w:t>*</w:t>
      </w:r>
    </w:p>
    <w:p w14:paraId="64C47004" w14:textId="77777777" w:rsidR="002D0E71" w:rsidRDefault="00000000">
      <w:pPr>
        <w:pStyle w:val="Normal11"/>
        <w:widowControl w:val="0"/>
        <w:spacing w:before="200" w:line="260" w:lineRule="atLeast"/>
        <w:jc w:val="both"/>
      </w:pPr>
      <w:bookmarkStart w:id="1745" w:name="Bookmark_para_4_10"/>
      <w:bookmarkEnd w:id="1745"/>
      <w:r>
        <w:rPr>
          <w:rFonts w:ascii="Arial" w:eastAsia="Arial" w:hAnsi="Arial" w:cs="Arial"/>
          <w:color w:val="000000"/>
          <w:sz w:val="20"/>
        </w:rPr>
        <w:t>Plaintiff-Appellant Jin Choi was a dental student at the University of Texas Health Science Center at San Antonio (the "Dental School" or "School"). Choi struggled with his course work from the beginning  [*215]  of his time at the No. 14-51225 School and had to repeat his first-year classes. During his second-year coursework, Choi was diagnosed with Attention Deficit Disorder ("ADD"). Choi continued to struggle academically during his third year at the School, was placed in remediation, and ultimately failed one of his third-year clinical courses. As a result, he was dismissed from the School. Choi informed the School of his ADD diagnosis for the first time during this dismissal process. After failing in his appeals to the Dean of the Dental School, and to the University, Choi filed suit in federal court claiming that his dismissal violated his statutory and constitutional rights. The district court dismissed his complaint. We AFFIRM.</w:t>
      </w:r>
    </w:p>
    <w:p w14:paraId="5F0A448F" w14:textId="77777777" w:rsidR="002D0E71" w:rsidRDefault="00000000">
      <w:pPr>
        <w:pStyle w:val="Normal11"/>
        <w:widowControl w:val="0"/>
        <w:spacing w:before="120" w:line="260" w:lineRule="atLeast"/>
      </w:pPr>
      <w:r>
        <w:rPr>
          <w:rFonts w:ascii="Arial" w:eastAsia="Arial" w:hAnsi="Arial" w:cs="Arial"/>
          <w:color w:val="000000"/>
          <w:sz w:val="20"/>
        </w:rPr>
        <w:t>47 I.</w:t>
      </w:r>
    </w:p>
    <w:p w14:paraId="27F50C80" w14:textId="77777777" w:rsidR="002D0E71" w:rsidRDefault="00000000">
      <w:pPr>
        <w:pStyle w:val="Normal11"/>
        <w:widowControl w:val="0"/>
        <w:spacing w:before="200" w:line="260" w:lineRule="atLeast"/>
        <w:jc w:val="both"/>
      </w:pPr>
      <w:bookmarkStart w:id="1746" w:name="Bookmark_para_5_10"/>
      <w:bookmarkEnd w:id="1746"/>
      <w:r>
        <w:rPr>
          <w:rFonts w:ascii="Arial" w:eastAsia="Arial" w:hAnsi="Arial" w:cs="Arial"/>
          <w:color w:val="000000"/>
          <w:sz w:val="20"/>
        </w:rPr>
        <w:t xml:space="preserve">Choi argues that the district court erred in dismissing his discrimination claims brought under Section 504 of the Rehabilitation Act, 29 U.S.C. § 794, </w:t>
      </w:r>
      <w:r>
        <w:rPr>
          <w:rFonts w:ascii="Arial" w:eastAsia="Arial" w:hAnsi="Arial" w:cs="Arial"/>
          <w:i/>
          <w:color w:val="000000"/>
          <w:sz w:val="20"/>
        </w:rPr>
        <w:t>et seq.</w:t>
      </w:r>
      <w:r>
        <w:rPr>
          <w:rFonts w:ascii="Arial" w:eastAsia="Arial" w:hAnsi="Arial" w:cs="Arial"/>
          <w:color w:val="000000"/>
          <w:sz w:val="20"/>
        </w:rPr>
        <w:t xml:space="preserve"> (the "Rehabilitation Act") [**3]  and the Americans with Disabilities Act, 42 U.S.C. § 12132, </w:t>
      </w:r>
      <w:r>
        <w:rPr>
          <w:rFonts w:ascii="Arial" w:eastAsia="Arial" w:hAnsi="Arial" w:cs="Arial"/>
          <w:i/>
          <w:color w:val="000000"/>
          <w:sz w:val="20"/>
        </w:rPr>
        <w:t>et seq.</w:t>
      </w:r>
      <w:r>
        <w:rPr>
          <w:rFonts w:ascii="Arial" w:eastAsia="Arial" w:hAnsi="Arial" w:cs="Arial"/>
          <w:color w:val="000000"/>
          <w:sz w:val="20"/>
        </w:rPr>
        <w:t xml:space="preserve"> (the "ADA").</w:t>
      </w:r>
      <w:r>
        <w:rPr>
          <w:rFonts w:ascii="Arial" w:eastAsia="Arial" w:hAnsi="Arial" w:cs="Arial"/>
          <w:vertAlign w:val="superscript"/>
        </w:rPr>
        <w:footnoteReference w:customMarkFollows="1" w:id="51"/>
        <w:t>1</w:t>
      </w:r>
      <w:r>
        <w:rPr>
          <w:rFonts w:ascii="Arial" w:eastAsia="Arial" w:hAnsi="Arial" w:cs="Arial"/>
          <w:color w:val="000000"/>
          <w:sz w:val="20"/>
        </w:rPr>
        <w:t xml:space="preserve"> Specifically, he claims that the Defendants failed to provide reasonable accommodations for his disability.</w:t>
      </w:r>
    </w:p>
    <w:p w14:paraId="7EED4936" w14:textId="77777777" w:rsidR="002D0E71" w:rsidRDefault="00000000">
      <w:pPr>
        <w:pStyle w:val="Normal11"/>
        <w:widowControl w:val="0"/>
        <w:spacing w:before="200" w:line="260" w:lineRule="atLeast"/>
        <w:jc w:val="both"/>
      </w:pPr>
      <w:bookmarkStart w:id="1753" w:name="Bookmark_para_6_10"/>
      <w:bookmarkStart w:id="1754" w:name="Bookmark_I5HT0T5W2D6NJF0020000400"/>
      <w:bookmarkStart w:id="1755" w:name="Bookmark_I5HT0T5W2D6NJF0040000400"/>
      <w:bookmarkEnd w:id="1753"/>
      <w:bookmarkEnd w:id="1754"/>
      <w:bookmarkEnd w:id="1755"/>
      <w:r>
        <w:rPr>
          <w:rFonts w:ascii="Arial" w:eastAsia="Arial" w:hAnsi="Arial" w:cs="Arial"/>
          <w:color w:val="000000"/>
          <w:sz w:val="20"/>
        </w:rPr>
        <w:t xml:space="preserve">The district court granted Defendants' motion to dismiss Choi's ADA and Rehabilitation Act claims pursuant to Federal Rule of Civil Procedure 12(b)(6). </w:t>
      </w:r>
      <w:bookmarkStart w:id="1756" w:name="Bookmark_LNHNREFclscc1_9"/>
      <w:bookmarkEnd w:id="1756"/>
      <w:r>
        <w:rPr>
          <w:rFonts w:ascii="Arial" w:eastAsia="Arial" w:hAnsi="Arial" w:cs="Arial"/>
          <w:color w:val="000000"/>
          <w:sz w:val="20"/>
        </w:rPr>
        <w:t xml:space="preserve">We review the grant of a motion to dismiss under Rule 12(b)(6) </w:t>
      </w:r>
      <w:r>
        <w:rPr>
          <w:rFonts w:ascii="Arial" w:eastAsia="Arial" w:hAnsi="Arial" w:cs="Arial"/>
          <w:i/>
          <w:color w:val="000000"/>
          <w:sz w:val="20"/>
        </w:rPr>
        <w:t xml:space="preserve">de novo. </w:t>
      </w:r>
      <w:bookmarkStart w:id="1757" w:name="Bookmark_I5HT0T5W2D6NJF0010000400"/>
      <w:bookmarkEnd w:id="1757"/>
      <w:r>
        <w:rPr>
          <w:rFonts w:ascii="Arial" w:eastAsia="Arial" w:hAnsi="Arial" w:cs="Arial"/>
          <w:i/>
          <w:color w:val="000000"/>
          <w:sz w:val="20"/>
        </w:rPr>
        <w:t>Elsensohn v. St. Tammany Par. Sheriff's Office</w:t>
      </w:r>
      <w:r>
        <w:rPr>
          <w:rFonts w:ascii="Arial" w:eastAsia="Arial" w:hAnsi="Arial" w:cs="Arial"/>
          <w:color w:val="000000"/>
          <w:sz w:val="20"/>
        </w:rPr>
        <w:t xml:space="preserve">, 530 F.3d 368, 371 (5th Cir. 2008). "To survive a motion to dismiss, a complaint must contain sufficient factual matter, accepted as true, to state a claim to relief that is plausible on its face." </w:t>
      </w:r>
      <w:bookmarkStart w:id="1758" w:name="Bookmark_I5HT0T5W2D6NJF0030000400"/>
      <w:bookmarkEnd w:id="1758"/>
      <w:r>
        <w:rPr>
          <w:rFonts w:ascii="Arial" w:eastAsia="Arial" w:hAnsi="Arial" w:cs="Arial"/>
          <w:i/>
          <w:color w:val="000000"/>
          <w:sz w:val="20"/>
        </w:rPr>
        <w:t>Ashcroft v. Iqbal</w:t>
      </w:r>
      <w:r>
        <w:rPr>
          <w:rFonts w:ascii="Arial" w:eastAsia="Arial" w:hAnsi="Arial" w:cs="Arial"/>
          <w:color w:val="000000"/>
          <w:sz w:val="20"/>
        </w:rPr>
        <w:t xml:space="preserve">, 556 U.S. 662, 678, 129 S. Ct. 1937, 173 L. Ed. 2d 868 (2009) (internal quotation marks and citation omitted). "A pleading that offers labels and conclusions or a formulaic recitation of the elements of a cause of action will not do. Nor does a complaint suffice if it tenders naked assertion[s] devoid of further factual enhancement." </w:t>
      </w:r>
      <w:r>
        <w:rPr>
          <w:rFonts w:ascii="Arial" w:eastAsia="Arial" w:hAnsi="Arial" w:cs="Arial"/>
          <w:i/>
          <w:color w:val="000000"/>
          <w:sz w:val="20"/>
        </w:rPr>
        <w:t>Id.</w:t>
      </w:r>
      <w:r>
        <w:rPr>
          <w:rFonts w:ascii="Arial" w:eastAsia="Arial" w:hAnsi="Arial" w:cs="Arial"/>
          <w:color w:val="000000"/>
          <w:sz w:val="20"/>
        </w:rPr>
        <w:t xml:space="preserve"> (alteration in original) (internal quotation marks and citations omitted).</w:t>
      </w:r>
      <w:r>
        <w:rPr>
          <w:rFonts w:ascii="Arial" w:eastAsia="Arial" w:hAnsi="Arial" w:cs="Arial"/>
          <w:vertAlign w:val="superscript"/>
        </w:rPr>
        <w:footnoteReference w:customMarkFollows="1" w:id="52"/>
        <w:t>2</w:t>
      </w:r>
    </w:p>
    <w:p w14:paraId="701E9E17" w14:textId="77777777" w:rsidR="002D0E71" w:rsidRDefault="00000000">
      <w:pPr>
        <w:pStyle w:val="Normal11"/>
        <w:widowControl w:val="0"/>
        <w:spacing w:before="200" w:line="260" w:lineRule="atLeast"/>
        <w:jc w:val="both"/>
      </w:pPr>
      <w:bookmarkStart w:id="1766" w:name="Bookmark_para_7_10"/>
      <w:bookmarkStart w:id="1767" w:name="Bookmark_I55BYKG4CGF000PRYKT005FM"/>
      <w:bookmarkStart w:id="1768" w:name="Bookmark_I5HT0T5W2HM6G80040000400"/>
      <w:bookmarkStart w:id="1769" w:name="Bookmark_LNHNREFclscc3_9"/>
      <w:bookmarkEnd w:id="1766"/>
      <w:bookmarkEnd w:id="1767"/>
      <w:bookmarkEnd w:id="1768"/>
      <w:bookmarkEnd w:id="1769"/>
      <w:r>
        <w:rPr>
          <w:rFonts w:ascii="Arial" w:eastAsia="Arial" w:hAnsi="Arial" w:cs="Arial"/>
          <w:color w:val="000000"/>
          <w:sz w:val="20"/>
        </w:rPr>
        <w:t xml:space="preserve">A claim for failure to accommodate under the ADA has the following elements: (1) the plaintiff is a qualified individual with a disability; (2) the disability and its consequential limitations were known by the covered institution; and (3) the covered institution failed to make reasonable accommodations for such known limitations. </w:t>
      </w:r>
      <w:bookmarkStart w:id="1770" w:name="Bookmark_I5HT0T5W2SF8J60010000400"/>
      <w:bookmarkStart w:id="1771" w:name="Bookmark_I5HT0T5W2HM6G80030000400"/>
      <w:bookmarkEnd w:id="1770"/>
      <w:bookmarkEnd w:id="1771"/>
      <w:r>
        <w:rPr>
          <w:rFonts w:ascii="Arial" w:eastAsia="Arial" w:hAnsi="Arial" w:cs="Arial"/>
          <w:i/>
          <w:color w:val="000000"/>
          <w:sz w:val="20"/>
        </w:rPr>
        <w:t>Neely v. PSEG Tex., Ltd. P'ship</w:t>
      </w:r>
      <w:r>
        <w:rPr>
          <w:rFonts w:ascii="Arial" w:eastAsia="Arial" w:hAnsi="Arial" w:cs="Arial"/>
          <w:color w:val="000000"/>
          <w:sz w:val="20"/>
        </w:rPr>
        <w:t xml:space="preserve">, 735 F.3d 242, 247 (5th Cir. 2013). These elements also apply to Choi's Rehabilitation Act claims. </w:t>
      </w:r>
      <w:bookmarkStart w:id="1772" w:name="Bookmark_I5HT0T5W2SF8J60010000400_2"/>
      <w:bookmarkEnd w:id="1772"/>
      <w:r>
        <w:rPr>
          <w:rFonts w:ascii="Arial" w:eastAsia="Arial" w:hAnsi="Arial" w:cs="Arial"/>
          <w:i/>
          <w:color w:val="000000"/>
          <w:sz w:val="20"/>
        </w:rPr>
        <w:t xml:space="preserve">See </w:t>
      </w:r>
      <w:bookmarkStart w:id="1773" w:name="Bookmark_I5HT0T5W2HM6G80050000400"/>
      <w:bookmarkEnd w:id="1773"/>
      <w:r>
        <w:rPr>
          <w:rFonts w:ascii="Arial" w:eastAsia="Arial" w:hAnsi="Arial" w:cs="Arial"/>
          <w:i/>
          <w:color w:val="000000"/>
          <w:sz w:val="20"/>
        </w:rPr>
        <w:t>Bennett-Nelson v. La. Bd. of Regents</w:t>
      </w:r>
      <w:r>
        <w:rPr>
          <w:rFonts w:ascii="Arial" w:eastAsia="Arial" w:hAnsi="Arial" w:cs="Arial"/>
          <w:color w:val="000000"/>
          <w:sz w:val="20"/>
        </w:rPr>
        <w:t>, 431 F.3d 448, 454 (5th Cir. 2005) (noting that public entities have  [*216]  the same obligation to make reasonable accommodations for disabled individuals). Because Choi alleged insufficient facts to show that his disability and its consequential limitations were known by the Dental School, we need not address whether he was a qualified individual or whether the School failed to make reasonable accommodations.</w:t>
      </w:r>
    </w:p>
    <w:p w14:paraId="61A3D3C3" w14:textId="77777777" w:rsidR="002D0E71" w:rsidRDefault="00000000">
      <w:pPr>
        <w:pStyle w:val="Normal11"/>
        <w:widowControl w:val="0"/>
        <w:spacing w:before="200" w:line="260" w:lineRule="atLeast"/>
        <w:jc w:val="both"/>
      </w:pPr>
      <w:bookmarkStart w:id="1774" w:name="Bookmark_para_8_10"/>
      <w:bookmarkStart w:id="1775" w:name="Bookmark_I55BYKG4H9K000PRYKT005FN"/>
      <w:bookmarkStart w:id="1776" w:name="Bookmark_I5HT0T5W2SF8J60030000400"/>
      <w:bookmarkStart w:id="1777" w:name="Bookmark_I5HT0T5W2SF8J60050000400"/>
      <w:bookmarkEnd w:id="1774"/>
      <w:bookmarkEnd w:id="1775"/>
      <w:bookmarkEnd w:id="1776"/>
      <w:bookmarkEnd w:id="1777"/>
      <w:r>
        <w:rPr>
          <w:rFonts w:ascii="Arial" w:eastAsia="Arial" w:hAnsi="Arial" w:cs="Arial"/>
          <w:color w:val="000000"/>
          <w:sz w:val="20"/>
        </w:rPr>
        <w:t xml:space="preserve">Choi's claim is foreclosed under the principles we outlined in </w:t>
      </w:r>
      <w:bookmarkStart w:id="1778" w:name="Bookmark_I5HT0T5W2SF8J60020000400"/>
      <w:bookmarkEnd w:id="1778"/>
      <w:r>
        <w:rPr>
          <w:rFonts w:ascii="Arial" w:eastAsia="Arial" w:hAnsi="Arial" w:cs="Arial"/>
          <w:i/>
          <w:color w:val="000000"/>
          <w:sz w:val="20"/>
        </w:rPr>
        <w:t>Taylor v. Principal Financial Group., Inc.</w:t>
      </w:r>
      <w:r>
        <w:rPr>
          <w:rFonts w:ascii="Arial" w:eastAsia="Arial" w:hAnsi="Arial" w:cs="Arial"/>
          <w:color w:val="000000"/>
          <w:sz w:val="20"/>
        </w:rPr>
        <w:t xml:space="preserve">, 93 F.3d 155 (5th Cir. 1996). </w:t>
      </w:r>
      <w:bookmarkStart w:id="1779" w:name="Bookmark_I5HT0T5W2SF8J70020000400"/>
      <w:bookmarkEnd w:id="1779"/>
      <w:r>
        <w:rPr>
          <w:rFonts w:ascii="Arial" w:eastAsia="Arial" w:hAnsi="Arial" w:cs="Arial"/>
          <w:color w:val="000000"/>
          <w:sz w:val="20"/>
        </w:rPr>
        <w:t xml:space="preserve">In </w:t>
      </w:r>
      <w:r>
        <w:rPr>
          <w:rFonts w:ascii="Arial" w:eastAsia="Arial" w:hAnsi="Arial" w:cs="Arial"/>
          <w:i/>
          <w:color w:val="000000"/>
          <w:sz w:val="20"/>
        </w:rPr>
        <w:t>Taylor</w:t>
      </w:r>
      <w:r>
        <w:rPr>
          <w:rFonts w:ascii="Arial" w:eastAsia="Arial" w:hAnsi="Arial" w:cs="Arial"/>
          <w:color w:val="000000"/>
          <w:sz w:val="20"/>
        </w:rPr>
        <w:t xml:space="preserve">, we explained that </w:t>
      </w:r>
      <w:bookmarkStart w:id="1780" w:name="Bookmark_LNHNREFclscc4_9"/>
      <w:bookmarkEnd w:id="1780"/>
      <w:r>
        <w:rPr>
          <w:rFonts w:ascii="Arial" w:eastAsia="Arial" w:hAnsi="Arial" w:cs="Arial"/>
          <w:color w:val="000000"/>
          <w:sz w:val="20"/>
        </w:rPr>
        <w:t xml:space="preserve">under the ADA "it is important to distinguish between an employer's knowledge of an employee's disability versus an employer's No. 14-51225 knowledge of any limitations [**5]  experienced by the employee as a result of that disability. This distinction is important because the ADA requires employers to reasonably accommodate limitations, not disabilities." </w:t>
      </w:r>
      <w:bookmarkStart w:id="1781" w:name="Bookmark_I5HT0T5W2SF8J60040000400"/>
      <w:bookmarkEnd w:id="1781"/>
      <w:r>
        <w:rPr>
          <w:rFonts w:ascii="Arial" w:eastAsia="Arial" w:hAnsi="Arial" w:cs="Arial"/>
          <w:i/>
          <w:color w:val="000000"/>
          <w:sz w:val="20"/>
        </w:rPr>
        <w:t>Id.</w:t>
      </w:r>
      <w:r>
        <w:rPr>
          <w:rFonts w:ascii="Arial" w:eastAsia="Arial" w:hAnsi="Arial" w:cs="Arial"/>
          <w:color w:val="000000"/>
          <w:sz w:val="20"/>
        </w:rPr>
        <w:t xml:space="preserve"> at 164. </w:t>
      </w:r>
      <w:bookmarkStart w:id="1782" w:name="Bookmark_I5HT0T5W2SF8J70020000400_2"/>
      <w:bookmarkEnd w:id="1782"/>
      <w:r>
        <w:rPr>
          <w:rFonts w:ascii="Arial" w:eastAsia="Arial" w:hAnsi="Arial" w:cs="Arial"/>
          <w:color w:val="000000"/>
          <w:sz w:val="20"/>
        </w:rPr>
        <w:t xml:space="preserve">We concluded that "it is incumbent upon the ADA plaintiff to assert not only a disability, but also any limitation resulting therefrom." </w:t>
      </w:r>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 xml:space="preserve">see also </w:t>
      </w:r>
      <w:bookmarkStart w:id="1783" w:name="Bookmark_I5HT0T5W2SF8J70010000400"/>
      <w:bookmarkEnd w:id="1783"/>
      <w:r>
        <w:rPr>
          <w:rFonts w:ascii="Arial" w:eastAsia="Arial" w:hAnsi="Arial" w:cs="Arial"/>
          <w:i/>
          <w:color w:val="000000"/>
          <w:sz w:val="20"/>
        </w:rPr>
        <w:t>Gammage v. W. Jasper Sch. Bd. of Educ.</w:t>
      </w:r>
      <w:r>
        <w:rPr>
          <w:rFonts w:ascii="Arial" w:eastAsia="Arial" w:hAnsi="Arial" w:cs="Arial"/>
          <w:color w:val="000000"/>
          <w:sz w:val="20"/>
        </w:rPr>
        <w:t>, 179 F.3d 952, 954-55 (5th Cir. 1999).</w:t>
      </w:r>
      <w:r>
        <w:rPr>
          <w:rFonts w:ascii="Arial" w:eastAsia="Arial" w:hAnsi="Arial" w:cs="Arial"/>
          <w:vertAlign w:val="superscript"/>
        </w:rPr>
        <w:footnoteReference w:customMarkFollows="1" w:id="53"/>
        <w:t>3</w:t>
      </w:r>
      <w:r>
        <w:rPr>
          <w:rFonts w:ascii="Arial" w:eastAsia="Arial" w:hAnsi="Arial" w:cs="Arial"/>
          <w:color w:val="000000"/>
          <w:sz w:val="20"/>
        </w:rPr>
        <w:t xml:space="preserve"> Here, Choi never alleges that he informed the Dental School of limitations resulting from his ADD. In fact, Choi never alleges that he provided the School with any information about his disability beyond his diagnosis.</w:t>
      </w:r>
      <w:r>
        <w:rPr>
          <w:rFonts w:ascii="Arial" w:eastAsia="Arial" w:hAnsi="Arial" w:cs="Arial"/>
          <w:vertAlign w:val="superscript"/>
        </w:rPr>
        <w:footnoteReference w:customMarkFollows="1" w:id="54"/>
        <w:t>4</w:t>
      </w:r>
    </w:p>
    <w:p w14:paraId="64FFBFF9" w14:textId="77777777" w:rsidR="002D0E71" w:rsidRDefault="00000000">
      <w:pPr>
        <w:pStyle w:val="Normal11"/>
        <w:widowControl w:val="0"/>
        <w:spacing w:before="200" w:line="260" w:lineRule="atLeast"/>
        <w:jc w:val="both"/>
      </w:pPr>
      <w:bookmarkStart w:id="1786" w:name="Bookmark_para_9_10"/>
      <w:bookmarkStart w:id="1787" w:name="Bookmark_I5HT0T5W2SF8J70040000400"/>
      <w:bookmarkEnd w:id="1786"/>
      <w:bookmarkEnd w:id="1787"/>
      <w:r>
        <w:rPr>
          <w:rFonts w:ascii="Arial" w:eastAsia="Arial" w:hAnsi="Arial" w:cs="Arial"/>
          <w:color w:val="000000"/>
          <w:sz w:val="20"/>
        </w:rPr>
        <w:t xml:space="preserve">Choi attempts to overcome this shortcoming in his pleadings by asserting that his limitations were "open, obvious, and apparent" to the Dental School. </w:t>
      </w:r>
      <w:r>
        <w:rPr>
          <w:rFonts w:ascii="Arial" w:eastAsia="Arial" w:hAnsi="Arial" w:cs="Arial"/>
          <w:i/>
          <w:color w:val="000000"/>
          <w:sz w:val="20"/>
        </w:rPr>
        <w:t xml:space="preserve">See </w:t>
      </w:r>
      <w:bookmarkStart w:id="1788" w:name="Bookmark_I5HT0T5W2SF8J70030000400"/>
      <w:bookmarkEnd w:id="1788"/>
      <w:r>
        <w:rPr>
          <w:rFonts w:ascii="Arial" w:eastAsia="Arial" w:hAnsi="Arial" w:cs="Arial"/>
          <w:i/>
          <w:color w:val="000000"/>
          <w:sz w:val="20"/>
        </w:rPr>
        <w:t>Taylor</w:t>
      </w:r>
      <w:r>
        <w:rPr>
          <w:rFonts w:ascii="Arial" w:eastAsia="Arial" w:hAnsi="Arial" w:cs="Arial"/>
          <w:color w:val="000000"/>
          <w:sz w:val="20"/>
        </w:rPr>
        <w:t xml:space="preserve">, 93 F.3d at 165. In support of this argument, Choi points to the following allegations: (1) various faculty members reacted negatively towards him; (2) one faculty member stated that he had a "mental problem" and had a "tendency to make things up"; (3) several faculty members observed that he failed to pay attention and seemed in a hurry; and (4) three faculty members asked him if he had a learning disability after he received a failing grade in a third-year course. These allegations are insufficient. As we explained in </w:t>
      </w:r>
      <w:r>
        <w:rPr>
          <w:rFonts w:ascii="Arial" w:eastAsia="Arial" w:hAnsi="Arial" w:cs="Arial"/>
          <w:i/>
          <w:color w:val="000000"/>
          <w:sz w:val="20"/>
        </w:rPr>
        <w:t>Taylor</w:t>
      </w:r>
      <w:r>
        <w:rPr>
          <w:rFonts w:ascii="Arial" w:eastAsia="Arial" w:hAnsi="Arial" w:cs="Arial"/>
          <w:color w:val="000000"/>
          <w:sz w:val="20"/>
        </w:rPr>
        <w:t xml:space="preserve">, </w:t>
      </w:r>
      <w:bookmarkStart w:id="1789" w:name="Bookmark_LNHNREFclscc5_9"/>
      <w:bookmarkEnd w:id="1789"/>
      <w:r>
        <w:rPr>
          <w:rFonts w:ascii="Arial" w:eastAsia="Arial" w:hAnsi="Arial" w:cs="Arial"/>
          <w:color w:val="000000"/>
          <w:sz w:val="20"/>
        </w:rPr>
        <w:t xml:space="preserve">"[w]hen dealing in the amorphous world of mental disability," it will often be impossible for an employer to identify an employee's specific disabilities, limitations, and possible accommodations. </w:t>
      </w:r>
      <w:r>
        <w:rPr>
          <w:rFonts w:ascii="Arial" w:eastAsia="Arial" w:hAnsi="Arial" w:cs="Arial"/>
          <w:i/>
          <w:color w:val="000000"/>
          <w:sz w:val="20"/>
        </w:rPr>
        <w:t>Id.</w:t>
      </w:r>
      <w:r>
        <w:rPr>
          <w:rFonts w:ascii="Arial" w:eastAsia="Arial" w:hAnsi="Arial" w:cs="Arial"/>
          <w:color w:val="000000"/>
          <w:sz w:val="20"/>
        </w:rPr>
        <w:t xml:space="preserve"> That is the case here: there is simply nothing in Choi's allegations that would have notified the Dental School of Choi's limitations requiring accommodation.</w:t>
      </w:r>
    </w:p>
    <w:p w14:paraId="42748F05" w14:textId="77777777" w:rsidR="002D0E71" w:rsidRDefault="00000000">
      <w:pPr>
        <w:pStyle w:val="Normal11"/>
        <w:widowControl w:val="0"/>
        <w:spacing w:before="200" w:line="260" w:lineRule="atLeast"/>
        <w:jc w:val="both"/>
      </w:pPr>
      <w:bookmarkStart w:id="1790" w:name="Bookmark_para_10_10"/>
      <w:bookmarkEnd w:id="1790"/>
      <w:r>
        <w:rPr>
          <w:rFonts w:ascii="Arial" w:eastAsia="Arial" w:hAnsi="Arial" w:cs="Arial"/>
          <w:color w:val="000000"/>
          <w:sz w:val="20"/>
        </w:rPr>
        <w:t>Because Choi does not sufficiently allege that his disability [**7]  and its consequential limitations were known by the Dental School, he has failed to state a claim for which relief may be granted.</w:t>
      </w:r>
    </w:p>
    <w:p w14:paraId="0C9F8B4F" w14:textId="77777777" w:rsidR="002D0E71" w:rsidRDefault="00000000">
      <w:pPr>
        <w:pStyle w:val="Normal11"/>
        <w:widowControl w:val="0"/>
        <w:spacing w:before="120" w:line="260" w:lineRule="atLeast"/>
      </w:pPr>
      <w:r>
        <w:rPr>
          <w:rFonts w:ascii="Arial" w:eastAsia="Arial" w:hAnsi="Arial" w:cs="Arial"/>
          <w:color w:val="000000"/>
          <w:sz w:val="20"/>
        </w:rPr>
        <w:t>II.</w:t>
      </w:r>
    </w:p>
    <w:p w14:paraId="5FB01D08" w14:textId="77777777" w:rsidR="002D0E71" w:rsidRDefault="00000000">
      <w:pPr>
        <w:pStyle w:val="Normal11"/>
        <w:widowControl w:val="0"/>
        <w:spacing w:before="200" w:line="260" w:lineRule="atLeast"/>
        <w:jc w:val="both"/>
      </w:pPr>
      <w:bookmarkStart w:id="1791" w:name="Bookmark_para_11_10"/>
      <w:bookmarkEnd w:id="1791"/>
      <w:r>
        <w:rPr>
          <w:rFonts w:ascii="Arial" w:eastAsia="Arial" w:hAnsi="Arial" w:cs="Arial"/>
          <w:color w:val="000000"/>
          <w:sz w:val="20"/>
        </w:rPr>
        <w:t>For the foregoing reasons, we AFFIRM.</w:t>
      </w:r>
    </w:p>
    <w:p w14:paraId="025692C1" w14:textId="77777777" w:rsidR="002D0E71" w:rsidRDefault="002D0E71">
      <w:pPr>
        <w:pStyle w:val="Normal11"/>
      </w:pPr>
    </w:p>
    <w:p w14:paraId="4E48973B" w14:textId="02674090" w:rsidR="002D0E71" w:rsidRDefault="00000000">
      <w:pPr>
        <w:pStyle w:val="Normal11"/>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82816" behindDoc="0" locked="0" layoutInCell="1" allowOverlap="1" wp14:anchorId="12E14963" wp14:editId="693DC97A">
                <wp:simplePos x="0" y="0"/>
                <wp:positionH relativeFrom="column">
                  <wp:posOffset>0</wp:posOffset>
                </wp:positionH>
                <wp:positionV relativeFrom="paragraph">
                  <wp:posOffset>127000</wp:posOffset>
                </wp:positionV>
                <wp:extent cx="6502400" cy="0"/>
                <wp:effectExtent l="9525" t="12700" r="12700" b="6350"/>
                <wp:wrapNone/>
                <wp:docPr id="369254364"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3D7018" id="Line 25"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1DE9737" w14:textId="77777777" w:rsidR="002D0E71" w:rsidRDefault="002D0E71">
      <w:pPr>
        <w:pStyle w:val="Normal12"/>
        <w:sectPr w:rsidR="002D0E71">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gutter="0"/>
          <w:cols w:space="720"/>
          <w:titlePg/>
        </w:sectPr>
      </w:pPr>
    </w:p>
    <w:p w14:paraId="635BEF39" w14:textId="77777777" w:rsidR="002D0E71" w:rsidRDefault="002D0E71">
      <w:pPr>
        <w:pStyle w:val="Normal12"/>
      </w:pPr>
    </w:p>
    <w:p w14:paraId="58F53A2B" w14:textId="77777777" w:rsidR="002D0E71" w:rsidRDefault="00000000">
      <w:pPr>
        <w:pStyle w:val="Heading111"/>
        <w:keepNext w:val="0"/>
        <w:widowControl w:val="0"/>
        <w:spacing w:after="200" w:line="340" w:lineRule="atLeast"/>
        <w:jc w:val="center"/>
      </w:pPr>
      <w:r>
        <w:rPr>
          <w:rFonts w:eastAsia="Arial"/>
          <w:color w:val="000000"/>
          <w:sz w:val="28"/>
        </w:rPr>
        <w:t>J.H. v. Bernalillo Cnty.</w:t>
      </w:r>
    </w:p>
    <w:p w14:paraId="52C56301" w14:textId="77777777" w:rsidR="002D0E71" w:rsidRDefault="00000000">
      <w:pPr>
        <w:pStyle w:val="Normal12"/>
        <w:widowControl w:val="0"/>
        <w:spacing w:before="120" w:line="260" w:lineRule="atLeast"/>
        <w:jc w:val="center"/>
      </w:pPr>
      <w:r>
        <w:rPr>
          <w:rFonts w:ascii="Arial" w:eastAsia="Arial" w:hAnsi="Arial" w:cs="Arial"/>
          <w:color w:val="000000"/>
          <w:sz w:val="20"/>
        </w:rPr>
        <w:t>United States Court of Appeals for the Tenth Circuit</w:t>
      </w:r>
    </w:p>
    <w:p w14:paraId="7973FFF7" w14:textId="77777777" w:rsidR="002D0E71" w:rsidRDefault="00000000">
      <w:pPr>
        <w:pStyle w:val="Normal12"/>
        <w:widowControl w:val="0"/>
        <w:spacing w:before="120" w:line="260" w:lineRule="atLeast"/>
        <w:jc w:val="center"/>
      </w:pPr>
      <w:r>
        <w:rPr>
          <w:rFonts w:ascii="Arial" w:eastAsia="Arial" w:hAnsi="Arial" w:cs="Arial"/>
          <w:color w:val="000000"/>
          <w:sz w:val="20"/>
        </w:rPr>
        <w:t>November 27, 2015, Filed</w:t>
      </w:r>
    </w:p>
    <w:p w14:paraId="722FA86E" w14:textId="77777777" w:rsidR="002D0E71" w:rsidRDefault="00000000">
      <w:pPr>
        <w:pStyle w:val="Normal12"/>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14-2068</w:t>
      </w:r>
    </w:p>
    <w:p w14:paraId="295D6DFC" w14:textId="77777777" w:rsidR="002D0E71" w:rsidRDefault="002D0E71">
      <w:pPr>
        <w:pStyle w:val="Normal12"/>
        <w:widowControl w:val="0"/>
        <w:spacing w:line="240" w:lineRule="atLeast"/>
        <w:jc w:val="both"/>
      </w:pPr>
      <w:bookmarkStart w:id="1792" w:name="Bookmark_13"/>
      <w:bookmarkEnd w:id="1792"/>
    </w:p>
    <w:p w14:paraId="0051374A" w14:textId="77777777" w:rsidR="002D0E71" w:rsidRDefault="00000000">
      <w:pPr>
        <w:pStyle w:val="Normal12"/>
        <w:widowControl w:val="0"/>
        <w:spacing w:before="200" w:line="240" w:lineRule="atLeast"/>
      </w:pPr>
      <w:bookmarkStart w:id="1793" w:name="Reporter_11"/>
      <w:bookmarkEnd w:id="1793"/>
      <w:r>
        <w:rPr>
          <w:rFonts w:ascii="Arial" w:eastAsia="Arial" w:hAnsi="Arial" w:cs="Arial"/>
          <w:b/>
          <w:color w:val="000000"/>
          <w:sz w:val="18"/>
        </w:rPr>
        <w:t>Reporter</w:t>
      </w:r>
    </w:p>
    <w:p w14:paraId="46C2C416" w14:textId="77777777" w:rsidR="002D0E71" w:rsidRDefault="00000000">
      <w:pPr>
        <w:pStyle w:val="Normal12"/>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806 F.3d 1255 *; 2015 U.S. App. LEXIS 20697 **</w:t>
      </w:r>
    </w:p>
    <w:p w14:paraId="38E94E4B" w14:textId="77777777" w:rsidR="002D0E71" w:rsidRDefault="00000000">
      <w:pPr>
        <w:pStyle w:val="Normal12"/>
        <w:widowControl w:val="0"/>
        <w:spacing w:before="120" w:line="260" w:lineRule="atLeast"/>
      </w:pPr>
      <w:r>
        <w:rPr>
          <w:rFonts w:ascii="Arial" w:eastAsia="Arial" w:hAnsi="Arial" w:cs="Arial"/>
          <w:color w:val="000000"/>
          <w:sz w:val="20"/>
        </w:rPr>
        <w:t>J.H., on behalf of her minor child, J.P., Plaintiff-Appellant, v. BERNALILLO COUNTY; J.M. SHARKEY, Bernalillo County Deputy, Defendants-Appellees, and CEE KAYE NATION, Principal; ALISON GONZALES, Teacher, Defendants.</w:t>
      </w:r>
    </w:p>
    <w:p w14:paraId="696D745A" w14:textId="77777777" w:rsidR="002D0E71" w:rsidRDefault="00000000">
      <w:pPr>
        <w:pStyle w:val="Normal12"/>
        <w:widowControl w:val="0"/>
        <w:spacing w:before="240" w:line="260" w:lineRule="atLeast"/>
        <w:jc w:val="both"/>
      </w:pPr>
      <w:bookmarkStart w:id="1794" w:name="Subsequent_History_2"/>
      <w:bookmarkEnd w:id="1794"/>
      <w:r>
        <w:rPr>
          <w:rFonts w:ascii="Arial" w:eastAsia="Arial" w:hAnsi="Arial" w:cs="Arial"/>
          <w:b/>
          <w:color w:val="000000"/>
          <w:sz w:val="20"/>
        </w:rPr>
        <w:t>Subsequent History:</w:t>
      </w:r>
      <w:r>
        <w:rPr>
          <w:rFonts w:ascii="Arial" w:eastAsia="Arial" w:hAnsi="Arial" w:cs="Arial"/>
          <w:color w:val="000000"/>
          <w:sz w:val="20"/>
        </w:rPr>
        <w:t> </w:t>
      </w:r>
      <w:bookmarkStart w:id="1795" w:name="Bookmark_para_1_11"/>
      <w:bookmarkEnd w:id="1795"/>
      <w:r>
        <w:rPr>
          <w:rFonts w:ascii="Arial" w:eastAsia="Arial" w:hAnsi="Arial" w:cs="Arial"/>
          <w:color w:val="000000"/>
          <w:sz w:val="20"/>
        </w:rPr>
        <w:t xml:space="preserve">As Corrected January 14, 2016. </w:t>
      </w:r>
    </w:p>
    <w:p w14:paraId="27158A1F" w14:textId="77777777" w:rsidR="002D0E71" w:rsidRDefault="00000000">
      <w:pPr>
        <w:pStyle w:val="Normal12"/>
        <w:widowControl w:val="0"/>
        <w:spacing w:before="240" w:line="260" w:lineRule="atLeast"/>
        <w:jc w:val="both"/>
      </w:pPr>
      <w:bookmarkStart w:id="1796" w:name="Prior_History_11"/>
      <w:bookmarkEnd w:id="1796"/>
      <w:r>
        <w:rPr>
          <w:rFonts w:ascii="Arial" w:eastAsia="Arial" w:hAnsi="Arial" w:cs="Arial"/>
          <w:b/>
          <w:color w:val="000000"/>
          <w:sz w:val="20"/>
        </w:rPr>
        <w:t>Prior History:</w:t>
      </w:r>
      <w:r>
        <w:rPr>
          <w:rFonts w:ascii="Arial" w:eastAsia="Arial" w:hAnsi="Arial" w:cs="Arial"/>
          <w:color w:val="000000"/>
          <w:sz w:val="20"/>
        </w:rPr>
        <w:t> </w:t>
      </w:r>
      <w:bookmarkStart w:id="1797" w:name="Bookmark_para_2_11"/>
      <w:bookmarkEnd w:id="1797"/>
      <w:r>
        <w:rPr>
          <w:rFonts w:ascii="Arial" w:eastAsia="Arial" w:hAnsi="Arial" w:cs="Arial"/>
          <w:color w:val="000000"/>
          <w:sz w:val="20"/>
        </w:rPr>
        <w:t> [**1] Appeal from the United States District Court for the District of New Mexico. (D.C. No. 1:12-CV-00128-JB-LAM).</w:t>
      </w:r>
    </w:p>
    <w:p w14:paraId="0060908C" w14:textId="77777777" w:rsidR="002D0E71" w:rsidRDefault="00000000">
      <w:pPr>
        <w:pStyle w:val="Normal12"/>
        <w:widowControl w:val="0"/>
        <w:spacing w:before="120" w:line="260" w:lineRule="atLeast"/>
      </w:pPr>
      <w:r>
        <w:rPr>
          <w:rFonts w:ascii="Arial" w:eastAsia="Arial" w:hAnsi="Arial" w:cs="Arial"/>
          <w:color w:val="000000"/>
          <w:sz w:val="20"/>
        </w:rPr>
        <w:t>J.H. ex rel. J.P. v. Bernalillo County, 2014 U.S. Dist. LEXIS 94132 (D.N.M., July 8, 2014)</w:t>
      </w:r>
    </w:p>
    <w:p w14:paraId="1395F0B4" w14:textId="77777777" w:rsidR="002D0E71" w:rsidRDefault="00000000">
      <w:pPr>
        <w:pStyle w:val="Normal12"/>
        <w:widowControl w:val="0"/>
        <w:spacing w:before="240" w:line="260" w:lineRule="atLeast"/>
      </w:pPr>
      <w:bookmarkStart w:id="1798" w:name="Counsel_11"/>
      <w:bookmarkEnd w:id="1798"/>
      <w:r>
        <w:rPr>
          <w:rFonts w:ascii="Arial" w:eastAsia="Arial" w:hAnsi="Arial" w:cs="Arial"/>
          <w:b/>
          <w:color w:val="000000"/>
          <w:sz w:val="20"/>
        </w:rPr>
        <w:t>Counsel:</w:t>
      </w:r>
      <w:r>
        <w:rPr>
          <w:rFonts w:ascii="Arial" w:eastAsia="Arial" w:hAnsi="Arial" w:cs="Arial"/>
          <w:color w:val="000000"/>
          <w:sz w:val="20"/>
        </w:rPr>
        <w:t> Joseph P. Kennedy, Kennedy Kennedy &amp; Ives, Albuquerque, New Mexico (Shannon L. Kennedy and Michael L. Timm, Jr., Kennedy Kennedy &amp; Ives, Albuquerque, New Mexico, with him on the briefs), for Plaintiff-Appellant.</w:t>
      </w:r>
    </w:p>
    <w:p w14:paraId="7A3FD273" w14:textId="77777777" w:rsidR="002D0E71" w:rsidRDefault="00000000">
      <w:pPr>
        <w:pStyle w:val="Normal12"/>
        <w:widowControl w:val="0"/>
        <w:spacing w:before="120" w:line="260" w:lineRule="atLeast"/>
      </w:pPr>
      <w:r>
        <w:rPr>
          <w:rFonts w:ascii="Arial" w:eastAsia="Arial" w:hAnsi="Arial" w:cs="Arial"/>
          <w:color w:val="000000"/>
          <w:sz w:val="20"/>
        </w:rPr>
        <w:t>Luis Robles, Robles, Rael &amp; Anaya, Albuquerque, New Mexico (Taylor S. Rahn, Robles, Rael &amp; Anaya, Albuquerque, New Mexico, with him on the briefs), for Defendants-Appellees.</w:t>
      </w:r>
    </w:p>
    <w:p w14:paraId="7D7982A9" w14:textId="77777777" w:rsidR="002D0E71" w:rsidRDefault="00000000">
      <w:pPr>
        <w:pStyle w:val="Normal12"/>
        <w:widowControl w:val="0"/>
        <w:spacing w:before="240" w:line="260" w:lineRule="atLeast"/>
      </w:pPr>
      <w:bookmarkStart w:id="1799" w:name="Judges_11"/>
      <w:bookmarkEnd w:id="1799"/>
      <w:r>
        <w:rPr>
          <w:rFonts w:ascii="Arial" w:eastAsia="Arial" w:hAnsi="Arial" w:cs="Arial"/>
          <w:b/>
          <w:color w:val="000000"/>
          <w:sz w:val="20"/>
        </w:rPr>
        <w:t>Judges:</w:t>
      </w:r>
      <w:r>
        <w:rPr>
          <w:rFonts w:ascii="Arial" w:eastAsia="Arial" w:hAnsi="Arial" w:cs="Arial"/>
          <w:color w:val="000000"/>
          <w:sz w:val="20"/>
        </w:rPr>
        <w:t> Before BACHARACH, EBEL, and McHUGH, Circuit Judges.</w:t>
      </w:r>
    </w:p>
    <w:p w14:paraId="39968D99" w14:textId="77777777" w:rsidR="002D0E71" w:rsidRDefault="00000000">
      <w:pPr>
        <w:pStyle w:val="Normal12"/>
        <w:widowControl w:val="0"/>
        <w:spacing w:before="240" w:line="260" w:lineRule="atLeast"/>
      </w:pPr>
      <w:bookmarkStart w:id="1800" w:name="Opinion_by_8"/>
      <w:bookmarkEnd w:id="1800"/>
      <w:r>
        <w:rPr>
          <w:rFonts w:ascii="Arial" w:eastAsia="Arial" w:hAnsi="Arial" w:cs="Arial"/>
          <w:b/>
          <w:color w:val="000000"/>
          <w:sz w:val="20"/>
        </w:rPr>
        <w:t>Opinion by:</w:t>
      </w:r>
      <w:r>
        <w:rPr>
          <w:rFonts w:ascii="Arial" w:eastAsia="Arial" w:hAnsi="Arial" w:cs="Arial"/>
          <w:color w:val="000000"/>
          <w:sz w:val="20"/>
        </w:rPr>
        <w:t> BACHARACH</w:t>
      </w:r>
    </w:p>
    <w:p w14:paraId="5FC2F854" w14:textId="77777777" w:rsidR="002D0E71" w:rsidRDefault="00000000">
      <w:pPr>
        <w:pStyle w:val="Normal12"/>
        <w:keepNext/>
        <w:widowControl w:val="0"/>
        <w:spacing w:before="240" w:line="340" w:lineRule="atLeast"/>
      </w:pPr>
      <w:bookmarkStart w:id="1801" w:name="Opinion_11"/>
      <w:bookmarkEnd w:id="1801"/>
      <w:r>
        <w:rPr>
          <w:rFonts w:ascii="Arial" w:eastAsia="Arial" w:hAnsi="Arial" w:cs="Arial"/>
          <w:b/>
          <w:color w:val="000000"/>
          <w:sz w:val="28"/>
        </w:rPr>
        <w:t>Opinion</w:t>
      </w:r>
    </w:p>
    <w:p w14:paraId="55BD8EDF" w14:textId="0C962DD7" w:rsidR="002D0E71" w:rsidRDefault="002939DF">
      <w:pPr>
        <w:pStyle w:val="Normal12"/>
        <w:spacing w:line="60" w:lineRule="exact"/>
      </w:pPr>
      <w:r>
        <w:rPr>
          <w:noProof/>
        </w:rPr>
        <mc:AlternateContent>
          <mc:Choice Requires="wps">
            <w:drawing>
              <wp:anchor distT="0" distB="0" distL="114300" distR="114300" simplePos="0" relativeHeight="251683840" behindDoc="0" locked="0" layoutInCell="1" allowOverlap="1" wp14:anchorId="67C920F2" wp14:editId="32FC1AA0">
                <wp:simplePos x="0" y="0"/>
                <wp:positionH relativeFrom="column">
                  <wp:posOffset>0</wp:posOffset>
                </wp:positionH>
                <wp:positionV relativeFrom="paragraph">
                  <wp:posOffset>25400</wp:posOffset>
                </wp:positionV>
                <wp:extent cx="3187700" cy="0"/>
                <wp:effectExtent l="19050" t="15875" r="12700" b="12700"/>
                <wp:wrapTopAndBottom/>
                <wp:docPr id="100951226"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0E66F" id="Line 26"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41EF17A" w14:textId="77777777" w:rsidR="002D0E71" w:rsidRDefault="002D0E71">
      <w:pPr>
        <w:pStyle w:val="Normal12"/>
      </w:pPr>
    </w:p>
    <w:p w14:paraId="1222C7D0" w14:textId="77777777" w:rsidR="002D0E71" w:rsidRDefault="00000000">
      <w:pPr>
        <w:pStyle w:val="Normal12"/>
        <w:widowControl w:val="0"/>
        <w:spacing w:before="200" w:line="260" w:lineRule="atLeast"/>
        <w:jc w:val="both"/>
      </w:pPr>
      <w:bookmarkStart w:id="1802" w:name="Bookmark_para_3_11"/>
      <w:bookmarkEnd w:id="1802"/>
      <w:r>
        <w:rPr>
          <w:rFonts w:ascii="Arial" w:eastAsia="Arial" w:hAnsi="Arial" w:cs="Arial"/>
          <w:color w:val="000000"/>
          <w:sz w:val="20"/>
        </w:rPr>
        <w:t xml:space="preserve"> [*1256]  </w:t>
      </w:r>
      <w:r>
        <w:rPr>
          <w:rFonts w:ascii="Arial" w:eastAsia="Arial" w:hAnsi="Arial" w:cs="Arial"/>
          <w:b/>
          <w:color w:val="000000"/>
          <w:sz w:val="20"/>
        </w:rPr>
        <w:t>BACHARACH</w:t>
      </w:r>
      <w:r>
        <w:rPr>
          <w:rFonts w:ascii="Arial" w:eastAsia="Arial" w:hAnsi="Arial" w:cs="Arial"/>
          <w:color w:val="000000"/>
          <w:sz w:val="20"/>
        </w:rPr>
        <w:t>, Circuit Judge.</w:t>
      </w:r>
    </w:p>
    <w:p w14:paraId="5B583F04" w14:textId="77777777" w:rsidR="002D0E71" w:rsidRDefault="00000000">
      <w:pPr>
        <w:pStyle w:val="Normal12"/>
        <w:widowControl w:val="0"/>
        <w:spacing w:before="200" w:line="260" w:lineRule="atLeast"/>
        <w:jc w:val="both"/>
      </w:pPr>
      <w:bookmarkStart w:id="1803" w:name="Bookmark_para_4_11"/>
      <w:bookmarkEnd w:id="1803"/>
      <w:r>
        <w:rPr>
          <w:rFonts w:ascii="Arial" w:eastAsia="Arial" w:hAnsi="Arial" w:cs="Arial"/>
          <w:color w:val="000000"/>
          <w:sz w:val="20"/>
        </w:rPr>
        <w:t>This appeal grew out of a suit brought on behalf of an 11-year-old girl (identified as "J.P"), who was a student in a class for children with special needs. One day, a deputy sheriff (J.M. Sharkey), who was  [*1257]  working as a school resource officer, saw J.P. kick a teacher. Because the kick constituted a crime, Deputy Sharkey arrested J.P., handcuffed her, and transported her to a juvenile detention center.</w:t>
      </w:r>
    </w:p>
    <w:p w14:paraId="63766F17" w14:textId="77777777" w:rsidR="002D0E71" w:rsidRDefault="00000000">
      <w:pPr>
        <w:pStyle w:val="Normal12"/>
        <w:widowControl w:val="0"/>
        <w:spacing w:before="200" w:line="260" w:lineRule="atLeast"/>
        <w:jc w:val="both"/>
      </w:pPr>
      <w:bookmarkStart w:id="1804" w:name="Bookmark_para_5_11"/>
      <w:bookmarkEnd w:id="1804"/>
      <w:r>
        <w:rPr>
          <w:rFonts w:ascii="Arial" w:eastAsia="Arial" w:hAnsi="Arial" w:cs="Arial"/>
          <w:color w:val="000000"/>
          <w:sz w:val="20"/>
        </w:rPr>
        <w:t>These actions led J.P.'s mother (identified as "J.H.") to sue Deputy Sharkey and Bernalillo County (Deputy Sharkey's employer) under 42 U.S.C. § 1983, claiming violation of the Fourth Amendment, the Fourteenth Amendment's Due Process Clause, and the Americans with Disabilities Act. The district [**2]  court dismissed the due process claims and granted summary judgment to Deputy Sharkey and the county on the claims involving the Fourth Amendment and the Americans with Disabilities Act. J.H. appeals.</w:t>
      </w:r>
    </w:p>
    <w:p w14:paraId="5190C21C" w14:textId="77777777" w:rsidR="002D0E71" w:rsidRDefault="00000000">
      <w:pPr>
        <w:pStyle w:val="Normal12"/>
        <w:widowControl w:val="0"/>
        <w:spacing w:before="200" w:line="260" w:lineRule="atLeast"/>
        <w:jc w:val="both"/>
      </w:pPr>
      <w:bookmarkStart w:id="1805" w:name="Bookmark_para_6_11"/>
      <w:bookmarkEnd w:id="1805"/>
      <w:r>
        <w:rPr>
          <w:rFonts w:ascii="Arial" w:eastAsia="Arial" w:hAnsi="Arial" w:cs="Arial"/>
          <w:color w:val="000000"/>
          <w:sz w:val="20"/>
        </w:rPr>
        <w:t>On the constitutional claims, J.H. contends that Deputy Sharkey lacked probable cause for an arrest and used excessive force by handcuffing J.P. and transporting her to the juvenile detention center. We reject J.H.'s contentions. Deputy Sharkey had probable cause to arrest J.P. after seeing her commit a crime (battery on a school official) and did not use excessive force. In the absence of a constitutional violation by Deputy Sharkey, Bernalillo County cannot incur liability for failing to train its officers.</w:t>
      </w:r>
    </w:p>
    <w:p w14:paraId="39739692" w14:textId="77777777" w:rsidR="002D0E71" w:rsidRDefault="00000000">
      <w:pPr>
        <w:pStyle w:val="Normal12"/>
        <w:widowControl w:val="0"/>
        <w:spacing w:before="200" w:line="260" w:lineRule="atLeast"/>
        <w:jc w:val="both"/>
      </w:pPr>
      <w:bookmarkStart w:id="1806" w:name="Bookmark_para_7_11"/>
      <w:bookmarkEnd w:id="1806"/>
      <w:r>
        <w:rPr>
          <w:rFonts w:ascii="Arial" w:eastAsia="Arial" w:hAnsi="Arial" w:cs="Arial"/>
          <w:color w:val="000000"/>
          <w:sz w:val="20"/>
        </w:rPr>
        <w:t>We also reject J.H.'s arguments involving the Americans with Disabilities Act. Even if this statute created a cause of action for disabled arrestees, the cause of action would not apply here: Deputy Sharkey observed actual criminal conduct, and there was no evidence that he had information that would cause an officer to reasonably believe that J.P. lacked the necessary scienter. Thus, Deputy Sharkey cannot incur liability under the Americans with Disabilities Act for a wrongful arrest. And Deputy [**3]  Sharkey cannot incur liability for failing to make a reasonable accommodation because J.P. never asked for an accommodation. As a result, the district court properly awarded summary judgment to the defendants on the claims involving the Americans with Disabilities Act.</w:t>
      </w:r>
    </w:p>
    <w:p w14:paraId="2264362F" w14:textId="77777777" w:rsidR="002D0E71" w:rsidRDefault="00000000">
      <w:pPr>
        <w:pStyle w:val="Normal12"/>
        <w:widowControl w:val="0"/>
        <w:spacing w:before="240" w:line="260" w:lineRule="atLeast"/>
      </w:pPr>
      <w:r>
        <w:br/>
      </w:r>
      <w:r>
        <w:rPr>
          <w:rFonts w:ascii="Arial" w:eastAsia="Arial" w:hAnsi="Arial" w:cs="Arial"/>
          <w:b/>
          <w:color w:val="000000"/>
          <w:sz w:val="20"/>
        </w:rPr>
        <w:t>I. The district court properly rejected all of J.H.'s claims against Deputy Sharkey</w:t>
      </w:r>
      <w:r>
        <w:rPr>
          <w:rFonts w:ascii="Arial" w:eastAsia="Arial" w:hAnsi="Arial" w:cs="Arial"/>
          <w:color w:val="000000"/>
          <w:sz w:val="20"/>
        </w:rPr>
        <w:t>.</w:t>
      </w:r>
    </w:p>
    <w:p w14:paraId="797F6610" w14:textId="77777777" w:rsidR="002D0E71" w:rsidRDefault="00000000">
      <w:pPr>
        <w:pStyle w:val="Normal12"/>
        <w:widowControl w:val="0"/>
        <w:spacing w:before="200" w:line="260" w:lineRule="atLeast"/>
        <w:jc w:val="both"/>
      </w:pPr>
      <w:bookmarkStart w:id="1807" w:name="Bookmark_para_8_11"/>
      <w:bookmarkEnd w:id="1807"/>
      <w:r>
        <w:rPr>
          <w:rFonts w:ascii="Arial" w:eastAsia="Arial" w:hAnsi="Arial" w:cs="Arial"/>
          <w:color w:val="000000"/>
          <w:sz w:val="20"/>
        </w:rPr>
        <w:t>J.H. asserted claims against Deputy Sharkey under the federal constitution and the Americans with Disabilities Act. Each claim fails as a matter of law.</w:t>
      </w:r>
    </w:p>
    <w:p w14:paraId="277B6E79" w14:textId="77777777" w:rsidR="002D0E71" w:rsidRDefault="00000000">
      <w:pPr>
        <w:pStyle w:val="Normal12"/>
        <w:widowControl w:val="0"/>
        <w:spacing w:before="240" w:line="260" w:lineRule="atLeast"/>
      </w:pPr>
      <w:r>
        <w:br/>
      </w:r>
      <w:r>
        <w:rPr>
          <w:rFonts w:ascii="Arial" w:eastAsia="Arial" w:hAnsi="Arial" w:cs="Arial"/>
          <w:b/>
          <w:color w:val="000000"/>
          <w:sz w:val="20"/>
        </w:rPr>
        <w:t>A. Constitutional Claims</w:t>
      </w:r>
    </w:p>
    <w:p w14:paraId="4549D8C5" w14:textId="77777777" w:rsidR="002D0E71" w:rsidRDefault="00000000">
      <w:pPr>
        <w:pStyle w:val="Normal12"/>
        <w:widowControl w:val="0"/>
        <w:spacing w:before="200" w:line="260" w:lineRule="atLeast"/>
        <w:jc w:val="both"/>
      </w:pPr>
      <w:bookmarkStart w:id="1808" w:name="Bookmark_para_9_11"/>
      <w:bookmarkEnd w:id="1808"/>
      <w:r>
        <w:rPr>
          <w:rFonts w:ascii="Arial" w:eastAsia="Arial" w:hAnsi="Arial" w:cs="Arial"/>
          <w:color w:val="000000"/>
          <w:sz w:val="20"/>
        </w:rPr>
        <w:t>The constitutional claims were based on the Fourth and Fourteenth Amendments.</w:t>
      </w:r>
    </w:p>
    <w:p w14:paraId="3D0DDBFA" w14:textId="77777777" w:rsidR="002D0E71" w:rsidRDefault="00000000">
      <w:pPr>
        <w:pStyle w:val="Normal12"/>
        <w:widowControl w:val="0"/>
        <w:spacing w:before="240" w:line="260" w:lineRule="atLeast"/>
      </w:pPr>
      <w:r>
        <w:br/>
      </w:r>
      <w:r>
        <w:rPr>
          <w:rFonts w:ascii="Arial" w:eastAsia="Arial" w:hAnsi="Arial" w:cs="Arial"/>
          <w:b/>
          <w:color w:val="000000"/>
          <w:sz w:val="20"/>
        </w:rPr>
        <w:t>1. The district court properly rejected J.H.'s Fourth Amendment claims against Deputy Sharkey</w:t>
      </w:r>
      <w:r>
        <w:rPr>
          <w:rFonts w:ascii="Arial" w:eastAsia="Arial" w:hAnsi="Arial" w:cs="Arial"/>
          <w:color w:val="000000"/>
          <w:sz w:val="20"/>
        </w:rPr>
        <w:t>.</w:t>
      </w:r>
    </w:p>
    <w:p w14:paraId="57BCDA90" w14:textId="77777777" w:rsidR="002D0E71" w:rsidRDefault="00000000">
      <w:pPr>
        <w:pStyle w:val="Normal12"/>
        <w:widowControl w:val="0"/>
        <w:spacing w:before="200" w:line="260" w:lineRule="atLeast"/>
        <w:jc w:val="both"/>
      </w:pPr>
      <w:bookmarkStart w:id="1809" w:name="Bookmark_para_10_11"/>
      <w:bookmarkEnd w:id="1809"/>
      <w:r>
        <w:rPr>
          <w:rFonts w:ascii="Arial" w:eastAsia="Arial" w:hAnsi="Arial" w:cs="Arial"/>
          <w:color w:val="000000"/>
          <w:sz w:val="20"/>
        </w:rPr>
        <w:t>J.H. alleged that Deputy Sharkey had violated the Fourth Amendment by</w:t>
      </w:r>
    </w:p>
    <w:p w14:paraId="0319B0DD" w14:textId="77777777" w:rsidR="002D0E71" w:rsidRDefault="00000000">
      <w:pPr>
        <w:pStyle w:val="Normal12"/>
        <w:widowControl w:val="0"/>
        <w:spacing w:line="260" w:lineRule="atLeast"/>
        <w:ind w:left="400"/>
        <w:jc w:val="both"/>
      </w:pPr>
      <w:bookmarkStart w:id="1810" w:name="Bookmark_para_11_11"/>
      <w:bookmarkEnd w:id="1810"/>
      <w:r>
        <w:rPr>
          <w:rFonts w:ascii="Arial" w:eastAsia="Arial" w:hAnsi="Arial" w:cs="Arial"/>
          <w:color w:val="000000"/>
          <w:sz w:val="20"/>
        </w:rPr>
        <w:t>1. arresting J.P. without probable cause and</w:t>
      </w:r>
    </w:p>
    <w:p w14:paraId="0BA2CD01" w14:textId="77777777" w:rsidR="002D0E71" w:rsidRDefault="00000000">
      <w:pPr>
        <w:pStyle w:val="Normal12"/>
        <w:widowControl w:val="0"/>
        <w:spacing w:line="260" w:lineRule="atLeast"/>
        <w:ind w:left="400"/>
        <w:jc w:val="both"/>
      </w:pPr>
      <w:bookmarkStart w:id="1811" w:name="Bookmark_para_12_10"/>
      <w:bookmarkEnd w:id="1811"/>
      <w:r>
        <w:rPr>
          <w:rFonts w:ascii="Arial" w:eastAsia="Arial" w:hAnsi="Arial" w:cs="Arial"/>
          <w:color w:val="000000"/>
          <w:sz w:val="20"/>
        </w:rPr>
        <w:t>2. using excessive force in handcuffing J.P. and transporting her to the juvenile detention center.</w:t>
      </w:r>
    </w:p>
    <w:p w14:paraId="7F9F541D" w14:textId="77777777" w:rsidR="002D0E71" w:rsidRDefault="00000000">
      <w:pPr>
        <w:pStyle w:val="Normal12"/>
        <w:widowControl w:val="0"/>
        <w:spacing w:line="260" w:lineRule="atLeast"/>
        <w:jc w:val="both"/>
      </w:pPr>
      <w:r>
        <w:rPr>
          <w:rFonts w:ascii="Arial" w:eastAsia="Arial" w:hAnsi="Arial" w:cs="Arial"/>
          <w:color w:val="000000"/>
          <w:sz w:val="20"/>
        </w:rPr>
        <w:t>On these claims, the district court awarded summary judgment to Deputy Sharkey based on qualified immunity. We agree with these rulings.</w:t>
      </w:r>
    </w:p>
    <w:p w14:paraId="1E6AC893" w14:textId="77777777" w:rsidR="002D0E71" w:rsidRDefault="00000000">
      <w:pPr>
        <w:pStyle w:val="Normal12"/>
        <w:widowControl w:val="0"/>
        <w:spacing w:before="240" w:line="260" w:lineRule="atLeast"/>
      </w:pPr>
      <w:r>
        <w:br/>
      </w:r>
      <w:r>
        <w:rPr>
          <w:rFonts w:ascii="Arial" w:eastAsia="Arial" w:hAnsi="Arial" w:cs="Arial"/>
          <w:b/>
          <w:color w:val="000000"/>
          <w:sz w:val="20"/>
        </w:rPr>
        <w:t>a. Standard of Appellate Review</w:t>
      </w:r>
    </w:p>
    <w:p w14:paraId="019D7743" w14:textId="77777777" w:rsidR="002D0E71" w:rsidRDefault="00000000">
      <w:pPr>
        <w:pStyle w:val="Normal12"/>
        <w:widowControl w:val="0"/>
        <w:spacing w:before="200" w:line="260" w:lineRule="atLeast"/>
        <w:jc w:val="both"/>
      </w:pPr>
      <w:bookmarkStart w:id="1812" w:name="Bookmark_para_13_10"/>
      <w:bookmarkStart w:id="1813" w:name="Bookmark_I5HNK6W72N1PND0020000400"/>
      <w:bookmarkEnd w:id="1812"/>
      <w:bookmarkEnd w:id="1813"/>
      <w:r>
        <w:rPr>
          <w:rFonts w:ascii="Arial" w:eastAsia="Arial" w:hAnsi="Arial" w:cs="Arial"/>
          <w:color w:val="000000"/>
          <w:sz w:val="20"/>
        </w:rPr>
        <w:t xml:space="preserve">We must consider the claims under our standards for reviewing issues involving summary judgment and qualified immunity. </w:t>
      </w:r>
      <w:bookmarkStart w:id="1814" w:name="Bookmark_I5HNK6W72N1PND0040000400"/>
      <w:bookmarkStart w:id="1815" w:name="Bookmark_LNHNREFclscc1_10"/>
      <w:bookmarkEnd w:id="1814"/>
      <w:bookmarkEnd w:id="1815"/>
      <w:r>
        <w:rPr>
          <w:rFonts w:ascii="Arial" w:eastAsia="Arial" w:hAnsi="Arial" w:cs="Arial"/>
          <w:color w:val="000000"/>
          <w:sz w:val="20"/>
        </w:rPr>
        <w:t xml:space="preserve">In considering the award of summary judgment, we engage in de [**4]  novo review. </w:t>
      </w:r>
      <w:bookmarkStart w:id="1816" w:name="Bookmark_I5HNK6W72N1PND0010000400"/>
      <w:bookmarkEnd w:id="1816"/>
      <w:r>
        <w:rPr>
          <w:rFonts w:ascii="Arial" w:eastAsia="Arial" w:hAnsi="Arial" w:cs="Arial"/>
          <w:i/>
          <w:color w:val="000000"/>
          <w:sz w:val="20"/>
        </w:rPr>
        <w:t>SRM, Inc. v. Great Am. Ins. Co.</w:t>
      </w:r>
      <w:r>
        <w:rPr>
          <w:rFonts w:ascii="Arial" w:eastAsia="Arial" w:hAnsi="Arial" w:cs="Arial"/>
          <w:color w:val="000000"/>
          <w:sz w:val="20"/>
        </w:rPr>
        <w:t xml:space="preserve">, 798 F.3d 1322, 1326 (10th Cir. 2015). </w:t>
      </w:r>
      <w:bookmarkStart w:id="1817" w:name="Bookmark_I5HNK6W72N1PND0040000400_2"/>
      <w:bookmarkEnd w:id="1817"/>
      <w:r>
        <w:rPr>
          <w:rFonts w:ascii="Arial" w:eastAsia="Arial" w:hAnsi="Arial" w:cs="Arial"/>
          <w:color w:val="000000"/>
          <w:sz w:val="20"/>
        </w:rPr>
        <w:t xml:space="preserve">Applying de novo review, we consider the evidence in the light most favorable to J.H. </w:t>
      </w:r>
      <w:bookmarkStart w:id="1818" w:name="Bookmark_I5HNK6W72N1PND0030000400"/>
      <w:bookmarkEnd w:id="1818"/>
      <w:r>
        <w:rPr>
          <w:rFonts w:ascii="Arial" w:eastAsia="Arial" w:hAnsi="Arial" w:cs="Arial"/>
          <w:i/>
          <w:color w:val="000000"/>
          <w:sz w:val="20"/>
        </w:rPr>
        <w:t>Martinez v. Carr</w:t>
      </w:r>
      <w:r>
        <w:rPr>
          <w:rFonts w:ascii="Arial" w:eastAsia="Arial" w:hAnsi="Arial" w:cs="Arial"/>
          <w:color w:val="000000"/>
          <w:sz w:val="20"/>
        </w:rPr>
        <w:t>, 479 F.3d 1292, 1295 (10th Cir. 2007). But once Deputy Sharkey asserted qualified immunity, the burden shifted to J.H. to show</w:t>
      </w:r>
    </w:p>
    <w:p w14:paraId="10F5003D" w14:textId="77777777" w:rsidR="002D0E71" w:rsidRDefault="00000000">
      <w:pPr>
        <w:pStyle w:val="Normal12"/>
        <w:widowControl w:val="0"/>
        <w:spacing w:line="260" w:lineRule="atLeast"/>
        <w:ind w:left="400"/>
        <w:jc w:val="both"/>
      </w:pPr>
      <w:bookmarkStart w:id="1819" w:name="Bookmark_para_14_10"/>
      <w:bookmarkStart w:id="1820" w:name="Bookmark_I5HNK6W72D6N6N0010000400"/>
      <w:bookmarkEnd w:id="1819"/>
      <w:bookmarkEnd w:id="1820"/>
      <w:r>
        <w:rPr>
          <w:rFonts w:ascii="Arial" w:eastAsia="Arial" w:hAnsi="Arial" w:cs="Arial"/>
          <w:color w:val="000000"/>
          <w:sz w:val="20"/>
        </w:rPr>
        <w:t>• the violation of a constitutional right</w:t>
      </w:r>
    </w:p>
    <w:p w14:paraId="2216CECC" w14:textId="77777777" w:rsidR="002D0E71" w:rsidRDefault="00000000">
      <w:pPr>
        <w:pStyle w:val="Normal12"/>
        <w:widowControl w:val="0"/>
        <w:spacing w:before="200" w:line="260" w:lineRule="atLeast"/>
        <w:ind w:left="400"/>
        <w:jc w:val="both"/>
      </w:pPr>
      <w:bookmarkStart w:id="1821" w:name="Bookmark_para_15_10"/>
      <w:bookmarkEnd w:id="1821"/>
      <w:r>
        <w:rPr>
          <w:rFonts w:ascii="Arial" w:eastAsia="Arial" w:hAnsi="Arial" w:cs="Arial"/>
          <w:color w:val="000000"/>
          <w:sz w:val="20"/>
        </w:rPr>
        <w:t xml:space="preserve"> [*1258]  </w:t>
      </w:r>
      <w:bookmarkStart w:id="1822" w:name="Bookmark_I5HNK6W72D6N6N0010000400_2"/>
      <w:bookmarkEnd w:id="1822"/>
      <w:r>
        <w:rPr>
          <w:rFonts w:ascii="Arial" w:eastAsia="Arial" w:hAnsi="Arial" w:cs="Arial"/>
          <w:color w:val="000000"/>
          <w:sz w:val="20"/>
        </w:rPr>
        <w:t>• that was clearly established at the time of the alleged violation.</w:t>
      </w:r>
    </w:p>
    <w:p w14:paraId="600834A6" w14:textId="77777777" w:rsidR="002D0E71" w:rsidRDefault="00000000">
      <w:pPr>
        <w:pStyle w:val="Normal12"/>
        <w:widowControl w:val="0"/>
        <w:spacing w:before="200" w:line="260" w:lineRule="atLeast"/>
        <w:jc w:val="both"/>
      </w:pPr>
      <w:bookmarkStart w:id="1823" w:name="Bookmark_I5HNK6W72D6N6N0010000400_3"/>
      <w:bookmarkStart w:id="1824" w:name="Bookmark_I5HNK6W72N1PND0050000400"/>
      <w:bookmarkEnd w:id="1823"/>
      <w:bookmarkEnd w:id="1824"/>
      <w:r>
        <w:rPr>
          <w:rFonts w:ascii="Arial" w:eastAsia="Arial" w:hAnsi="Arial" w:cs="Arial"/>
          <w:i/>
          <w:color w:val="000000"/>
          <w:sz w:val="20"/>
        </w:rPr>
        <w:t>Thomson v. Salt Lake Cnty.</w:t>
      </w:r>
      <w:r>
        <w:rPr>
          <w:rFonts w:ascii="Arial" w:eastAsia="Arial" w:hAnsi="Arial" w:cs="Arial"/>
          <w:color w:val="000000"/>
          <w:sz w:val="20"/>
        </w:rPr>
        <w:t>, 584 F.3d 1304, 1312 (10th Cir. 2009).</w:t>
      </w:r>
    </w:p>
    <w:p w14:paraId="35D89FE8" w14:textId="77777777" w:rsidR="002D0E71" w:rsidRDefault="00000000">
      <w:pPr>
        <w:pStyle w:val="Normal12"/>
        <w:widowControl w:val="0"/>
        <w:spacing w:before="240" w:line="260" w:lineRule="atLeast"/>
      </w:pPr>
      <w:r>
        <w:br/>
      </w:r>
      <w:r>
        <w:rPr>
          <w:rFonts w:ascii="Arial" w:eastAsia="Arial" w:hAnsi="Arial" w:cs="Arial"/>
          <w:b/>
          <w:color w:val="000000"/>
          <w:sz w:val="20"/>
        </w:rPr>
        <w:t>b. Deputy Sharkey had probable cause to arrest J.P.</w:t>
      </w:r>
    </w:p>
    <w:p w14:paraId="527B501C" w14:textId="77777777" w:rsidR="002D0E71" w:rsidRDefault="00000000">
      <w:pPr>
        <w:pStyle w:val="Normal12"/>
        <w:widowControl w:val="0"/>
        <w:spacing w:before="200" w:line="260" w:lineRule="atLeast"/>
        <w:jc w:val="both"/>
      </w:pPr>
      <w:bookmarkStart w:id="1825" w:name="Bookmark_para_16_10"/>
      <w:bookmarkEnd w:id="1825"/>
      <w:r>
        <w:rPr>
          <w:rFonts w:ascii="Arial" w:eastAsia="Arial" w:hAnsi="Arial" w:cs="Arial"/>
          <w:color w:val="000000"/>
          <w:sz w:val="20"/>
        </w:rPr>
        <w:t xml:space="preserve">J.H. argues that Deputy Sharkey should not have arrested J.P. This argument is invalid because Deputy Sharkey could lawfully arrest J.P. after observing her kick a teacher, which was a crime under New Mexico law. </w:t>
      </w:r>
      <w:r>
        <w:rPr>
          <w:rFonts w:ascii="Arial" w:eastAsia="Arial" w:hAnsi="Arial" w:cs="Arial"/>
          <w:i/>
          <w:color w:val="000000"/>
          <w:sz w:val="20"/>
        </w:rPr>
        <w:t>See</w:t>
      </w:r>
      <w:r>
        <w:rPr>
          <w:rFonts w:ascii="Arial" w:eastAsia="Arial" w:hAnsi="Arial" w:cs="Arial"/>
          <w:color w:val="000000"/>
          <w:sz w:val="20"/>
        </w:rPr>
        <w:t xml:space="preserve"> N.M. Stat. Ann. § 30-3-9(E) (West 2015).</w:t>
      </w:r>
    </w:p>
    <w:p w14:paraId="5FBD314A" w14:textId="77777777" w:rsidR="002D0E71" w:rsidRDefault="00000000">
      <w:pPr>
        <w:pStyle w:val="Normal12"/>
        <w:widowControl w:val="0"/>
        <w:spacing w:before="200" w:line="260" w:lineRule="atLeast"/>
        <w:jc w:val="both"/>
      </w:pPr>
      <w:bookmarkStart w:id="1826" w:name="Bookmark_para_17_9"/>
      <w:bookmarkEnd w:id="1826"/>
      <w:r>
        <w:rPr>
          <w:rFonts w:ascii="Arial" w:eastAsia="Arial" w:hAnsi="Arial" w:cs="Arial"/>
          <w:color w:val="000000"/>
          <w:sz w:val="20"/>
        </w:rPr>
        <w:t>During oral argument, J.H. argued that the crime had not constituted a felony because J.P. was a minor at the time. But J.H. has never denied that the kick constituted an unlawful act.</w:t>
      </w:r>
    </w:p>
    <w:p w14:paraId="7818CC08" w14:textId="77777777" w:rsidR="002D0E71" w:rsidRDefault="00000000">
      <w:pPr>
        <w:pStyle w:val="Normal12"/>
        <w:widowControl w:val="0"/>
        <w:spacing w:before="200" w:line="260" w:lineRule="atLeast"/>
        <w:jc w:val="both"/>
      </w:pPr>
      <w:bookmarkStart w:id="1827" w:name="Bookmark_para_18_9"/>
      <w:bookmarkStart w:id="1828" w:name="Bookmark_I5HNK6W72D6N6N0030000400"/>
      <w:bookmarkStart w:id="1829" w:name="Bookmark_LNHNREFclscc2_10"/>
      <w:bookmarkEnd w:id="1827"/>
      <w:bookmarkEnd w:id="1828"/>
      <w:bookmarkEnd w:id="1829"/>
      <w:r>
        <w:rPr>
          <w:rFonts w:ascii="Arial" w:eastAsia="Arial" w:hAnsi="Arial" w:cs="Arial"/>
          <w:color w:val="000000"/>
          <w:sz w:val="20"/>
        </w:rPr>
        <w:t xml:space="preserve">The existence of probable cause entitled Deputy Sharkey to make an arrest. That power did not depend on classification of the arrestee (adult versus juvenile) or the crime (felony versus misdemeanor); law enforcement officers can arrest minors, as well as adults, even when the crime involves only a misdemeanor. </w:t>
      </w:r>
      <w:r>
        <w:rPr>
          <w:rFonts w:ascii="Arial" w:eastAsia="Arial" w:hAnsi="Arial" w:cs="Arial"/>
          <w:i/>
          <w:color w:val="000000"/>
          <w:sz w:val="20"/>
        </w:rPr>
        <w:t xml:space="preserve">See </w:t>
      </w:r>
      <w:bookmarkStart w:id="1830" w:name="Bookmark_I5HNK6W72D6N6N0020000400"/>
      <w:bookmarkEnd w:id="1830"/>
      <w:r>
        <w:rPr>
          <w:rFonts w:ascii="Arial" w:eastAsia="Arial" w:hAnsi="Arial" w:cs="Arial"/>
          <w:i/>
          <w:color w:val="000000"/>
          <w:sz w:val="20"/>
        </w:rPr>
        <w:t>Atwater v. City of Lago Vista</w:t>
      </w:r>
      <w:r>
        <w:rPr>
          <w:rFonts w:ascii="Arial" w:eastAsia="Arial" w:hAnsi="Arial" w:cs="Arial"/>
          <w:color w:val="000000"/>
          <w:sz w:val="20"/>
        </w:rPr>
        <w:t xml:space="preserve">, 532 U.S. 318, 354, 121 S. Ct. 1536, 149 L. Ed. 2d 549 (2001) ("If an officer has probable cause to believe that an individual has committed even a very minor criminal offense in [**5]  his presence, he may, without violating the Fourth Amendment, arrest the offender."); </w:t>
      </w:r>
      <w:r>
        <w:rPr>
          <w:rFonts w:ascii="Arial" w:eastAsia="Arial" w:hAnsi="Arial" w:cs="Arial"/>
          <w:i/>
          <w:color w:val="000000"/>
          <w:sz w:val="20"/>
        </w:rPr>
        <w:t xml:space="preserve">see also </w:t>
      </w:r>
      <w:bookmarkStart w:id="1831" w:name="Bookmark_I5HNK6W72D6N6N0040000400"/>
      <w:bookmarkEnd w:id="1831"/>
      <w:r>
        <w:rPr>
          <w:rFonts w:ascii="Arial" w:eastAsia="Arial" w:hAnsi="Arial" w:cs="Arial"/>
          <w:i/>
          <w:color w:val="000000"/>
          <w:sz w:val="20"/>
        </w:rPr>
        <w:t>Hedgepeth ex rel. Hedgepeth v. Wash. Metro. Area Transit Auth.</w:t>
      </w:r>
      <w:r>
        <w:rPr>
          <w:rFonts w:ascii="Arial" w:eastAsia="Arial" w:hAnsi="Arial" w:cs="Arial"/>
          <w:color w:val="000000"/>
          <w:sz w:val="20"/>
        </w:rPr>
        <w:t>, 386 F.3d 1148, 1150, 363 U.S. App. D.C. 260 (D.C. Cir. 2004) (holding that the Fourth Amendment was not violated by the arrest of a 12-year-old girl for eating a french fry in a subway station).</w:t>
      </w:r>
      <w:r>
        <w:rPr>
          <w:rFonts w:ascii="Arial" w:eastAsia="Arial" w:hAnsi="Arial" w:cs="Arial"/>
          <w:vertAlign w:val="superscript"/>
        </w:rPr>
        <w:footnoteReference w:customMarkFollows="1" w:id="55"/>
        <w:t>1</w:t>
      </w:r>
    </w:p>
    <w:p w14:paraId="6A583B2D" w14:textId="77777777" w:rsidR="002D0E71" w:rsidRDefault="00000000">
      <w:pPr>
        <w:pStyle w:val="Normal12"/>
        <w:widowControl w:val="0"/>
        <w:spacing w:before="200" w:line="260" w:lineRule="atLeast"/>
        <w:jc w:val="both"/>
      </w:pPr>
      <w:bookmarkStart w:id="1836" w:name="Bookmark_para_19_9"/>
      <w:bookmarkEnd w:id="1836"/>
      <w:r>
        <w:rPr>
          <w:rFonts w:ascii="Arial" w:eastAsia="Arial" w:hAnsi="Arial" w:cs="Arial"/>
          <w:color w:val="000000"/>
          <w:sz w:val="20"/>
        </w:rPr>
        <w:t>In these circumstances, we conclude that Deputy Sharkey did not violate the Fourth Amendment by arresting J.P.</w:t>
      </w:r>
    </w:p>
    <w:p w14:paraId="55E31951" w14:textId="77777777" w:rsidR="002D0E71" w:rsidRDefault="00000000">
      <w:pPr>
        <w:pStyle w:val="Normal12"/>
        <w:widowControl w:val="0"/>
        <w:spacing w:before="240" w:line="260" w:lineRule="atLeast"/>
      </w:pPr>
      <w:r>
        <w:br/>
      </w:r>
      <w:r>
        <w:rPr>
          <w:rFonts w:ascii="Arial" w:eastAsia="Arial" w:hAnsi="Arial" w:cs="Arial"/>
          <w:b/>
          <w:color w:val="000000"/>
          <w:sz w:val="20"/>
        </w:rPr>
        <w:t>c. Deputy Sharkey did not use excessive force in applying handcuffs or transporting J.P. to the juvenile detention center</w:t>
      </w:r>
      <w:r>
        <w:rPr>
          <w:rFonts w:ascii="Arial" w:eastAsia="Arial" w:hAnsi="Arial" w:cs="Arial"/>
          <w:color w:val="000000"/>
          <w:sz w:val="20"/>
        </w:rPr>
        <w:t>.</w:t>
      </w:r>
    </w:p>
    <w:p w14:paraId="044F2ED1" w14:textId="77777777" w:rsidR="002D0E71" w:rsidRDefault="00000000">
      <w:pPr>
        <w:pStyle w:val="Normal12"/>
        <w:widowControl w:val="0"/>
        <w:spacing w:before="200" w:line="260" w:lineRule="atLeast"/>
        <w:jc w:val="both"/>
      </w:pPr>
      <w:bookmarkStart w:id="1837" w:name="Bookmark_para_20_8"/>
      <w:bookmarkStart w:id="1838" w:name="Bookmark_I5HNK6W72HM64N0040000400"/>
      <w:bookmarkEnd w:id="1837"/>
      <w:bookmarkEnd w:id="1838"/>
      <w:r>
        <w:rPr>
          <w:rFonts w:ascii="Arial" w:eastAsia="Arial" w:hAnsi="Arial" w:cs="Arial"/>
          <w:color w:val="000000"/>
          <w:sz w:val="20"/>
        </w:rPr>
        <w:t xml:space="preserve">Once Deputy Sharkey made the arrest, he could restrict J.P.'s freedom of movement by taking her to the juvenile detention center. </w:t>
      </w:r>
      <w:bookmarkStart w:id="1839" w:name="Bookmark_I5HNK6W72HM64P0010000400"/>
      <w:bookmarkEnd w:id="1839"/>
      <w:r>
        <w:rPr>
          <w:rFonts w:ascii="Arial" w:eastAsia="Arial" w:hAnsi="Arial" w:cs="Arial"/>
          <w:i/>
          <w:color w:val="000000"/>
          <w:sz w:val="20"/>
        </w:rPr>
        <w:t xml:space="preserve">See </w:t>
      </w:r>
      <w:bookmarkStart w:id="1840" w:name="Bookmark_I5HNK6W72HM64N0030000400"/>
      <w:bookmarkEnd w:id="1840"/>
      <w:r>
        <w:rPr>
          <w:rFonts w:ascii="Arial" w:eastAsia="Arial" w:hAnsi="Arial" w:cs="Arial"/>
          <w:i/>
          <w:color w:val="000000"/>
          <w:sz w:val="20"/>
        </w:rPr>
        <w:t>Hedgepeth ex rel. Hedgepeth</w:t>
      </w:r>
      <w:r>
        <w:rPr>
          <w:rFonts w:ascii="Arial" w:eastAsia="Arial" w:hAnsi="Arial" w:cs="Arial"/>
          <w:color w:val="000000"/>
          <w:sz w:val="20"/>
        </w:rPr>
        <w:t>, 386 F.3d at 1156 (</w:t>
      </w:r>
      <w:bookmarkStart w:id="1841" w:name="Bookmark_LNHNREFclscc4_10"/>
      <w:bookmarkEnd w:id="1841"/>
      <w:r>
        <w:rPr>
          <w:rFonts w:ascii="Arial" w:eastAsia="Arial" w:hAnsi="Arial" w:cs="Arial"/>
          <w:color w:val="000000"/>
          <w:sz w:val="20"/>
        </w:rPr>
        <w:t xml:space="preserve">"The law of this land does not recognize a fundamental right to freedom of movement when there is probable cause for arrest."). And for his own protection, Deputy Sharkey could keep J.P. in handcuffs for the trip to the detention center. </w:t>
      </w:r>
      <w:bookmarkStart w:id="1842" w:name="Bookmark_I5HNK6W72HM64P0010000400_2"/>
      <w:bookmarkEnd w:id="1842"/>
      <w:r>
        <w:rPr>
          <w:rFonts w:ascii="Arial" w:eastAsia="Arial" w:hAnsi="Arial" w:cs="Arial"/>
          <w:i/>
          <w:color w:val="000000"/>
          <w:sz w:val="20"/>
        </w:rPr>
        <w:t xml:space="preserve">See [**6]  </w:t>
      </w:r>
      <w:bookmarkStart w:id="1843" w:name="Bookmark_I5HNK6W72HM64N0050000400"/>
      <w:bookmarkEnd w:id="1843"/>
      <w:r>
        <w:rPr>
          <w:rFonts w:ascii="Arial" w:eastAsia="Arial" w:hAnsi="Arial" w:cs="Arial"/>
          <w:i/>
          <w:color w:val="000000"/>
          <w:sz w:val="20"/>
        </w:rPr>
        <w:t>Fisher v. City of Las Cruces</w:t>
      </w:r>
      <w:r>
        <w:rPr>
          <w:rFonts w:ascii="Arial" w:eastAsia="Arial" w:hAnsi="Arial" w:cs="Arial"/>
          <w:color w:val="000000"/>
          <w:sz w:val="20"/>
        </w:rPr>
        <w:t xml:space="preserve">, 584 F.3d 888, 893-96 (10th Cir. 2009) (holding that the Fourth Amendment was not violated by a law enforcement officer's decision to handcuff an individual suspected of a petty misdemeanor, reasoning that </w:t>
      </w:r>
      <w:bookmarkStart w:id="1844" w:name="Bookmark_LNHNREFclscc5_10"/>
      <w:bookmarkEnd w:id="1844"/>
      <w:r>
        <w:rPr>
          <w:rFonts w:ascii="Arial" w:eastAsia="Arial" w:hAnsi="Arial" w:cs="Arial"/>
          <w:color w:val="000000"/>
          <w:sz w:val="20"/>
        </w:rPr>
        <w:t xml:space="preserve">the Supreme Court has "recognized that handcuffing was an appropriate response to officer-safety concerns even during investigative detentions"); </w:t>
      </w:r>
      <w:r>
        <w:rPr>
          <w:rFonts w:ascii="Arial" w:eastAsia="Arial" w:hAnsi="Arial" w:cs="Arial"/>
          <w:i/>
          <w:color w:val="000000"/>
          <w:sz w:val="20"/>
        </w:rPr>
        <w:t xml:space="preserve">accord </w:t>
      </w:r>
      <w:bookmarkStart w:id="1845" w:name="Bookmark_I5HNK6W72HM64P0020000400"/>
      <w:bookmarkEnd w:id="1845"/>
      <w:r>
        <w:rPr>
          <w:rFonts w:ascii="Arial" w:eastAsia="Arial" w:hAnsi="Arial" w:cs="Arial"/>
          <w:i/>
          <w:color w:val="000000"/>
          <w:sz w:val="20"/>
        </w:rPr>
        <w:t>Calvi v. Knox Cnty.</w:t>
      </w:r>
      <w:r>
        <w:rPr>
          <w:rFonts w:ascii="Arial" w:eastAsia="Arial" w:hAnsi="Arial" w:cs="Arial"/>
          <w:color w:val="000000"/>
          <w:sz w:val="20"/>
        </w:rPr>
        <w:t>, 470 F.3d 422, 428 (1st Cir. 2006) (holding that keeping an arrestee in handcuffs while transporting her to a detention facility, based on standard police practice, did not constitute excessive force).</w:t>
      </w:r>
      <w:r>
        <w:rPr>
          <w:rFonts w:ascii="Arial" w:eastAsia="Arial" w:hAnsi="Arial" w:cs="Arial"/>
          <w:vertAlign w:val="superscript"/>
        </w:rPr>
        <w:footnoteReference w:customMarkFollows="1" w:id="56"/>
        <w:t>2</w:t>
      </w:r>
    </w:p>
    <w:p w14:paraId="6CC3BB19" w14:textId="77777777" w:rsidR="002D0E71" w:rsidRDefault="00000000">
      <w:pPr>
        <w:pStyle w:val="Normal12"/>
        <w:widowControl w:val="0"/>
        <w:spacing w:before="200" w:line="260" w:lineRule="atLeast"/>
        <w:jc w:val="both"/>
      </w:pPr>
      <w:bookmarkStart w:id="1852" w:name="Bookmark_para_21_8"/>
      <w:bookmarkEnd w:id="1852"/>
      <w:r>
        <w:rPr>
          <w:rFonts w:ascii="Arial" w:eastAsia="Arial" w:hAnsi="Arial" w:cs="Arial"/>
          <w:color w:val="000000"/>
          <w:sz w:val="20"/>
        </w:rPr>
        <w:t xml:space="preserve"> [*1259]  </w:t>
      </w:r>
      <w:bookmarkStart w:id="1853" w:name="Bookmark_I5HNK6W72SF86W0010000400"/>
      <w:bookmarkEnd w:id="1853"/>
      <w:r>
        <w:rPr>
          <w:rFonts w:ascii="Arial" w:eastAsia="Arial" w:hAnsi="Arial" w:cs="Arial"/>
          <w:color w:val="000000"/>
          <w:sz w:val="20"/>
        </w:rPr>
        <w:t xml:space="preserve">It is true that J.P. was only 11 years old at the time of the arrest. But </w:t>
      </w:r>
      <w:bookmarkStart w:id="1854" w:name="Bookmark_LNHNREFclscc6_9"/>
      <w:bookmarkEnd w:id="1854"/>
      <w:r>
        <w:rPr>
          <w:rFonts w:ascii="Arial" w:eastAsia="Arial" w:hAnsi="Arial" w:cs="Arial"/>
          <w:color w:val="000000"/>
          <w:sz w:val="20"/>
        </w:rPr>
        <w:t xml:space="preserve">"[a]n arrestee's age . . . do[es] not necessarily undermine an officer's concern for safety and need to control the situation." </w:t>
      </w:r>
      <w:bookmarkStart w:id="1855" w:name="Bookmark_I5HNK6W72SF86V0050000400"/>
      <w:bookmarkEnd w:id="1855"/>
      <w:r>
        <w:rPr>
          <w:rFonts w:ascii="Arial" w:eastAsia="Arial" w:hAnsi="Arial" w:cs="Arial"/>
          <w:i/>
          <w:color w:val="000000"/>
          <w:sz w:val="20"/>
        </w:rPr>
        <w:t>Hawker v. Sandy City Corp.</w:t>
      </w:r>
      <w:r>
        <w:rPr>
          <w:rFonts w:ascii="Arial" w:eastAsia="Arial" w:hAnsi="Arial" w:cs="Arial"/>
          <w:color w:val="000000"/>
          <w:sz w:val="20"/>
        </w:rPr>
        <w:t>, 591 F. App'x 669, 675 (10th Cir. 2014).</w:t>
      </w:r>
      <w:r>
        <w:rPr>
          <w:rFonts w:ascii="Arial" w:eastAsia="Arial" w:hAnsi="Arial" w:cs="Arial"/>
          <w:vertAlign w:val="superscript"/>
        </w:rPr>
        <w:footnoteReference w:customMarkFollows="1" w:id="57"/>
        <w:t>3</w:t>
      </w:r>
    </w:p>
    <w:p w14:paraId="2BEDB09C" w14:textId="77777777" w:rsidR="002D0E71" w:rsidRDefault="00000000">
      <w:pPr>
        <w:pStyle w:val="Normal12"/>
        <w:widowControl w:val="0"/>
        <w:spacing w:before="200" w:line="260" w:lineRule="atLeast"/>
        <w:jc w:val="both"/>
      </w:pPr>
      <w:bookmarkStart w:id="1863" w:name="Bookmark_para_22_8"/>
      <w:bookmarkEnd w:id="1863"/>
      <w:r>
        <w:rPr>
          <w:rFonts w:ascii="Arial" w:eastAsia="Arial" w:hAnsi="Arial" w:cs="Arial"/>
          <w:color w:val="000000"/>
          <w:sz w:val="20"/>
        </w:rPr>
        <w:t>Notwithstanding Deputy Sharkey's concern for safety, J.H. argues that Deputy Sharkey violated state law by taking J.P. to the juvenile detention center. But state law provided Deputy Sharkey with the option to take J.P. to a detention center rather than release her to her mother's custody. N.M. Stat. Ann. §§ 32A-2-10(A)(1), (A)(3) (West 2015).</w:t>
      </w:r>
    </w:p>
    <w:p w14:paraId="589D1455" w14:textId="77777777" w:rsidR="002D0E71" w:rsidRDefault="00000000">
      <w:pPr>
        <w:pStyle w:val="Normal12"/>
        <w:widowControl w:val="0"/>
        <w:spacing w:before="200" w:line="260" w:lineRule="atLeast"/>
        <w:jc w:val="both"/>
      </w:pPr>
      <w:bookmarkStart w:id="1864" w:name="Bookmark_para_23_8"/>
      <w:bookmarkEnd w:id="1864"/>
      <w:r>
        <w:rPr>
          <w:rFonts w:ascii="Arial" w:eastAsia="Arial" w:hAnsi="Arial" w:cs="Arial"/>
          <w:color w:val="000000"/>
          <w:sz w:val="20"/>
        </w:rPr>
        <w:t xml:space="preserve">This option was not limited by the Fourth Amendment. </w:t>
      </w:r>
      <w:bookmarkStart w:id="1865" w:name="Bookmark_I5HNK6W728T4DM0020000400"/>
      <w:bookmarkStart w:id="1866" w:name="Bookmark_LNHNREFclscc7_9"/>
      <w:bookmarkEnd w:id="1865"/>
      <w:bookmarkEnd w:id="1866"/>
      <w:r>
        <w:rPr>
          <w:rFonts w:ascii="Arial" w:eastAsia="Arial" w:hAnsi="Arial" w:cs="Arial"/>
          <w:color w:val="000000"/>
          <w:sz w:val="20"/>
        </w:rPr>
        <w:t xml:space="preserve">Under the Fourth Amendment, the threshold issue is whether Deputy Sharkey had probable cause to make an arrest. Because he had probable cause, he could curtail J.P.'s freedom of movement. </w:t>
      </w:r>
      <w:r>
        <w:rPr>
          <w:rFonts w:ascii="Arial" w:eastAsia="Arial" w:hAnsi="Arial" w:cs="Arial"/>
          <w:i/>
          <w:color w:val="000000"/>
          <w:sz w:val="20"/>
        </w:rPr>
        <w:t>See</w:t>
      </w:r>
      <w:r>
        <w:rPr>
          <w:rFonts w:ascii="Arial" w:eastAsia="Arial" w:hAnsi="Arial" w:cs="Arial"/>
          <w:color w:val="000000"/>
          <w:sz w:val="20"/>
        </w:rPr>
        <w:t xml:space="preserve"> p. 6, above (quoting </w:t>
      </w:r>
      <w:r>
        <w:rPr>
          <w:rFonts w:ascii="Arial" w:eastAsia="Arial" w:hAnsi="Arial" w:cs="Arial"/>
          <w:i/>
          <w:color w:val="000000"/>
          <w:sz w:val="20"/>
        </w:rPr>
        <w:t xml:space="preserve">See </w:t>
      </w:r>
      <w:bookmarkStart w:id="1867" w:name="Bookmark_I5HNK6W728T4DM0010000400"/>
      <w:bookmarkEnd w:id="1867"/>
      <w:r>
        <w:rPr>
          <w:rFonts w:ascii="Arial" w:eastAsia="Arial" w:hAnsi="Arial" w:cs="Arial"/>
          <w:i/>
          <w:color w:val="000000"/>
          <w:sz w:val="20"/>
        </w:rPr>
        <w:t>Hedgepeth ex rel. Hedgepeth v. Wash.Metro. Area Transit Auth.</w:t>
      </w:r>
      <w:r>
        <w:rPr>
          <w:rFonts w:ascii="Arial" w:eastAsia="Arial" w:hAnsi="Arial" w:cs="Arial"/>
          <w:color w:val="000000"/>
          <w:sz w:val="20"/>
        </w:rPr>
        <w:t>, 386 F.3d 1148, 1156, 363 U.S. App. D.C. 260 (D.C. Cir. 2004)). As a result, the [**8]  Fourth Amendment did not require Deputy Sharkey to release J.P. to her mother's custody.</w:t>
      </w:r>
    </w:p>
    <w:p w14:paraId="1D21DB8B" w14:textId="77777777" w:rsidR="002D0E71" w:rsidRDefault="00000000">
      <w:pPr>
        <w:pStyle w:val="Normal12"/>
        <w:widowControl w:val="0"/>
        <w:spacing w:before="200" w:line="260" w:lineRule="atLeast"/>
        <w:jc w:val="both"/>
      </w:pPr>
      <w:bookmarkStart w:id="1868" w:name="Bookmark_para_24_8"/>
      <w:bookmarkEnd w:id="1868"/>
      <w:r>
        <w:rPr>
          <w:rFonts w:ascii="Arial" w:eastAsia="Arial" w:hAnsi="Arial" w:cs="Arial"/>
          <w:color w:val="000000"/>
          <w:sz w:val="20"/>
        </w:rPr>
        <w:t>In these circumstances, we conclude that the Fourth Amendment was not violated when Deputy Sharkey handcuffed J.P. and transported her to the juvenile detention center.</w:t>
      </w:r>
    </w:p>
    <w:p w14:paraId="36F03518" w14:textId="77777777" w:rsidR="002D0E71" w:rsidRDefault="00000000">
      <w:pPr>
        <w:pStyle w:val="Normal12"/>
        <w:widowControl w:val="0"/>
        <w:spacing w:before="240" w:line="260" w:lineRule="atLeast"/>
      </w:pPr>
      <w:r>
        <w:br/>
      </w:r>
      <w:r>
        <w:rPr>
          <w:rFonts w:ascii="Arial" w:eastAsia="Arial" w:hAnsi="Arial" w:cs="Arial"/>
          <w:b/>
          <w:color w:val="000000"/>
          <w:sz w:val="20"/>
        </w:rPr>
        <w:t>2. The district court properly dismissed J.H.'s due process claims against Deputy Sharkey</w:t>
      </w:r>
      <w:r>
        <w:rPr>
          <w:rFonts w:ascii="Arial" w:eastAsia="Arial" w:hAnsi="Arial" w:cs="Arial"/>
          <w:color w:val="000000"/>
          <w:sz w:val="20"/>
        </w:rPr>
        <w:t>.</w:t>
      </w:r>
    </w:p>
    <w:p w14:paraId="3831AC24" w14:textId="77777777" w:rsidR="002D0E71" w:rsidRDefault="00000000">
      <w:pPr>
        <w:pStyle w:val="Normal12"/>
        <w:widowControl w:val="0"/>
        <w:spacing w:before="200" w:line="260" w:lineRule="atLeast"/>
        <w:jc w:val="both"/>
      </w:pPr>
      <w:bookmarkStart w:id="1869" w:name="Bookmark_para_25_8"/>
      <w:bookmarkEnd w:id="1869"/>
      <w:r>
        <w:rPr>
          <w:rFonts w:ascii="Arial" w:eastAsia="Arial" w:hAnsi="Arial" w:cs="Arial"/>
          <w:color w:val="000000"/>
          <w:sz w:val="20"/>
        </w:rPr>
        <w:t>J.H. sued Deputy Sharkey not only under the Fourth Amendment, but also under the Fourteenth Amendment's Due Process Clause. The district court properly dismissed the Fourteenth Amendment claim because J.H.'s factual allegations did not implicate the Fourteenth Amendment's Due Process Clause.</w:t>
      </w:r>
    </w:p>
    <w:p w14:paraId="64A5B36C" w14:textId="77777777" w:rsidR="002D0E71" w:rsidRDefault="00000000">
      <w:pPr>
        <w:pStyle w:val="Normal12"/>
        <w:widowControl w:val="0"/>
        <w:spacing w:before="200" w:line="260" w:lineRule="atLeast"/>
        <w:jc w:val="both"/>
      </w:pPr>
      <w:bookmarkStart w:id="1870" w:name="Bookmark_para_26_8"/>
      <w:bookmarkStart w:id="1871" w:name="Bookmark_I5HNK6W728T4DM0040000400"/>
      <w:bookmarkStart w:id="1872" w:name="Bookmark_LNHNREFclscc8_9"/>
      <w:bookmarkEnd w:id="1870"/>
      <w:bookmarkEnd w:id="1871"/>
      <w:bookmarkEnd w:id="1872"/>
      <w:r>
        <w:rPr>
          <w:rFonts w:ascii="Arial" w:eastAsia="Arial" w:hAnsi="Arial" w:cs="Arial"/>
          <w:color w:val="000000"/>
          <w:sz w:val="20"/>
        </w:rPr>
        <w:t xml:space="preserve">On this issue, we engage in de novo review. </w:t>
      </w:r>
      <w:bookmarkStart w:id="1873" w:name="Bookmark_I5HNK6W728T4DM0030000400"/>
      <w:bookmarkEnd w:id="1873"/>
      <w:r>
        <w:rPr>
          <w:rFonts w:ascii="Arial" w:eastAsia="Arial" w:hAnsi="Arial" w:cs="Arial"/>
          <w:i/>
          <w:color w:val="000000"/>
          <w:sz w:val="20"/>
        </w:rPr>
        <w:t>Tal v. Hogan</w:t>
      </w:r>
      <w:r>
        <w:rPr>
          <w:rFonts w:ascii="Arial" w:eastAsia="Arial" w:hAnsi="Arial" w:cs="Arial"/>
          <w:color w:val="000000"/>
          <w:sz w:val="20"/>
        </w:rPr>
        <w:t xml:space="preserve">, 453 F.3d 1244, 1252 (10th Cir. 2006). In conducting de novo review, we accept all well-pleaded factual allegations in the complaint as true and draw all reasonable inferences in favor of J.H. </w:t>
      </w:r>
      <w:r>
        <w:rPr>
          <w:rFonts w:ascii="Arial" w:eastAsia="Arial" w:hAnsi="Arial" w:cs="Arial"/>
          <w:i/>
          <w:color w:val="000000"/>
          <w:sz w:val="20"/>
        </w:rPr>
        <w:t>Id.</w:t>
      </w:r>
    </w:p>
    <w:p w14:paraId="43E127FA" w14:textId="77777777" w:rsidR="002D0E71" w:rsidRDefault="00000000">
      <w:pPr>
        <w:pStyle w:val="Normal12"/>
        <w:widowControl w:val="0"/>
        <w:spacing w:before="200" w:line="260" w:lineRule="atLeast"/>
        <w:jc w:val="both"/>
      </w:pPr>
      <w:bookmarkStart w:id="1874" w:name="Bookmark_para_27_8"/>
      <w:bookmarkEnd w:id="1874"/>
      <w:r>
        <w:rPr>
          <w:rFonts w:ascii="Arial" w:eastAsia="Arial" w:hAnsi="Arial" w:cs="Arial"/>
          <w:color w:val="000000"/>
          <w:sz w:val="20"/>
        </w:rPr>
        <w:t>J.H.'s Fourteenth Amendment claims are identical to her two Fourth Amendment claims: excessive force and unlawful arrest without probable cause. But the Fourteenth Amendment does not support these claims.</w:t>
      </w:r>
    </w:p>
    <w:p w14:paraId="2FC77152" w14:textId="77777777" w:rsidR="002D0E71" w:rsidRDefault="00000000">
      <w:pPr>
        <w:pStyle w:val="Normal12"/>
        <w:widowControl w:val="0"/>
        <w:spacing w:before="200" w:line="260" w:lineRule="atLeast"/>
        <w:jc w:val="both"/>
      </w:pPr>
      <w:bookmarkStart w:id="1875" w:name="Bookmark_para_28_8"/>
      <w:bookmarkStart w:id="1876" w:name="Bookmark_I5HNK6W728T4DN0010000400"/>
      <w:bookmarkStart w:id="1877" w:name="Bookmark_I5HNK6W728T4DN0030000400"/>
      <w:bookmarkEnd w:id="1875"/>
      <w:bookmarkEnd w:id="1876"/>
      <w:bookmarkEnd w:id="1877"/>
      <w:r>
        <w:rPr>
          <w:rFonts w:ascii="Arial" w:eastAsia="Arial" w:hAnsi="Arial" w:cs="Arial"/>
          <w:color w:val="000000"/>
          <w:sz w:val="20"/>
        </w:rPr>
        <w:t xml:space="preserve">We addressed the effect of the Fourteenth Amendment in </w:t>
      </w:r>
      <w:bookmarkStart w:id="1878" w:name="Bookmark_I5HNK6W728T4DM0050000400"/>
      <w:bookmarkEnd w:id="1878"/>
      <w:r>
        <w:rPr>
          <w:rFonts w:ascii="Arial" w:eastAsia="Arial" w:hAnsi="Arial" w:cs="Arial"/>
          <w:i/>
          <w:color w:val="000000"/>
          <w:sz w:val="20"/>
        </w:rPr>
        <w:t>Estate of Booker v. Gomez</w:t>
      </w:r>
      <w:r>
        <w:rPr>
          <w:rFonts w:ascii="Arial" w:eastAsia="Arial" w:hAnsi="Arial" w:cs="Arial"/>
          <w:color w:val="000000"/>
          <w:sz w:val="20"/>
        </w:rPr>
        <w:t xml:space="preserve">, 745 F.3d 405 (10th Cir. 2014), holding that </w:t>
      </w:r>
      <w:bookmarkStart w:id="1879" w:name="Bookmark_LNHNREFclscc9_8"/>
      <w:bookmarkEnd w:id="1879"/>
      <w:r>
        <w:rPr>
          <w:rFonts w:ascii="Arial" w:eastAsia="Arial" w:hAnsi="Arial" w:cs="Arial"/>
          <w:color w:val="000000"/>
          <w:sz w:val="20"/>
        </w:rPr>
        <w:t xml:space="preserve">excessive force claims are governed by the Fourth Amendment, rather than the Fourteenth Amendment, when force is used between a warrantless arrest and a probable cause hearing. </w:t>
      </w:r>
      <w:bookmarkStart w:id="1880" w:name="Bookmark_I0BF1S3DPBP000RGTG60031H"/>
      <w:bookmarkStart w:id="1881" w:name="Bookmark_I5HNK6W728T4DN0050000400"/>
      <w:bookmarkStart w:id="1882" w:name="Bookmark_I5HNK6W728T4DN0020000400"/>
      <w:bookmarkEnd w:id="1880"/>
      <w:bookmarkEnd w:id="1881"/>
      <w:bookmarkEnd w:id="1882"/>
      <w:r>
        <w:rPr>
          <w:rFonts w:ascii="Arial" w:eastAsia="Arial" w:hAnsi="Arial" w:cs="Arial"/>
          <w:i/>
          <w:color w:val="000000"/>
          <w:sz w:val="20"/>
        </w:rPr>
        <w:t>Id.</w:t>
      </w:r>
      <w:r>
        <w:rPr>
          <w:rFonts w:ascii="Arial" w:eastAsia="Arial" w:hAnsi="Arial" w:cs="Arial"/>
          <w:color w:val="000000"/>
          <w:sz w:val="20"/>
        </w:rPr>
        <w:t xml:space="preserve"> at 419. This holding governs here, for J.H. alleges that Deputy Sharkey arrested J.P. without a warrant and the state courts never provided  [*1260]  a hearing on probable cause. </w:t>
      </w:r>
      <w:bookmarkStart w:id="1883" w:name="Bookmark_I5HNK6W728T4DN0050000400_2"/>
      <w:bookmarkEnd w:id="1883"/>
      <w:r>
        <w:rPr>
          <w:rFonts w:ascii="Arial" w:eastAsia="Arial" w:hAnsi="Arial" w:cs="Arial"/>
          <w:color w:val="000000"/>
          <w:sz w:val="20"/>
        </w:rPr>
        <w:t xml:space="preserve">Therefore, [**9]  </w:t>
      </w:r>
      <w:bookmarkStart w:id="1884" w:name="Bookmark_I5HNK6W728T4DN0050000400_3"/>
      <w:bookmarkStart w:id="1885" w:name="Bookmark_I5HNK6W728T4DN0040000400"/>
      <w:bookmarkEnd w:id="1884"/>
      <w:bookmarkEnd w:id="1885"/>
      <w:r>
        <w:rPr>
          <w:rFonts w:ascii="Arial" w:eastAsia="Arial" w:hAnsi="Arial" w:cs="Arial"/>
          <w:i/>
          <w:color w:val="000000"/>
          <w:sz w:val="20"/>
        </w:rPr>
        <w:t>Estate of Booker</w:t>
      </w:r>
      <w:r>
        <w:rPr>
          <w:rFonts w:ascii="Arial" w:eastAsia="Arial" w:hAnsi="Arial" w:cs="Arial"/>
          <w:color w:val="000000"/>
          <w:sz w:val="20"/>
        </w:rPr>
        <w:t xml:space="preserve"> prevents J.H. from relying on the Fourteenth Amendment for her claim of excessive force.</w:t>
      </w:r>
    </w:p>
    <w:p w14:paraId="115325EB" w14:textId="77777777" w:rsidR="002D0E71" w:rsidRDefault="00000000">
      <w:pPr>
        <w:pStyle w:val="Normal12"/>
        <w:widowControl w:val="0"/>
        <w:spacing w:before="200" w:line="260" w:lineRule="atLeast"/>
        <w:jc w:val="both"/>
      </w:pPr>
      <w:bookmarkStart w:id="1886" w:name="Bookmark_para_29_8"/>
      <w:bookmarkEnd w:id="1886"/>
      <w:r>
        <w:rPr>
          <w:rFonts w:ascii="Arial" w:eastAsia="Arial" w:hAnsi="Arial" w:cs="Arial"/>
          <w:color w:val="000000"/>
          <w:sz w:val="20"/>
        </w:rPr>
        <w:t xml:space="preserve">Nor does the complaint state a valid Fourteenth Amendment claim for unlawful arrest. As we explained in rejecting J.H.'s claim under the Fourth Amendment, Deputy Sharkey had probable cause to arrest J.P. </w:t>
      </w:r>
      <w:bookmarkStart w:id="1887" w:name="Bookmark_LNHNREFclscc10_8"/>
      <w:bookmarkEnd w:id="1887"/>
      <w:r>
        <w:rPr>
          <w:rFonts w:ascii="Arial" w:eastAsia="Arial" w:hAnsi="Arial" w:cs="Arial"/>
          <w:color w:val="000000"/>
          <w:sz w:val="20"/>
        </w:rPr>
        <w:t>The existence of probable cause precludes recovery for wrongful arrest under the Constitution, regardless of whether the claim is based on the Fourth or Fourteenth Amendment.</w:t>
      </w:r>
    </w:p>
    <w:p w14:paraId="3DE254A7" w14:textId="77777777" w:rsidR="002D0E71" w:rsidRDefault="00000000">
      <w:pPr>
        <w:pStyle w:val="Normal12"/>
        <w:widowControl w:val="0"/>
        <w:spacing w:before="240" w:line="260" w:lineRule="atLeast"/>
      </w:pPr>
      <w:r>
        <w:br/>
      </w:r>
      <w:r>
        <w:rPr>
          <w:rFonts w:ascii="Arial" w:eastAsia="Arial" w:hAnsi="Arial" w:cs="Arial"/>
          <w:b/>
          <w:color w:val="000000"/>
          <w:sz w:val="20"/>
        </w:rPr>
        <w:t>B. Claims Under the Americans with Disabilities Act</w:t>
      </w:r>
    </w:p>
    <w:p w14:paraId="2ED671EC" w14:textId="77777777" w:rsidR="002D0E71" w:rsidRDefault="00000000">
      <w:pPr>
        <w:pStyle w:val="Normal12"/>
        <w:widowControl w:val="0"/>
        <w:spacing w:before="200" w:line="260" w:lineRule="atLeast"/>
        <w:jc w:val="both"/>
      </w:pPr>
      <w:bookmarkStart w:id="1888" w:name="Bookmark_para_30_8"/>
      <w:bookmarkStart w:id="1889" w:name="Bookmark_LNHNREFclscc11_7"/>
      <w:bookmarkEnd w:id="1888"/>
      <w:bookmarkEnd w:id="1889"/>
      <w:r>
        <w:rPr>
          <w:rFonts w:ascii="Arial" w:eastAsia="Arial" w:hAnsi="Arial" w:cs="Arial"/>
          <w:color w:val="000000"/>
          <w:sz w:val="20"/>
        </w:rPr>
        <w:t>The Americans with Disabilities Act forbids discrimination by reason of an individual's disability. Americans with Disabilities Act § 202, 42 U.S.C. § 12132 (2012). In J.H.'s view, Deputy Sharkey discriminated against J.P. by (1) making the arrest based on actions that manifested J.P.'s disability and (2) failing to make reasonable accommodations during the arrest. These claims are invalid as a matter of law. Deputy Sharkey could make the arrest based on probable cause, and there is no evidence indicating that he was aware of a need to accommodate J.P.'s alleged disability.</w:t>
      </w:r>
    </w:p>
    <w:p w14:paraId="73DD29BF" w14:textId="77777777" w:rsidR="002D0E71" w:rsidRDefault="00000000">
      <w:pPr>
        <w:pStyle w:val="Normal12"/>
        <w:widowControl w:val="0"/>
        <w:spacing w:before="240" w:line="260" w:lineRule="atLeast"/>
      </w:pPr>
      <w:r>
        <w:br/>
      </w:r>
      <w:r>
        <w:rPr>
          <w:rFonts w:ascii="Arial" w:eastAsia="Arial" w:hAnsi="Arial" w:cs="Arial"/>
          <w:b/>
          <w:color w:val="000000"/>
          <w:sz w:val="20"/>
        </w:rPr>
        <w:t>1. In making the arrest, Deputy Sharkey did not discriminate against J.P. based on her disability</w:t>
      </w:r>
      <w:r>
        <w:rPr>
          <w:rFonts w:ascii="Arial" w:eastAsia="Arial" w:hAnsi="Arial" w:cs="Arial"/>
          <w:color w:val="000000"/>
          <w:sz w:val="20"/>
        </w:rPr>
        <w:t>.</w:t>
      </w:r>
    </w:p>
    <w:p w14:paraId="06977B60" w14:textId="77777777" w:rsidR="002D0E71" w:rsidRDefault="00000000">
      <w:pPr>
        <w:pStyle w:val="Normal12"/>
        <w:widowControl w:val="0"/>
        <w:spacing w:before="200" w:line="260" w:lineRule="atLeast"/>
        <w:jc w:val="both"/>
      </w:pPr>
      <w:bookmarkStart w:id="1890" w:name="Bookmark_para_31_8"/>
      <w:bookmarkStart w:id="1891" w:name="Bookmark_I5HNK6W72N1PNF0020000400"/>
      <w:bookmarkEnd w:id="1890"/>
      <w:bookmarkEnd w:id="1891"/>
      <w:r>
        <w:rPr>
          <w:rFonts w:ascii="Arial" w:eastAsia="Arial" w:hAnsi="Arial" w:cs="Arial"/>
          <w:color w:val="000000"/>
          <w:sz w:val="20"/>
        </w:rPr>
        <w:t xml:space="preserve">Deputy Sharkey may have violated the Americans with Disabilities Act if he had arrested J.P. "by reason [**10]  of a disability," but we decline to decide that issue today. </w:t>
      </w:r>
      <w:r>
        <w:rPr>
          <w:rFonts w:ascii="Arial" w:eastAsia="Arial" w:hAnsi="Arial" w:cs="Arial"/>
          <w:i/>
          <w:color w:val="000000"/>
          <w:sz w:val="20"/>
        </w:rPr>
        <w:t xml:space="preserve">See </w:t>
      </w:r>
      <w:bookmarkStart w:id="1892" w:name="Bookmark_I5HNK6W72N1PNF0010000400"/>
      <w:bookmarkEnd w:id="1892"/>
      <w:r>
        <w:rPr>
          <w:rFonts w:ascii="Arial" w:eastAsia="Arial" w:hAnsi="Arial" w:cs="Arial"/>
          <w:i/>
          <w:color w:val="000000"/>
          <w:sz w:val="20"/>
        </w:rPr>
        <w:t>Gohier v. Enright</w:t>
      </w:r>
      <w:r>
        <w:rPr>
          <w:rFonts w:ascii="Arial" w:eastAsia="Arial" w:hAnsi="Arial" w:cs="Arial"/>
          <w:color w:val="000000"/>
          <w:sz w:val="20"/>
        </w:rPr>
        <w:t>, 186 F.3d 1216, 1221 (10th Cir. 1999) (noting that the Tenth Circuit has not decided on the viability of a wrongful-arrest theory under the Americans with Disabilities Act). Even if this theory were viable, it would not apply here: Deputy Sharkey arrested J.P. based on suspicion that she had committed a crime, not based on her disability.</w:t>
      </w:r>
    </w:p>
    <w:p w14:paraId="7C64D66E" w14:textId="77777777" w:rsidR="002D0E71" w:rsidRDefault="00000000">
      <w:pPr>
        <w:pStyle w:val="Normal12"/>
        <w:widowControl w:val="0"/>
        <w:spacing w:before="200" w:line="260" w:lineRule="atLeast"/>
        <w:jc w:val="both"/>
      </w:pPr>
      <w:bookmarkStart w:id="1893" w:name="Bookmark_para_32_7"/>
      <w:bookmarkStart w:id="1894" w:name="Bookmark_I5HNK6W72N1PNF0040000400"/>
      <w:bookmarkEnd w:id="1893"/>
      <w:bookmarkEnd w:id="1894"/>
      <w:r>
        <w:rPr>
          <w:rFonts w:ascii="Arial" w:eastAsia="Arial" w:hAnsi="Arial" w:cs="Arial"/>
          <w:color w:val="000000"/>
          <w:sz w:val="20"/>
        </w:rPr>
        <w:t xml:space="preserve">Sometimes a disability might cause the police to incorrectly suspect that an individual committed a crime. </w:t>
      </w:r>
      <w:r>
        <w:rPr>
          <w:rFonts w:ascii="Arial" w:eastAsia="Arial" w:hAnsi="Arial" w:cs="Arial"/>
          <w:i/>
          <w:color w:val="000000"/>
          <w:sz w:val="20"/>
        </w:rPr>
        <w:t xml:space="preserve">See, e.g., </w:t>
      </w:r>
      <w:bookmarkStart w:id="1895" w:name="Bookmark_I5HNK6W72N1PNF0030000400"/>
      <w:bookmarkEnd w:id="1895"/>
      <w:r>
        <w:rPr>
          <w:rFonts w:ascii="Arial" w:eastAsia="Arial" w:hAnsi="Arial" w:cs="Arial"/>
          <w:i/>
          <w:color w:val="000000"/>
          <w:sz w:val="20"/>
        </w:rPr>
        <w:t>Lewis v. Truitt</w:t>
      </w:r>
      <w:r>
        <w:rPr>
          <w:rFonts w:ascii="Arial" w:eastAsia="Arial" w:hAnsi="Arial" w:cs="Arial"/>
          <w:color w:val="000000"/>
          <w:sz w:val="20"/>
        </w:rPr>
        <w:t xml:space="preserve">, 960 F. Supp. 175, 176-77, 179 (S.D. Ind. 1997) (holding that a genuine issue of material fact existed as to whether plaintiff's arrest for resisting law enforcement had been caused by his disability, which was deafness); </w:t>
      </w:r>
      <w:bookmarkStart w:id="1896" w:name="Bookmark_I5HNK6W72N1PNF0050000400"/>
      <w:bookmarkEnd w:id="1896"/>
      <w:r>
        <w:rPr>
          <w:rFonts w:ascii="Arial" w:eastAsia="Arial" w:hAnsi="Arial" w:cs="Arial"/>
          <w:i/>
          <w:color w:val="000000"/>
          <w:sz w:val="20"/>
        </w:rPr>
        <w:t>Jackson v. Inhabitants of Sanford</w:t>
      </w:r>
      <w:r>
        <w:rPr>
          <w:rFonts w:ascii="Arial" w:eastAsia="Arial" w:hAnsi="Arial" w:cs="Arial"/>
          <w:color w:val="000000"/>
          <w:sz w:val="20"/>
        </w:rPr>
        <w:t>, Civ. No. 94-12-P-H, 1994 U.S. Dist. LEXIS 15367, 1994 WL 589617, at *1, *6 (D. Me. Sept. 23, 1994) (unpublished op.) (denying summary judgment for the defendant police officer on a claim involving discrimination against the disabled when the police officer arrested the plaintiff for driving under the influence after the plaintiff had suffered a stroke).</w:t>
      </w:r>
    </w:p>
    <w:p w14:paraId="438341E2" w14:textId="77777777" w:rsidR="002D0E71" w:rsidRDefault="00000000">
      <w:pPr>
        <w:pStyle w:val="Normal12"/>
        <w:widowControl w:val="0"/>
        <w:spacing w:before="200" w:line="260" w:lineRule="atLeast"/>
        <w:jc w:val="both"/>
      </w:pPr>
      <w:bookmarkStart w:id="1897" w:name="Bookmark_para_33_7"/>
      <w:bookmarkEnd w:id="1897"/>
      <w:r>
        <w:rPr>
          <w:rFonts w:ascii="Arial" w:eastAsia="Arial" w:hAnsi="Arial" w:cs="Arial"/>
          <w:color w:val="000000"/>
          <w:sz w:val="20"/>
        </w:rPr>
        <w:t xml:space="preserve">But that is not the case here. J.P. was in a special needs class, but no one questions her ability to form the intent necessary to commit a battery by kicking her teacher. </w:t>
      </w:r>
      <w:bookmarkStart w:id="1898" w:name="Bookmark_I5HNK6W72N1PNG0030000400"/>
      <w:bookmarkEnd w:id="1898"/>
      <w:r>
        <w:rPr>
          <w:rFonts w:ascii="Arial" w:eastAsia="Arial" w:hAnsi="Arial" w:cs="Arial"/>
          <w:color w:val="000000"/>
          <w:sz w:val="20"/>
        </w:rPr>
        <w:t xml:space="preserve">It was that battery, rather than a disability, that led to the [**11]  arrest. As a result, the arrest did not constitute discrimination against J.P. based on her alleged disability. </w:t>
      </w:r>
      <w:r>
        <w:rPr>
          <w:rFonts w:ascii="Arial" w:eastAsia="Arial" w:hAnsi="Arial" w:cs="Arial"/>
          <w:i/>
          <w:color w:val="000000"/>
          <w:sz w:val="20"/>
        </w:rPr>
        <w:t xml:space="preserve">See </w:t>
      </w:r>
      <w:bookmarkStart w:id="1899" w:name="Bookmark_I5HNK6W72N1PNG0020000400"/>
      <w:bookmarkEnd w:id="1899"/>
      <w:r>
        <w:rPr>
          <w:rFonts w:ascii="Arial" w:eastAsia="Arial" w:hAnsi="Arial" w:cs="Arial"/>
          <w:i/>
          <w:color w:val="000000"/>
          <w:sz w:val="20"/>
        </w:rPr>
        <w:t>Roberts v. City of Omaha</w:t>
      </w:r>
      <w:r>
        <w:rPr>
          <w:rFonts w:ascii="Arial" w:eastAsia="Arial" w:hAnsi="Arial" w:cs="Arial"/>
          <w:color w:val="000000"/>
          <w:sz w:val="20"/>
        </w:rPr>
        <w:t>, 723 F.3d 966, 973-74 (8th Cir. 2013) (holding that the police did not discriminate under the Americans with Disabilities Act when arresting a man with paranoid schizophrenia who had attacked his family members). In these circumstances, the district court properly granted summary judgment to Deputy Sharkey on this claim.</w:t>
      </w:r>
    </w:p>
    <w:p w14:paraId="1D8341C3" w14:textId="77777777" w:rsidR="002D0E71" w:rsidRDefault="00000000">
      <w:pPr>
        <w:pStyle w:val="Normal12"/>
        <w:widowControl w:val="0"/>
        <w:spacing w:before="240" w:line="260" w:lineRule="atLeast"/>
      </w:pPr>
      <w:r>
        <w:br/>
      </w:r>
      <w:r>
        <w:rPr>
          <w:rFonts w:ascii="Arial" w:eastAsia="Arial" w:hAnsi="Arial" w:cs="Arial"/>
          <w:b/>
          <w:color w:val="000000"/>
          <w:sz w:val="20"/>
        </w:rPr>
        <w:t>2. Deputy Sharkey did not fail to reasonably accommodate J.P.'s alleged disability during the course of her arrest and transportation to the juvenile detention center</w:t>
      </w:r>
      <w:r>
        <w:rPr>
          <w:rFonts w:ascii="Arial" w:eastAsia="Arial" w:hAnsi="Arial" w:cs="Arial"/>
          <w:color w:val="000000"/>
          <w:sz w:val="20"/>
        </w:rPr>
        <w:t>.</w:t>
      </w:r>
    </w:p>
    <w:p w14:paraId="4F7E9454" w14:textId="77777777" w:rsidR="002D0E71" w:rsidRDefault="00000000">
      <w:pPr>
        <w:pStyle w:val="Normal12"/>
        <w:widowControl w:val="0"/>
        <w:spacing w:before="200" w:line="260" w:lineRule="atLeast"/>
        <w:jc w:val="both"/>
      </w:pPr>
      <w:bookmarkStart w:id="1900" w:name="Bookmark_para_34_7"/>
      <w:bookmarkStart w:id="1901" w:name="Bookmark_LNHNREFclscc12_7"/>
      <w:bookmarkEnd w:id="1900"/>
      <w:bookmarkEnd w:id="1901"/>
      <w:r>
        <w:rPr>
          <w:rFonts w:ascii="Arial" w:eastAsia="Arial" w:hAnsi="Arial" w:cs="Arial"/>
          <w:color w:val="000000"/>
          <w:sz w:val="20"/>
        </w:rPr>
        <w:t xml:space="preserve">The Americans with Disabilities Act forbids not only discrimination but also failure  [*1261]  to make reasonable accommodations for a disability. </w:t>
      </w:r>
      <w:bookmarkStart w:id="1902" w:name="Bookmark_I5HNK6W72N1PNG0050000400"/>
      <w:bookmarkEnd w:id="1902"/>
      <w:r>
        <w:rPr>
          <w:rFonts w:ascii="Arial" w:eastAsia="Arial" w:hAnsi="Arial" w:cs="Arial"/>
          <w:color w:val="000000"/>
          <w:sz w:val="20"/>
        </w:rPr>
        <w:t xml:space="preserve">Americans with Disabilities Act § 102(b)(5)(A), 42 U.S.C. § 12112(b)(5)(A) (2012). For the sake of argument, we can assume—without deciding—that accommodations may be necessary when disabled individuals are arrested. </w:t>
      </w:r>
      <w:bookmarkStart w:id="1903" w:name="Bookmark_I5HNK6W72D6N6P0020000400"/>
      <w:bookmarkEnd w:id="1903"/>
      <w:r>
        <w:rPr>
          <w:rFonts w:ascii="Arial" w:eastAsia="Arial" w:hAnsi="Arial" w:cs="Arial"/>
          <w:i/>
          <w:color w:val="000000"/>
          <w:sz w:val="20"/>
        </w:rPr>
        <w:t xml:space="preserve">See </w:t>
      </w:r>
      <w:bookmarkStart w:id="1904" w:name="Bookmark_I5HNK6W72N1PNG0040000400"/>
      <w:bookmarkEnd w:id="1904"/>
      <w:r>
        <w:rPr>
          <w:rFonts w:ascii="Arial" w:eastAsia="Arial" w:hAnsi="Arial" w:cs="Arial"/>
          <w:i/>
          <w:color w:val="000000"/>
          <w:sz w:val="20"/>
        </w:rPr>
        <w:t>Gohier v. Enright</w:t>
      </w:r>
      <w:r>
        <w:rPr>
          <w:rFonts w:ascii="Arial" w:eastAsia="Arial" w:hAnsi="Arial" w:cs="Arial"/>
          <w:color w:val="000000"/>
          <w:sz w:val="20"/>
        </w:rPr>
        <w:t xml:space="preserve">, 186 F.3d 1216, 1221 (10th Cir. 1999) (noting that the Tenth Circuit has not decided on the viability of a claim based on the Americans with Disabilities Act for failing to accommodate a disability in the course of making an arrest). </w:t>
      </w:r>
      <w:bookmarkStart w:id="1905" w:name="Bookmark_I5HNK6W72D6N6P0020000400_2"/>
      <w:bookmarkEnd w:id="1905"/>
      <w:r>
        <w:rPr>
          <w:rFonts w:ascii="Arial" w:eastAsia="Arial" w:hAnsi="Arial" w:cs="Arial"/>
          <w:color w:val="000000"/>
          <w:sz w:val="20"/>
        </w:rPr>
        <w:t xml:space="preserve">For example, </w:t>
      </w:r>
      <w:bookmarkStart w:id="1906" w:name="Bookmark_LNHNREFclscc13_6"/>
      <w:bookmarkEnd w:id="1906"/>
      <w:r>
        <w:rPr>
          <w:rFonts w:ascii="Arial" w:eastAsia="Arial" w:hAnsi="Arial" w:cs="Arial"/>
          <w:color w:val="000000"/>
          <w:sz w:val="20"/>
        </w:rPr>
        <w:t xml:space="preserve">if a disabled individual uses a wheelchair, courts might require law enforcement officers to secure the [**12]  wheelchair when making an arrest. </w:t>
      </w:r>
      <w:r>
        <w:rPr>
          <w:rFonts w:ascii="Arial" w:eastAsia="Arial" w:hAnsi="Arial" w:cs="Arial"/>
          <w:i/>
          <w:color w:val="000000"/>
          <w:sz w:val="20"/>
        </w:rPr>
        <w:t xml:space="preserve">See </w:t>
      </w:r>
      <w:bookmarkStart w:id="1907" w:name="Bookmark_I5HNK6W72D6N6P0010000400"/>
      <w:bookmarkEnd w:id="1907"/>
      <w:r>
        <w:rPr>
          <w:rFonts w:ascii="Arial" w:eastAsia="Arial" w:hAnsi="Arial" w:cs="Arial"/>
          <w:i/>
          <w:color w:val="000000"/>
          <w:sz w:val="20"/>
        </w:rPr>
        <w:t>Gorman v. Bartch</w:t>
      </w:r>
      <w:r>
        <w:rPr>
          <w:rFonts w:ascii="Arial" w:eastAsia="Arial" w:hAnsi="Arial" w:cs="Arial"/>
          <w:color w:val="000000"/>
          <w:sz w:val="20"/>
        </w:rPr>
        <w:t>, 152 F.3d 907, 909-10, 913 (8th Cir. 1998).</w:t>
      </w:r>
    </w:p>
    <w:p w14:paraId="460D4716" w14:textId="77777777" w:rsidR="002D0E71" w:rsidRDefault="00000000">
      <w:pPr>
        <w:pStyle w:val="Normal12"/>
        <w:widowControl w:val="0"/>
        <w:spacing w:before="200" w:line="260" w:lineRule="atLeast"/>
        <w:jc w:val="both"/>
      </w:pPr>
      <w:bookmarkStart w:id="1908" w:name="Bookmark_para_35_7"/>
      <w:bookmarkEnd w:id="1908"/>
      <w:r>
        <w:rPr>
          <w:rFonts w:ascii="Arial" w:eastAsia="Arial" w:hAnsi="Arial" w:cs="Arial"/>
          <w:color w:val="000000"/>
          <w:sz w:val="20"/>
        </w:rPr>
        <w:t>J.H. claims that J.P. had a learning disability and that Deputy Sharkey failed to make any accommodation while J.P. was in custody. The district court granted summary judgment to Deputy Sharkey on this claim. We agree with this ruling because J.H. did not provide admissible evidence of (1) a request for an accommodation or (2) a reason for Deputy Sharkey to know about a need for accommodation.</w:t>
      </w:r>
    </w:p>
    <w:p w14:paraId="066CF867" w14:textId="77777777" w:rsidR="002D0E71" w:rsidRDefault="00000000">
      <w:pPr>
        <w:pStyle w:val="Normal12"/>
        <w:widowControl w:val="0"/>
        <w:spacing w:before="200" w:line="260" w:lineRule="atLeast"/>
        <w:jc w:val="both"/>
      </w:pPr>
      <w:bookmarkStart w:id="1909" w:name="Bookmark_para_36_7"/>
      <w:bookmarkStart w:id="1910" w:name="Bookmark_I5HNK6W72D6N6P0040000400"/>
      <w:bookmarkEnd w:id="1909"/>
      <w:bookmarkEnd w:id="1910"/>
      <w:r>
        <w:rPr>
          <w:rFonts w:ascii="Arial" w:eastAsia="Arial" w:hAnsi="Arial" w:cs="Arial"/>
          <w:color w:val="000000"/>
          <w:sz w:val="20"/>
        </w:rPr>
        <w:t xml:space="preserve">If a police officer incurs a duty to reasonably accommodate a person's disability during an arrest, this duty would have arisen only if Deputy Sharkey had known that J.P. needed an accommodation. </w:t>
      </w:r>
      <w:r>
        <w:rPr>
          <w:rFonts w:ascii="Arial" w:eastAsia="Arial" w:hAnsi="Arial" w:cs="Arial"/>
          <w:i/>
          <w:color w:val="000000"/>
          <w:sz w:val="20"/>
        </w:rPr>
        <w:t xml:space="preserve">See </w:t>
      </w:r>
      <w:bookmarkStart w:id="1911" w:name="Bookmark_I5HNK6W72D6N6P0030000400"/>
      <w:bookmarkEnd w:id="1911"/>
      <w:r>
        <w:rPr>
          <w:rFonts w:ascii="Arial" w:eastAsia="Arial" w:hAnsi="Arial" w:cs="Arial"/>
          <w:i/>
          <w:color w:val="000000"/>
          <w:sz w:val="20"/>
        </w:rPr>
        <w:t>Robertson v. Las Animas Cnty. Sheriff's Dep't</w:t>
      </w:r>
      <w:r>
        <w:rPr>
          <w:rFonts w:ascii="Arial" w:eastAsia="Arial" w:hAnsi="Arial" w:cs="Arial"/>
          <w:color w:val="000000"/>
          <w:sz w:val="20"/>
        </w:rPr>
        <w:t>, 500 F.3d 1185, 1196 (10th Cir. 2007) (</w:t>
      </w:r>
      <w:bookmarkStart w:id="1912" w:name="Bookmark_LNHNREFclscc14_4"/>
      <w:bookmarkEnd w:id="1912"/>
      <w:r>
        <w:rPr>
          <w:rFonts w:ascii="Arial" w:eastAsia="Arial" w:hAnsi="Arial" w:cs="Arial"/>
          <w:color w:val="000000"/>
          <w:sz w:val="20"/>
        </w:rPr>
        <w:t>"Before a public entity can be required under the [Americans with Disabilities Act] to provide a disabled individual an auxiliary aid or service, a public entity must have knowledge of the individual's disability and the individual's need for an accommodation."). J.P. never asked Deputy Sharkey to make an accommodation.</w:t>
      </w:r>
    </w:p>
    <w:p w14:paraId="1D823FFE" w14:textId="77777777" w:rsidR="002D0E71" w:rsidRDefault="00000000">
      <w:pPr>
        <w:pStyle w:val="Normal12"/>
        <w:widowControl w:val="0"/>
        <w:spacing w:before="200" w:line="260" w:lineRule="atLeast"/>
        <w:jc w:val="both"/>
      </w:pPr>
      <w:bookmarkStart w:id="1913" w:name="Bookmark_para_37_7"/>
      <w:bookmarkEnd w:id="1913"/>
      <w:r>
        <w:rPr>
          <w:rFonts w:ascii="Arial" w:eastAsia="Arial" w:hAnsi="Arial" w:cs="Arial"/>
          <w:color w:val="000000"/>
          <w:sz w:val="20"/>
        </w:rPr>
        <w:t>According to J.H., Deputy Sharkey already knew that J.P. had a disability. This argument is unsupported and conflates a disability with a need for accommodation.</w:t>
      </w:r>
    </w:p>
    <w:p w14:paraId="28DDAC12" w14:textId="77777777" w:rsidR="002D0E71" w:rsidRDefault="00000000">
      <w:pPr>
        <w:pStyle w:val="Normal12"/>
        <w:widowControl w:val="0"/>
        <w:spacing w:before="200" w:line="260" w:lineRule="atLeast"/>
        <w:jc w:val="both"/>
      </w:pPr>
      <w:bookmarkStart w:id="1914" w:name="Bookmark_para_38_6"/>
      <w:bookmarkEnd w:id="1914"/>
      <w:r>
        <w:rPr>
          <w:rFonts w:ascii="Arial" w:eastAsia="Arial" w:hAnsi="Arial" w:cs="Arial"/>
          <w:color w:val="000000"/>
          <w:sz w:val="20"/>
        </w:rPr>
        <w:t xml:space="preserve">J.H. alleges that a former principal told Deputy Sharkey about J.P.'s disability. [**13]  But the former principal did not testify, and what he allegedly said would constitute inadmissible hearsay. </w:t>
      </w:r>
      <w:bookmarkStart w:id="1915" w:name="Bookmark_I5HNK6W72HM64R0010000400"/>
      <w:bookmarkEnd w:id="1915"/>
      <w:r>
        <w:rPr>
          <w:rFonts w:ascii="Arial" w:eastAsia="Arial" w:hAnsi="Arial" w:cs="Arial"/>
          <w:color w:val="000000"/>
          <w:sz w:val="20"/>
        </w:rPr>
        <w:t xml:space="preserve">Fed. R. Evid. 801(c), 802. As a result, the former principal's alleged statement could not prevent summary judgment on this issue. </w:t>
      </w:r>
      <w:r>
        <w:rPr>
          <w:rFonts w:ascii="Arial" w:eastAsia="Arial" w:hAnsi="Arial" w:cs="Arial"/>
          <w:i/>
          <w:color w:val="000000"/>
          <w:sz w:val="20"/>
        </w:rPr>
        <w:t xml:space="preserve">See </w:t>
      </w:r>
      <w:bookmarkStart w:id="1916" w:name="Bookmark_I5HNK6W72D6N6P0050000400"/>
      <w:bookmarkEnd w:id="1916"/>
      <w:r>
        <w:rPr>
          <w:rFonts w:ascii="Arial" w:eastAsia="Arial" w:hAnsi="Arial" w:cs="Arial"/>
          <w:i/>
          <w:color w:val="000000"/>
          <w:sz w:val="20"/>
        </w:rPr>
        <w:t>Jaramillo v. Colo. Judicial Dep't</w:t>
      </w:r>
      <w:r>
        <w:rPr>
          <w:rFonts w:ascii="Arial" w:eastAsia="Arial" w:hAnsi="Arial" w:cs="Arial"/>
          <w:color w:val="000000"/>
          <w:sz w:val="20"/>
        </w:rPr>
        <w:t>, 427 F.3d 1303, 1314 (10th Cir. 2005) (</w:t>
      </w:r>
      <w:bookmarkStart w:id="1917" w:name="Bookmark_LNHNREFclscc15_3"/>
      <w:bookmarkEnd w:id="1917"/>
      <w:r>
        <w:rPr>
          <w:rFonts w:ascii="Arial" w:eastAsia="Arial" w:hAnsi="Arial" w:cs="Arial"/>
          <w:color w:val="000000"/>
          <w:sz w:val="20"/>
        </w:rPr>
        <w:t>"Hearsay testimony that would not be admissible at trial is not sufficient to defeat a motion for summary judgment.").</w:t>
      </w:r>
    </w:p>
    <w:p w14:paraId="5B1EFC3D" w14:textId="77777777" w:rsidR="002D0E71" w:rsidRDefault="00000000">
      <w:pPr>
        <w:pStyle w:val="Normal12"/>
        <w:widowControl w:val="0"/>
        <w:spacing w:before="200" w:line="260" w:lineRule="atLeast"/>
        <w:jc w:val="both"/>
      </w:pPr>
      <w:bookmarkStart w:id="1918" w:name="Bookmark_para_39_6"/>
      <w:bookmarkEnd w:id="1918"/>
      <w:r>
        <w:rPr>
          <w:rFonts w:ascii="Arial" w:eastAsia="Arial" w:hAnsi="Arial" w:cs="Arial"/>
          <w:color w:val="000000"/>
          <w:sz w:val="20"/>
        </w:rPr>
        <w:t xml:space="preserve">J.H. also contends that Deputy Sharkey could have asked about J.P.'s disability. But ask whom? </w:t>
      </w:r>
      <w:bookmarkStart w:id="1919" w:name="Bookmark_LNHNREFclscc16_3"/>
      <w:bookmarkEnd w:id="1919"/>
      <w:r>
        <w:rPr>
          <w:rFonts w:ascii="Arial" w:eastAsia="Arial" w:hAnsi="Arial" w:cs="Arial"/>
          <w:color w:val="000000"/>
          <w:sz w:val="20"/>
        </w:rPr>
        <w:t xml:space="preserve">Schools that receive federal funds—like J.P.'s school—cannot disclose education records without written parental consent. Family Educational Rights and Privacy Act, 20 U.S.C. § 1232g(b)(1) (2012). Exceptions exist, but none apply here. </w:t>
      </w:r>
      <w:r>
        <w:rPr>
          <w:rFonts w:ascii="Arial" w:eastAsia="Arial" w:hAnsi="Arial" w:cs="Arial"/>
          <w:i/>
          <w:color w:val="000000"/>
          <w:sz w:val="20"/>
        </w:rPr>
        <w:t>See</w:t>
      </w:r>
      <w:r>
        <w:rPr>
          <w:rFonts w:ascii="Arial" w:eastAsia="Arial" w:hAnsi="Arial" w:cs="Arial"/>
          <w:color w:val="000000"/>
          <w:sz w:val="20"/>
        </w:rPr>
        <w:t xml:space="preserve"> Family Educational Rights and Privacy Act, 20 U.S.C. § 1232g(b)(1)(A)-(L) (2012) (declining to afford police officers or school resource officers access to protected records). No party has presented evidence of J.H.'s written consent for Deputy Sharkey to access J.P.'s education records. Without this evidence, a fact-finder could not reasonably have inferred that Deputy Sharkey had known of J.P.'s disability.</w:t>
      </w:r>
    </w:p>
    <w:p w14:paraId="4EBF97DC" w14:textId="77777777" w:rsidR="002D0E71" w:rsidRDefault="00000000">
      <w:pPr>
        <w:pStyle w:val="Normal12"/>
        <w:widowControl w:val="0"/>
        <w:spacing w:before="200" w:line="260" w:lineRule="atLeast"/>
        <w:jc w:val="both"/>
      </w:pPr>
      <w:bookmarkStart w:id="1920" w:name="Bookmark_para_40_6"/>
      <w:bookmarkStart w:id="1921" w:name="Bookmark_I5HNK6W72HM64R0030000400"/>
      <w:bookmarkEnd w:id="1920"/>
      <w:bookmarkEnd w:id="1921"/>
      <w:r>
        <w:rPr>
          <w:rFonts w:ascii="Arial" w:eastAsia="Arial" w:hAnsi="Arial" w:cs="Arial"/>
          <w:color w:val="000000"/>
          <w:sz w:val="20"/>
        </w:rPr>
        <w:t>But let's suppose that Deputy Sharkey knew that J.P. had a learning disability.</w:t>
      </w:r>
      <w:r>
        <w:rPr>
          <w:rFonts w:ascii="Arial" w:eastAsia="Arial" w:hAnsi="Arial" w:cs="Arial"/>
          <w:vertAlign w:val="superscript"/>
        </w:rPr>
        <w:footnoteReference w:customMarkFollows="1" w:id="58"/>
        <w:t>4</w:t>
      </w:r>
      <w:r>
        <w:rPr>
          <w:rFonts w:ascii="Arial" w:eastAsia="Arial" w:hAnsi="Arial" w:cs="Arial"/>
          <w:color w:val="000000"/>
          <w:sz w:val="20"/>
        </w:rPr>
        <w:t xml:space="preserve"> With that knowledge, what accommodation  [*1262]  should Deputy Sharkey have [**14]  made? J.P. never asked for an accommodation; and even now, J.H. does not tell us what Deputy Sharkey should have done to accommodate J.P.'s learning disorder.</w:t>
      </w:r>
    </w:p>
    <w:p w14:paraId="2731BBC0" w14:textId="77777777" w:rsidR="002D0E71" w:rsidRDefault="00000000">
      <w:pPr>
        <w:pStyle w:val="Normal12"/>
        <w:widowControl w:val="0"/>
        <w:spacing w:before="200" w:line="260" w:lineRule="atLeast"/>
        <w:jc w:val="both"/>
      </w:pPr>
      <w:bookmarkStart w:id="1926" w:name="Bookmark_para_41_6"/>
      <w:bookmarkEnd w:id="1926"/>
      <w:r>
        <w:rPr>
          <w:rFonts w:ascii="Arial" w:eastAsia="Arial" w:hAnsi="Arial" w:cs="Arial"/>
          <w:color w:val="000000"/>
          <w:sz w:val="20"/>
        </w:rPr>
        <w:t>Presumably J.H. believes that Deputy Sharkey should have declined to arrest J.P. and take her to a juvenile detention center. But as noted above, these actions were permissible under state law and the Fourth Amendment. An accommodation may have been necessary in the manner that J.P. was arrested, handcuffed, or transported. But J.P. did not identify a needed accommodation. As a result, Deputy Sharkey did not violate the Americans with Disabilities Act by failing to reasonably accommodate J.P.'s alleged disability.</w:t>
      </w:r>
    </w:p>
    <w:p w14:paraId="39FC6CA6" w14:textId="77777777" w:rsidR="002D0E71" w:rsidRDefault="00000000">
      <w:pPr>
        <w:pStyle w:val="Normal12"/>
        <w:widowControl w:val="0"/>
        <w:spacing w:before="240" w:line="260" w:lineRule="atLeast"/>
      </w:pPr>
      <w:r>
        <w:br/>
      </w:r>
      <w:r>
        <w:rPr>
          <w:rFonts w:ascii="Arial" w:eastAsia="Arial" w:hAnsi="Arial" w:cs="Arial"/>
          <w:b/>
          <w:color w:val="000000"/>
          <w:sz w:val="20"/>
        </w:rPr>
        <w:t>II. The district court properly rejected J.H.'s claims against Bernalillo County</w:t>
      </w:r>
      <w:r>
        <w:rPr>
          <w:rFonts w:ascii="Arial" w:eastAsia="Arial" w:hAnsi="Arial" w:cs="Arial"/>
          <w:color w:val="000000"/>
          <w:sz w:val="20"/>
        </w:rPr>
        <w:t>.</w:t>
      </w:r>
    </w:p>
    <w:p w14:paraId="23E0E31D" w14:textId="77777777" w:rsidR="002D0E71" w:rsidRDefault="00000000">
      <w:pPr>
        <w:pStyle w:val="Normal12"/>
        <w:widowControl w:val="0"/>
        <w:spacing w:before="200" w:line="260" w:lineRule="atLeast"/>
        <w:jc w:val="both"/>
      </w:pPr>
      <w:bookmarkStart w:id="1927" w:name="Bookmark_para_42_6"/>
      <w:bookmarkEnd w:id="1927"/>
      <w:r>
        <w:rPr>
          <w:rFonts w:ascii="Arial" w:eastAsia="Arial" w:hAnsi="Arial" w:cs="Arial"/>
          <w:color w:val="000000"/>
          <w:sz w:val="20"/>
        </w:rPr>
        <w:t>According to J.H., Bernalillo County [**15]  should have provided better training to Deputy Sharkey, triggering municipal liability under the Fourth Amendment, the Fourteenth Amendment, and the Americans with Disabilities Act. The district court granted the county's motion to dismiss the Fourteenth Amendment claim and the county's motion for summary judgment on the claims involving the Fourth Amendment and the Americans with Disabilities Act. These rulings were correct.</w:t>
      </w:r>
    </w:p>
    <w:p w14:paraId="05759BF7" w14:textId="77777777" w:rsidR="002D0E71" w:rsidRDefault="00000000">
      <w:pPr>
        <w:pStyle w:val="Normal12"/>
        <w:widowControl w:val="0"/>
        <w:spacing w:before="200" w:line="260" w:lineRule="atLeast"/>
        <w:jc w:val="both"/>
      </w:pPr>
      <w:bookmarkStart w:id="1928" w:name="Bookmark_para_43_6"/>
      <w:bookmarkStart w:id="1929" w:name="Bookmark_I5HNK6W72D6N6R0020000400"/>
      <w:bookmarkEnd w:id="1928"/>
      <w:bookmarkEnd w:id="1929"/>
      <w:r>
        <w:rPr>
          <w:rFonts w:ascii="Arial" w:eastAsia="Arial" w:hAnsi="Arial" w:cs="Arial"/>
          <w:color w:val="000000"/>
          <w:sz w:val="20"/>
        </w:rPr>
        <w:t xml:space="preserve">According to J.H., the county failed to properly train Deputy Sharkey. </w:t>
      </w:r>
      <w:bookmarkStart w:id="1930" w:name="Bookmark_LNHNREFclscc18_3"/>
      <w:bookmarkEnd w:id="1930"/>
      <w:r>
        <w:rPr>
          <w:rFonts w:ascii="Arial" w:eastAsia="Arial" w:hAnsi="Arial" w:cs="Arial"/>
          <w:color w:val="000000"/>
          <w:sz w:val="20"/>
        </w:rPr>
        <w:t xml:space="preserve">But the county could incur liability for failure to train only if Deputy Sharkey had committed a constitutional or statutory violation. </w:t>
      </w:r>
      <w:bookmarkStart w:id="1931" w:name="Bookmark_I5HNK6W72D6N6R0010000400"/>
      <w:bookmarkEnd w:id="1931"/>
      <w:r>
        <w:rPr>
          <w:rFonts w:ascii="Arial" w:eastAsia="Arial" w:hAnsi="Arial" w:cs="Arial"/>
          <w:i/>
          <w:color w:val="000000"/>
          <w:sz w:val="20"/>
        </w:rPr>
        <w:t>Ellis ex rel. Estate of Ellis v. Ogden City</w:t>
      </w:r>
      <w:r>
        <w:rPr>
          <w:rFonts w:ascii="Arial" w:eastAsia="Arial" w:hAnsi="Arial" w:cs="Arial"/>
          <w:color w:val="000000"/>
          <w:sz w:val="20"/>
        </w:rPr>
        <w:t>, 589 F.3d 1099, 1104-05 (10th Cir. 2009). We have already held that Deputy Sharkey did not commit such a violation. As a result, the county could not incur liability for failing to provide adequate training.</w:t>
      </w:r>
    </w:p>
    <w:p w14:paraId="0BED10B3" w14:textId="77777777" w:rsidR="002D0E71" w:rsidRDefault="00000000">
      <w:pPr>
        <w:pStyle w:val="Normal12"/>
        <w:widowControl w:val="0"/>
        <w:spacing w:before="240" w:line="260" w:lineRule="atLeast"/>
      </w:pPr>
      <w:r>
        <w:br/>
      </w:r>
      <w:r>
        <w:rPr>
          <w:rFonts w:ascii="Arial" w:eastAsia="Arial" w:hAnsi="Arial" w:cs="Arial"/>
          <w:b/>
          <w:color w:val="000000"/>
          <w:sz w:val="20"/>
        </w:rPr>
        <w:t>III. Disposition</w:t>
      </w:r>
    </w:p>
    <w:p w14:paraId="20A65ED3" w14:textId="77777777" w:rsidR="002D0E71" w:rsidRDefault="00000000">
      <w:pPr>
        <w:pStyle w:val="Normal12"/>
        <w:widowControl w:val="0"/>
        <w:spacing w:before="200" w:line="260" w:lineRule="atLeast"/>
        <w:jc w:val="both"/>
      </w:pPr>
      <w:bookmarkStart w:id="1932" w:name="Bookmark_para_44_4"/>
      <w:bookmarkEnd w:id="1932"/>
      <w:r>
        <w:rPr>
          <w:rFonts w:ascii="Arial" w:eastAsia="Arial" w:hAnsi="Arial" w:cs="Arial"/>
          <w:color w:val="000000"/>
          <w:sz w:val="20"/>
        </w:rPr>
        <w:t>We affirm.</w:t>
      </w:r>
    </w:p>
    <w:p w14:paraId="2990762F" w14:textId="77777777" w:rsidR="002D0E71" w:rsidRDefault="002D0E71">
      <w:pPr>
        <w:pStyle w:val="Normal12"/>
      </w:pPr>
    </w:p>
    <w:p w14:paraId="26129F06" w14:textId="69A5A223" w:rsidR="002D0E71" w:rsidRDefault="00000000">
      <w:pPr>
        <w:pStyle w:val="Normal12"/>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84864" behindDoc="0" locked="0" layoutInCell="1" allowOverlap="1" wp14:anchorId="2A01D6C8" wp14:editId="21879681">
                <wp:simplePos x="0" y="0"/>
                <wp:positionH relativeFrom="column">
                  <wp:posOffset>0</wp:posOffset>
                </wp:positionH>
                <wp:positionV relativeFrom="paragraph">
                  <wp:posOffset>127000</wp:posOffset>
                </wp:positionV>
                <wp:extent cx="6502400" cy="0"/>
                <wp:effectExtent l="9525" t="12700" r="12700" b="6350"/>
                <wp:wrapNone/>
                <wp:docPr id="265379063"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D634D5" id="Line 27"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36B7AA1" w14:textId="77777777" w:rsidR="002D0E71" w:rsidRDefault="002D0E71">
      <w:pPr>
        <w:pStyle w:val="Normal13"/>
        <w:sectPr w:rsidR="002D0E71">
          <w:headerReference w:type="even" r:id="rId84"/>
          <w:headerReference w:type="default" r:id="rId85"/>
          <w:footerReference w:type="even" r:id="rId86"/>
          <w:footerReference w:type="default" r:id="rId87"/>
          <w:headerReference w:type="first" r:id="rId88"/>
          <w:footerReference w:type="first" r:id="rId89"/>
          <w:pgSz w:w="12240" w:h="15840"/>
          <w:pgMar w:top="840" w:right="1000" w:bottom="840" w:left="1000" w:header="400" w:footer="400" w:gutter="0"/>
          <w:cols w:space="720"/>
          <w:titlePg/>
        </w:sectPr>
      </w:pPr>
    </w:p>
    <w:p w14:paraId="3D4C36F9" w14:textId="77777777" w:rsidR="002D0E71" w:rsidRDefault="002D0E71">
      <w:pPr>
        <w:pStyle w:val="Normal13"/>
      </w:pPr>
    </w:p>
    <w:p w14:paraId="2FE5C90C" w14:textId="77777777" w:rsidR="002D0E71" w:rsidRDefault="00000000">
      <w:pPr>
        <w:pStyle w:val="Heading112"/>
        <w:keepNext w:val="0"/>
        <w:widowControl w:val="0"/>
        <w:spacing w:after="200" w:line="340" w:lineRule="atLeast"/>
        <w:jc w:val="center"/>
      </w:pPr>
      <w:r>
        <w:rPr>
          <w:rFonts w:eastAsia="Arial"/>
          <w:color w:val="000000"/>
          <w:sz w:val="28"/>
        </w:rPr>
        <w:t>T.B. v. San Diego Unified Sch. Dist.</w:t>
      </w:r>
    </w:p>
    <w:p w14:paraId="1D5E9BFE" w14:textId="77777777" w:rsidR="002D0E71" w:rsidRDefault="00000000">
      <w:pPr>
        <w:pStyle w:val="Normal13"/>
        <w:widowControl w:val="0"/>
        <w:spacing w:before="120" w:line="260" w:lineRule="atLeast"/>
        <w:jc w:val="center"/>
      </w:pPr>
      <w:r>
        <w:rPr>
          <w:rFonts w:ascii="Arial" w:eastAsia="Arial" w:hAnsi="Arial" w:cs="Arial"/>
          <w:color w:val="000000"/>
          <w:sz w:val="20"/>
        </w:rPr>
        <w:t>United States Court of Appeals for the Ninth Circuit</w:t>
      </w:r>
    </w:p>
    <w:p w14:paraId="51930F74" w14:textId="77777777" w:rsidR="002D0E71" w:rsidRDefault="00000000">
      <w:pPr>
        <w:pStyle w:val="Normal13"/>
        <w:widowControl w:val="0"/>
        <w:spacing w:before="120" w:line="260" w:lineRule="atLeast"/>
        <w:jc w:val="center"/>
      </w:pPr>
      <w:r>
        <w:rPr>
          <w:rFonts w:ascii="Arial" w:eastAsia="Arial" w:hAnsi="Arial" w:cs="Arial"/>
          <w:color w:val="000000"/>
          <w:sz w:val="20"/>
        </w:rPr>
        <w:t>July 9, 2014, Argued and Submitted, Pasadena, California; November 19, 2015, Amended</w:t>
      </w:r>
    </w:p>
    <w:p w14:paraId="11C4A71E" w14:textId="77777777" w:rsidR="002D0E71" w:rsidRDefault="00000000">
      <w:pPr>
        <w:pStyle w:val="Normal13"/>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12-56060</w:t>
      </w:r>
    </w:p>
    <w:p w14:paraId="404BD26F" w14:textId="77777777" w:rsidR="002D0E71" w:rsidRDefault="002D0E71">
      <w:pPr>
        <w:pStyle w:val="Normal13"/>
        <w:widowControl w:val="0"/>
        <w:spacing w:line="240" w:lineRule="atLeast"/>
        <w:jc w:val="both"/>
      </w:pPr>
      <w:bookmarkStart w:id="1933" w:name="Bookmark_14"/>
      <w:bookmarkEnd w:id="1933"/>
    </w:p>
    <w:p w14:paraId="37D4D06E" w14:textId="77777777" w:rsidR="002D0E71" w:rsidRDefault="00000000">
      <w:pPr>
        <w:pStyle w:val="Normal13"/>
        <w:widowControl w:val="0"/>
        <w:spacing w:before="200" w:line="240" w:lineRule="atLeast"/>
      </w:pPr>
      <w:bookmarkStart w:id="1934" w:name="Reporter_12"/>
      <w:bookmarkEnd w:id="1934"/>
      <w:r>
        <w:rPr>
          <w:rFonts w:ascii="Arial" w:eastAsia="Arial" w:hAnsi="Arial" w:cs="Arial"/>
          <w:b/>
          <w:color w:val="000000"/>
          <w:sz w:val="18"/>
        </w:rPr>
        <w:t>Reporter</w:t>
      </w:r>
    </w:p>
    <w:p w14:paraId="7A4CD935" w14:textId="77777777" w:rsidR="002D0E71" w:rsidRDefault="00000000">
      <w:pPr>
        <w:pStyle w:val="Normal13"/>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806 F.3d 451 *; 2015 U.S. App. LEXIS 20119 **</w:t>
      </w:r>
    </w:p>
    <w:p w14:paraId="7135D0DE" w14:textId="77777777" w:rsidR="002D0E71" w:rsidRDefault="00000000">
      <w:pPr>
        <w:pStyle w:val="Normal13"/>
        <w:widowControl w:val="0"/>
        <w:spacing w:before="120" w:line="260" w:lineRule="atLeast"/>
      </w:pPr>
      <w:r>
        <w:rPr>
          <w:rFonts w:ascii="Arial" w:eastAsia="Arial" w:hAnsi="Arial" w:cs="Arial"/>
          <w:color w:val="000000"/>
          <w:sz w:val="20"/>
        </w:rPr>
        <w:t>T.B., a minor, by and through his Guardian ad Litem; ALLISON BRENNEISE; ROBERT BRENNEISE, Plaintiffs-Appellants, STEVEN WYNER; WYNER AND TIFFANY, Appellants, v. SAN DIEGO UNIFIED SCHOOL DISTRICT, Defendant-Appellee.</w:t>
      </w:r>
    </w:p>
    <w:p w14:paraId="389AD65A" w14:textId="77777777" w:rsidR="002D0E71" w:rsidRDefault="00000000">
      <w:pPr>
        <w:pStyle w:val="Normal13"/>
        <w:widowControl w:val="0"/>
        <w:spacing w:before="240" w:line="260" w:lineRule="atLeast"/>
      </w:pPr>
      <w:bookmarkStart w:id="1935" w:name="Subsequent_History_3"/>
      <w:bookmarkEnd w:id="1935"/>
      <w:r>
        <w:rPr>
          <w:rFonts w:ascii="Arial" w:eastAsia="Arial" w:hAnsi="Arial" w:cs="Arial"/>
          <w:b/>
          <w:color w:val="000000"/>
          <w:sz w:val="20"/>
        </w:rPr>
        <w:t>Subsequent History:</w:t>
      </w:r>
      <w:r>
        <w:rPr>
          <w:rFonts w:ascii="Arial" w:eastAsia="Arial" w:hAnsi="Arial" w:cs="Arial"/>
          <w:color w:val="000000"/>
          <w:sz w:val="20"/>
        </w:rPr>
        <w:t> Magistrate's recommendation at, Costs and fees proceeding at T.B. v. San Diego Unified Sch. Dist., 2017 U.S. Dist. LEXIS 218434 (S.D. Cal., Oct. 2, 2017)</w:t>
      </w:r>
    </w:p>
    <w:p w14:paraId="271DFE5B" w14:textId="77777777" w:rsidR="002D0E71" w:rsidRDefault="00000000">
      <w:pPr>
        <w:pStyle w:val="Normal13"/>
        <w:widowControl w:val="0"/>
        <w:spacing w:before="240" w:line="260" w:lineRule="atLeast"/>
        <w:jc w:val="both"/>
      </w:pPr>
      <w:bookmarkStart w:id="1936" w:name="Prior_History_12"/>
      <w:bookmarkEnd w:id="1936"/>
      <w:r>
        <w:rPr>
          <w:rFonts w:ascii="Arial" w:eastAsia="Arial" w:hAnsi="Arial" w:cs="Arial"/>
          <w:b/>
          <w:color w:val="000000"/>
          <w:sz w:val="20"/>
        </w:rPr>
        <w:t>Prior History:</w:t>
      </w:r>
      <w:r>
        <w:rPr>
          <w:rFonts w:ascii="Arial" w:eastAsia="Arial" w:hAnsi="Arial" w:cs="Arial"/>
          <w:color w:val="000000"/>
          <w:sz w:val="20"/>
        </w:rPr>
        <w:t> </w:t>
      </w:r>
      <w:bookmarkStart w:id="1937" w:name="Bookmark_para_1_12"/>
      <w:bookmarkEnd w:id="1937"/>
      <w:r>
        <w:rPr>
          <w:rFonts w:ascii="Arial" w:eastAsia="Arial" w:hAnsi="Arial" w:cs="Arial"/>
          <w:color w:val="000000"/>
          <w:sz w:val="20"/>
        </w:rPr>
        <w:t> [**1] Appeal from the United States District Court for the Southern District of California. D.C. No. 3:08-cv-00028-MMA-WMC. Michael M. Anello, District Judge, Presiding.</w:t>
      </w:r>
    </w:p>
    <w:p w14:paraId="44B3C3B9" w14:textId="77777777" w:rsidR="002D0E71" w:rsidRDefault="00000000">
      <w:pPr>
        <w:pStyle w:val="Normal13"/>
        <w:widowControl w:val="0"/>
        <w:spacing w:before="120" w:line="260" w:lineRule="atLeast"/>
      </w:pPr>
      <w:r>
        <w:rPr>
          <w:rFonts w:ascii="Arial" w:eastAsia="Arial" w:hAnsi="Arial" w:cs="Arial"/>
          <w:color w:val="000000"/>
          <w:sz w:val="20"/>
        </w:rPr>
        <w:t>T.B. v. San Diego Unified Sch. Dist., 2012 U.S. Dist. LEXIS 64563 (S.D. Cal., May 8, 2012)</w:t>
      </w:r>
    </w:p>
    <w:p w14:paraId="3F6861CE" w14:textId="77777777" w:rsidR="002D0E71" w:rsidRDefault="00000000">
      <w:pPr>
        <w:pStyle w:val="Normal13"/>
        <w:widowControl w:val="0"/>
        <w:spacing w:before="120" w:line="260" w:lineRule="atLeast"/>
      </w:pPr>
      <w:r>
        <w:rPr>
          <w:rFonts w:ascii="Arial" w:eastAsia="Arial" w:hAnsi="Arial" w:cs="Arial"/>
          <w:color w:val="000000"/>
          <w:sz w:val="20"/>
        </w:rPr>
        <w:t>T.B. v. San Diego Unified Sch. Dist., 2015 U.S. App. LEXIS 13365 (9th Cir. Cal., July 31, 2015)</w:t>
      </w:r>
    </w:p>
    <w:p w14:paraId="227CEE42" w14:textId="77777777" w:rsidR="002D0E71" w:rsidRDefault="00000000">
      <w:pPr>
        <w:pStyle w:val="Normal13"/>
        <w:widowControl w:val="0"/>
        <w:spacing w:before="240" w:line="260" w:lineRule="atLeast"/>
        <w:jc w:val="both"/>
      </w:pPr>
      <w:bookmarkStart w:id="1938" w:name="Disposition_3"/>
      <w:bookmarkEnd w:id="1938"/>
      <w:r>
        <w:rPr>
          <w:rFonts w:ascii="Arial" w:eastAsia="Arial" w:hAnsi="Arial" w:cs="Arial"/>
          <w:b/>
          <w:color w:val="000000"/>
          <w:sz w:val="20"/>
        </w:rPr>
        <w:t>Disposition:</w:t>
      </w:r>
      <w:r>
        <w:rPr>
          <w:rFonts w:ascii="Arial" w:eastAsia="Arial" w:hAnsi="Arial" w:cs="Arial"/>
          <w:color w:val="000000"/>
          <w:sz w:val="20"/>
        </w:rPr>
        <w:t> </w:t>
      </w:r>
      <w:bookmarkStart w:id="1939" w:name="Bookmark_clspara_4_3"/>
      <w:bookmarkEnd w:id="1939"/>
      <w:r>
        <w:rPr>
          <w:rFonts w:ascii="Arial" w:eastAsia="Arial" w:hAnsi="Arial" w:cs="Arial"/>
          <w:color w:val="000000"/>
          <w:sz w:val="20"/>
        </w:rPr>
        <w:t>AFFIRMED IN PART, REVERSED IN PART, VACATED IN PART, AND REMANDED.</w:t>
      </w:r>
    </w:p>
    <w:p w14:paraId="2DCD2C53" w14:textId="77777777" w:rsidR="002D0E71" w:rsidRDefault="00000000">
      <w:pPr>
        <w:pStyle w:val="Normal13"/>
        <w:widowControl w:val="0"/>
        <w:spacing w:before="240" w:line="260" w:lineRule="atLeast"/>
      </w:pPr>
      <w:bookmarkStart w:id="1940" w:name="Summary_0"/>
      <w:bookmarkEnd w:id="1940"/>
      <w:r>
        <w:rPr>
          <w:rFonts w:ascii="Arial" w:eastAsia="Arial" w:hAnsi="Arial" w:cs="Arial"/>
          <w:b/>
          <w:color w:val="000000"/>
          <w:sz w:val="20"/>
        </w:rPr>
        <w:t>Summary:</w:t>
      </w:r>
    </w:p>
    <w:p w14:paraId="332A3788" w14:textId="77777777" w:rsidR="002D0E71" w:rsidRDefault="00000000">
      <w:pPr>
        <w:pStyle w:val="Normal13"/>
        <w:widowControl w:val="0"/>
        <w:spacing w:before="240" w:line="260" w:lineRule="atLeast"/>
        <w:jc w:val="both"/>
      </w:pPr>
      <w:bookmarkStart w:id="1941" w:name="Bookmark_clspara_5_0"/>
      <w:bookmarkEnd w:id="1941"/>
      <w:r>
        <w:rPr>
          <w:rFonts w:ascii="Arial" w:eastAsia="Arial" w:hAnsi="Arial" w:cs="Arial"/>
          <w:b/>
          <w:color w:val="000000"/>
          <w:sz w:val="20"/>
        </w:rPr>
        <w:t>SUMMARY</w:t>
      </w:r>
      <w:r>
        <w:rPr>
          <w:rFonts w:ascii="Arial" w:eastAsia="Arial" w:hAnsi="Arial" w:cs="Arial"/>
          <w:vertAlign w:val="superscript"/>
        </w:rPr>
        <w:footnoteReference w:customMarkFollows="1" w:id="59"/>
        <w:t>**</w:t>
      </w:r>
    </w:p>
    <w:p w14:paraId="75A12BE7" w14:textId="77777777" w:rsidR="002D0E71" w:rsidRDefault="00000000">
      <w:pPr>
        <w:pStyle w:val="Normal13"/>
        <w:widowControl w:val="0"/>
        <w:spacing w:before="240" w:line="260" w:lineRule="atLeast"/>
        <w:jc w:val="both"/>
      </w:pPr>
      <w:bookmarkStart w:id="1943" w:name="Bookmark_clspara_6_0"/>
      <w:bookmarkEnd w:id="1943"/>
      <w:r>
        <w:rPr>
          <w:rFonts w:ascii="Arial" w:eastAsia="Arial" w:hAnsi="Arial" w:cs="Arial"/>
          <w:b/>
          <w:color w:val="000000"/>
          <w:sz w:val="20"/>
        </w:rPr>
        <w:t>Individuals with Disabilities Education Act / Americans with Disabilities Act / Rehabilitation Act</w:t>
      </w:r>
    </w:p>
    <w:p w14:paraId="431E3268" w14:textId="77777777" w:rsidR="002D0E71" w:rsidRDefault="00000000">
      <w:pPr>
        <w:pStyle w:val="Normal13"/>
        <w:widowControl w:val="0"/>
        <w:spacing w:before="240" w:line="260" w:lineRule="atLeast"/>
        <w:jc w:val="both"/>
      </w:pPr>
      <w:bookmarkStart w:id="1944" w:name="Bookmark_clspara_7_0"/>
      <w:bookmarkEnd w:id="1944"/>
      <w:r>
        <w:rPr>
          <w:rFonts w:ascii="Arial" w:eastAsia="Arial" w:hAnsi="Arial" w:cs="Arial"/>
          <w:color w:val="000000"/>
          <w:sz w:val="20"/>
        </w:rPr>
        <w:t>The panel affirmed in part and reversed in part the district court's summary judgment on claims under the Americans with Disabilities Act and Section 504 of the Rehabilitation Act and vacated the district court's determination of attorneys' fees and costs under the Individuals with Disabilities Education Act in an action brought against a school district by a disabled student and his parents.</w:t>
      </w:r>
    </w:p>
    <w:p w14:paraId="7880926D" w14:textId="77777777" w:rsidR="002D0E71" w:rsidRDefault="00000000">
      <w:pPr>
        <w:pStyle w:val="Normal13"/>
        <w:widowControl w:val="0"/>
        <w:spacing w:before="240" w:line="260" w:lineRule="atLeast"/>
        <w:jc w:val="both"/>
      </w:pPr>
      <w:bookmarkStart w:id="1945" w:name="Bookmark_clspara_8_0"/>
      <w:bookmarkEnd w:id="1945"/>
      <w:r>
        <w:rPr>
          <w:rFonts w:ascii="Arial" w:eastAsia="Arial" w:hAnsi="Arial" w:cs="Arial"/>
          <w:color w:val="000000"/>
          <w:sz w:val="20"/>
        </w:rPr>
        <w:t>The district court upheld an administrative law judge's ruling that the school district denied the student a free appropriate public education in the least restrictive environment, as he was guaranteed under the IDEA, by failing to provide him with a legally adequate way to receive gastrostomy-tube feedings.</w:t>
      </w:r>
    </w:p>
    <w:p w14:paraId="777E46D9" w14:textId="77777777" w:rsidR="002D0E71" w:rsidRDefault="00000000">
      <w:pPr>
        <w:pStyle w:val="Normal13"/>
        <w:widowControl w:val="0"/>
        <w:spacing w:before="240" w:line="260" w:lineRule="atLeast"/>
        <w:jc w:val="both"/>
      </w:pPr>
      <w:bookmarkStart w:id="1946" w:name="Bookmark_clspara_9_0"/>
      <w:bookmarkEnd w:id="1946"/>
      <w:r>
        <w:rPr>
          <w:rFonts w:ascii="Arial" w:eastAsia="Arial" w:hAnsi="Arial" w:cs="Arial"/>
          <w:color w:val="000000"/>
          <w:sz w:val="20"/>
        </w:rPr>
        <w:t>The plaintiffs argued that the school district [**2]  was automatically deliberately indifferent to the student's rights, and therefore also liable for damages under Section 504 and the ADA, by failing to abide by California law on g-tube feedings. The panel agreed that California law established federally enforceable rights governing g-tube feeding in schools, but it held that the plaintiffs also must show intentional discrimination. The panel affirmed the district court's summary judgment in favor of the school district on Count IV, which concerned a 2006-07 individualized education program. The panel reversed on Count V, which concerned a 2007-08 IEP, and remanded for further proceedings, because there was a genuine dispute of material fact as to whether the school district was deliberately indifferent to the student's right to be assisted by a person qualified under California law.</w:t>
      </w:r>
    </w:p>
    <w:p w14:paraId="4270D85C" w14:textId="77777777" w:rsidR="002D0E71" w:rsidRDefault="00000000">
      <w:pPr>
        <w:pStyle w:val="Normal13"/>
        <w:widowControl w:val="0"/>
        <w:spacing w:before="240" w:line="260" w:lineRule="atLeast"/>
        <w:jc w:val="both"/>
      </w:pPr>
      <w:bookmarkStart w:id="1947" w:name="Bookmark_clspara_10_0"/>
      <w:bookmarkEnd w:id="1947"/>
      <w:r>
        <w:rPr>
          <w:rFonts w:ascii="Arial" w:eastAsia="Arial" w:hAnsi="Arial" w:cs="Arial"/>
          <w:color w:val="000000"/>
          <w:sz w:val="20"/>
        </w:rPr>
        <w:t xml:space="preserve">The panel affirmed the district court's summary judgment in favor of the school district on a claim that the district retaliated against the student and his mother, in violation of the ADA, for her "aggressive advocacy" on his behalf. Following other circuits, the panel applied the but-for causation test of </w:t>
      </w:r>
      <w:r>
        <w:rPr>
          <w:rFonts w:ascii="Arial" w:eastAsia="Arial" w:hAnsi="Arial" w:cs="Arial"/>
          <w:i/>
          <w:color w:val="000000"/>
          <w:sz w:val="20"/>
        </w:rPr>
        <w:t>Univ. of Tex. Sw. Med. Ctr.v. Nassar</w:t>
      </w:r>
      <w:r>
        <w:rPr>
          <w:rFonts w:ascii="Arial" w:eastAsia="Arial" w:hAnsi="Arial" w:cs="Arial"/>
          <w:color w:val="000000"/>
          <w:sz w:val="20"/>
        </w:rPr>
        <w:t>, 133 S. Ct. 2517, 186 L. Ed. 2d 503 (2013), and concluded that the plaintiffs failed to make out a prima facie case [**3]  of retaliation.</w:t>
      </w:r>
    </w:p>
    <w:p w14:paraId="7E29200E" w14:textId="77777777" w:rsidR="002D0E71" w:rsidRDefault="00000000">
      <w:pPr>
        <w:pStyle w:val="Normal13"/>
        <w:widowControl w:val="0"/>
        <w:spacing w:before="240" w:line="260" w:lineRule="atLeast"/>
        <w:jc w:val="both"/>
      </w:pPr>
      <w:bookmarkStart w:id="1948" w:name="Bookmark_clspara_11_0"/>
      <w:bookmarkEnd w:id="1948"/>
      <w:r>
        <w:rPr>
          <w:rFonts w:ascii="Arial" w:eastAsia="Arial" w:hAnsi="Arial" w:cs="Arial"/>
          <w:color w:val="000000"/>
          <w:sz w:val="20"/>
        </w:rPr>
        <w:t>Vacating the district court's award of substantially less than the amount of attorneys' fees requested by the plaintiffs under the IDEA, the panel concluded that the student's parents were substantially justified in rejecting a settlement offer because the relief obtained through the ALJ's decision was more favorable to the parents than the offer of settlement. In addition, the district court abused its discretion in concluding that the fee claim was unreasonable. For these and other reasons, the panel vacated the district court's determination of fees and costs and remanded for reconsideration.</w:t>
      </w:r>
    </w:p>
    <w:p w14:paraId="0ABFA2BD" w14:textId="77777777" w:rsidR="002D0E71" w:rsidRDefault="00000000">
      <w:pPr>
        <w:pStyle w:val="Normal13"/>
        <w:widowControl w:val="0"/>
        <w:spacing w:before="240" w:line="260" w:lineRule="atLeast"/>
      </w:pPr>
      <w:bookmarkStart w:id="1949" w:name="Counsel_12"/>
      <w:bookmarkEnd w:id="1949"/>
      <w:r>
        <w:rPr>
          <w:rFonts w:ascii="Arial" w:eastAsia="Arial" w:hAnsi="Arial" w:cs="Arial"/>
          <w:b/>
          <w:color w:val="000000"/>
          <w:sz w:val="20"/>
        </w:rPr>
        <w:t>Counsel:</w:t>
      </w:r>
      <w:r>
        <w:rPr>
          <w:rFonts w:ascii="Arial" w:eastAsia="Arial" w:hAnsi="Arial" w:cs="Arial"/>
          <w:color w:val="000000"/>
          <w:sz w:val="20"/>
        </w:rPr>
        <w:t> Steven Wyner, Wyner Law Group, PC, Torrance, California; Marcy J.K. Tiffany (argued), Tiffany Law Group, PC, Torrance, California, for Plaintiffs-Appellants.</w:t>
      </w:r>
    </w:p>
    <w:p w14:paraId="74D2E4A1" w14:textId="77777777" w:rsidR="002D0E71" w:rsidRDefault="00000000">
      <w:pPr>
        <w:pStyle w:val="Normal13"/>
        <w:widowControl w:val="0"/>
        <w:spacing w:before="120" w:line="260" w:lineRule="atLeast"/>
      </w:pPr>
      <w:r>
        <w:rPr>
          <w:rFonts w:ascii="Arial" w:eastAsia="Arial" w:hAnsi="Arial" w:cs="Arial"/>
          <w:color w:val="000000"/>
          <w:sz w:val="20"/>
        </w:rPr>
        <w:t>Amy R. Levine, Sarah L.W. Sutherland (argued), William B. Tunick, Dannis Woliver Kelley, San Francisco, California, for Defendant-Appellee.</w:t>
      </w:r>
    </w:p>
    <w:p w14:paraId="5999E8A0" w14:textId="77777777" w:rsidR="002D0E71" w:rsidRDefault="00000000">
      <w:pPr>
        <w:pStyle w:val="Normal13"/>
        <w:widowControl w:val="0"/>
        <w:spacing w:before="120" w:line="260" w:lineRule="atLeast"/>
      </w:pPr>
      <w:r>
        <w:rPr>
          <w:rFonts w:ascii="Arial" w:eastAsia="Arial" w:hAnsi="Arial" w:cs="Arial"/>
          <w:color w:val="000000"/>
          <w:sz w:val="20"/>
        </w:rPr>
        <w:t>Maureen R. Graves, Daniel R. Shaw, Irvine, California, as and for Amicus Curiae California Association for Parent-Child Advocacy.</w:t>
      </w:r>
    </w:p>
    <w:p w14:paraId="007E30F3" w14:textId="77777777" w:rsidR="002D0E71" w:rsidRDefault="00000000">
      <w:pPr>
        <w:pStyle w:val="Normal13"/>
        <w:widowControl w:val="0"/>
        <w:spacing w:before="120" w:line="260" w:lineRule="atLeast"/>
      </w:pPr>
      <w:r>
        <w:rPr>
          <w:rFonts w:ascii="Arial" w:eastAsia="Arial" w:hAnsi="Arial" w:cs="Arial"/>
          <w:color w:val="000000"/>
          <w:sz w:val="20"/>
        </w:rPr>
        <w:t>Harvey Saferstein, Nada I. Shamonki, Abigail V. O'Brient, Mintz Levin Cohn Ferris Glovsky &amp; Popeo, P.C., Los Angeles, California; Paula D. Pearlman, Los Angeles, [**4]  California, for Amici Curiae Disability Rights Legal Center and Learning Rights Law Center.</w:t>
      </w:r>
    </w:p>
    <w:p w14:paraId="04288032" w14:textId="77777777" w:rsidR="002D0E71" w:rsidRDefault="00000000">
      <w:pPr>
        <w:pStyle w:val="Normal13"/>
        <w:widowControl w:val="0"/>
        <w:spacing w:before="120" w:line="260" w:lineRule="atLeast"/>
      </w:pPr>
      <w:r>
        <w:rPr>
          <w:rFonts w:ascii="Arial" w:eastAsia="Arial" w:hAnsi="Arial" w:cs="Arial"/>
          <w:color w:val="000000"/>
          <w:sz w:val="20"/>
        </w:rPr>
        <w:t>Jonathan P. Read, Tiffany M. Santos, Susan B. Winkelman, Fagen Friedman &amp; Fulfrost, LLP, San Marcos, California, for Amicus Curiae California School Boards Association's Educational Legal Alliance.</w:t>
      </w:r>
    </w:p>
    <w:p w14:paraId="20CAAE32" w14:textId="77777777" w:rsidR="002D0E71" w:rsidRDefault="00000000">
      <w:pPr>
        <w:pStyle w:val="Normal13"/>
        <w:widowControl w:val="0"/>
        <w:spacing w:before="120" w:line="260" w:lineRule="atLeast"/>
      </w:pPr>
      <w:r>
        <w:rPr>
          <w:rFonts w:ascii="Arial" w:eastAsia="Arial" w:hAnsi="Arial" w:cs="Arial"/>
          <w:color w:val="000000"/>
          <w:sz w:val="20"/>
        </w:rPr>
        <w:t>Donald Davis, Damara Moore, San Francisco, California, as and for Amicus Curiae San Francisco Unified School District.</w:t>
      </w:r>
    </w:p>
    <w:p w14:paraId="1A8983B3" w14:textId="77777777" w:rsidR="002D0E71" w:rsidRDefault="00000000">
      <w:pPr>
        <w:pStyle w:val="Normal13"/>
        <w:widowControl w:val="0"/>
        <w:spacing w:before="240" w:line="260" w:lineRule="atLeast"/>
      </w:pPr>
      <w:bookmarkStart w:id="1950" w:name="Judges_12"/>
      <w:bookmarkEnd w:id="1950"/>
      <w:r>
        <w:rPr>
          <w:rFonts w:ascii="Arial" w:eastAsia="Arial" w:hAnsi="Arial" w:cs="Arial"/>
          <w:b/>
          <w:color w:val="000000"/>
          <w:sz w:val="20"/>
        </w:rPr>
        <w:t>Judges:</w:t>
      </w:r>
      <w:r>
        <w:rPr>
          <w:rFonts w:ascii="Arial" w:eastAsia="Arial" w:hAnsi="Arial" w:cs="Arial"/>
          <w:color w:val="000000"/>
          <w:sz w:val="20"/>
        </w:rPr>
        <w:t> Before: Raymond C. Fisher and Richard R. Clifton, Circuit Judges, and Lee H. Rosenthal, District Judge.</w:t>
      </w:r>
      <w:r>
        <w:rPr>
          <w:rFonts w:ascii="Arial" w:eastAsia="Arial" w:hAnsi="Arial" w:cs="Arial"/>
          <w:vertAlign w:val="superscript"/>
        </w:rPr>
        <w:footnoteReference w:customMarkFollows="1" w:id="60"/>
        <w:t>*</w:t>
      </w:r>
    </w:p>
    <w:p w14:paraId="288E21D0" w14:textId="77777777" w:rsidR="002D0E71" w:rsidRDefault="00000000">
      <w:pPr>
        <w:pStyle w:val="Normal13"/>
        <w:widowControl w:val="0"/>
        <w:spacing w:before="240" w:line="260" w:lineRule="atLeast"/>
      </w:pPr>
      <w:bookmarkStart w:id="1952" w:name="Opinion_by_9"/>
      <w:bookmarkEnd w:id="1952"/>
      <w:r>
        <w:rPr>
          <w:rFonts w:ascii="Arial" w:eastAsia="Arial" w:hAnsi="Arial" w:cs="Arial"/>
          <w:b/>
          <w:color w:val="000000"/>
          <w:sz w:val="20"/>
        </w:rPr>
        <w:t>Opinion by:</w:t>
      </w:r>
      <w:r>
        <w:rPr>
          <w:rFonts w:ascii="Arial" w:eastAsia="Arial" w:hAnsi="Arial" w:cs="Arial"/>
          <w:color w:val="000000"/>
          <w:sz w:val="20"/>
        </w:rPr>
        <w:t> Richard R. Clifton</w:t>
      </w:r>
    </w:p>
    <w:p w14:paraId="6FB3F819" w14:textId="77777777" w:rsidR="002D0E71" w:rsidRDefault="00000000">
      <w:pPr>
        <w:pStyle w:val="Normal13"/>
        <w:keepNext/>
        <w:widowControl w:val="0"/>
        <w:spacing w:before="240" w:line="340" w:lineRule="atLeast"/>
      </w:pPr>
      <w:bookmarkStart w:id="1953" w:name="Opinion_12"/>
      <w:bookmarkEnd w:id="1953"/>
      <w:r>
        <w:rPr>
          <w:rFonts w:ascii="Arial" w:eastAsia="Arial" w:hAnsi="Arial" w:cs="Arial"/>
          <w:b/>
          <w:color w:val="000000"/>
          <w:sz w:val="28"/>
        </w:rPr>
        <w:t>Opinion</w:t>
      </w:r>
    </w:p>
    <w:p w14:paraId="6641BCDF" w14:textId="40093568" w:rsidR="002D0E71" w:rsidRDefault="002939DF">
      <w:pPr>
        <w:pStyle w:val="Normal13"/>
        <w:spacing w:line="60" w:lineRule="exact"/>
      </w:pPr>
      <w:r>
        <w:rPr>
          <w:noProof/>
        </w:rPr>
        <mc:AlternateContent>
          <mc:Choice Requires="wps">
            <w:drawing>
              <wp:anchor distT="0" distB="0" distL="114300" distR="114300" simplePos="0" relativeHeight="251685888" behindDoc="0" locked="0" layoutInCell="1" allowOverlap="1" wp14:anchorId="23997B98" wp14:editId="13B27397">
                <wp:simplePos x="0" y="0"/>
                <wp:positionH relativeFrom="column">
                  <wp:posOffset>0</wp:posOffset>
                </wp:positionH>
                <wp:positionV relativeFrom="paragraph">
                  <wp:posOffset>25400</wp:posOffset>
                </wp:positionV>
                <wp:extent cx="3187700" cy="0"/>
                <wp:effectExtent l="19050" t="15875" r="12700" b="12700"/>
                <wp:wrapTopAndBottom/>
                <wp:docPr id="465008632"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641CC7" id="Line 28"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2F79AE5" w14:textId="77777777" w:rsidR="002D0E71" w:rsidRDefault="002D0E71">
      <w:pPr>
        <w:pStyle w:val="Normal13"/>
        <w:spacing w:line="120" w:lineRule="exact"/>
      </w:pPr>
    </w:p>
    <w:p w14:paraId="6FFDFB89" w14:textId="77777777" w:rsidR="002D0E71" w:rsidRDefault="00000000">
      <w:pPr>
        <w:pStyle w:val="Normal13"/>
        <w:widowControl w:val="0"/>
        <w:spacing w:before="240" w:line="260" w:lineRule="atLeast"/>
      </w:pPr>
      <w:r>
        <w:br/>
      </w:r>
      <w:r>
        <w:rPr>
          <w:rFonts w:ascii="Arial" w:eastAsia="Arial" w:hAnsi="Arial" w:cs="Arial"/>
          <w:color w:val="000000"/>
          <w:sz w:val="20"/>
        </w:rPr>
        <w:t> [*457]  AMENDED OPINION</w:t>
      </w:r>
    </w:p>
    <w:p w14:paraId="7DA7A763" w14:textId="77777777" w:rsidR="002D0E71" w:rsidRDefault="00000000">
      <w:pPr>
        <w:pStyle w:val="Normal13"/>
        <w:widowControl w:val="0"/>
        <w:spacing w:before="200" w:line="260" w:lineRule="atLeast"/>
        <w:jc w:val="both"/>
      </w:pPr>
      <w:bookmarkStart w:id="1954" w:name="Bookmark_para_2_12"/>
      <w:bookmarkEnd w:id="1954"/>
      <w:r>
        <w:rPr>
          <w:rFonts w:ascii="Arial" w:eastAsia="Arial" w:hAnsi="Arial" w:cs="Arial"/>
          <w:color w:val="000000"/>
          <w:sz w:val="20"/>
        </w:rPr>
        <w:t>CLIFTON, Circuit Judge:</w:t>
      </w:r>
    </w:p>
    <w:p w14:paraId="23CD7209" w14:textId="77777777" w:rsidR="002D0E71" w:rsidRDefault="00000000">
      <w:pPr>
        <w:pStyle w:val="Normal13"/>
        <w:widowControl w:val="0"/>
        <w:spacing w:before="200" w:line="260" w:lineRule="atLeast"/>
        <w:jc w:val="both"/>
      </w:pPr>
      <w:bookmarkStart w:id="1955" w:name="Bookmark_para_3_12"/>
      <w:bookmarkEnd w:id="1955"/>
      <w:r>
        <w:rPr>
          <w:rFonts w:ascii="Arial" w:eastAsia="Arial" w:hAnsi="Arial" w:cs="Arial"/>
          <w:color w:val="000000"/>
          <w:sz w:val="20"/>
        </w:rPr>
        <w:t>This is the latest round in an unfortunate dispute that has endured for almost a decade regarding the education of a child with disabilities. The child is now 21 years old and has since graduated from high school, but the litigation has continued. T.B. and his parents, the Brenneises, used to be residents of the San Diego Unified School District. T.B. has learning and motor disabilities and feeds himself in part through a gastrostomy tube ("g-tube"). In 2006, the Brenneises and the district began working on an [**5]  individualized education plan ("IEP") that would allow T.B., who was then being educated outside the public school system, to reenter school for the 2006-07 academic year. The two sides could not agree, however, and both filed for a due process hearing under the Individuals with Disabilities in Education Act ("IDEA").</w:t>
      </w:r>
    </w:p>
    <w:p w14:paraId="1B9C7A7F" w14:textId="77777777" w:rsidR="002D0E71" w:rsidRDefault="00000000">
      <w:pPr>
        <w:pStyle w:val="Normal13"/>
        <w:widowControl w:val="0"/>
        <w:spacing w:before="200" w:line="260" w:lineRule="atLeast"/>
        <w:jc w:val="both"/>
      </w:pPr>
      <w:bookmarkStart w:id="1956" w:name="Bookmark_para_4_12"/>
      <w:bookmarkEnd w:id="1956"/>
      <w:r>
        <w:rPr>
          <w:rFonts w:ascii="Arial" w:eastAsia="Arial" w:hAnsi="Arial" w:cs="Arial"/>
          <w:color w:val="000000"/>
          <w:sz w:val="20"/>
        </w:rPr>
        <w:t>The administrative law judge ("ALJ") who presided over that hearing ruled in favor of the school district on most issues but held that the district's proposed IEP was inadequate because it did not provide a legally adequate way for T.B. to receive g-tube feedings. That ruling was upheld on appeal to the district court. Neither side has further pursued that subject on appeal to this court.</w:t>
      </w:r>
    </w:p>
    <w:p w14:paraId="5D140897" w14:textId="77777777" w:rsidR="002D0E71" w:rsidRDefault="00000000">
      <w:pPr>
        <w:pStyle w:val="Normal13"/>
        <w:widowControl w:val="0"/>
        <w:spacing w:before="200" w:line="260" w:lineRule="atLeast"/>
        <w:jc w:val="both"/>
      </w:pPr>
      <w:bookmarkStart w:id="1957" w:name="Bookmark_para_5_12"/>
      <w:bookmarkEnd w:id="1957"/>
      <w:r>
        <w:rPr>
          <w:rFonts w:ascii="Arial" w:eastAsia="Arial" w:hAnsi="Arial" w:cs="Arial"/>
          <w:color w:val="000000"/>
          <w:sz w:val="20"/>
        </w:rPr>
        <w:t>The Brenneises also brought in district court a claim that the school district had violated T.B.'s civil rights under the Americans with Disabilities Act ("ADA"), 42 U.S.C. § 12131, and Section 504 of the Rehabilitation Act, 29 U.S.C. § 794. The district court granted summary judgment to the school district on those civil rights claims. We affirm that summary judgment as to two counts but reverse it as to a third count. We remand that claim for further proceedings.</w:t>
      </w:r>
    </w:p>
    <w:p w14:paraId="649A7A5F" w14:textId="77777777" w:rsidR="002D0E71" w:rsidRDefault="00000000">
      <w:pPr>
        <w:pStyle w:val="Normal13"/>
        <w:widowControl w:val="0"/>
        <w:spacing w:before="200" w:line="260" w:lineRule="atLeast"/>
        <w:jc w:val="both"/>
      </w:pPr>
      <w:bookmarkStart w:id="1958" w:name="Bookmark_para_6_12"/>
      <w:bookmarkEnd w:id="1958"/>
      <w:r>
        <w:rPr>
          <w:rFonts w:ascii="Arial" w:eastAsia="Arial" w:hAnsi="Arial" w:cs="Arial"/>
          <w:color w:val="000000"/>
          <w:sz w:val="20"/>
        </w:rPr>
        <w:t>In addition, the Brenneises and their attorneys sought attorneys' [**6]  fees and costs for their partial victory before the ALJ. The district court awarded them approximately $50,000 for attorneys' fees, substantially less than the $1.4 million that was requested. The principal basis for denying most of the fee request was a determination by the district court that the Brenneises had unreasonably rejected a settlement offer made by the school district shortly before the start of the due process hearing. The IDEA provides that attorneys' fees should not be awarded if the parents do not accept a timely settlement offer, "the relief finally obtained by the parents is not more favorable to the parents than the offer of settlement," and the parents' rejection of the settlement offer was not "substantially justified." 20 U.S.C. § 1415(i)(3)(D)(i)(III),  [*458]  (E). We conclude, contrary to the district court, that the relief obtained through the ALJ's decision was more favorable to the parents than the offer of settlement and that the parents were substantially justified in rejecting the offer, so the district court's denial of fees on that basis must be set aside. For that and other reasons, we vacate the district court's determination of fees and costs and remand that matter for further consideration [**7]  as well.</w:t>
      </w:r>
    </w:p>
    <w:p w14:paraId="15556F79" w14:textId="77777777" w:rsidR="002D0E71" w:rsidRDefault="00000000">
      <w:pPr>
        <w:pStyle w:val="Normal13"/>
        <w:widowControl w:val="0"/>
        <w:spacing w:before="240" w:line="260" w:lineRule="atLeast"/>
      </w:pPr>
      <w:r>
        <w:br/>
      </w:r>
      <w:r>
        <w:rPr>
          <w:rFonts w:ascii="Arial" w:eastAsia="Arial" w:hAnsi="Arial" w:cs="Arial"/>
          <w:b/>
          <w:color w:val="000000"/>
          <w:sz w:val="20"/>
        </w:rPr>
        <w:t>I. Background</w:t>
      </w:r>
    </w:p>
    <w:p w14:paraId="09A22A16" w14:textId="77777777" w:rsidR="002D0E71" w:rsidRDefault="00000000">
      <w:pPr>
        <w:pStyle w:val="Normal13"/>
        <w:widowControl w:val="0"/>
        <w:spacing w:before="200" w:line="260" w:lineRule="atLeast"/>
        <w:jc w:val="both"/>
      </w:pPr>
      <w:bookmarkStart w:id="1959" w:name="Bookmark_para_7_12"/>
      <w:bookmarkEnd w:id="1959"/>
      <w:r>
        <w:rPr>
          <w:rFonts w:ascii="Arial" w:eastAsia="Arial" w:hAnsi="Arial" w:cs="Arial"/>
          <w:color w:val="000000"/>
          <w:sz w:val="20"/>
        </w:rPr>
        <w:t>T.B. was born in January 1994. He suffers from phenylketonuria, which prevents him from processing phenylalanine, an amino acid. Infants are screened for phenylketonuria at birth, but because of a lab error, T.B. was not correctly diagnosed until he was three. As a result, he suffered brain damage and physical problems. Children with phenylketonuria are given a phenylalanine-free drink based on formula; in 1997, T.B. was fitted with a g-tube through which the drink could be poured directly into his stomach.</w:t>
      </w:r>
    </w:p>
    <w:p w14:paraId="2D353927" w14:textId="77777777" w:rsidR="002D0E71" w:rsidRDefault="00000000">
      <w:pPr>
        <w:pStyle w:val="Normal13"/>
        <w:widowControl w:val="0"/>
        <w:spacing w:before="240" w:line="260" w:lineRule="atLeast"/>
      </w:pPr>
      <w:r>
        <w:br/>
      </w:r>
      <w:r>
        <w:rPr>
          <w:rFonts w:ascii="Arial" w:eastAsia="Arial" w:hAnsi="Arial" w:cs="Arial"/>
          <w:i/>
          <w:color w:val="000000"/>
          <w:sz w:val="20"/>
        </w:rPr>
        <w:t>A. T.B.'s home education</w:t>
      </w:r>
    </w:p>
    <w:p w14:paraId="6DDE589E" w14:textId="77777777" w:rsidR="002D0E71" w:rsidRDefault="00000000">
      <w:pPr>
        <w:pStyle w:val="Normal13"/>
        <w:widowControl w:val="0"/>
        <w:spacing w:before="200" w:line="260" w:lineRule="atLeast"/>
        <w:jc w:val="both"/>
      </w:pPr>
      <w:bookmarkStart w:id="1960" w:name="Bookmark_para_8_12"/>
      <w:bookmarkEnd w:id="1960"/>
      <w:r>
        <w:rPr>
          <w:rFonts w:ascii="Arial" w:eastAsia="Arial" w:hAnsi="Arial" w:cs="Arial"/>
          <w:color w:val="000000"/>
          <w:sz w:val="20"/>
        </w:rPr>
        <w:t>In 2003, a dispute arose between T.B.'s mother, Alison Brenneise, and the school district about his education, and she withdrew him from school. From 2003 to 2006, T.B. was educated by external service providers, funded by the school district, and by Mrs. Brenneise herself, who was not paid. This program sometimes took place in the Brenneises' garage and was informally called "garage school," a term which we will also use. Under the terms of a settlement agreement, the school district funded 40 hours of services per week for T.B.</w:t>
      </w:r>
    </w:p>
    <w:p w14:paraId="05FAA23C" w14:textId="77777777" w:rsidR="002D0E71" w:rsidRDefault="00000000">
      <w:pPr>
        <w:pStyle w:val="Normal13"/>
        <w:widowControl w:val="0"/>
        <w:spacing w:before="200" w:line="260" w:lineRule="atLeast"/>
        <w:jc w:val="both"/>
      </w:pPr>
      <w:bookmarkStart w:id="1961" w:name="Bookmark_para_9_12"/>
      <w:bookmarkStart w:id="1962" w:name="Bookmark_I5HM9PWB2HM6560020000400"/>
      <w:bookmarkEnd w:id="1961"/>
      <w:bookmarkEnd w:id="1962"/>
      <w:r>
        <w:rPr>
          <w:rFonts w:ascii="Arial" w:eastAsia="Arial" w:hAnsi="Arial" w:cs="Arial"/>
          <w:color w:val="000000"/>
          <w:sz w:val="20"/>
        </w:rPr>
        <w:t>That settlement did not prevent further disputes. In May 2006, the Brenneises filed for a due process hearing, [**8]  contending that the district had failed to provide T.B. with a free appropriate public education ("FAPE") for the years 2003-06, as required under the IDEA.</w:t>
      </w:r>
      <w:r>
        <w:rPr>
          <w:rFonts w:ascii="Arial" w:eastAsia="Arial" w:hAnsi="Arial" w:cs="Arial"/>
          <w:vertAlign w:val="superscript"/>
        </w:rPr>
        <w:footnoteReference w:customMarkFollows="1" w:id="61"/>
        <w:t>1</w:t>
      </w:r>
      <w:r>
        <w:rPr>
          <w:rFonts w:ascii="Arial" w:eastAsia="Arial" w:hAnsi="Arial" w:cs="Arial"/>
          <w:color w:val="000000"/>
          <w:sz w:val="20"/>
        </w:rPr>
        <w:t xml:space="preserve"> </w:t>
      </w:r>
      <w:r>
        <w:rPr>
          <w:rFonts w:ascii="Arial" w:eastAsia="Arial" w:hAnsi="Arial" w:cs="Arial"/>
          <w:i/>
          <w:color w:val="000000"/>
          <w:sz w:val="20"/>
        </w:rPr>
        <w:t xml:space="preserve">See generally </w:t>
      </w:r>
      <w:bookmarkStart w:id="1968" w:name="Bookmark_I5HM9PWB2HM6560010000400"/>
      <w:bookmarkEnd w:id="1968"/>
      <w:r>
        <w:rPr>
          <w:rFonts w:ascii="Arial" w:eastAsia="Arial" w:hAnsi="Arial" w:cs="Arial"/>
          <w:i/>
          <w:color w:val="000000"/>
          <w:sz w:val="20"/>
        </w:rPr>
        <w:t>Bd. of Educ. of Hendrick Hudson Cent. Sch. Dist., Westchester Cnty. v. Rowley</w:t>
      </w:r>
      <w:r>
        <w:rPr>
          <w:rFonts w:ascii="Arial" w:eastAsia="Arial" w:hAnsi="Arial" w:cs="Arial"/>
          <w:color w:val="000000"/>
          <w:sz w:val="20"/>
        </w:rPr>
        <w:t>, 458 U.S. 176, 102 S. Ct. 3034, 73 L. Ed. 2d 690 (1982) (discussing the requirements of a FAPE under the Education for All Handicapped Children Act of 1975, Pub. L. No. 94-142, 89 Stat. 773, the predecessor of the IDEA). This case eventually settled.</w:t>
      </w:r>
    </w:p>
    <w:p w14:paraId="7B2E7C95" w14:textId="77777777" w:rsidR="002D0E71" w:rsidRDefault="00000000">
      <w:pPr>
        <w:pStyle w:val="Normal13"/>
        <w:widowControl w:val="0"/>
        <w:spacing w:before="200" w:line="260" w:lineRule="atLeast"/>
        <w:jc w:val="both"/>
      </w:pPr>
      <w:bookmarkStart w:id="1969" w:name="Bookmark_para_10_12"/>
      <w:bookmarkEnd w:id="1969"/>
      <w:r>
        <w:rPr>
          <w:rFonts w:ascii="Arial" w:eastAsia="Arial" w:hAnsi="Arial" w:cs="Arial"/>
          <w:color w:val="000000"/>
          <w:sz w:val="20"/>
        </w:rPr>
        <w:t xml:space="preserve">Under the IDEA, the school district was required to evaluate T.B.'s educational needs at least once every three years. 20 U.S.C. § 1414(a)(2)(B)(ii). </w:t>
      </w:r>
      <w:bookmarkStart w:id="1970" w:name="Bookmark_I5HM9PWB2D6N930030000400"/>
      <w:bookmarkEnd w:id="1970"/>
      <w:r>
        <w:rPr>
          <w:rFonts w:ascii="Arial" w:eastAsia="Arial" w:hAnsi="Arial" w:cs="Arial"/>
          <w:color w:val="000000"/>
          <w:sz w:val="20"/>
        </w:rPr>
        <w:t xml:space="preserve">In July 2006, the district produced an assessment report, and a few days later the parties agreed on an "extended school year" IEP that would cover the summer period. [**9]  This IEP placed T.B. in Coronado Academy, a public school outside the district, for eleven half-days, which was all that remained of the school year. At that point, the IEP provided that T.B. would return to garage school. Garage school also represented the "stay-put" schooling arrangement—how T.B. would be educated if the parties were unable to agree on an IEP for the 2006-07 school year. </w:t>
      </w:r>
      <w:r>
        <w:rPr>
          <w:rFonts w:ascii="Arial" w:eastAsia="Arial" w:hAnsi="Arial" w:cs="Arial"/>
          <w:i/>
          <w:color w:val="000000"/>
          <w:sz w:val="20"/>
        </w:rPr>
        <w:t>See</w:t>
      </w:r>
      <w:r>
        <w:rPr>
          <w:rFonts w:ascii="Arial" w:eastAsia="Arial" w:hAnsi="Arial" w:cs="Arial"/>
          <w:color w:val="000000"/>
          <w:sz w:val="20"/>
        </w:rPr>
        <w:t xml:space="preserve"> 20 U.S.C. § 1415(j);  [*459]  </w:t>
      </w:r>
      <w:bookmarkStart w:id="1971" w:name="Bookmark_I5HM9PWB2D6N930020000400"/>
      <w:bookmarkEnd w:id="1971"/>
      <w:r>
        <w:rPr>
          <w:rFonts w:ascii="Arial" w:eastAsia="Arial" w:hAnsi="Arial" w:cs="Arial"/>
          <w:i/>
          <w:color w:val="000000"/>
          <w:sz w:val="20"/>
        </w:rPr>
        <w:t>Honig v. Doe</w:t>
      </w:r>
      <w:r>
        <w:rPr>
          <w:rFonts w:ascii="Arial" w:eastAsia="Arial" w:hAnsi="Arial" w:cs="Arial"/>
          <w:color w:val="000000"/>
          <w:sz w:val="20"/>
        </w:rPr>
        <w:t>, 484 U.S. 305, 312, 108 S. Ct. 592, 98 L. Ed. 2d 686 (1988). After T.B. had attended Coronado for only five days, however, Coronado asked him to leave, so T.B. returned to garage school early.</w:t>
      </w:r>
    </w:p>
    <w:p w14:paraId="416E6773" w14:textId="77777777" w:rsidR="002D0E71" w:rsidRDefault="00000000">
      <w:pPr>
        <w:pStyle w:val="Normal13"/>
        <w:widowControl w:val="0"/>
        <w:spacing w:before="240" w:line="260" w:lineRule="atLeast"/>
      </w:pPr>
      <w:r>
        <w:br/>
      </w:r>
      <w:r>
        <w:rPr>
          <w:rFonts w:ascii="Arial" w:eastAsia="Arial" w:hAnsi="Arial" w:cs="Arial"/>
          <w:i/>
          <w:color w:val="000000"/>
          <w:sz w:val="20"/>
        </w:rPr>
        <w:t>B. The compliance complaint and due process filings</w:t>
      </w:r>
    </w:p>
    <w:p w14:paraId="4383826A" w14:textId="77777777" w:rsidR="002D0E71" w:rsidRDefault="00000000">
      <w:pPr>
        <w:pStyle w:val="Normal13"/>
        <w:widowControl w:val="0"/>
        <w:spacing w:before="200" w:line="260" w:lineRule="atLeast"/>
        <w:jc w:val="both"/>
      </w:pPr>
      <w:bookmarkStart w:id="1972" w:name="Bookmark_para_11_12"/>
      <w:bookmarkEnd w:id="1972"/>
      <w:r>
        <w:rPr>
          <w:rFonts w:ascii="Arial" w:eastAsia="Arial" w:hAnsi="Arial" w:cs="Arial"/>
          <w:color w:val="000000"/>
          <w:sz w:val="20"/>
        </w:rPr>
        <w:t>Mrs. Brenneise then filed a compliance complaint against the school district. The California Department of Education upheld the complaint and ordered compensatory education as a remedy. The amount of fees due to T.B.'s lawyers in connection with this compliance complaint is one of the issues in this appeal.</w:t>
      </w:r>
    </w:p>
    <w:p w14:paraId="272EFBF8" w14:textId="77777777" w:rsidR="002D0E71" w:rsidRDefault="00000000">
      <w:pPr>
        <w:pStyle w:val="Normal13"/>
        <w:widowControl w:val="0"/>
        <w:spacing w:before="200" w:line="260" w:lineRule="atLeast"/>
        <w:jc w:val="both"/>
      </w:pPr>
      <w:bookmarkStart w:id="1973" w:name="Bookmark_para_12_11"/>
      <w:bookmarkEnd w:id="1973"/>
      <w:r>
        <w:rPr>
          <w:rFonts w:ascii="Arial" w:eastAsia="Arial" w:hAnsi="Arial" w:cs="Arial"/>
          <w:color w:val="000000"/>
          <w:sz w:val="20"/>
        </w:rPr>
        <w:t>Immediately after T.B. returned to garage school, the school district attempted to create a new IEP for the 2006-07 school year. At the end of August, the district provided a new draft IEP and a transition plan to facilitate his return to school. The district proposed that T.B. would be placed at Sierra Academy, [**10]  which served only disabled students. Mrs. Brenneise did not want T.B. to attend Sierra, in part because it did not have a nurse's office where he could lie down after g-tube feedings. She did not agree to the August 2006 IEP and objected to "all areas" of the assessments on which the IEP was based.</w:t>
      </w:r>
    </w:p>
    <w:p w14:paraId="50851C4E" w14:textId="77777777" w:rsidR="002D0E71" w:rsidRDefault="00000000">
      <w:pPr>
        <w:pStyle w:val="Normal13"/>
        <w:widowControl w:val="0"/>
        <w:spacing w:before="200" w:line="260" w:lineRule="atLeast"/>
        <w:jc w:val="both"/>
      </w:pPr>
      <w:bookmarkStart w:id="1974" w:name="Bookmark_para_13_11"/>
      <w:bookmarkEnd w:id="1974"/>
      <w:r>
        <w:rPr>
          <w:rFonts w:ascii="Arial" w:eastAsia="Arial" w:hAnsi="Arial" w:cs="Arial"/>
          <w:color w:val="000000"/>
          <w:sz w:val="20"/>
        </w:rPr>
        <w:t>Between September and December, the district worked on revising the IEP. Because Mrs. Brenneise disagreed with assessments of T.B. that the district had made in June and July, she requested independent educational evaluations. The district denied some of those requests and, in November 2006, filed for a due process hearing to defend its assessments.</w:t>
      </w:r>
    </w:p>
    <w:p w14:paraId="1D9BB38E" w14:textId="77777777" w:rsidR="002D0E71" w:rsidRDefault="00000000">
      <w:pPr>
        <w:pStyle w:val="Normal13"/>
        <w:widowControl w:val="0"/>
        <w:spacing w:before="200" w:line="260" w:lineRule="atLeast"/>
        <w:jc w:val="both"/>
      </w:pPr>
      <w:bookmarkStart w:id="1975" w:name="Bookmark_para_14_11"/>
      <w:bookmarkEnd w:id="1975"/>
      <w:r>
        <w:rPr>
          <w:rFonts w:ascii="Arial" w:eastAsia="Arial" w:hAnsi="Arial" w:cs="Arial"/>
          <w:color w:val="000000"/>
          <w:sz w:val="20"/>
        </w:rPr>
        <w:t>In December 2006, the district prepared a new IEP under which T.B. would be placed at Wangenheim Middle School. In accordance with Mrs. Brenneise's request, this was a comprehensive school within and operated by the school district. Unlike Sierra, Wangenheim had a nurse's office. The December IEP was otherwise largely similar to the August IEP. Mrs. Brenneise did not consent to the December IEP. In December 2006, the school district again filed for a due process hearing, arguing that the IEP "offer[ed] Student a FAPE designed to meet his unique needs and [**11]  allow him to benefit from his education." In January 2007, the Brenneises also filed for a due process hearing, contending that the school district had denied T.B. a FAPE. This case was consolidated with the previously pending cases.</w:t>
      </w:r>
    </w:p>
    <w:p w14:paraId="7944128B" w14:textId="77777777" w:rsidR="002D0E71" w:rsidRDefault="00000000">
      <w:pPr>
        <w:pStyle w:val="Normal13"/>
        <w:widowControl w:val="0"/>
        <w:spacing w:before="240" w:line="260" w:lineRule="atLeast"/>
      </w:pPr>
      <w:r>
        <w:br/>
      </w:r>
      <w:r>
        <w:rPr>
          <w:rFonts w:ascii="Arial" w:eastAsia="Arial" w:hAnsi="Arial" w:cs="Arial"/>
          <w:i/>
          <w:color w:val="000000"/>
          <w:sz w:val="20"/>
        </w:rPr>
        <w:t>C. Settlement proposals</w:t>
      </w:r>
    </w:p>
    <w:p w14:paraId="43885508" w14:textId="77777777" w:rsidR="002D0E71" w:rsidRDefault="00000000">
      <w:pPr>
        <w:pStyle w:val="Normal13"/>
        <w:widowControl w:val="0"/>
        <w:spacing w:before="200" w:line="260" w:lineRule="atLeast"/>
        <w:jc w:val="both"/>
      </w:pPr>
      <w:bookmarkStart w:id="1976" w:name="Bookmark_para_15_11"/>
      <w:bookmarkEnd w:id="1976"/>
      <w:r>
        <w:rPr>
          <w:rFonts w:ascii="Arial" w:eastAsia="Arial" w:hAnsi="Arial" w:cs="Arial"/>
          <w:color w:val="000000"/>
          <w:sz w:val="20"/>
        </w:rPr>
        <w:t>From February to May 2007, the parties engaged in settlement discussions. The Brenneises were represented by Steven Wyner and his law firm, Wyner and Tiffany. Although some of the discussions were oral and the parties have not stipulated as to their content, it is undisputed that the two sides discussed the possibility of an arrangement under which the school district might pay the Brenneises an annual sum in return for the Brenneises' commitment to take over responsibility for T.B.'s education from the district and to have T.B. educated outside the public school system.</w:t>
      </w:r>
    </w:p>
    <w:p w14:paraId="6032FB88" w14:textId="77777777" w:rsidR="002D0E71" w:rsidRDefault="00000000">
      <w:pPr>
        <w:pStyle w:val="Normal13"/>
        <w:widowControl w:val="0"/>
        <w:spacing w:before="200" w:line="260" w:lineRule="atLeast"/>
        <w:jc w:val="both"/>
      </w:pPr>
      <w:bookmarkStart w:id="1977" w:name="Bookmark_para_16_11"/>
      <w:bookmarkEnd w:id="1977"/>
      <w:r>
        <w:rPr>
          <w:rFonts w:ascii="Arial" w:eastAsia="Arial" w:hAnsi="Arial" w:cs="Arial"/>
          <w:color w:val="000000"/>
          <w:sz w:val="20"/>
        </w:rPr>
        <w:t>According to the district, the Brenneises requested $200,000 per year to have T.B. educated privately. The Brenneises and Wyner have not denied this. In March 2007, the school district offered to pay the Brenneises $75,000 per year to have T.B. educated privately until he reached the age of 18, in the 2011-12 school year. According to the district, this was considerably [**12]  more than the $30,000 to $55,000 that it would cost to educate T.B. in private school, but far less than the cost of the existing garage school program, which was approximately $157,000. The district  [*460]  also stated that it was rejecting the Brenneises' demand of $200,000 per year to educate T.B. privately. The Brenneises rejected the $75,000 offer.</w:t>
      </w:r>
    </w:p>
    <w:p w14:paraId="1EE87244" w14:textId="77777777" w:rsidR="002D0E71" w:rsidRDefault="00000000">
      <w:pPr>
        <w:pStyle w:val="Normal13"/>
        <w:widowControl w:val="0"/>
        <w:spacing w:before="200" w:line="260" w:lineRule="atLeast"/>
        <w:jc w:val="both"/>
      </w:pPr>
      <w:bookmarkStart w:id="1978" w:name="Bookmark_para_17_10"/>
      <w:bookmarkEnd w:id="1978"/>
      <w:r>
        <w:rPr>
          <w:rFonts w:ascii="Arial" w:eastAsia="Arial" w:hAnsi="Arial" w:cs="Arial"/>
          <w:color w:val="000000"/>
          <w:sz w:val="20"/>
        </w:rPr>
        <w:t>In April 2007, the school district offered the Brenneises a one-time payment of $50,000 to settle all of the due process claims T.B. had brought relating to the August and December IEPs. The school district stated that the prior $75,000 offer was "supersede[d]." The record does not contain any evidence of a response to this offer.</w:t>
      </w:r>
    </w:p>
    <w:p w14:paraId="567456B8" w14:textId="77777777" w:rsidR="002D0E71" w:rsidRDefault="00000000">
      <w:pPr>
        <w:pStyle w:val="Normal13"/>
        <w:widowControl w:val="0"/>
        <w:spacing w:before="200" w:line="260" w:lineRule="atLeast"/>
        <w:jc w:val="both"/>
      </w:pPr>
      <w:bookmarkStart w:id="1979" w:name="Bookmark_para_18_10"/>
      <w:bookmarkEnd w:id="1979"/>
      <w:r>
        <w:rPr>
          <w:rFonts w:ascii="Arial" w:eastAsia="Arial" w:hAnsi="Arial" w:cs="Arial"/>
          <w:color w:val="000000"/>
          <w:sz w:val="20"/>
        </w:rPr>
        <w:t>In May 2007, the district sent Wyner a new long-term settlement proposal. This offer, described in more detail below, was for $150,000 per year. It permitted the Brenneises to reenroll T.B. in public school beginning with the 2009-10 school year. The agreement was to be effective immediately; the Brenneises would receive a pro-rated share of the $150,000 for the 2006-07 school year. If T.B. was subsequently enrolled in public school, and the Brenneises were unhappy with that program, the stay-put arrangement while the dispute was [**13]  resolved would be the public school program.</w:t>
      </w:r>
    </w:p>
    <w:p w14:paraId="482FBDA4" w14:textId="77777777" w:rsidR="002D0E71" w:rsidRDefault="00000000">
      <w:pPr>
        <w:pStyle w:val="Normal13"/>
        <w:widowControl w:val="0"/>
        <w:spacing w:before="200" w:line="260" w:lineRule="atLeast"/>
        <w:jc w:val="both"/>
      </w:pPr>
      <w:bookmarkStart w:id="1980" w:name="Bookmark_para_19_10"/>
      <w:bookmarkEnd w:id="1980"/>
      <w:r>
        <w:rPr>
          <w:rFonts w:ascii="Arial" w:eastAsia="Arial" w:hAnsi="Arial" w:cs="Arial"/>
          <w:color w:val="000000"/>
          <w:sz w:val="20"/>
        </w:rPr>
        <w:t>Wyner, the attorney for the Brenneises, rejected the offer later the same day on the ground that it was "still far short of the demand that I communicated to you." As a counteroffer, he requested an annual payment of $250,000, a larger figure than previously sought. The counteroffer provided that T.B. would remain in garage school for the rest of the 2006-07 school year, be educated privately for the 2007-08 school year, and have the right to reenroll in public school any year thereafter. The stay-put arrangement under the counteroffer was garage school. The district did not accept that offer; the record does not contain any response to the district's rejection.</w:t>
      </w:r>
    </w:p>
    <w:p w14:paraId="6A8B0C86" w14:textId="77777777" w:rsidR="002D0E71" w:rsidRDefault="00000000">
      <w:pPr>
        <w:pStyle w:val="Normal13"/>
        <w:widowControl w:val="0"/>
        <w:spacing w:before="240" w:line="260" w:lineRule="atLeast"/>
      </w:pPr>
      <w:r>
        <w:br/>
      </w:r>
      <w:r>
        <w:rPr>
          <w:rFonts w:ascii="Arial" w:eastAsia="Arial" w:hAnsi="Arial" w:cs="Arial"/>
          <w:i/>
          <w:color w:val="000000"/>
          <w:sz w:val="20"/>
        </w:rPr>
        <w:t>D. The due process hearing and decision</w:t>
      </w:r>
    </w:p>
    <w:p w14:paraId="736C699C" w14:textId="77777777" w:rsidR="002D0E71" w:rsidRDefault="00000000">
      <w:pPr>
        <w:pStyle w:val="Normal13"/>
        <w:widowControl w:val="0"/>
        <w:spacing w:before="200" w:line="260" w:lineRule="atLeast"/>
        <w:jc w:val="both"/>
      </w:pPr>
      <w:bookmarkStart w:id="1981" w:name="Bookmark_para_20_9"/>
      <w:bookmarkEnd w:id="1981"/>
      <w:r>
        <w:rPr>
          <w:rFonts w:ascii="Arial" w:eastAsia="Arial" w:hAnsi="Arial" w:cs="Arial"/>
          <w:color w:val="000000"/>
          <w:sz w:val="20"/>
        </w:rPr>
        <w:t>The case proceeded to the due process hearing, which began on May 14, 2007. The administrative law judge addressed eighteen issues, two raised by the district in its filings and sixteen raised by the Brenneises. There was overlap in some of the issues raised by the parties.</w:t>
      </w:r>
    </w:p>
    <w:p w14:paraId="211C8C52" w14:textId="77777777" w:rsidR="002D0E71" w:rsidRDefault="00000000">
      <w:pPr>
        <w:pStyle w:val="Normal13"/>
        <w:widowControl w:val="0"/>
        <w:spacing w:before="200" w:line="260" w:lineRule="atLeast"/>
        <w:jc w:val="both"/>
      </w:pPr>
      <w:bookmarkStart w:id="1982" w:name="Bookmark_para_21_9"/>
      <w:bookmarkEnd w:id="1982"/>
      <w:r>
        <w:rPr>
          <w:rFonts w:ascii="Arial" w:eastAsia="Arial" w:hAnsi="Arial" w:cs="Arial"/>
          <w:color w:val="000000"/>
          <w:sz w:val="20"/>
        </w:rPr>
        <w:t>After a 27-day hearing and written closing arguments, the ALJ in October 2007 handed down a careful and thorough 75-page written decision that found in favor of the school district [**14]  on 15 issues. The Brenneises won on the remaining three: Issues 10, 14, and 15. Issue 10, raised by the district, was whether the district's education would provide T.B. "a FAPE designed to meet his unique needs and allow him to benefit from his education." The other two issues were raised by the Brenneises: Issue 14 was whether the district had denied T.B. a FAPE by failing to develop a health care plan that would "enable [T.B.] to attend school safely," and Issue 15 was whether the district had denied T.B. a FAPE by failing to develop an appropriate transition plan. Issue 10 overlapped with Issues 14 and 15, so we do not discuss it separately.</w:t>
      </w:r>
    </w:p>
    <w:p w14:paraId="5F3FE900" w14:textId="77777777" w:rsidR="002D0E71" w:rsidRDefault="00000000">
      <w:pPr>
        <w:pStyle w:val="Normal13"/>
        <w:widowControl w:val="0"/>
        <w:spacing w:before="120" w:line="260" w:lineRule="atLeast"/>
      </w:pPr>
      <w:r>
        <w:rPr>
          <w:rFonts w:ascii="Arial" w:eastAsia="Arial" w:hAnsi="Arial" w:cs="Arial"/>
          <w:color w:val="000000"/>
          <w:sz w:val="20"/>
        </w:rPr>
        <w:t>1. Issue 14: the g-tube feeding</w:t>
      </w:r>
    </w:p>
    <w:p w14:paraId="31DA7C38" w14:textId="77777777" w:rsidR="002D0E71" w:rsidRDefault="00000000">
      <w:pPr>
        <w:pStyle w:val="Normal13"/>
        <w:widowControl w:val="0"/>
        <w:spacing w:before="200" w:line="260" w:lineRule="atLeast"/>
        <w:jc w:val="both"/>
      </w:pPr>
      <w:bookmarkStart w:id="1983" w:name="Bookmark_para_22_9"/>
      <w:bookmarkStart w:id="1984" w:name="Bookmark_I5HM9PWB2D6N930050000400"/>
      <w:bookmarkEnd w:id="1983"/>
      <w:bookmarkEnd w:id="1984"/>
      <w:r>
        <w:rPr>
          <w:rFonts w:ascii="Arial" w:eastAsia="Arial" w:hAnsi="Arial" w:cs="Arial"/>
          <w:color w:val="000000"/>
          <w:sz w:val="20"/>
        </w:rPr>
        <w:t xml:space="preserve">The first of the two discrete issues on which T.B. won centered around his g-tube feeding. The IDEA sets out minimum federal standards for school districts that receive federal funding. States may choose to supplement the federal standards with their own, and "[s]tate standards that are not inconsistent with federal standards are also enforceable in federal court." </w:t>
      </w:r>
      <w:bookmarkStart w:id="1985" w:name="Bookmark_I5HM9PWB2D6N930040000400"/>
      <w:bookmarkEnd w:id="1985"/>
      <w:r>
        <w:rPr>
          <w:rFonts w:ascii="Arial" w:eastAsia="Arial" w:hAnsi="Arial" w:cs="Arial"/>
          <w:i/>
          <w:color w:val="000000"/>
          <w:sz w:val="20"/>
        </w:rPr>
        <w:t>W.G. v. Bd. of Trustees of Target Range Sch. Dist. No. 23</w:t>
      </w:r>
      <w:r>
        <w:rPr>
          <w:rFonts w:ascii="Arial" w:eastAsia="Arial" w:hAnsi="Arial" w:cs="Arial"/>
          <w:color w:val="000000"/>
          <w:sz w:val="20"/>
        </w:rPr>
        <w:t>, 960 F.2d 1479, 1483 (9th Cir. 1992). Here, the ALJ ruled that the school district had failed to show that its plan met the minimum standards  [*461]  that California had set relating to g-tube feeding [**15]  to complement the federal standards.</w:t>
      </w:r>
    </w:p>
    <w:p w14:paraId="25DC344E" w14:textId="77777777" w:rsidR="002D0E71" w:rsidRDefault="00000000">
      <w:pPr>
        <w:pStyle w:val="Normal13"/>
        <w:widowControl w:val="0"/>
        <w:spacing w:before="200" w:line="260" w:lineRule="atLeast"/>
        <w:jc w:val="both"/>
      </w:pPr>
      <w:bookmarkStart w:id="1986" w:name="Bookmark_para_23_9"/>
      <w:bookmarkEnd w:id="1986"/>
      <w:r>
        <w:rPr>
          <w:rFonts w:ascii="Arial" w:eastAsia="Arial" w:hAnsi="Arial" w:cs="Arial"/>
          <w:color w:val="000000"/>
          <w:sz w:val="20"/>
        </w:rPr>
        <w:t xml:space="preserve">To understand the basis for the ALJ's decision, it is necessary to review in some detail the relevant federal and state requirements. The IDEA provides that an IEP shall contain a "statement of the special education and related services" that will be provided to a child. 20 U.S.C. § 1414(d)(1)(A)(i)(IV). These related services are defined at § 1401(26) as a range of items including "school nurse services designed to enable a child with a disability to receive a free appropriate public education." California has adopted a similar definition of related services, called "designated instruction and services." Cal. Educ. Code § 56363(a). Designated instruction and services include "[h]ealth and nursing services," </w:t>
      </w:r>
      <w:r>
        <w:rPr>
          <w:rFonts w:ascii="Arial" w:eastAsia="Arial" w:hAnsi="Arial" w:cs="Arial"/>
          <w:i/>
          <w:color w:val="000000"/>
          <w:sz w:val="20"/>
        </w:rPr>
        <w:t>id.</w:t>
      </w:r>
      <w:r>
        <w:rPr>
          <w:rFonts w:ascii="Arial" w:eastAsia="Arial" w:hAnsi="Arial" w:cs="Arial"/>
          <w:color w:val="000000"/>
          <w:sz w:val="20"/>
        </w:rPr>
        <w:t xml:space="preserve"> § 56363(b)(12). These may in turn include "specialized physical health care services," 5 Cal. Code Regs. § 3051.12(b), which are defined as "those health services prescribed by the child's licensed physician and surgeon requiring medically related training for the individual who performs the services and which are necessary during the school day to enable the child to attend school." Under the Code of Regulations, "[s]pecific continuing specialized physical health care services required in order for the individual to benefit from special education </w:t>
      </w:r>
      <w:r>
        <w:rPr>
          <w:rFonts w:ascii="Arial" w:eastAsia="Arial" w:hAnsi="Arial" w:cs="Arial"/>
          <w:i/>
          <w:color w:val="000000"/>
          <w:sz w:val="20"/>
        </w:rPr>
        <w:t>will be included</w:t>
      </w:r>
      <w:r>
        <w:rPr>
          <w:rFonts w:ascii="Arial" w:eastAsia="Arial" w:hAnsi="Arial" w:cs="Arial"/>
          <w:color w:val="000000"/>
          <w:sz w:val="20"/>
        </w:rPr>
        <w:t xml:space="preserve"> in [**16]  the [IEP]." </w:t>
      </w:r>
      <w:r>
        <w:rPr>
          <w:rFonts w:ascii="Arial" w:eastAsia="Arial" w:hAnsi="Arial" w:cs="Arial"/>
          <w:i/>
          <w:color w:val="000000"/>
          <w:sz w:val="20"/>
        </w:rPr>
        <w:t>Id.</w:t>
      </w:r>
      <w:r>
        <w:rPr>
          <w:rFonts w:ascii="Arial" w:eastAsia="Arial" w:hAnsi="Arial" w:cs="Arial"/>
          <w:color w:val="000000"/>
          <w:sz w:val="20"/>
        </w:rPr>
        <w:t xml:space="preserve"> § 3051.12(b)(3)(A) (emphasis added).</w:t>
      </w:r>
    </w:p>
    <w:p w14:paraId="0BCF6483" w14:textId="77777777" w:rsidR="002D0E71" w:rsidRDefault="00000000">
      <w:pPr>
        <w:pStyle w:val="Normal13"/>
        <w:widowControl w:val="0"/>
        <w:spacing w:before="200" w:line="260" w:lineRule="atLeast"/>
        <w:jc w:val="both"/>
      </w:pPr>
      <w:bookmarkStart w:id="1987" w:name="Bookmark_para_24_9"/>
      <w:bookmarkEnd w:id="1987"/>
      <w:r>
        <w:rPr>
          <w:rFonts w:ascii="Arial" w:eastAsia="Arial" w:hAnsi="Arial" w:cs="Arial"/>
          <w:color w:val="000000"/>
          <w:sz w:val="20"/>
        </w:rPr>
        <w:t>The ALJ held that T.B.'s g-tube feeding, "if required to be performed during the school day by District personnel," was a specialized physical health care service. Therefore, it had to be described in the IEP. But the August 2006 IEP did not "describe general procedures for G-Tube feeding, where that procedure would take place on the Sierra campus, or identify the category of employee who would assist [T.B.] with the feedings." Rather, the IEP simply recited that T.B. would receive three hours of nursing services in September 2006 and "5 hours consultation per year as needed," and contained a "School Health Management Plan," which required adult supervision of T.B.'s g-tube feedings. The transition plan section of the IEP stated that the nurse would train Sierra staff in g-tube feeding before T.B. started school, but provided no further details. Therefore, the ALJ concluded, the August 2006 IEP did not provide a FAPE.</w:t>
      </w:r>
    </w:p>
    <w:p w14:paraId="2E4FB6B4" w14:textId="77777777" w:rsidR="002D0E71" w:rsidRDefault="00000000">
      <w:pPr>
        <w:pStyle w:val="Normal13"/>
        <w:widowControl w:val="0"/>
        <w:spacing w:before="200" w:line="260" w:lineRule="atLeast"/>
        <w:jc w:val="both"/>
      </w:pPr>
      <w:bookmarkStart w:id="1988" w:name="Bookmark_para_25_9"/>
      <w:bookmarkEnd w:id="1988"/>
      <w:r>
        <w:rPr>
          <w:rFonts w:ascii="Arial" w:eastAsia="Arial" w:hAnsi="Arial" w:cs="Arial"/>
          <w:color w:val="000000"/>
          <w:sz w:val="20"/>
        </w:rPr>
        <w:t>The December 2006 IEP also failed to provide a FAPE. Like the August IEP, this plan provided for a total of eight hours of nursing services throughout the school year and also contained the health management plan. Unlike the August IEP, [**17]  the December IEP contained two extra pages explaining how food was to be prepared at school and stating that "[T.B.] requires an Individualized School Healthcare Plan." These pages also referred to the transition plan, which was more detailed than the August version. The transition plan provided that all school staff would be trained in T.B.'s dietary requirements, and that g-tube feeding would take place in the nurse's office, with the staff member assisting T.B. "[t]o be determined in collaboration with the school nurse and parent."</w:t>
      </w:r>
    </w:p>
    <w:p w14:paraId="4320EB4F" w14:textId="77777777" w:rsidR="002D0E71" w:rsidRDefault="00000000">
      <w:pPr>
        <w:pStyle w:val="Normal13"/>
        <w:widowControl w:val="0"/>
        <w:spacing w:before="200" w:line="260" w:lineRule="atLeast"/>
        <w:jc w:val="both"/>
      </w:pPr>
      <w:bookmarkStart w:id="1989" w:name="Bookmark_para_26_9"/>
      <w:bookmarkEnd w:id="1989"/>
      <w:r>
        <w:rPr>
          <w:rFonts w:ascii="Arial" w:eastAsia="Arial" w:hAnsi="Arial" w:cs="Arial"/>
          <w:color w:val="000000"/>
          <w:sz w:val="20"/>
        </w:rPr>
        <w:t>The ALJ ruled that this was insufficient. The district was not permitted to rely on the creation of an Individualized School Healthcare Plan after the event: the IEP itself had to be sufficiently clear. And the December IEP "did not specify which category of District staff would be responsible for the G-Tube feeding."</w:t>
      </w:r>
    </w:p>
    <w:p w14:paraId="60F02052" w14:textId="77777777" w:rsidR="002D0E71" w:rsidRDefault="00000000">
      <w:pPr>
        <w:pStyle w:val="Normal13"/>
        <w:widowControl w:val="0"/>
        <w:spacing w:before="200" w:line="260" w:lineRule="atLeast"/>
        <w:jc w:val="both"/>
      </w:pPr>
      <w:bookmarkStart w:id="1990" w:name="Bookmark_para_27_9"/>
      <w:bookmarkEnd w:id="1990"/>
      <w:r>
        <w:rPr>
          <w:rFonts w:ascii="Arial" w:eastAsia="Arial" w:hAnsi="Arial" w:cs="Arial"/>
          <w:color w:val="000000"/>
          <w:sz w:val="20"/>
        </w:rPr>
        <w:t>This failure to specify was important under California law. Under Education Code § 49423.5(a), only two types of persons were allowed to perform specialized physical education services such as g-tube  [*462]  feeding: "(1) Qualified persons who possess an appropriate credential . . . [and] (2) [q]ualified designated school personnel trained in the administration of specialized [**18]  physical health care if they perform those services under the supervision . . . of a credentialed school nurse, public health nurse, or licensed physician . . . ." The ALJ found that a school nurse would be considered in the former category. But a person could be considered "qualified designated school personnel" only if he or she had received "[m]edically related training" in "standardized procedures provided by a qualified school nurse, qualified public health nurse, qualified licensed physician and surgeon, or other approved programs." 5 Cal. Code Regs. § 3051.12(b)(1)(E)(2).</w:t>
      </w:r>
    </w:p>
    <w:p w14:paraId="7714D5D5" w14:textId="77777777" w:rsidR="002D0E71" w:rsidRDefault="00000000">
      <w:pPr>
        <w:pStyle w:val="Normal13"/>
        <w:widowControl w:val="0"/>
        <w:spacing w:before="200" w:line="260" w:lineRule="atLeast"/>
        <w:jc w:val="both"/>
      </w:pPr>
      <w:bookmarkStart w:id="1991" w:name="Bookmark_para_28_9"/>
      <w:bookmarkEnd w:id="1991"/>
      <w:r>
        <w:rPr>
          <w:rFonts w:ascii="Arial" w:eastAsia="Arial" w:hAnsi="Arial" w:cs="Arial"/>
          <w:color w:val="000000"/>
          <w:sz w:val="20"/>
        </w:rPr>
        <w:t>The ALJ found that the district had two job categories that were intended to cover qualified designated school personnel: Special Education Technician ("SET") and Special Education Health Technician ("SEHT"). The district's job classification prescribed a wide range of duties for SETs, including "[p]erform[ing] specialized health care procedures under [the] direction of [a] school nurse." An SEHT's duties were more narrowly focused on health care, and specifically included g-tube feedings. An SEHT was more experienced than an SET: according to the job classification, an SEHT required "[a]ny combination of training, experience, and/or education equivalent to one year of experience [**19]  in the district job class of . . . Special Education Technician." By contrast, the ALJ determined that the district provided insufficient evidence that a third job categorization, Behavioral Support Assistant ("BSA"), was qualified to provide g-tube feedings under California law. The district's job classification stated that BSAs should "[p]rovide individual or small group support to pupils according to established Individualized Education Programs" but did not specify any medical duties.</w:t>
      </w:r>
    </w:p>
    <w:p w14:paraId="755C49BB" w14:textId="77777777" w:rsidR="002D0E71" w:rsidRDefault="00000000">
      <w:pPr>
        <w:pStyle w:val="Normal13"/>
        <w:widowControl w:val="0"/>
        <w:spacing w:before="200" w:line="260" w:lineRule="atLeast"/>
        <w:jc w:val="both"/>
      </w:pPr>
      <w:bookmarkStart w:id="1992" w:name="Bookmark_para_29_9"/>
      <w:bookmarkEnd w:id="1992"/>
      <w:r>
        <w:rPr>
          <w:rFonts w:ascii="Arial" w:eastAsia="Arial" w:hAnsi="Arial" w:cs="Arial"/>
          <w:color w:val="000000"/>
          <w:sz w:val="20"/>
        </w:rPr>
        <w:t>As the ALJ stated, the IEP was silent about who would be performing the g-tube feeding. There was evidence at the hearing that the feeding would, in fact, be done by a BSA, who would be assigned to assist T.B. throughout the school day. That was the problem. The district had not shown that the BSA would be qualified to perform g-tube feedings, so "[T.B.'s] parents had no way to be sure that an appropriate employee would be assisting their child." As a result, the ALJ concluded, the Brenneises prevailed on Issue 14.</w:t>
      </w:r>
    </w:p>
    <w:p w14:paraId="708586CA" w14:textId="77777777" w:rsidR="002D0E71" w:rsidRDefault="00000000">
      <w:pPr>
        <w:pStyle w:val="Normal13"/>
        <w:widowControl w:val="0"/>
        <w:spacing w:before="120" w:line="260" w:lineRule="atLeast"/>
      </w:pPr>
      <w:r>
        <w:rPr>
          <w:rFonts w:ascii="Arial" w:eastAsia="Arial" w:hAnsi="Arial" w:cs="Arial"/>
          <w:color w:val="000000"/>
          <w:sz w:val="20"/>
        </w:rPr>
        <w:t>2. Issue 15: the transition plans</w:t>
      </w:r>
    </w:p>
    <w:p w14:paraId="4D90D6F6" w14:textId="77777777" w:rsidR="002D0E71" w:rsidRDefault="00000000">
      <w:pPr>
        <w:pStyle w:val="Normal13"/>
        <w:widowControl w:val="0"/>
        <w:spacing w:before="200" w:line="260" w:lineRule="atLeast"/>
        <w:jc w:val="both"/>
      </w:pPr>
      <w:bookmarkStart w:id="1993" w:name="Bookmark_para_30_9"/>
      <w:bookmarkEnd w:id="1993"/>
      <w:r>
        <w:rPr>
          <w:rFonts w:ascii="Arial" w:eastAsia="Arial" w:hAnsi="Arial" w:cs="Arial"/>
          <w:color w:val="000000"/>
          <w:sz w:val="20"/>
        </w:rPr>
        <w:t xml:space="preserve">The second discrete issue on which the Brenneises prevailed related to the transition plans. Under California law, an IEP had to contain "[p]rovision for the transition into [**20]  the regular class program if the pupil is to be transferred from a special class or nonpublic, nonsectarian school into a regular class in a public school . . . ." Cal. Educ. Code § 56345(b)(4). This included "[a] description of activities provided to integrate the pupil into the regular education program" and "[a] description of the activities provided to support the transition of pupils from the special education program into the regular education program." </w:t>
      </w:r>
      <w:r>
        <w:rPr>
          <w:rFonts w:ascii="Arial" w:eastAsia="Arial" w:hAnsi="Arial" w:cs="Arial"/>
          <w:i/>
          <w:color w:val="000000"/>
          <w:sz w:val="20"/>
        </w:rPr>
        <w:t>Id.</w:t>
      </w:r>
      <w:r>
        <w:rPr>
          <w:rFonts w:ascii="Arial" w:eastAsia="Arial" w:hAnsi="Arial" w:cs="Arial"/>
          <w:color w:val="000000"/>
          <w:sz w:val="20"/>
        </w:rPr>
        <w:t xml:space="preserve"> § 56345(b)(4)(A), (B). The ALJ concluded that the transition plans in both the August and December IEPs were defective.</w:t>
      </w:r>
    </w:p>
    <w:p w14:paraId="489384A4" w14:textId="77777777" w:rsidR="002D0E71" w:rsidRDefault="00000000">
      <w:pPr>
        <w:pStyle w:val="Normal13"/>
        <w:widowControl w:val="0"/>
        <w:spacing w:before="200" w:line="260" w:lineRule="atLeast"/>
        <w:jc w:val="both"/>
      </w:pPr>
      <w:bookmarkStart w:id="1994" w:name="Bookmark_para_31_9"/>
      <w:bookmarkEnd w:id="1994"/>
      <w:r>
        <w:rPr>
          <w:rFonts w:ascii="Arial" w:eastAsia="Arial" w:hAnsi="Arial" w:cs="Arial"/>
          <w:color w:val="000000"/>
          <w:sz w:val="20"/>
        </w:rPr>
        <w:t>The August IEP transition plan purported to provide a three-week transition into school. At the hearing, however, the district's expert testified that the transition might take more than three weeks, depending on T.B.'s progress. Therefore, the language of the plan was "directly contradictory" to the school district's evidence. Furthermore, the plan did not state that designated instruction and services  [*463]  would continue until transition was complete, nor who would decide when T.B. was to move to the next phase. That made the plan inadequate.</w:t>
      </w:r>
    </w:p>
    <w:p w14:paraId="5E546948" w14:textId="77777777" w:rsidR="002D0E71" w:rsidRDefault="00000000">
      <w:pPr>
        <w:pStyle w:val="Normal13"/>
        <w:widowControl w:val="0"/>
        <w:spacing w:before="200" w:line="260" w:lineRule="atLeast"/>
        <w:jc w:val="both"/>
      </w:pPr>
      <w:bookmarkStart w:id="1995" w:name="Bookmark_para_32_8"/>
      <w:bookmarkEnd w:id="1995"/>
      <w:r>
        <w:rPr>
          <w:rFonts w:ascii="Arial" w:eastAsia="Arial" w:hAnsi="Arial" w:cs="Arial"/>
          <w:color w:val="000000"/>
          <w:sz w:val="20"/>
        </w:rPr>
        <w:t>The December IEP transition plan, by contrast, explicitly provided for four flexible phases. But this plan was also [**21]  flawed: T.B. could, in theory, remain in one phase of the plan for the entire year, and so the plan needed to state what T.B.'s services were in each phase. Like the August plan, it did not specify the designated instruction and services that T.B. would receive during the transition plan.</w:t>
      </w:r>
    </w:p>
    <w:p w14:paraId="6757E9F6" w14:textId="77777777" w:rsidR="002D0E71" w:rsidRDefault="00000000">
      <w:pPr>
        <w:pStyle w:val="Normal13"/>
        <w:widowControl w:val="0"/>
        <w:spacing w:before="200" w:line="260" w:lineRule="atLeast"/>
        <w:jc w:val="both"/>
      </w:pPr>
      <w:bookmarkStart w:id="1996" w:name="Bookmark_para_33_8"/>
      <w:bookmarkEnd w:id="1996"/>
      <w:r>
        <w:rPr>
          <w:rFonts w:ascii="Arial" w:eastAsia="Arial" w:hAnsi="Arial" w:cs="Arial"/>
          <w:color w:val="000000"/>
          <w:sz w:val="20"/>
        </w:rPr>
        <w:t xml:space="preserve">In addition, the parents were not included in the collaboration team that decided when T.B. would move from one phase to the next, a problem that affected both plans. The ALJ concluded this was a violation of federal law, which required that the child's parents must be involved in decisions relating to his education placement. </w:t>
      </w:r>
      <w:r>
        <w:rPr>
          <w:rFonts w:ascii="Arial" w:eastAsia="Arial" w:hAnsi="Arial" w:cs="Arial"/>
          <w:i/>
          <w:color w:val="000000"/>
          <w:sz w:val="20"/>
        </w:rPr>
        <w:t>See, e.g.</w:t>
      </w:r>
      <w:r>
        <w:rPr>
          <w:rFonts w:ascii="Arial" w:eastAsia="Arial" w:hAnsi="Arial" w:cs="Arial"/>
          <w:color w:val="000000"/>
          <w:sz w:val="20"/>
        </w:rPr>
        <w:t>, 34 C.F.R. § 300.327. Therefore, the Brenneises prevailed on Issue 15.</w:t>
      </w:r>
    </w:p>
    <w:p w14:paraId="32B77768" w14:textId="77777777" w:rsidR="002D0E71" w:rsidRDefault="00000000">
      <w:pPr>
        <w:pStyle w:val="Normal13"/>
        <w:widowControl w:val="0"/>
        <w:spacing w:before="120" w:line="260" w:lineRule="atLeast"/>
      </w:pPr>
      <w:r>
        <w:rPr>
          <w:rFonts w:ascii="Arial" w:eastAsia="Arial" w:hAnsi="Arial" w:cs="Arial"/>
          <w:color w:val="000000"/>
          <w:sz w:val="20"/>
        </w:rPr>
        <w:t>3. The relief</w:t>
      </w:r>
    </w:p>
    <w:p w14:paraId="436C9FFB" w14:textId="77777777" w:rsidR="002D0E71" w:rsidRDefault="00000000">
      <w:pPr>
        <w:pStyle w:val="Normal13"/>
        <w:widowControl w:val="0"/>
        <w:spacing w:before="200" w:line="260" w:lineRule="atLeast"/>
        <w:jc w:val="both"/>
      </w:pPr>
      <w:bookmarkStart w:id="1997" w:name="Bookmark_para_34_8"/>
      <w:bookmarkEnd w:id="1997"/>
      <w:r>
        <w:rPr>
          <w:rFonts w:ascii="Arial" w:eastAsia="Arial" w:hAnsi="Arial" w:cs="Arial"/>
          <w:color w:val="000000"/>
          <w:sz w:val="20"/>
        </w:rPr>
        <w:t>As relief, the ALJ modified the December IEP by including language to state that a school nurse would "personally assist" T.B. with his g-tube feeding, and that the feeding would occur "at the time(s) and in the manner designated in a doctor's order from the [T.B.'s] current physician." But the ALJ also said that</w:t>
      </w:r>
    </w:p>
    <w:p w14:paraId="394239CC" w14:textId="77777777" w:rsidR="002D0E71" w:rsidRDefault="00000000">
      <w:pPr>
        <w:pStyle w:val="Normal13"/>
        <w:widowControl w:val="0"/>
        <w:spacing w:before="200" w:line="260" w:lineRule="atLeast"/>
        <w:ind w:left="400"/>
        <w:jc w:val="both"/>
      </w:pPr>
      <w:bookmarkStart w:id="1998" w:name="Bookmark_para_35_8"/>
      <w:bookmarkEnd w:id="1998"/>
      <w:r>
        <w:rPr>
          <w:rFonts w:ascii="Arial" w:eastAsia="Arial" w:hAnsi="Arial" w:cs="Arial"/>
          <w:color w:val="000000"/>
          <w:sz w:val="20"/>
        </w:rPr>
        <w:t>nothing in this Decision is intended to prevent the District from proposing, in a future IEP, that another classification of employee assist [T.B.] with the feedings, provided that the assistant [**22]  meets the requirements of Education Code section 49423.5. In addition, nothing in this Decision is intended to limit the classification of employee that may be designated pursuant to that code section. This Decision is simply based on the finding that, at the present time and in the present case, the District failed to make an evidentiary showing that the three hours of training provided for District staff in the December 4 IEP would qualify [T.B.'s] one-to-one behavioral aide to perform specialized physical health care services.</w:t>
      </w:r>
    </w:p>
    <w:p w14:paraId="3CB02A3D" w14:textId="77777777" w:rsidR="002D0E71" w:rsidRDefault="00000000">
      <w:pPr>
        <w:pStyle w:val="Normal13"/>
        <w:widowControl w:val="0"/>
        <w:spacing w:before="200" w:line="260" w:lineRule="atLeast"/>
        <w:jc w:val="both"/>
      </w:pPr>
      <w:bookmarkStart w:id="1999" w:name="Bookmark_para_36_8"/>
      <w:bookmarkEnd w:id="1999"/>
      <w:r>
        <w:rPr>
          <w:rFonts w:ascii="Arial" w:eastAsia="Arial" w:hAnsi="Arial" w:cs="Arial"/>
          <w:color w:val="000000"/>
          <w:sz w:val="20"/>
        </w:rPr>
        <w:t>The December IEP was also modified to include Mrs. Brenneise as a participant in the collaboration meetings in the transition plan, and to clarify that "until [T.B.] reaches phase four of the transition plan, [T.B.'s] District-funded [designated instruction and] services will continue with his current . . . providers and at his current levels of service."</w:t>
      </w:r>
    </w:p>
    <w:p w14:paraId="4D514BEA" w14:textId="77777777" w:rsidR="002D0E71" w:rsidRDefault="00000000">
      <w:pPr>
        <w:pStyle w:val="Normal13"/>
        <w:widowControl w:val="0"/>
        <w:spacing w:before="240" w:line="260" w:lineRule="atLeast"/>
      </w:pPr>
      <w:r>
        <w:br/>
      </w:r>
      <w:r>
        <w:rPr>
          <w:rFonts w:ascii="Arial" w:eastAsia="Arial" w:hAnsi="Arial" w:cs="Arial"/>
          <w:i/>
          <w:color w:val="000000"/>
          <w:sz w:val="20"/>
        </w:rPr>
        <w:t>E. The district prepares new IEPs</w:t>
      </w:r>
    </w:p>
    <w:p w14:paraId="42DA1D1C" w14:textId="77777777" w:rsidR="002D0E71" w:rsidRDefault="00000000">
      <w:pPr>
        <w:pStyle w:val="Normal13"/>
        <w:widowControl w:val="0"/>
        <w:spacing w:before="200" w:line="260" w:lineRule="atLeast"/>
        <w:jc w:val="both"/>
      </w:pPr>
      <w:bookmarkStart w:id="2000" w:name="Bookmark_para_37_8"/>
      <w:bookmarkEnd w:id="2000"/>
      <w:r>
        <w:rPr>
          <w:rFonts w:ascii="Arial" w:eastAsia="Arial" w:hAnsi="Arial" w:cs="Arial"/>
          <w:color w:val="000000"/>
          <w:sz w:val="20"/>
        </w:rPr>
        <w:t>The district sent Mrs. Brenneise a modified IEP in October 2007. Like the December 2006 IEP, this IEP provided for eight hours of "health nursing." It also spelled out how g-tube feeding would take place: "G-tube feeding will be scheduled to occur daily in the nurse's office. A school nurse [**23]  will be present and will personally assist the student with the student's G-tube feeding." The district also added language stating that health training would be critical throughout the year, although it provided no more hours of training. And the IEP identified T.B.'s then-current provider of occupational therapy as a service provider until T.B. transitioned into spending the full day at school.</w:t>
      </w:r>
    </w:p>
    <w:p w14:paraId="449B917D" w14:textId="77777777" w:rsidR="002D0E71" w:rsidRDefault="00000000">
      <w:pPr>
        <w:pStyle w:val="Normal13"/>
        <w:widowControl w:val="0"/>
        <w:spacing w:before="200" w:line="260" w:lineRule="atLeast"/>
        <w:jc w:val="both"/>
      </w:pPr>
      <w:bookmarkStart w:id="2001" w:name="Bookmark_para_38_7"/>
      <w:bookmarkEnd w:id="2001"/>
      <w:r>
        <w:rPr>
          <w:rFonts w:ascii="Arial" w:eastAsia="Arial" w:hAnsi="Arial" w:cs="Arial"/>
          <w:color w:val="000000"/>
          <w:sz w:val="20"/>
        </w:rPr>
        <w:t>Mrs. Brenneise rejected this IEP, apparently because it provided that T.B. would receive occupational therapy from the school T.B. was to attend, Wangenheim, not from the current provider, which she preferred. The district moved to clarify the ALJ's decision on the ground that Mrs. Brenneise's preferred provider was not certified with the California Department of Education. The ALJ denied that  [*464]  request, in part because all the parties had agreed to fund T.B.'s current providers.</w:t>
      </w:r>
    </w:p>
    <w:p w14:paraId="1F294BD8" w14:textId="77777777" w:rsidR="002D0E71" w:rsidRDefault="00000000">
      <w:pPr>
        <w:pStyle w:val="Normal13"/>
        <w:widowControl w:val="0"/>
        <w:spacing w:before="200" w:line="260" w:lineRule="atLeast"/>
        <w:jc w:val="both"/>
      </w:pPr>
      <w:bookmarkStart w:id="2002" w:name="Bookmark_para_39_7"/>
      <w:bookmarkEnd w:id="2002"/>
      <w:r>
        <w:rPr>
          <w:rFonts w:ascii="Arial" w:eastAsia="Arial" w:hAnsi="Arial" w:cs="Arial"/>
          <w:color w:val="000000"/>
          <w:sz w:val="20"/>
        </w:rPr>
        <w:t>Nevertheless, the Brenneises and the district slowly began implementing the transition plan. The district also began creating an IEP for the 2007-08 school year. On November 29, 2007, the district held a meeting to adopt a new IEP. As relevant to this appeal, the IEP provided for health nursing services as follows:</w:t>
      </w:r>
    </w:p>
    <w:p w14:paraId="0E4F525F" w14:textId="77777777" w:rsidR="002D0E71" w:rsidRDefault="00000000">
      <w:pPr>
        <w:pStyle w:val="Normal13"/>
        <w:widowControl w:val="0"/>
        <w:spacing w:before="200" w:line="260" w:lineRule="atLeast"/>
        <w:ind w:left="400"/>
        <w:jc w:val="both"/>
      </w:pPr>
      <w:bookmarkStart w:id="2003" w:name="Bookmark_para_40_7"/>
      <w:bookmarkEnd w:id="2003"/>
      <w:r>
        <w:rPr>
          <w:rFonts w:ascii="Arial" w:eastAsia="Arial" w:hAnsi="Arial" w:cs="Arial"/>
          <w:color w:val="000000"/>
          <w:sz w:val="20"/>
        </w:rPr>
        <w:t>3 hours [**24]  consultation/training to be provided prior to [T.B.'s] starting school. 5 hours consultation per year as needed.</w:t>
      </w:r>
    </w:p>
    <w:p w14:paraId="1417C322" w14:textId="77777777" w:rsidR="002D0E71" w:rsidRDefault="00000000">
      <w:pPr>
        <w:pStyle w:val="Normal13"/>
        <w:widowControl w:val="0"/>
        <w:spacing w:line="260" w:lineRule="atLeast"/>
        <w:ind w:left="400"/>
        <w:jc w:val="both"/>
      </w:pPr>
      <w:bookmarkStart w:id="2004" w:name="Bookmark_para_41_7"/>
      <w:bookmarkEnd w:id="2004"/>
      <w:r>
        <w:rPr>
          <w:rFonts w:ascii="Arial" w:eastAsia="Arial" w:hAnsi="Arial" w:cs="Arial"/>
          <w:color w:val="000000"/>
          <w:sz w:val="20"/>
        </w:rPr>
        <w:t>G-tube feeding will be scheduled to occur as prescribed by MD twice daily in nurse's office—one time daily during Phases I—III of transition plan, then two times daily beginning in Phase IV when [T.B.] attends school full day. During first week of [T.B.'s] school attendance, a school nurse will be present and personally assist him with G-tube feeding. Following training by the school nurse, BSA staff will replace the school nurse as staff designated to be present and personally assist [T.B.] with G-tube feeding. School nurse will supervise BSAs, as well as train and supervise SEHT and SET to be designated back-up staff in case of BSA absence or emergency.</w:t>
      </w:r>
    </w:p>
    <w:p w14:paraId="6EA5A0CD" w14:textId="77777777" w:rsidR="002D0E71" w:rsidRDefault="00000000">
      <w:pPr>
        <w:pStyle w:val="Normal13"/>
        <w:widowControl w:val="0"/>
        <w:spacing w:before="200" w:line="260" w:lineRule="atLeast"/>
        <w:jc w:val="both"/>
      </w:pPr>
      <w:bookmarkStart w:id="2005" w:name="Bookmark_para_42_7"/>
      <w:bookmarkEnd w:id="2005"/>
      <w:r>
        <w:rPr>
          <w:rFonts w:ascii="Arial" w:eastAsia="Arial" w:hAnsi="Arial" w:cs="Arial"/>
          <w:color w:val="000000"/>
          <w:sz w:val="20"/>
        </w:rPr>
        <w:t>Mrs. Brenneise refused to agree to this IEP because it provided that a BSA, not a nurse, would be responsible for T.B.'s feedings. At a December 21, 2007 meeting to discuss the IEP, the district responded by offering to raise the nursing services from eight hours per year to twelve.</w:t>
      </w:r>
    </w:p>
    <w:p w14:paraId="6316D42D" w14:textId="77777777" w:rsidR="002D0E71" w:rsidRDefault="00000000">
      <w:pPr>
        <w:pStyle w:val="Normal13"/>
        <w:widowControl w:val="0"/>
        <w:spacing w:before="240" w:line="260" w:lineRule="atLeast"/>
      </w:pPr>
      <w:r>
        <w:br/>
      </w:r>
      <w:r>
        <w:rPr>
          <w:rFonts w:ascii="Arial" w:eastAsia="Arial" w:hAnsi="Arial" w:cs="Arial"/>
          <w:i/>
          <w:color w:val="000000"/>
          <w:sz w:val="20"/>
        </w:rPr>
        <w:t>F. Both sides appeal to district court</w:t>
      </w:r>
    </w:p>
    <w:p w14:paraId="7DD6BE5A" w14:textId="77777777" w:rsidR="002D0E71" w:rsidRDefault="00000000">
      <w:pPr>
        <w:pStyle w:val="Normal13"/>
        <w:widowControl w:val="0"/>
        <w:spacing w:before="200" w:line="260" w:lineRule="atLeast"/>
        <w:jc w:val="both"/>
      </w:pPr>
      <w:bookmarkStart w:id="2006" w:name="Bookmark_para_43_7"/>
      <w:bookmarkEnd w:id="2006"/>
      <w:r>
        <w:rPr>
          <w:rFonts w:ascii="Arial" w:eastAsia="Arial" w:hAnsi="Arial" w:cs="Arial"/>
          <w:color w:val="000000"/>
          <w:sz w:val="20"/>
        </w:rPr>
        <w:t>On January 4, 2008, the Brenneises filed a complaint in district court to appeal the ALJ's determinations [**25]  on the fifteen issues on which they lost. The district filed its own district court appeal on the same day to challenge the ALJ's determinations on the three issues on which it lost. The district also sued Steven Wyner and his law firm personally to recover the district's fees for responding to frivolous claims. It also sought a declaration that it was not liable to pay the Brenneises' fees for their successful July 2006 compliance complaint.</w:t>
      </w:r>
    </w:p>
    <w:p w14:paraId="32517423" w14:textId="77777777" w:rsidR="002D0E71" w:rsidRDefault="00000000">
      <w:pPr>
        <w:pStyle w:val="Normal13"/>
        <w:widowControl w:val="0"/>
        <w:spacing w:before="200" w:line="260" w:lineRule="atLeast"/>
        <w:jc w:val="both"/>
      </w:pPr>
      <w:bookmarkStart w:id="2007" w:name="Bookmark_para_44_5"/>
      <w:bookmarkEnd w:id="2007"/>
      <w:r>
        <w:rPr>
          <w:rFonts w:ascii="Arial" w:eastAsia="Arial" w:hAnsi="Arial" w:cs="Arial"/>
          <w:color w:val="000000"/>
          <w:sz w:val="20"/>
        </w:rPr>
        <w:t>At the end of January 2008, the district filed for another due process hearing, seeking a determination that the district had offered a FAPE for the 2007-08 school year. On February 22, 2008, MarySue Glynn, the district's Director of Special Education, wrote to Mrs. Brenneise that the district remained eager for T.B. to begin school and would start him immediately "if you would consent." Glynn asked Mrs. Brenneise to contact her if she was "interested in modifications to [T.B.'s] IEP which would allow him to transition more quickly." A week later, Mrs. Brenneise gave the district notice that T.B. and his family were moving out of state. The Brenneises did not pursue the due process hearing for the 2007-08 school year, but the litigation over the [**26]  prior year lived on.</w:t>
      </w:r>
    </w:p>
    <w:p w14:paraId="79E13CDA" w14:textId="77777777" w:rsidR="002D0E71" w:rsidRDefault="00000000">
      <w:pPr>
        <w:pStyle w:val="Normal13"/>
        <w:widowControl w:val="0"/>
        <w:spacing w:before="200" w:line="260" w:lineRule="atLeast"/>
        <w:jc w:val="both"/>
      </w:pPr>
      <w:bookmarkStart w:id="2008" w:name="Bookmark_para_45_4"/>
      <w:bookmarkEnd w:id="2008"/>
      <w:r>
        <w:rPr>
          <w:rFonts w:ascii="Arial" w:eastAsia="Arial" w:hAnsi="Arial" w:cs="Arial"/>
          <w:color w:val="000000"/>
          <w:sz w:val="20"/>
        </w:rPr>
        <w:t>The Brenneises amended their district court complaint in March 2008, seeking, among other things, attorneys' fees relating to the July 2006 compliance complaint. In April, the court consolidated the cases filed by the Brenneises and the district. It denied Wyner's motion to dismiss the district's claim against Wyner and his law firm and denied the district's motion to dismiss the Brenneises' claim for fees for the compliance complaint. The school district appealed the denial of its motion to dismiss, but this court dismissed the appeal because there was no final judgment and the district had not been granted permission to appeal from the interlocutory ruling.</w:t>
      </w:r>
    </w:p>
    <w:p w14:paraId="50E864BD" w14:textId="77777777" w:rsidR="002D0E71" w:rsidRDefault="00000000">
      <w:pPr>
        <w:pStyle w:val="Normal13"/>
        <w:widowControl w:val="0"/>
        <w:spacing w:before="200" w:line="260" w:lineRule="atLeast"/>
        <w:jc w:val="both"/>
      </w:pPr>
      <w:bookmarkStart w:id="2009" w:name="Bookmark_para_46_3"/>
      <w:bookmarkEnd w:id="2009"/>
      <w:r>
        <w:rPr>
          <w:rFonts w:ascii="Arial" w:eastAsia="Arial" w:hAnsi="Arial" w:cs="Arial"/>
          <w:color w:val="000000"/>
          <w:sz w:val="20"/>
        </w:rPr>
        <w:t>The Brenneises filed a Second Amended Complaint, the currently operative pleading,  [*465]  in May 2009. It contained the three surviving claims from the first amended complaint—appealing the ALJ's adverse rulings, and seeking attorneys' fees under the IDEA and in connection with the compliance complaint—and also four new civil rights claims under Section 504 of the Rehabilitation Act, 29 U.S.C. § 794, and the Americans with Disabilities Act (ADA), 42 U.S.C. § 12132.</w:t>
      </w:r>
    </w:p>
    <w:p w14:paraId="7E6D9613" w14:textId="77777777" w:rsidR="002D0E71" w:rsidRDefault="00000000">
      <w:pPr>
        <w:pStyle w:val="Normal13"/>
        <w:widowControl w:val="0"/>
        <w:spacing w:before="200" w:line="260" w:lineRule="atLeast"/>
        <w:jc w:val="both"/>
      </w:pPr>
      <w:bookmarkStart w:id="2010" w:name="Bookmark_para_47_3"/>
      <w:bookmarkEnd w:id="2010"/>
      <w:r>
        <w:rPr>
          <w:rFonts w:ascii="Arial" w:eastAsia="Arial" w:hAnsi="Arial" w:cs="Arial"/>
          <w:color w:val="000000"/>
          <w:sz w:val="20"/>
        </w:rPr>
        <w:t>The school district moved for summary judgment on its first cause of action. In June 2010, the [**27]  court denied this motion and upheld the ALJ's rulings in favor of the Brenneises on Issues 10, 14, and 15, praising the quality of the ALJ's analysis. The school district did not appeal this judgment, and it later abandoned its other two causes of action.</w:t>
      </w:r>
    </w:p>
    <w:p w14:paraId="4D235AED" w14:textId="77777777" w:rsidR="002D0E71" w:rsidRDefault="00000000">
      <w:pPr>
        <w:pStyle w:val="Normal13"/>
        <w:widowControl w:val="0"/>
        <w:spacing w:before="200" w:line="260" w:lineRule="atLeast"/>
        <w:jc w:val="both"/>
      </w:pPr>
      <w:bookmarkStart w:id="2011" w:name="Bookmark_para_48_3"/>
      <w:bookmarkEnd w:id="2011"/>
      <w:r>
        <w:rPr>
          <w:rFonts w:ascii="Arial" w:eastAsia="Arial" w:hAnsi="Arial" w:cs="Arial"/>
          <w:color w:val="000000"/>
          <w:sz w:val="20"/>
        </w:rPr>
        <w:t>The Brenneises abandoned their claim challenging the ALJ's adverse rulings on the IEP. The court then invited the Brenneises to file their motion for attorneys' fees relating to their victory in upholding the ALJ's three rulings in their favor. The parties stipulated to judgment in favor of the Brenneises on their claim for recovery for fees related to the July 2006 compliance complaint. (As we discuss below, this stipulation is still a source of dispute.)</w:t>
      </w:r>
    </w:p>
    <w:p w14:paraId="60641208" w14:textId="77777777" w:rsidR="002D0E71" w:rsidRDefault="00000000">
      <w:pPr>
        <w:pStyle w:val="Normal13"/>
        <w:widowControl w:val="0"/>
        <w:spacing w:before="200" w:line="260" w:lineRule="atLeast"/>
        <w:jc w:val="both"/>
      </w:pPr>
      <w:bookmarkStart w:id="2012" w:name="Bookmark_para_49_3"/>
      <w:bookmarkEnd w:id="2012"/>
      <w:r>
        <w:rPr>
          <w:rFonts w:ascii="Arial" w:eastAsia="Arial" w:hAnsi="Arial" w:cs="Arial"/>
          <w:color w:val="000000"/>
          <w:sz w:val="20"/>
        </w:rPr>
        <w:t>In November 2011, the parties moved jointly to dismiss one of the Brenneises' civil rights claims. The Brenneises moved for summary judgment on one of the other claims, Count 4 of the complaint, in which they alleged that the district was deliberately indifferent to T.B.'s safety by failing to provide a qualified person to do the g-tube feedings. The district moved for summary judgment on all three of the remaining civil rights claims (Counts 4, 5, and 7).</w:t>
      </w:r>
    </w:p>
    <w:p w14:paraId="7A14B83C" w14:textId="77777777" w:rsidR="002D0E71" w:rsidRDefault="00000000">
      <w:pPr>
        <w:pStyle w:val="Normal13"/>
        <w:widowControl w:val="0"/>
        <w:spacing w:before="240" w:line="260" w:lineRule="atLeast"/>
      </w:pPr>
      <w:r>
        <w:br/>
      </w:r>
      <w:r>
        <w:rPr>
          <w:rFonts w:ascii="Arial" w:eastAsia="Arial" w:hAnsi="Arial" w:cs="Arial"/>
          <w:i/>
          <w:color w:val="000000"/>
          <w:sz w:val="20"/>
        </w:rPr>
        <w:t>G. The district court awards [**28]  the Brenneises reduced attorneys' fees</w:t>
      </w:r>
    </w:p>
    <w:p w14:paraId="07ECD541" w14:textId="77777777" w:rsidR="002D0E71" w:rsidRDefault="00000000">
      <w:pPr>
        <w:pStyle w:val="Normal13"/>
        <w:widowControl w:val="0"/>
        <w:spacing w:before="200" w:line="260" w:lineRule="atLeast"/>
        <w:jc w:val="both"/>
      </w:pPr>
      <w:bookmarkStart w:id="2013" w:name="Bookmark_para_50_3"/>
      <w:bookmarkEnd w:id="2013"/>
      <w:r>
        <w:rPr>
          <w:rFonts w:ascii="Arial" w:eastAsia="Arial" w:hAnsi="Arial" w:cs="Arial"/>
          <w:color w:val="000000"/>
          <w:sz w:val="20"/>
        </w:rPr>
        <w:t>In March 2012, the district court ruled on the Brenneises' motion for attorneys' fees. The motion sought $1,398,048.70. The court held that the Brenneises were a "prevailing party" on the IDEA claims, because they had secured more than "merely technical" relief. In particular, the ALJ had found that the August and December 2006 IEPs failed to specify a "qualified person" to assist T.B. with his g-tube feedings, and the district court had upheld this finding. This was "an important issue of health and safety."</w:t>
      </w:r>
    </w:p>
    <w:p w14:paraId="23BDD10B" w14:textId="77777777" w:rsidR="002D0E71" w:rsidRDefault="00000000">
      <w:pPr>
        <w:pStyle w:val="Normal13"/>
        <w:widowControl w:val="0"/>
        <w:spacing w:before="200" w:line="260" w:lineRule="atLeast"/>
        <w:jc w:val="both"/>
      </w:pPr>
      <w:bookmarkStart w:id="2014" w:name="Bookmark_para_51_3"/>
      <w:bookmarkEnd w:id="2014"/>
      <w:r>
        <w:rPr>
          <w:rFonts w:ascii="Arial" w:eastAsia="Arial" w:hAnsi="Arial" w:cs="Arial"/>
          <w:color w:val="000000"/>
          <w:sz w:val="20"/>
        </w:rPr>
        <w:t>Having found that the Brenneises were entitled to fees, the court then moved to the amount. The IDEA prohibits attorneys' fees for services performed after a written settlement offer is made to the parents if (i) the offer is made more than ten days before the start of the due process hearing, (ii) the parents reject it, and (iii) the offer is at least as good as the relief the parents secure in the hearing. 20 U.S.C. § 1415(i)(3)(D). However, as an exception to the foregoing rule, fees are available if the parents are "substantially justified" in rejecting the offer. 20 U.S.C. § 1415(i)(3)(E). Based on that provision, the district court ruled that the Brenneises were not entitled to any fees [**29]  and costs incurred on and after May 4, 2007, when they rejected an offer made by the district in a letter from its attorney, dated May 3, 2007. The district court concluded that the Brenneises did not secure more favorable relief before the ALJ and were not substantially justified in rejecting the offer. The court went on to rule that "[e]ven if the IDEA's provision did not strictly apply to the facts, the Court, in its discretion, would not award the Brenneises any fees incurred after they unreasonably rejected the May 3, 2007, settlement offer."</w:t>
      </w:r>
    </w:p>
    <w:p w14:paraId="44094FD7" w14:textId="77777777" w:rsidR="002D0E71" w:rsidRDefault="00000000">
      <w:pPr>
        <w:pStyle w:val="Normal13"/>
        <w:widowControl w:val="0"/>
        <w:spacing w:before="200" w:line="260" w:lineRule="atLeast"/>
        <w:jc w:val="both"/>
      </w:pPr>
      <w:bookmarkStart w:id="2015" w:name="Bookmark_para_52_2"/>
      <w:bookmarkEnd w:id="2015"/>
      <w:r>
        <w:rPr>
          <w:rFonts w:ascii="Arial" w:eastAsia="Arial" w:hAnsi="Arial" w:cs="Arial"/>
          <w:color w:val="000000"/>
          <w:sz w:val="20"/>
        </w:rPr>
        <w:t>The court ruled, however, that the Brenneises could recover reasonable fees and costs incurred before May 4, 2007, the date  [*466]  they rejected the district's offer. The court conducted a lodestar analysis and awarded attorneys' fees of $50,260.50, plus nontaxable costs of $5,173.41.</w:t>
      </w:r>
    </w:p>
    <w:p w14:paraId="3448B177" w14:textId="77777777" w:rsidR="002D0E71" w:rsidRDefault="00000000">
      <w:pPr>
        <w:pStyle w:val="Normal13"/>
        <w:widowControl w:val="0"/>
        <w:spacing w:before="240" w:line="260" w:lineRule="atLeast"/>
      </w:pPr>
      <w:r>
        <w:br/>
      </w:r>
      <w:r>
        <w:rPr>
          <w:rFonts w:ascii="Arial" w:eastAsia="Arial" w:hAnsi="Arial" w:cs="Arial"/>
          <w:i/>
          <w:color w:val="000000"/>
          <w:sz w:val="20"/>
        </w:rPr>
        <w:t>H. The district court grants summary judgment to the school district</w:t>
      </w:r>
    </w:p>
    <w:p w14:paraId="63CCEB35" w14:textId="77777777" w:rsidR="002D0E71" w:rsidRDefault="00000000">
      <w:pPr>
        <w:pStyle w:val="Normal13"/>
        <w:widowControl w:val="0"/>
        <w:spacing w:before="200" w:line="260" w:lineRule="atLeast"/>
        <w:jc w:val="both"/>
      </w:pPr>
      <w:bookmarkStart w:id="2016" w:name="Bookmark_para_53_2"/>
      <w:bookmarkStart w:id="2017" w:name="Bookmark_I5HM9PWB2HM6570020000400"/>
      <w:bookmarkEnd w:id="2016"/>
      <w:bookmarkEnd w:id="2017"/>
      <w:r>
        <w:rPr>
          <w:rFonts w:ascii="Arial" w:eastAsia="Arial" w:hAnsi="Arial" w:cs="Arial"/>
          <w:color w:val="000000"/>
          <w:sz w:val="20"/>
        </w:rPr>
        <w:t xml:space="preserve">In May 2012, the court granted the school district summary judgment on the Brenneises' three outstanding civil rights claims. To establish a claim for damages under the Rehabilitation Act and ADA, a plaintiff must prove that the defendant intended to discriminate on the basis of his or her disability, or was [**30]  deliberately indifferent to the disability. </w:t>
      </w:r>
      <w:bookmarkStart w:id="2018" w:name="Bookmark_I5HM9PWB2HM6570010000400"/>
      <w:bookmarkEnd w:id="2018"/>
      <w:r>
        <w:rPr>
          <w:rFonts w:ascii="Arial" w:eastAsia="Arial" w:hAnsi="Arial" w:cs="Arial"/>
          <w:i/>
          <w:color w:val="000000"/>
          <w:sz w:val="20"/>
        </w:rPr>
        <w:t>Duvall v. Cnty. of Kitsap</w:t>
      </w:r>
      <w:r>
        <w:rPr>
          <w:rFonts w:ascii="Arial" w:eastAsia="Arial" w:hAnsi="Arial" w:cs="Arial"/>
          <w:color w:val="000000"/>
          <w:sz w:val="20"/>
        </w:rPr>
        <w:t>, 260 F.3d 1124, 1139 (9th Cir. 2001). First, the court rejected the Brenneises' claim that the school district had been deliberately indifferent to T.B.'s need for a qualified person to provide his g-tube feedings. It concluded that the district never ignored the Brenneises' concerns; it acted in good faith, and simply read the relevant California law differently from the Brenneises. Next, the court ruled that the school district had not violated T.B.'s civil rights by failing to implement the ALJ's decision. The ALJ had required that the 2006-07 IEP be amended to provide that a nurse do the g-tube feedings, but the decision had explicitly stated that the ALJ was not ruling on future IEPs, such as the December 2007 IEP. The district seemed to be acting in good faith by offering to increase nursing hours. Relatedly, there was no evidence to support the allegation that the school district had discriminated against T.B. by failing to provide him with occupational therapy from his preferred provider. Finally, the district court concluded, no reasonable jury could infer that the school district retaliated against the Brenneises. The district's IEP team wanted T.B. to return to school [**31]  and "took great pains" to respond to Mrs. Brenneise's concerns.</w:t>
      </w:r>
    </w:p>
    <w:p w14:paraId="47684D4F" w14:textId="77777777" w:rsidR="002D0E71" w:rsidRDefault="00000000">
      <w:pPr>
        <w:pStyle w:val="Normal13"/>
        <w:widowControl w:val="0"/>
        <w:spacing w:before="200" w:line="260" w:lineRule="atLeast"/>
        <w:jc w:val="both"/>
      </w:pPr>
      <w:bookmarkStart w:id="2019" w:name="Bookmark_para_54_0"/>
      <w:bookmarkEnd w:id="2019"/>
      <w:r>
        <w:rPr>
          <w:rFonts w:ascii="Arial" w:eastAsia="Arial" w:hAnsi="Arial" w:cs="Arial"/>
          <w:color w:val="000000"/>
          <w:sz w:val="20"/>
        </w:rPr>
        <w:t>The Brenneises and Wyner appealed both the summary judgment on the civil rights claims and the limited grant of attorneys' fees.</w:t>
      </w:r>
      <w:r>
        <w:rPr>
          <w:rFonts w:ascii="Arial" w:eastAsia="Arial" w:hAnsi="Arial" w:cs="Arial"/>
          <w:vertAlign w:val="superscript"/>
        </w:rPr>
        <w:footnoteReference w:customMarkFollows="1" w:id="62"/>
        <w:t>2</w:t>
      </w:r>
      <w:r>
        <w:rPr>
          <w:rFonts w:ascii="Arial" w:eastAsia="Arial" w:hAnsi="Arial" w:cs="Arial"/>
          <w:color w:val="000000"/>
          <w:sz w:val="20"/>
        </w:rPr>
        <w:t xml:space="preserve"> The school district has not filed a cross-appeal.</w:t>
      </w:r>
    </w:p>
    <w:p w14:paraId="076AAF9C" w14:textId="77777777" w:rsidR="002D0E71" w:rsidRDefault="00000000">
      <w:pPr>
        <w:pStyle w:val="Normal13"/>
        <w:widowControl w:val="0"/>
        <w:spacing w:before="240" w:line="260" w:lineRule="atLeast"/>
      </w:pPr>
      <w:r>
        <w:br/>
      </w:r>
      <w:r>
        <w:rPr>
          <w:rFonts w:ascii="Arial" w:eastAsia="Arial" w:hAnsi="Arial" w:cs="Arial"/>
          <w:b/>
          <w:color w:val="000000"/>
          <w:sz w:val="20"/>
        </w:rPr>
        <w:t>II. Standard of Review</w:t>
      </w:r>
    </w:p>
    <w:p w14:paraId="22DFBA55" w14:textId="77777777" w:rsidR="002D0E71" w:rsidRDefault="00000000">
      <w:pPr>
        <w:pStyle w:val="Normal13"/>
        <w:widowControl w:val="0"/>
        <w:spacing w:before="200" w:line="260" w:lineRule="atLeast"/>
        <w:jc w:val="both"/>
      </w:pPr>
      <w:bookmarkStart w:id="2024" w:name="Bookmark_para_55_0"/>
      <w:bookmarkStart w:id="2025" w:name="Bookmark_I5HM9PWB2SF8760010000400"/>
      <w:bookmarkStart w:id="2026" w:name="Bookmark_I5HM9PWB2SF8760030000400"/>
      <w:bookmarkStart w:id="2027" w:name="Bookmark_I5HM9PWB2SF8770020000400"/>
      <w:bookmarkStart w:id="2028" w:name="Bookmark_LNHNREFclscc1_11"/>
      <w:bookmarkEnd w:id="2024"/>
      <w:bookmarkEnd w:id="2025"/>
      <w:bookmarkEnd w:id="2026"/>
      <w:bookmarkEnd w:id="2027"/>
      <w:bookmarkEnd w:id="2028"/>
      <w:r>
        <w:rPr>
          <w:rFonts w:ascii="Arial" w:eastAsia="Arial" w:hAnsi="Arial" w:cs="Arial"/>
          <w:color w:val="000000"/>
          <w:sz w:val="20"/>
        </w:rPr>
        <w:t xml:space="preserve">"This court reviews a grant of summary judgment de novo." </w:t>
      </w:r>
      <w:bookmarkStart w:id="2029" w:name="Bookmark_I5HM9PWB2HM6570050000400"/>
      <w:bookmarkEnd w:id="2029"/>
      <w:r>
        <w:rPr>
          <w:rFonts w:ascii="Arial" w:eastAsia="Arial" w:hAnsi="Arial" w:cs="Arial"/>
          <w:i/>
          <w:color w:val="000000"/>
          <w:sz w:val="20"/>
        </w:rPr>
        <w:t>Mark H. v. Hamamoto</w:t>
      </w:r>
      <w:r>
        <w:rPr>
          <w:rFonts w:ascii="Arial" w:eastAsia="Arial" w:hAnsi="Arial" w:cs="Arial"/>
          <w:color w:val="000000"/>
          <w:sz w:val="20"/>
        </w:rPr>
        <w:t xml:space="preserve">, 620 F.3d 1090, 1096 (9th Cir. 2010). "We must determine, viewing the evidence in the light most favorable to . . . the non-moving party, whether there are any genuine [disputes] of material fact and whether the district court correctly applied the substantive law." </w:t>
      </w:r>
      <w:bookmarkStart w:id="2030" w:name="Bookmark_I5HM9PWB2SF8760020000400"/>
      <w:bookmarkEnd w:id="2030"/>
      <w:r>
        <w:rPr>
          <w:rFonts w:ascii="Arial" w:eastAsia="Arial" w:hAnsi="Arial" w:cs="Arial"/>
          <w:i/>
          <w:color w:val="000000"/>
          <w:sz w:val="20"/>
        </w:rPr>
        <w:t>Nigro v. Sears, Roebuck &amp; Co.</w:t>
      </w:r>
      <w:r>
        <w:rPr>
          <w:rFonts w:ascii="Arial" w:eastAsia="Arial" w:hAnsi="Arial" w:cs="Arial"/>
          <w:color w:val="000000"/>
          <w:sz w:val="20"/>
        </w:rPr>
        <w:t xml:space="preserve">, 784 F.3d 495, 495 (9th Cir. 2015) (quoting </w:t>
      </w:r>
      <w:bookmarkStart w:id="2031" w:name="Bookmark_I5HM9PWB2SF8760040000400"/>
      <w:bookmarkEnd w:id="2031"/>
      <w:r>
        <w:rPr>
          <w:rFonts w:ascii="Arial" w:eastAsia="Arial" w:hAnsi="Arial" w:cs="Arial"/>
          <w:i/>
          <w:color w:val="000000"/>
          <w:sz w:val="20"/>
        </w:rPr>
        <w:t>Olsen v. Idaho Bd. of Med.</w:t>
      </w:r>
      <w:r>
        <w:rPr>
          <w:rFonts w:ascii="Arial" w:eastAsia="Arial" w:hAnsi="Arial" w:cs="Arial"/>
          <w:color w:val="000000"/>
          <w:sz w:val="20"/>
        </w:rPr>
        <w:t xml:space="preserve">, 363 F.3d 916, 922 (9th Cir. 2004)); Fed. R. Civ. P. 56(a). "A factual [dispute] is genuine if the evidence is such that a reasonable jury  [*467]  could return a verdict for the nonmoving party." </w:t>
      </w:r>
      <w:r>
        <w:rPr>
          <w:rFonts w:ascii="Arial" w:eastAsia="Arial" w:hAnsi="Arial" w:cs="Arial"/>
          <w:i/>
          <w:color w:val="000000"/>
          <w:sz w:val="20"/>
        </w:rPr>
        <w:t>Id.</w:t>
      </w:r>
      <w:r>
        <w:rPr>
          <w:rFonts w:ascii="Arial" w:eastAsia="Arial" w:hAnsi="Arial" w:cs="Arial"/>
          <w:color w:val="000000"/>
          <w:sz w:val="20"/>
        </w:rPr>
        <w:t xml:space="preserve"> (quoting </w:t>
      </w:r>
      <w:bookmarkStart w:id="2032" w:name="Bookmark_I5HM9PWB2SF8770010000400"/>
      <w:bookmarkEnd w:id="2032"/>
      <w:r>
        <w:rPr>
          <w:rFonts w:ascii="Arial" w:eastAsia="Arial" w:hAnsi="Arial" w:cs="Arial"/>
          <w:i/>
          <w:color w:val="000000"/>
          <w:sz w:val="20"/>
        </w:rPr>
        <w:t>Anderson v. Liberty Lobby, Inc.</w:t>
      </w:r>
      <w:r>
        <w:rPr>
          <w:rFonts w:ascii="Arial" w:eastAsia="Arial" w:hAnsi="Arial" w:cs="Arial"/>
          <w:color w:val="000000"/>
          <w:sz w:val="20"/>
        </w:rPr>
        <w:t>, 477 U.S. 242, 248, 106 S. Ct. 2505, 91 L. Ed. 2d 202 (1986)).</w:t>
      </w:r>
    </w:p>
    <w:p w14:paraId="7BFC0D5E" w14:textId="77777777" w:rsidR="002D0E71" w:rsidRDefault="00000000">
      <w:pPr>
        <w:pStyle w:val="Normal13"/>
        <w:widowControl w:val="0"/>
        <w:spacing w:before="200" w:line="260" w:lineRule="atLeast"/>
        <w:jc w:val="both"/>
      </w:pPr>
      <w:bookmarkStart w:id="2033" w:name="Bookmark_para_56_0"/>
      <w:bookmarkStart w:id="2034" w:name="Bookmark_I5HM9PWB2SF8770040000400"/>
      <w:bookmarkStart w:id="2035" w:name="Bookmark_LNHNREFclscc2_11"/>
      <w:bookmarkEnd w:id="2033"/>
      <w:bookmarkEnd w:id="2034"/>
      <w:bookmarkEnd w:id="2035"/>
      <w:r>
        <w:rPr>
          <w:rFonts w:ascii="Arial" w:eastAsia="Arial" w:hAnsi="Arial" w:cs="Arial"/>
          <w:color w:val="000000"/>
          <w:sz w:val="20"/>
        </w:rPr>
        <w:t xml:space="preserve">We review an award of attorneys' fees for abuse of discretion. </w:t>
      </w:r>
      <w:bookmarkStart w:id="2036" w:name="Bookmark_I5HM9PWB2SF8770030000400"/>
      <w:bookmarkEnd w:id="2036"/>
      <w:r>
        <w:rPr>
          <w:rFonts w:ascii="Arial" w:eastAsia="Arial" w:hAnsi="Arial" w:cs="Arial"/>
          <w:i/>
          <w:color w:val="000000"/>
          <w:sz w:val="20"/>
        </w:rPr>
        <w:t>Shapiro ex rel. Shapiro v. Paradise Valley Unified Sch. Dist. No. 69</w:t>
      </w:r>
      <w:r>
        <w:rPr>
          <w:rFonts w:ascii="Arial" w:eastAsia="Arial" w:hAnsi="Arial" w:cs="Arial"/>
          <w:color w:val="000000"/>
          <w:sz w:val="20"/>
        </w:rPr>
        <w:t xml:space="preserve">, 374 F.3d 857, 861 (9th Cir. 2004). "The district court's underlying factual determinations are reviewed for clear error and its legal analysis relevant to the fee determination is reviewed de novo." </w:t>
      </w:r>
      <w:r>
        <w:rPr>
          <w:rFonts w:ascii="Arial" w:eastAsia="Arial" w:hAnsi="Arial" w:cs="Arial"/>
          <w:i/>
          <w:color w:val="000000"/>
          <w:sz w:val="20"/>
        </w:rPr>
        <w:t>Id.</w:t>
      </w:r>
      <w:r>
        <w:rPr>
          <w:rFonts w:ascii="Arial" w:eastAsia="Arial" w:hAnsi="Arial" w:cs="Arial"/>
          <w:color w:val="000000"/>
          <w:sz w:val="20"/>
        </w:rPr>
        <w:t xml:space="preserve"> We discuss below in more detail the standard for reviewing the district court's decision to limit attorneys' fees under 20 U.S.C. § 1415(i)(3)(D).</w:t>
      </w:r>
    </w:p>
    <w:p w14:paraId="0F99BBB9" w14:textId="77777777" w:rsidR="002D0E71" w:rsidRDefault="00000000">
      <w:pPr>
        <w:pStyle w:val="Normal13"/>
        <w:widowControl w:val="0"/>
        <w:spacing w:before="240" w:line="260" w:lineRule="atLeast"/>
      </w:pPr>
      <w:r>
        <w:br/>
      </w:r>
      <w:r>
        <w:rPr>
          <w:rFonts w:ascii="Arial" w:eastAsia="Arial" w:hAnsi="Arial" w:cs="Arial"/>
          <w:b/>
          <w:color w:val="000000"/>
          <w:sz w:val="20"/>
        </w:rPr>
        <w:t>III. The Civil Rights Claims</w:t>
      </w:r>
    </w:p>
    <w:p w14:paraId="17C36354" w14:textId="77777777" w:rsidR="002D0E71" w:rsidRDefault="00000000">
      <w:pPr>
        <w:pStyle w:val="Normal13"/>
        <w:widowControl w:val="0"/>
        <w:spacing w:before="200" w:line="260" w:lineRule="atLeast"/>
        <w:jc w:val="both"/>
      </w:pPr>
      <w:bookmarkStart w:id="2037" w:name="Bookmark_para_57_0"/>
      <w:bookmarkEnd w:id="2037"/>
      <w:r>
        <w:rPr>
          <w:rFonts w:ascii="Arial" w:eastAsia="Arial" w:hAnsi="Arial" w:cs="Arial"/>
          <w:color w:val="000000"/>
          <w:sz w:val="20"/>
        </w:rPr>
        <w:t>We affirm in part and reverse in part the grant of summary judgment on the three civil rights claims. In particular, we affirm the summary judgments in favor of the school district on Counts IV and VII of the Second Amended Complaint, but reverse the summary judgment on Count V and remand [**33]  for further proceedings on that count.</w:t>
      </w:r>
    </w:p>
    <w:p w14:paraId="3DC64D0E" w14:textId="77777777" w:rsidR="002D0E71" w:rsidRDefault="00000000">
      <w:pPr>
        <w:pStyle w:val="Normal13"/>
        <w:widowControl w:val="0"/>
        <w:spacing w:before="240" w:line="260" w:lineRule="atLeast"/>
      </w:pPr>
      <w:r>
        <w:br/>
      </w:r>
      <w:r>
        <w:rPr>
          <w:rFonts w:ascii="Arial" w:eastAsia="Arial" w:hAnsi="Arial" w:cs="Arial"/>
          <w:i/>
          <w:color w:val="000000"/>
          <w:sz w:val="20"/>
        </w:rPr>
        <w:t>A. Counts IV and V: the g-tube feeding</w:t>
      </w:r>
    </w:p>
    <w:p w14:paraId="7B86ED1F" w14:textId="77777777" w:rsidR="002D0E71" w:rsidRDefault="00000000">
      <w:pPr>
        <w:pStyle w:val="Normal13"/>
        <w:widowControl w:val="0"/>
        <w:spacing w:before="200" w:line="260" w:lineRule="atLeast"/>
        <w:jc w:val="both"/>
      </w:pPr>
      <w:bookmarkStart w:id="2038" w:name="Bookmark_para_58_0"/>
      <w:bookmarkStart w:id="2039" w:name="Bookmark_I5HM9PWB28T4H00010000400"/>
      <w:bookmarkEnd w:id="2038"/>
      <w:bookmarkEnd w:id="2039"/>
      <w:r>
        <w:rPr>
          <w:rFonts w:ascii="Arial" w:eastAsia="Arial" w:hAnsi="Arial" w:cs="Arial"/>
          <w:color w:val="000000"/>
          <w:sz w:val="20"/>
        </w:rPr>
        <w:t xml:space="preserve">In Counts IV and V of the Second Amended Complaint, the Brenneises alleged that the school district violated the ADA and Section 504 of the Rehabilitation Act by failing to offer and implement a g-tube feeding regime that would enable T.B. to attend school safely. </w:t>
      </w:r>
      <w:bookmarkStart w:id="2040" w:name="Bookmark_LNHNREFclscc3_11"/>
      <w:bookmarkEnd w:id="2040"/>
      <w:r>
        <w:rPr>
          <w:rFonts w:ascii="Arial" w:eastAsia="Arial" w:hAnsi="Arial" w:cs="Arial"/>
          <w:color w:val="000000"/>
          <w:sz w:val="20"/>
        </w:rPr>
        <w:t>Section 504 provides that "[n]o otherwise qualified individual with a disability . . . shall, solely by reason of his or her disability, be excluded from the participation in, be denied the benefits of, or be subjected to discrimination under any program or activity receiving Federal financial assistance." 29 U.S.C. § 794(a). The language of the ADA is almost identical, and courts typically analyze the two provisions together.</w:t>
      </w:r>
      <w:r>
        <w:rPr>
          <w:rFonts w:ascii="Arial" w:eastAsia="Arial" w:hAnsi="Arial" w:cs="Arial"/>
          <w:vertAlign w:val="superscript"/>
        </w:rPr>
        <w:footnoteReference w:customMarkFollows="1" w:id="63"/>
        <w:t>3</w:t>
      </w:r>
      <w:r>
        <w:rPr>
          <w:rFonts w:ascii="Arial" w:eastAsia="Arial" w:hAnsi="Arial" w:cs="Arial"/>
          <w:color w:val="000000"/>
          <w:sz w:val="20"/>
        </w:rPr>
        <w:t xml:space="preserve"> </w:t>
      </w:r>
      <w:r>
        <w:rPr>
          <w:rFonts w:ascii="Arial" w:eastAsia="Arial" w:hAnsi="Arial" w:cs="Arial"/>
          <w:i/>
          <w:color w:val="000000"/>
          <w:sz w:val="20"/>
        </w:rPr>
        <w:t xml:space="preserve">See </w:t>
      </w:r>
      <w:bookmarkStart w:id="2043" w:name="Bookmark_I5HM9PWB2SF8770050000400"/>
      <w:bookmarkEnd w:id="2043"/>
      <w:r>
        <w:rPr>
          <w:rFonts w:ascii="Arial" w:eastAsia="Arial" w:hAnsi="Arial" w:cs="Arial"/>
          <w:i/>
          <w:color w:val="000000"/>
          <w:sz w:val="20"/>
        </w:rPr>
        <w:t>Vinson v. Thomas</w:t>
      </w:r>
      <w:r>
        <w:rPr>
          <w:rFonts w:ascii="Arial" w:eastAsia="Arial" w:hAnsi="Arial" w:cs="Arial"/>
          <w:color w:val="000000"/>
          <w:sz w:val="20"/>
        </w:rPr>
        <w:t>, 288 F.3d 1145, 1152 n.7 (9th Cir. 2002).</w:t>
      </w:r>
    </w:p>
    <w:p w14:paraId="0243B2B4" w14:textId="77777777" w:rsidR="002D0E71" w:rsidRDefault="00000000">
      <w:pPr>
        <w:pStyle w:val="Normal13"/>
        <w:widowControl w:val="0"/>
        <w:spacing w:before="200" w:line="260" w:lineRule="atLeast"/>
        <w:jc w:val="both"/>
      </w:pPr>
      <w:bookmarkStart w:id="2044" w:name="Bookmark_para_59_0"/>
      <w:bookmarkStart w:id="2045" w:name="Bookmark_I5HM9PWB28T4H00030000400"/>
      <w:bookmarkStart w:id="2046" w:name="Bookmark_LNHNREFclscc5_11"/>
      <w:bookmarkEnd w:id="2044"/>
      <w:bookmarkEnd w:id="2045"/>
      <w:bookmarkEnd w:id="2046"/>
      <w:r>
        <w:rPr>
          <w:rFonts w:ascii="Arial" w:eastAsia="Arial" w:hAnsi="Arial" w:cs="Arial"/>
          <w:color w:val="000000"/>
          <w:sz w:val="20"/>
        </w:rPr>
        <w:t xml:space="preserve">"Plaintiffs may establish that an organization [that receives federal funds, such as the district,] violated § 504 by showing that the public entity discriminated against, excluded, or denied the benefits of a [**34]  public program to a qualified person with a disability. </w:t>
      </w:r>
      <w:bookmarkStart w:id="2047" w:name="Bookmark_I5HM9PWB28T4H00050000400"/>
      <w:bookmarkEnd w:id="2047"/>
      <w:r>
        <w:rPr>
          <w:rFonts w:ascii="Arial" w:eastAsia="Arial" w:hAnsi="Arial" w:cs="Arial"/>
          <w:color w:val="000000"/>
          <w:sz w:val="20"/>
        </w:rPr>
        <w:t xml:space="preserve">This includes showing that the public entity denied the plaintiff a reasonable accommodation." </w:t>
      </w:r>
      <w:bookmarkStart w:id="2048" w:name="Bookmark_I5HM9PWB28T4H00020000400"/>
      <w:bookmarkEnd w:id="2048"/>
      <w:r>
        <w:rPr>
          <w:rFonts w:ascii="Arial" w:eastAsia="Arial" w:hAnsi="Arial" w:cs="Arial"/>
          <w:i/>
          <w:color w:val="000000"/>
          <w:sz w:val="20"/>
        </w:rPr>
        <w:t>Mark H.</w:t>
      </w:r>
      <w:r>
        <w:rPr>
          <w:rFonts w:ascii="Arial" w:eastAsia="Arial" w:hAnsi="Arial" w:cs="Arial"/>
          <w:color w:val="000000"/>
          <w:sz w:val="20"/>
        </w:rPr>
        <w:t xml:space="preserve">, 620 F.3d at 1096 (citation omitted). If a plaintiff seeks monetary damages for a violation of Section 504 or the ADA, he must show that the defendant acted with intent to deny him the benefits of the public program or a reasonable accommodation. </w:t>
      </w:r>
      <w:bookmarkStart w:id="2049" w:name="Bookmark_I5HM9PWB28T4H00050000400_2"/>
      <w:bookmarkStart w:id="2050" w:name="Bookmark_I5HM9PWB28T4H00040000400"/>
      <w:bookmarkEnd w:id="2049"/>
      <w:bookmarkEnd w:id="2050"/>
      <w:r>
        <w:rPr>
          <w:rFonts w:ascii="Arial" w:eastAsia="Arial" w:hAnsi="Arial" w:cs="Arial"/>
          <w:i/>
          <w:color w:val="000000"/>
          <w:sz w:val="20"/>
        </w:rPr>
        <w:t>Duvall</w:t>
      </w:r>
      <w:r>
        <w:rPr>
          <w:rFonts w:ascii="Arial" w:eastAsia="Arial" w:hAnsi="Arial" w:cs="Arial"/>
          <w:color w:val="000000"/>
          <w:sz w:val="20"/>
        </w:rPr>
        <w:t>, 260 F.3d at 1138.</w:t>
      </w:r>
    </w:p>
    <w:p w14:paraId="7A2B615A" w14:textId="77777777" w:rsidR="002D0E71" w:rsidRDefault="00000000">
      <w:pPr>
        <w:pStyle w:val="Normal13"/>
        <w:widowControl w:val="0"/>
        <w:spacing w:before="120" w:line="260" w:lineRule="atLeast"/>
      </w:pPr>
      <w:r>
        <w:rPr>
          <w:rFonts w:ascii="Arial" w:eastAsia="Arial" w:hAnsi="Arial" w:cs="Arial"/>
          <w:color w:val="000000"/>
          <w:sz w:val="20"/>
        </w:rPr>
        <w:t>1. Statutory accommodations</w:t>
      </w:r>
    </w:p>
    <w:p w14:paraId="6D42C237" w14:textId="77777777" w:rsidR="002D0E71" w:rsidRDefault="00000000">
      <w:pPr>
        <w:pStyle w:val="Normal13"/>
        <w:widowControl w:val="0"/>
        <w:spacing w:before="200" w:line="260" w:lineRule="atLeast"/>
        <w:jc w:val="both"/>
      </w:pPr>
      <w:bookmarkStart w:id="2051" w:name="Bookmark_para_60"/>
      <w:bookmarkStart w:id="2052" w:name="Bookmark_I5HM9PWB2N1PP00020000400"/>
      <w:bookmarkEnd w:id="2051"/>
      <w:bookmarkEnd w:id="2052"/>
      <w:r>
        <w:rPr>
          <w:rFonts w:ascii="Arial" w:eastAsia="Arial" w:hAnsi="Arial" w:cs="Arial"/>
          <w:color w:val="000000"/>
          <w:sz w:val="20"/>
        </w:rPr>
        <w:t xml:space="preserve">Before we pass on the Brenneises' claims, we must address a threshold issue: whether a district's failure to abide by a statutorily mandated accommodation may give rise to a civil rights claim. </w:t>
      </w:r>
      <w:bookmarkStart w:id="2053" w:name="Bookmark_I5HM9PWB2N1PP00040000400"/>
      <w:bookmarkEnd w:id="2053"/>
      <w:r>
        <w:rPr>
          <w:rFonts w:ascii="Arial" w:eastAsia="Arial" w:hAnsi="Arial" w:cs="Arial"/>
          <w:color w:val="000000"/>
          <w:sz w:val="20"/>
        </w:rPr>
        <w:t xml:space="preserve">In the typical civil rights case arising out of an IDEA suit, the plaintiff alleges that the district failed to provide a "reasonable accommodation" to allow him to take advantage of the district's educational program. </w:t>
      </w:r>
      <w:r>
        <w:rPr>
          <w:rFonts w:ascii="Arial" w:eastAsia="Arial" w:hAnsi="Arial" w:cs="Arial"/>
          <w:i/>
          <w:color w:val="000000"/>
          <w:sz w:val="20"/>
        </w:rPr>
        <w:t xml:space="preserve">See, e.g., </w:t>
      </w:r>
      <w:bookmarkStart w:id="2054" w:name="Bookmark_I5HM9PWB2N1PP00010000400"/>
      <w:bookmarkEnd w:id="2054"/>
      <w:r>
        <w:rPr>
          <w:rFonts w:ascii="Arial" w:eastAsia="Arial" w:hAnsi="Arial" w:cs="Arial"/>
          <w:i/>
          <w:color w:val="000000"/>
          <w:sz w:val="20"/>
        </w:rPr>
        <w:t>Mark H.</w:t>
      </w:r>
      <w:r>
        <w:rPr>
          <w:rFonts w:ascii="Arial" w:eastAsia="Arial" w:hAnsi="Arial" w:cs="Arial"/>
          <w:color w:val="000000"/>
          <w:sz w:val="20"/>
        </w:rPr>
        <w:t xml:space="preserve">, 620 F.3d at 1097-98. </w:t>
      </w:r>
      <w:bookmarkStart w:id="2055" w:name="Bookmark_I5HM9PWB2N1PP00040000400_2"/>
      <w:bookmarkEnd w:id="2055"/>
      <w:r>
        <w:rPr>
          <w:rFonts w:ascii="Arial" w:eastAsia="Arial" w:hAnsi="Arial" w:cs="Arial"/>
          <w:color w:val="000000"/>
          <w:sz w:val="20"/>
        </w:rPr>
        <w:t xml:space="preserve">When a court determines whether an accommodation is reasonable or not, each side may be required to produce evidence, and the ultimate question of reasonableness may have to be decided by a jury.  [*468]  </w:t>
      </w:r>
      <w:bookmarkStart w:id="2056" w:name="Bookmark_I5HM9PWB2N1PP00030000400"/>
      <w:bookmarkEnd w:id="2056"/>
      <w:r>
        <w:rPr>
          <w:rFonts w:ascii="Arial" w:eastAsia="Arial" w:hAnsi="Arial" w:cs="Arial"/>
          <w:i/>
          <w:color w:val="000000"/>
          <w:sz w:val="20"/>
        </w:rPr>
        <w:t>Wong v. Regents of Univ. of Cal.</w:t>
      </w:r>
      <w:r>
        <w:rPr>
          <w:rFonts w:ascii="Arial" w:eastAsia="Arial" w:hAnsi="Arial" w:cs="Arial"/>
          <w:color w:val="000000"/>
          <w:sz w:val="20"/>
        </w:rPr>
        <w:t>, 192 F.3d 807, 816-17 (9th Cir. 1999).</w:t>
      </w:r>
    </w:p>
    <w:p w14:paraId="3521A6F3" w14:textId="77777777" w:rsidR="002D0E71" w:rsidRDefault="00000000">
      <w:pPr>
        <w:pStyle w:val="Normal13"/>
        <w:widowControl w:val="0"/>
        <w:spacing w:before="200" w:line="260" w:lineRule="atLeast"/>
        <w:jc w:val="both"/>
      </w:pPr>
      <w:bookmarkStart w:id="2057" w:name="Bookmark_para_61"/>
      <w:bookmarkEnd w:id="2057"/>
      <w:r>
        <w:rPr>
          <w:rFonts w:ascii="Arial" w:eastAsia="Arial" w:hAnsi="Arial" w:cs="Arial"/>
          <w:color w:val="000000"/>
          <w:sz w:val="20"/>
        </w:rPr>
        <w:t xml:space="preserve">This case is different, however. The Brenneises allege that the school district denied T.B. a free appropriate public education in the "least restrictive environment," as he was guaranteed [**35]  under the IDEA, by failing to provide him with a reasonable accommodation for his g-tube feeding. </w:t>
      </w:r>
      <w:r>
        <w:rPr>
          <w:rFonts w:ascii="Arial" w:eastAsia="Arial" w:hAnsi="Arial" w:cs="Arial"/>
          <w:i/>
          <w:color w:val="000000"/>
          <w:sz w:val="20"/>
        </w:rPr>
        <w:t>See</w:t>
      </w:r>
      <w:r>
        <w:rPr>
          <w:rFonts w:ascii="Arial" w:eastAsia="Arial" w:hAnsi="Arial" w:cs="Arial"/>
          <w:color w:val="000000"/>
          <w:sz w:val="20"/>
        </w:rPr>
        <w:t xml:space="preserve"> 20 U.S.C. § 1412(a)(5); 34 C.F.R. § 300.114 </w:t>
      </w:r>
      <w:r>
        <w:rPr>
          <w:rFonts w:ascii="Arial" w:eastAsia="Arial" w:hAnsi="Arial" w:cs="Arial"/>
          <w:i/>
          <w:color w:val="000000"/>
          <w:sz w:val="20"/>
        </w:rPr>
        <w:t>et seq.</w:t>
      </w:r>
      <w:r>
        <w:rPr>
          <w:rFonts w:ascii="Arial" w:eastAsia="Arial" w:hAnsi="Arial" w:cs="Arial"/>
          <w:color w:val="000000"/>
          <w:sz w:val="20"/>
        </w:rPr>
        <w:t xml:space="preserve"> The only reasonable accommodation, according to the Brenneises, is not one that may be determined by a court, but the one prescribed by the California statute and regulations. They go on to argue that the school district was automatically deliberately indifferent to T.B.'s rights, and therefore liable for damages under Section 504 and the ADA, by failing to abide by California law.</w:t>
      </w:r>
      <w:r>
        <w:rPr>
          <w:rFonts w:ascii="Arial" w:eastAsia="Arial" w:hAnsi="Arial" w:cs="Arial"/>
          <w:vertAlign w:val="superscript"/>
        </w:rPr>
        <w:footnoteReference w:customMarkFollows="1" w:id="64"/>
        <w:t>4</w:t>
      </w:r>
      <w:r>
        <w:rPr>
          <w:rFonts w:ascii="Arial" w:eastAsia="Arial" w:hAnsi="Arial" w:cs="Arial"/>
          <w:color w:val="000000"/>
          <w:sz w:val="20"/>
        </w:rPr>
        <w:t xml:space="preserve"> The school district responds that there is no "per se" reasonable accommodation for g-tube feeding under California law and denies that it was deliberately indifferent to T.B.'s rights.</w:t>
      </w:r>
    </w:p>
    <w:p w14:paraId="670E9290" w14:textId="77777777" w:rsidR="002D0E71" w:rsidRDefault="00000000">
      <w:pPr>
        <w:pStyle w:val="Normal13"/>
        <w:widowControl w:val="0"/>
        <w:spacing w:before="200" w:line="260" w:lineRule="atLeast"/>
        <w:jc w:val="both"/>
      </w:pPr>
      <w:bookmarkStart w:id="2059" w:name="Bookmark_para_62"/>
      <w:bookmarkStart w:id="2060" w:name="Bookmark_I5HM9PWB28T4H10010000400"/>
      <w:bookmarkEnd w:id="2059"/>
      <w:bookmarkEnd w:id="2060"/>
      <w:r>
        <w:rPr>
          <w:rFonts w:ascii="Arial" w:eastAsia="Arial" w:hAnsi="Arial" w:cs="Arial"/>
          <w:color w:val="000000"/>
          <w:sz w:val="20"/>
        </w:rPr>
        <w:t xml:space="preserve">We agree with the Brenneises that </w:t>
      </w:r>
      <w:bookmarkStart w:id="2061" w:name="Bookmark_LNHNREFclscc6_10"/>
      <w:bookmarkEnd w:id="2061"/>
      <w:r>
        <w:rPr>
          <w:rFonts w:ascii="Arial" w:eastAsia="Arial" w:hAnsi="Arial" w:cs="Arial"/>
          <w:color w:val="000000"/>
          <w:sz w:val="20"/>
        </w:rPr>
        <w:t xml:space="preserve">California law establishes federally enforceable rights governing g-tube feeding in schools. In the absence of any specific regulations, the district would be required to make a reasonable accommodation to allow T.B. to receive g-tube feedings in school so that he could [**36]  receive a free appropriate public education. The form of this accommodation would depend on the "individual circumstances of [the] case." </w:t>
      </w:r>
      <w:bookmarkStart w:id="2062" w:name="Bookmark_I5HM9PWB2N1PP00050000400"/>
      <w:bookmarkEnd w:id="2062"/>
      <w:r>
        <w:rPr>
          <w:rFonts w:ascii="Arial" w:eastAsia="Arial" w:hAnsi="Arial" w:cs="Arial"/>
          <w:i/>
          <w:color w:val="000000"/>
          <w:sz w:val="20"/>
        </w:rPr>
        <w:t>Vinson</w:t>
      </w:r>
      <w:r>
        <w:rPr>
          <w:rFonts w:ascii="Arial" w:eastAsia="Arial" w:hAnsi="Arial" w:cs="Arial"/>
          <w:color w:val="000000"/>
          <w:sz w:val="20"/>
        </w:rPr>
        <w:t>, 288 F.3d at 1154. But when the State has specified the form that the accommodation must take, that specification establishes minimum standards to which the district must adhere.</w:t>
      </w:r>
      <w:r>
        <w:rPr>
          <w:rFonts w:ascii="Arial" w:eastAsia="Arial" w:hAnsi="Arial" w:cs="Arial"/>
          <w:vertAlign w:val="superscript"/>
        </w:rPr>
        <w:footnoteReference w:customMarkFollows="1" w:id="65"/>
        <w:t>5</w:t>
      </w:r>
    </w:p>
    <w:p w14:paraId="351999CC" w14:textId="77777777" w:rsidR="002D0E71" w:rsidRDefault="00000000">
      <w:pPr>
        <w:pStyle w:val="Normal13"/>
        <w:widowControl w:val="0"/>
        <w:spacing w:before="200" w:line="260" w:lineRule="atLeast"/>
        <w:jc w:val="both"/>
      </w:pPr>
      <w:bookmarkStart w:id="2066" w:name="Bookmark_para_63"/>
      <w:bookmarkEnd w:id="2066"/>
      <w:r>
        <w:rPr>
          <w:rFonts w:ascii="Arial" w:eastAsia="Arial" w:hAnsi="Arial" w:cs="Arial"/>
          <w:color w:val="000000"/>
          <w:sz w:val="20"/>
        </w:rPr>
        <w:t>The service or program that T.B. claims he was prevented from receiving is a safe public education, not simply g-tube feedings from a nurse, SEHT, or SET. Even though T.B.'s failure to obtain an IEP that unambiguously provided for g-tube feedings in accordance with California law is the hook on which his civil rights claims depend (and the parties disagree as to how concerned the Brenneises were about this issue before they prevailed on it in the due process hearing), his fundamental complaint is that he [**37]  has been prevented from attending public school safely. In California, g-tube feeding provisions are part of the overall educational program that the state provides to students; they are not a separate service. T.B.'s claim, then, is that he was deprived of his right to attend public school, in the manner required by California law, on account of his disability.</w:t>
      </w:r>
    </w:p>
    <w:p w14:paraId="322DE7C6" w14:textId="77777777" w:rsidR="002D0E71" w:rsidRDefault="00000000">
      <w:pPr>
        <w:pStyle w:val="Normal13"/>
        <w:widowControl w:val="0"/>
        <w:spacing w:before="200" w:line="260" w:lineRule="atLeast"/>
        <w:jc w:val="both"/>
      </w:pPr>
      <w:bookmarkStart w:id="2067" w:name="Bookmark_para_64"/>
      <w:bookmarkStart w:id="2068" w:name="Bookmark_I5HM9PWB28T4H10050000400"/>
      <w:bookmarkStart w:id="2069" w:name="Bookmark_I5HM9PWB2D6N940020000400"/>
      <w:bookmarkStart w:id="2070" w:name="Bookmark_LNHNREFclscc7_10"/>
      <w:bookmarkEnd w:id="2067"/>
      <w:bookmarkEnd w:id="2068"/>
      <w:bookmarkEnd w:id="2069"/>
      <w:bookmarkEnd w:id="2070"/>
      <w:r>
        <w:rPr>
          <w:rFonts w:ascii="Arial" w:eastAsia="Arial" w:hAnsi="Arial" w:cs="Arial"/>
          <w:color w:val="000000"/>
          <w:sz w:val="20"/>
        </w:rPr>
        <w:t xml:space="preserve">T.B.'s right to attend public school in a manner permitted by California law is enforceable in district court. As we observed earlier, state standards for a free appropriate public education "not inconsistent with federal standards are . . . enforceable in federal court." </w:t>
      </w:r>
      <w:bookmarkStart w:id="2071" w:name="Bookmark_I5HM9PWB28T4H10040000400"/>
      <w:bookmarkEnd w:id="2071"/>
      <w:r>
        <w:rPr>
          <w:rFonts w:ascii="Arial" w:eastAsia="Arial" w:hAnsi="Arial" w:cs="Arial"/>
          <w:i/>
          <w:color w:val="000000"/>
          <w:sz w:val="20"/>
        </w:rPr>
        <w:t>Target Range</w:t>
      </w:r>
      <w:r>
        <w:rPr>
          <w:rFonts w:ascii="Arial" w:eastAsia="Arial" w:hAnsi="Arial" w:cs="Arial"/>
          <w:color w:val="000000"/>
          <w:sz w:val="20"/>
        </w:rPr>
        <w:t xml:space="preserve">, 960 F.2d at 1483. </w:t>
      </w:r>
      <w:bookmarkStart w:id="2072" w:name="Bookmark_I4GYDY0TVDK000W193T00169"/>
      <w:bookmarkStart w:id="2073" w:name="Bookmark_I5HM9PWB2D6N940040000400"/>
      <w:bookmarkEnd w:id="2072"/>
      <w:bookmarkEnd w:id="2073"/>
      <w:r>
        <w:rPr>
          <w:rFonts w:ascii="Arial" w:eastAsia="Arial" w:hAnsi="Arial" w:cs="Arial"/>
          <w:color w:val="000000"/>
          <w:sz w:val="20"/>
        </w:rPr>
        <w:t xml:space="preserve">"While a state may not depart downward from the minimum level of appropriateness mandated under federal law, a state is free to exceed, both substantively and procedurally, the protection and services to be provided to its disabled children."  [*469]  </w:t>
      </w:r>
      <w:bookmarkStart w:id="2074" w:name="Bookmark_I5HM9PWB2D6N940010000400"/>
      <w:bookmarkEnd w:id="2074"/>
      <w:r>
        <w:rPr>
          <w:rFonts w:ascii="Arial" w:eastAsia="Arial" w:hAnsi="Arial" w:cs="Arial"/>
          <w:i/>
          <w:color w:val="000000"/>
          <w:sz w:val="20"/>
        </w:rPr>
        <w:t>Roland M. v. Concord Sch. Comm.</w:t>
      </w:r>
      <w:r>
        <w:rPr>
          <w:rFonts w:ascii="Arial" w:eastAsia="Arial" w:hAnsi="Arial" w:cs="Arial"/>
          <w:color w:val="000000"/>
          <w:sz w:val="20"/>
        </w:rPr>
        <w:t xml:space="preserve">, 910 F.2d 983, 987 (1st Cir. 1990) (internal quotation marks omitted). </w:t>
      </w:r>
      <w:bookmarkStart w:id="2075" w:name="Bookmark_I5HM9PWB2D6N940040000400_2"/>
      <w:bookmarkEnd w:id="2075"/>
      <w:r>
        <w:rPr>
          <w:rFonts w:ascii="Arial" w:eastAsia="Arial" w:hAnsi="Arial" w:cs="Arial"/>
          <w:color w:val="000000"/>
          <w:sz w:val="20"/>
        </w:rPr>
        <w:t>In setting forth who shall provide g-tube feedings, California appears to have gone beyond what a federal court might require in other circumstances, but that is a choice the legislature has made, and, like other choices regarding public education for disabled children, it is enforceable [**38]  in court.</w:t>
      </w:r>
      <w:r>
        <w:rPr>
          <w:rFonts w:ascii="Arial" w:eastAsia="Arial" w:hAnsi="Arial" w:cs="Arial"/>
          <w:vertAlign w:val="superscript"/>
        </w:rPr>
        <w:footnoteReference w:customMarkFollows="1" w:id="66"/>
        <w:t>6</w:t>
      </w:r>
      <w:r>
        <w:rPr>
          <w:rFonts w:ascii="Arial" w:eastAsia="Arial" w:hAnsi="Arial" w:cs="Arial"/>
          <w:color w:val="000000"/>
          <w:sz w:val="20"/>
        </w:rPr>
        <w:t xml:space="preserve"> We therefore agree with the only other court that, so far as we are aware, has analyzed this issue, and hold that </w:t>
      </w:r>
      <w:bookmarkStart w:id="2077" w:name="Bookmark_LNHNREFclscc8_10"/>
      <w:bookmarkEnd w:id="2077"/>
      <w:r>
        <w:rPr>
          <w:rFonts w:ascii="Arial" w:eastAsia="Arial" w:hAnsi="Arial" w:cs="Arial"/>
          <w:color w:val="000000"/>
          <w:sz w:val="20"/>
        </w:rPr>
        <w:t xml:space="preserve">where the State has defined an accommodation by law, that accommodation is enforceable in court. </w:t>
      </w:r>
      <w:r>
        <w:rPr>
          <w:rFonts w:ascii="Arial" w:eastAsia="Arial" w:hAnsi="Arial" w:cs="Arial"/>
          <w:i/>
          <w:color w:val="000000"/>
          <w:sz w:val="20"/>
        </w:rPr>
        <w:t xml:space="preserve">See </w:t>
      </w:r>
      <w:bookmarkStart w:id="2078" w:name="Bookmark_I5HM9PWB2D6N940030000400"/>
      <w:bookmarkEnd w:id="2078"/>
      <w:r>
        <w:rPr>
          <w:rFonts w:ascii="Arial" w:eastAsia="Arial" w:hAnsi="Arial" w:cs="Arial"/>
          <w:i/>
          <w:color w:val="000000"/>
          <w:sz w:val="20"/>
        </w:rPr>
        <w:t>Sullivan ex rel. Sullivan v. Vallejo City Unified Sch. Dist.</w:t>
      </w:r>
      <w:r>
        <w:rPr>
          <w:rFonts w:ascii="Arial" w:eastAsia="Arial" w:hAnsi="Arial" w:cs="Arial"/>
          <w:color w:val="000000"/>
          <w:sz w:val="20"/>
        </w:rPr>
        <w:t>, 731 F. Supp. 947, 959 (E.D. Cal. 1990) (holding that a reasonable accommodation is defined "at the minimum" by state law that prescribes mandatory accommodations for disabled persons). The reasonable accommodation that the school district was required to provide was the designation of a qualified employee to administer g-tube feedings: either an employee "possess[ing] an appropriate credential . . . [or a] [q]ualified designated school personnel trained in the administration of specialized physical health care if they perform those services under the supervision . . . of a credentialed school nurse, public health nurse, or licensed physician." Cal. Educ. Code § 49423.5(a).</w:t>
      </w:r>
    </w:p>
    <w:p w14:paraId="26216768" w14:textId="77777777" w:rsidR="002D0E71" w:rsidRDefault="00000000">
      <w:pPr>
        <w:pStyle w:val="Normal13"/>
        <w:widowControl w:val="0"/>
        <w:spacing w:before="200" w:line="260" w:lineRule="atLeast"/>
        <w:jc w:val="both"/>
      </w:pPr>
      <w:bookmarkStart w:id="2079" w:name="Bookmark_para_65"/>
      <w:bookmarkStart w:id="2080" w:name="Bookmark_I4GYDY0V5BK000W193T0016D"/>
      <w:bookmarkStart w:id="2081" w:name="Bookmark_I5HM9PWB2N1PP10010000400"/>
      <w:bookmarkEnd w:id="2079"/>
      <w:bookmarkEnd w:id="2080"/>
      <w:bookmarkEnd w:id="2081"/>
      <w:r>
        <w:rPr>
          <w:rFonts w:ascii="Arial" w:eastAsia="Arial" w:hAnsi="Arial" w:cs="Arial"/>
          <w:color w:val="000000"/>
          <w:sz w:val="20"/>
        </w:rPr>
        <w:t xml:space="preserve">Although we agree with the Brenneises that a school district's failure to abide by California's minimum standards on g-tube feeding may give rise to a civil rights claim, we reject their argument that a district's failure to provide these services means that they automatically prevail on such a claim. </w:t>
      </w:r>
      <w:bookmarkStart w:id="2082" w:name="Bookmark_LNHNREFclscc9_9"/>
      <w:bookmarkEnd w:id="2082"/>
      <w:r>
        <w:rPr>
          <w:rFonts w:ascii="Arial" w:eastAsia="Arial" w:hAnsi="Arial" w:cs="Arial"/>
          <w:color w:val="000000"/>
          <w:sz w:val="20"/>
        </w:rPr>
        <w:t xml:space="preserve">To succeed on a civil rights claim in this context, the plaintiffs must show intentional discrimination. </w:t>
      </w:r>
      <w:bookmarkStart w:id="2083" w:name="Bookmark_I5HM9PWB2D6N940050000400"/>
      <w:bookmarkEnd w:id="2083"/>
      <w:r>
        <w:rPr>
          <w:rFonts w:ascii="Arial" w:eastAsia="Arial" w:hAnsi="Arial" w:cs="Arial"/>
          <w:i/>
          <w:color w:val="000000"/>
          <w:sz w:val="20"/>
        </w:rPr>
        <w:t>Duvall</w:t>
      </w:r>
      <w:r>
        <w:rPr>
          <w:rFonts w:ascii="Arial" w:eastAsia="Arial" w:hAnsi="Arial" w:cs="Arial"/>
          <w:color w:val="000000"/>
          <w:sz w:val="20"/>
        </w:rPr>
        <w:t xml:space="preserve">, 260 F.3d at 1139. Deliberate indifference qualifies as intent, and the Brenneises attempt to meet this easier standard rather than showing animus on the part of the school district. Deliberate indifference is defined as "knowledge that a harm to a federally protected right is substantially likely, [**40]  and a failure to act upon that likelihood." </w:t>
      </w:r>
      <w:r>
        <w:rPr>
          <w:rFonts w:ascii="Arial" w:eastAsia="Arial" w:hAnsi="Arial" w:cs="Arial"/>
          <w:i/>
          <w:color w:val="000000"/>
          <w:sz w:val="20"/>
        </w:rPr>
        <w:t>Id.</w:t>
      </w:r>
    </w:p>
    <w:p w14:paraId="6A88B767" w14:textId="77777777" w:rsidR="002D0E71" w:rsidRDefault="00000000">
      <w:pPr>
        <w:pStyle w:val="Normal13"/>
        <w:widowControl w:val="0"/>
        <w:spacing w:before="200" w:line="260" w:lineRule="atLeast"/>
        <w:jc w:val="both"/>
      </w:pPr>
      <w:bookmarkStart w:id="2084" w:name="Bookmark_para_66"/>
      <w:bookmarkStart w:id="2085" w:name="Bookmark_I5HM9PWB2N1PP10030000400"/>
      <w:bookmarkEnd w:id="2084"/>
      <w:bookmarkEnd w:id="2085"/>
      <w:r>
        <w:rPr>
          <w:rFonts w:ascii="Arial" w:eastAsia="Arial" w:hAnsi="Arial" w:cs="Arial"/>
          <w:color w:val="000000"/>
          <w:sz w:val="20"/>
        </w:rPr>
        <w:t>The Brenneises meet the first part of the test, but not the second. "</w:t>
      </w:r>
      <w:bookmarkStart w:id="2086" w:name="Bookmark_LNHNREFclscc10_9"/>
      <w:bookmarkEnd w:id="2086"/>
      <w:r>
        <w:rPr>
          <w:rFonts w:ascii="Arial" w:eastAsia="Arial" w:hAnsi="Arial" w:cs="Arial"/>
          <w:color w:val="000000"/>
          <w:sz w:val="20"/>
        </w:rPr>
        <w:t xml:space="preserve">When the plaintiff has alerted the public entity to his need for accommodation (or where the need for accommodation is obvious, or required by statute or regulation), the public entity is on notice that an accommodation is required, and the plaintiff has satisfied the first element of the deliberate indifference test." </w:t>
      </w:r>
      <w:bookmarkStart w:id="2087" w:name="Bookmark_I5HM9PWB2N1PP10020000400"/>
      <w:bookmarkEnd w:id="2087"/>
      <w:r>
        <w:rPr>
          <w:rFonts w:ascii="Arial" w:eastAsia="Arial" w:hAnsi="Arial" w:cs="Arial"/>
          <w:i/>
          <w:color w:val="000000"/>
          <w:sz w:val="20"/>
        </w:rPr>
        <w:t>Duvall</w:t>
      </w:r>
      <w:r>
        <w:rPr>
          <w:rFonts w:ascii="Arial" w:eastAsia="Arial" w:hAnsi="Arial" w:cs="Arial"/>
          <w:color w:val="000000"/>
          <w:sz w:val="20"/>
        </w:rPr>
        <w:t xml:space="preserve">, 260 F.3d at 1139. </w:t>
      </w:r>
      <w:bookmarkStart w:id="2088" w:name="Bookmark_I5HM9PWB2N1PP10050000400"/>
      <w:bookmarkEnd w:id="2088"/>
      <w:r>
        <w:rPr>
          <w:rFonts w:ascii="Arial" w:eastAsia="Arial" w:hAnsi="Arial" w:cs="Arial"/>
          <w:color w:val="000000"/>
          <w:sz w:val="20"/>
        </w:rPr>
        <w:t xml:space="preserve">In this case, the school district was on notice that the personnel selected to administer g-tube feedings had to meet the requirements of California Education Code § 49423.5. </w:t>
      </w:r>
      <w:bookmarkStart w:id="2089" w:name="Bookmark_I5HM9PWB2N1PP10050000400_2"/>
      <w:bookmarkEnd w:id="2089"/>
      <w:r>
        <w:rPr>
          <w:rFonts w:ascii="Arial" w:eastAsia="Arial" w:hAnsi="Arial" w:cs="Arial"/>
          <w:color w:val="000000"/>
          <w:sz w:val="20"/>
        </w:rPr>
        <w:t xml:space="preserve">The </w:t>
      </w:r>
      <w:r>
        <w:rPr>
          <w:rFonts w:ascii="Arial" w:eastAsia="Arial" w:hAnsi="Arial" w:cs="Arial"/>
          <w:i/>
          <w:color w:val="000000"/>
          <w:sz w:val="20"/>
        </w:rPr>
        <w:t>Duvall</w:t>
      </w:r>
      <w:r>
        <w:rPr>
          <w:rFonts w:ascii="Arial" w:eastAsia="Arial" w:hAnsi="Arial" w:cs="Arial"/>
          <w:color w:val="000000"/>
          <w:sz w:val="20"/>
        </w:rPr>
        <w:t xml:space="preserve"> court went on to hold, however, that "in order to meet the second element of the deliberate indifference test, a failure to act must be more than negligent, and involves an element of deliberateness." </w:t>
      </w:r>
      <w:r>
        <w:rPr>
          <w:rFonts w:ascii="Arial" w:eastAsia="Arial" w:hAnsi="Arial" w:cs="Arial"/>
          <w:i/>
          <w:color w:val="000000"/>
          <w:sz w:val="20"/>
        </w:rPr>
        <w:t>Id.</w:t>
      </w:r>
      <w:r>
        <w:rPr>
          <w:rFonts w:ascii="Arial" w:eastAsia="Arial" w:hAnsi="Arial" w:cs="Arial"/>
          <w:color w:val="000000"/>
          <w:sz w:val="20"/>
        </w:rPr>
        <w:t xml:space="preserve"> This defeats the  [*470]  Brenneises' argument that any failure to meet the state standard is per se deliberate indifference, which rests solely on the maxim "everyone is presumed to know the law." The Brenneises' approach would impermissibly convert the deliberate indifference standard into a strict liability standard. </w:t>
      </w:r>
      <w:r>
        <w:rPr>
          <w:rFonts w:ascii="Arial" w:eastAsia="Arial" w:hAnsi="Arial" w:cs="Arial"/>
          <w:i/>
          <w:color w:val="000000"/>
          <w:sz w:val="20"/>
        </w:rPr>
        <w:t xml:space="preserve">See </w:t>
      </w:r>
      <w:bookmarkStart w:id="2090" w:name="Bookmark_I5HM9PWB2N1PP10040000400"/>
      <w:bookmarkEnd w:id="2090"/>
      <w:r>
        <w:rPr>
          <w:rFonts w:ascii="Arial" w:eastAsia="Arial" w:hAnsi="Arial" w:cs="Arial"/>
          <w:i/>
          <w:color w:val="000000"/>
          <w:sz w:val="20"/>
        </w:rPr>
        <w:t>Ferguson v. City of Phoenix</w:t>
      </w:r>
      <w:r>
        <w:rPr>
          <w:rFonts w:ascii="Arial" w:eastAsia="Arial" w:hAnsi="Arial" w:cs="Arial"/>
          <w:color w:val="000000"/>
          <w:sz w:val="20"/>
        </w:rPr>
        <w:t>, 157 F.3d 668, 673-75 (9th Cir. 1998). Therefore, the Brenneises must still prove that the school district was deliberately indifferent [**41]  to the need to meet state standards for feeding T.B. at school.</w:t>
      </w:r>
    </w:p>
    <w:p w14:paraId="19F0D438" w14:textId="77777777" w:rsidR="002D0E71" w:rsidRDefault="00000000">
      <w:pPr>
        <w:pStyle w:val="Normal13"/>
        <w:widowControl w:val="0"/>
        <w:spacing w:before="120" w:line="260" w:lineRule="atLeast"/>
      </w:pPr>
      <w:r>
        <w:rPr>
          <w:rFonts w:ascii="Arial" w:eastAsia="Arial" w:hAnsi="Arial" w:cs="Arial"/>
          <w:color w:val="000000"/>
          <w:sz w:val="20"/>
        </w:rPr>
        <w:t>2. Count IV: the 2006-07 IEP</w:t>
      </w:r>
    </w:p>
    <w:p w14:paraId="470A2E1A" w14:textId="77777777" w:rsidR="002D0E71" w:rsidRDefault="00000000">
      <w:pPr>
        <w:pStyle w:val="Normal13"/>
        <w:widowControl w:val="0"/>
        <w:spacing w:before="200" w:line="260" w:lineRule="atLeast"/>
        <w:jc w:val="both"/>
      </w:pPr>
      <w:bookmarkStart w:id="2091" w:name="Bookmark_para_67"/>
      <w:bookmarkEnd w:id="2091"/>
      <w:r>
        <w:rPr>
          <w:rFonts w:ascii="Arial" w:eastAsia="Arial" w:hAnsi="Arial" w:cs="Arial"/>
          <w:color w:val="000000"/>
          <w:sz w:val="20"/>
        </w:rPr>
        <w:t>With this in mind, we turn to Count IV of the Second Amended Complaint. The Brenneises, citing the language of Education Code § 49423.5(a), alleged that "[t]he District failed and refused to offer to provide either a qualified person or qualified designated trained school personnel to provide [T.B.'s] G-Tube feedings." The district court upheld the determination of the ALJ that the IEP did not specify that a qualified person, as defined by statute, would perform the g-tube feedings. But the district court also concluded that there was no evidence that the district had been deliberately indifferent to T.B.'s g-tube feeding. The school district, the court held, "never ignored the Brenneises' concerns," but engaged in detailed discussions about how to provide adult supervision for the g-tube feedings. "[T]he School district offered accommodations based upon its knowledge of T.B.'s abilities, which allowed any trained adult to assist him with the procedure."</w:t>
      </w:r>
    </w:p>
    <w:p w14:paraId="6C977967" w14:textId="77777777" w:rsidR="002D0E71" w:rsidRDefault="00000000">
      <w:pPr>
        <w:pStyle w:val="Normal13"/>
        <w:widowControl w:val="0"/>
        <w:spacing w:before="200" w:line="260" w:lineRule="atLeast"/>
        <w:jc w:val="both"/>
      </w:pPr>
      <w:bookmarkStart w:id="2092" w:name="Bookmark_para_68"/>
      <w:bookmarkStart w:id="2093" w:name="Bookmark_I5HM9PWB2D6N960020000400"/>
      <w:bookmarkEnd w:id="2092"/>
      <w:bookmarkEnd w:id="2093"/>
      <w:r>
        <w:rPr>
          <w:rFonts w:ascii="Arial" w:eastAsia="Arial" w:hAnsi="Arial" w:cs="Arial"/>
          <w:color w:val="000000"/>
          <w:sz w:val="20"/>
        </w:rPr>
        <w:t xml:space="preserve">We agree that no reasonable jury could find that the district was deliberately indifferent to T.B.'s right to be assisted by a person qualified under California law. [**42]  The school district was on constructive notice about the g-tube feeding requirements, as they were laid down in the California statute. </w:t>
      </w:r>
      <w:bookmarkStart w:id="2094" w:name="Bookmark_I5HM9PWB2D6N960010000400"/>
      <w:bookmarkEnd w:id="2094"/>
      <w:r>
        <w:rPr>
          <w:rFonts w:ascii="Arial" w:eastAsia="Arial" w:hAnsi="Arial" w:cs="Arial"/>
          <w:i/>
          <w:color w:val="000000"/>
          <w:sz w:val="20"/>
        </w:rPr>
        <w:t>Duvall</w:t>
      </w:r>
      <w:r>
        <w:rPr>
          <w:rFonts w:ascii="Arial" w:eastAsia="Arial" w:hAnsi="Arial" w:cs="Arial"/>
          <w:color w:val="000000"/>
          <w:sz w:val="20"/>
        </w:rPr>
        <w:t>, 260 F.3d at 1139. But there is no evidence that the school district was deliberately indifferent to this standard. The district believed that it could specify who would assist T.B. in an Individualized School Healthcare Plan. California's requirements are not spelled out with precision: the most objective requirement is that the assistant should demonstrate "competence in basic cardiopulmonary resuscitation." Cal. Educ. Code § 49423.5(c); 5 Cal. Code Regs. § 3051.12(b)(1)(C). About the time of the IEP meetings in this case, at least one other student in the school district was being assisted by a BSA in his g-tube feeding. A reasonable jury would be able to find, at most, that the district was wrong about the state's g-tube feeding requirements, not that it was deliberately indifferent.</w:t>
      </w:r>
    </w:p>
    <w:p w14:paraId="0A195C15" w14:textId="77777777" w:rsidR="002D0E71" w:rsidRDefault="00000000">
      <w:pPr>
        <w:pStyle w:val="Normal13"/>
        <w:widowControl w:val="0"/>
        <w:spacing w:before="200" w:line="260" w:lineRule="atLeast"/>
        <w:jc w:val="both"/>
      </w:pPr>
      <w:bookmarkStart w:id="2095" w:name="Bookmark_para_69"/>
      <w:bookmarkEnd w:id="2095"/>
      <w:r>
        <w:rPr>
          <w:rFonts w:ascii="Arial" w:eastAsia="Arial" w:hAnsi="Arial" w:cs="Arial"/>
          <w:color w:val="000000"/>
          <w:sz w:val="20"/>
        </w:rPr>
        <w:t xml:space="preserve">The Brenneises try, and fail, to show that the school district was on notice that its plan to have a behavioral aide assist in g-tube feedings would not meet California's requirements by pointing to an unpublished Office of Administrative Hearings case involving the district, </w:t>
      </w:r>
      <w:r>
        <w:rPr>
          <w:rFonts w:ascii="Arial" w:eastAsia="Arial" w:hAnsi="Arial" w:cs="Arial"/>
          <w:i/>
          <w:color w:val="000000"/>
          <w:sz w:val="20"/>
        </w:rPr>
        <w:t>Student v. San Diego Unified School District</w:t>
      </w:r>
      <w:r>
        <w:rPr>
          <w:rFonts w:ascii="Arial" w:eastAsia="Arial" w:hAnsi="Arial" w:cs="Arial"/>
          <w:color w:val="000000"/>
          <w:sz w:val="20"/>
        </w:rPr>
        <w:t xml:space="preserve">, OAH No. 04-209 (May 25, [**43]  2004). In that case, the ALJ was required to decide whether a severely disabled child, who was fed through a g-tube, could be assisted by a SET or SEHT at school, or whether he had to be assisted by a full-time nurse. </w:t>
      </w:r>
      <w:bookmarkStart w:id="2096" w:name="Bookmark_I5HM9PWB2D6N960040000400"/>
      <w:bookmarkEnd w:id="2096"/>
      <w:r>
        <w:rPr>
          <w:rFonts w:ascii="Arial" w:eastAsia="Arial" w:hAnsi="Arial" w:cs="Arial"/>
          <w:color w:val="000000"/>
          <w:sz w:val="20"/>
        </w:rPr>
        <w:t xml:space="preserve">The Brenneises are correct that this case involves some of the same statutes and regulations as that one and that the student had some of the same medical needs. But, at most, that case would put the district on notice as to the regulations, which under the first prong of the deliberate indifference test is already assumed. </w:t>
      </w:r>
      <w:bookmarkStart w:id="2097" w:name="Bookmark_I5HM9PWB2D6N960030000400"/>
      <w:bookmarkEnd w:id="2097"/>
      <w:r>
        <w:rPr>
          <w:rFonts w:ascii="Arial" w:eastAsia="Arial" w:hAnsi="Arial" w:cs="Arial"/>
          <w:i/>
          <w:color w:val="000000"/>
          <w:sz w:val="20"/>
        </w:rPr>
        <w:t>Duvall</w:t>
      </w:r>
      <w:r>
        <w:rPr>
          <w:rFonts w:ascii="Arial" w:eastAsia="Arial" w:hAnsi="Arial" w:cs="Arial"/>
          <w:color w:val="000000"/>
          <w:sz w:val="20"/>
        </w:rPr>
        <w:t>, 260 F.3d at 1139. The case does not shed light on how much training a BSA would require to be able to provide nursing  [*471]  services under California law and whether the district was in compliance with that law under the facts of this case. We therefore affirm the summary judgment entered in favor of the school district on Count IV.</w:t>
      </w:r>
    </w:p>
    <w:p w14:paraId="09EE4841" w14:textId="77777777" w:rsidR="002D0E71" w:rsidRDefault="00000000">
      <w:pPr>
        <w:pStyle w:val="Normal13"/>
        <w:widowControl w:val="0"/>
        <w:spacing w:before="120" w:line="260" w:lineRule="atLeast"/>
      </w:pPr>
      <w:r>
        <w:rPr>
          <w:rFonts w:ascii="Arial" w:eastAsia="Arial" w:hAnsi="Arial" w:cs="Arial"/>
          <w:color w:val="000000"/>
          <w:sz w:val="20"/>
        </w:rPr>
        <w:t>3. Count V: the 2007-08 IEP</w:t>
      </w:r>
    </w:p>
    <w:p w14:paraId="1556A90D" w14:textId="77777777" w:rsidR="002D0E71" w:rsidRDefault="00000000">
      <w:pPr>
        <w:pStyle w:val="Normal13"/>
        <w:widowControl w:val="0"/>
        <w:spacing w:before="200" w:line="260" w:lineRule="atLeast"/>
        <w:jc w:val="both"/>
      </w:pPr>
      <w:bookmarkStart w:id="2098" w:name="Bookmark_para_70"/>
      <w:bookmarkEnd w:id="2098"/>
      <w:r>
        <w:rPr>
          <w:rFonts w:ascii="Arial" w:eastAsia="Arial" w:hAnsi="Arial" w:cs="Arial"/>
          <w:color w:val="000000"/>
          <w:sz w:val="20"/>
        </w:rPr>
        <w:t>The implementation of the ALJ's decision in the IEP for the following year is potentially a different matter. In Count V of the Second Amended Complaint, the Brenneises alleged that the school district failed to comply with the ALJ's decision and "knew that it was substantially likely that [T.B.] would not able to safely [**44]  attend public school or be able to obtain educational benefit from his educational program."</w:t>
      </w:r>
      <w:r>
        <w:rPr>
          <w:rFonts w:ascii="Arial" w:eastAsia="Arial" w:hAnsi="Arial" w:cs="Arial"/>
          <w:vertAlign w:val="superscript"/>
        </w:rPr>
        <w:footnoteReference w:customMarkFollows="1" w:id="67"/>
        <w:t>7</w:t>
      </w:r>
      <w:r>
        <w:rPr>
          <w:rFonts w:ascii="Arial" w:eastAsia="Arial" w:hAnsi="Arial" w:cs="Arial"/>
          <w:color w:val="000000"/>
          <w:sz w:val="20"/>
        </w:rPr>
        <w:t xml:space="preserve"> In the Brenneises' view, the district illegally "fail[ed] and refus[ed] to ensure the presence of a school nurse to personally assist with [T.B.'s] G-Tube feedings."</w:t>
      </w:r>
    </w:p>
    <w:p w14:paraId="38A01D7B" w14:textId="77777777" w:rsidR="002D0E71" w:rsidRDefault="00000000">
      <w:pPr>
        <w:pStyle w:val="Normal13"/>
        <w:widowControl w:val="0"/>
        <w:spacing w:before="200" w:line="260" w:lineRule="atLeast"/>
        <w:jc w:val="both"/>
      </w:pPr>
      <w:bookmarkStart w:id="2102" w:name="Bookmark_para_71"/>
      <w:bookmarkEnd w:id="2102"/>
      <w:r>
        <w:rPr>
          <w:rFonts w:ascii="Arial" w:eastAsia="Arial" w:hAnsi="Arial" w:cs="Arial"/>
          <w:color w:val="000000"/>
          <w:sz w:val="20"/>
        </w:rPr>
        <w:t>The district responds that the ALJ's decision covered the 2006-07 year. As described above, in October 2006 the district amended the December 2006 IEP in the way that the ALJ ordered: it provided that "[a] school nurse will be present and will personally assist the student with the student's G-tube feeding." But by the time the ALJ ordered relief, the 2007-08 school year had already begun. The language ordered by the ALJ did not appear in the draft November 2007 IEP, which covered the 2007-08 school year. The November IEP provided that a nurse would personally assist T.B. with g-tube feeding in his first week at school, at which point a BSA would [**45]  take over. The November IEP also provided for a total of three hours training for the BSA before he or she took over.</w:t>
      </w:r>
    </w:p>
    <w:p w14:paraId="7197D5A4" w14:textId="77777777" w:rsidR="002D0E71" w:rsidRDefault="00000000">
      <w:pPr>
        <w:pStyle w:val="Normal13"/>
        <w:widowControl w:val="0"/>
        <w:spacing w:before="200" w:line="260" w:lineRule="atLeast"/>
        <w:jc w:val="both"/>
      </w:pPr>
      <w:bookmarkStart w:id="2103" w:name="Bookmark_para_72"/>
      <w:bookmarkEnd w:id="2103"/>
      <w:r>
        <w:rPr>
          <w:rFonts w:ascii="Arial" w:eastAsia="Arial" w:hAnsi="Arial" w:cs="Arial"/>
          <w:color w:val="000000"/>
          <w:sz w:val="20"/>
        </w:rPr>
        <w:t>The school district argues that its proposed 2007-08 IEP did not violate T.B.'s civil rights. It observes that the ALJ held specifically that the district was permitted to propose a different classification of employee to assist T.B. with his feedings, "provided that the assistant meets the requirements of Education Code section 49423.5," and that "nothing in this Decision is intended to limit the classification of employee that may be designated pursuant to that code section." The district's position, in effect, is that the due process hearing for the previous school year was irrelevant once the new school year had begun.</w:t>
      </w:r>
    </w:p>
    <w:p w14:paraId="68EBEC3D" w14:textId="77777777" w:rsidR="002D0E71" w:rsidRDefault="00000000">
      <w:pPr>
        <w:pStyle w:val="Normal13"/>
        <w:widowControl w:val="0"/>
        <w:spacing w:before="200" w:line="260" w:lineRule="atLeast"/>
        <w:jc w:val="both"/>
      </w:pPr>
      <w:bookmarkStart w:id="2104" w:name="Bookmark_para_73"/>
      <w:bookmarkEnd w:id="2104"/>
      <w:r>
        <w:rPr>
          <w:rFonts w:ascii="Arial" w:eastAsia="Arial" w:hAnsi="Arial" w:cs="Arial"/>
          <w:color w:val="000000"/>
          <w:sz w:val="20"/>
        </w:rPr>
        <w:t>We disagree. It is true that an IEP is only valid for the school year to which it applies. But the pertinent issue here is whether a reasonable jury could find that the district violated T.B.'s civil rights by failing to accommodate his need for g-tube feedings. We believe that it could. After the ALJ handed down her decision, the district knew how a judge might interpret California's rules on g-tube feeding and what the district would likely have to do to comply [**46]  with the rules. A reasonable jury might find that the district was being deliberately indifferent to T.B.'s rights under California law—as opposed to merely negligent or wrong—by refusing to specify that a nurse, SEHT, or SET should carry out the g-tube feedings when the ALJ had suggested strongly that this was the only way in which the district could fulfill its legal duties. The ALJ's opinion also suggests that the District might rely on the BSAs to carry out the  [*472]  feedings, but only if the evidence showed that they met the California-law requirements. Although the ALJ's ruling put the District on notice that the proposed accommodation of using BSAs was insufficient without this evidence, the District's evidence shows only that the BSAs received training, not that the training complied, or was adjusted to comply, with California law. A reasonable jury might find deliberate indifference on this ground as well.</w:t>
      </w:r>
    </w:p>
    <w:p w14:paraId="3DD2BD26" w14:textId="77777777" w:rsidR="002D0E71" w:rsidRDefault="00000000">
      <w:pPr>
        <w:pStyle w:val="Normal13"/>
        <w:widowControl w:val="0"/>
        <w:spacing w:before="200" w:line="260" w:lineRule="atLeast"/>
        <w:jc w:val="both"/>
      </w:pPr>
      <w:bookmarkStart w:id="2105" w:name="Bookmark_para_74"/>
      <w:bookmarkEnd w:id="2105"/>
      <w:r>
        <w:rPr>
          <w:rFonts w:ascii="Arial" w:eastAsia="Arial" w:hAnsi="Arial" w:cs="Arial"/>
          <w:color w:val="000000"/>
          <w:sz w:val="20"/>
        </w:rPr>
        <w:t>A factfinder could also conclude, to the contrary, that the district was simply negligent, not deliberately indifferent, in interpreting the ALJ's instructions. The ALJ held that "[n]othing in this Decision is intended to prevent the District from proposing, in a future IEP, that another [**47]  classification of employee assist [T.B.] with the feedings, provided that the assistant meets the requirements of Education Code section 49423.5." The district may simply have failed to pay enough attention to the final clause. Or perhaps the district could have provided sufficient evidence under its 2007-08 school year IEP showing that its proposed supervision and training of a BSA would meet the requirements for providing g-tube feedings.</w:t>
      </w:r>
    </w:p>
    <w:p w14:paraId="58AF1E3D" w14:textId="77777777" w:rsidR="002D0E71" w:rsidRDefault="00000000">
      <w:pPr>
        <w:pStyle w:val="Normal13"/>
        <w:widowControl w:val="0"/>
        <w:spacing w:before="200" w:line="260" w:lineRule="atLeast"/>
        <w:jc w:val="both"/>
      </w:pPr>
      <w:bookmarkStart w:id="2106" w:name="Bookmark_para_75"/>
      <w:bookmarkEnd w:id="2106"/>
      <w:r>
        <w:rPr>
          <w:rFonts w:ascii="Arial" w:eastAsia="Arial" w:hAnsi="Arial" w:cs="Arial"/>
          <w:color w:val="000000"/>
          <w:sz w:val="20"/>
        </w:rPr>
        <w:t>Because there is a genuine dispute of material fact, summary judgment is not appropriate in favor of either party on this claim. We reverse the summary judgment granted in favor of the school district on this claim and remand for further proceedings.</w:t>
      </w:r>
      <w:r>
        <w:rPr>
          <w:rFonts w:ascii="Arial" w:eastAsia="Arial" w:hAnsi="Arial" w:cs="Arial"/>
          <w:vertAlign w:val="superscript"/>
        </w:rPr>
        <w:footnoteReference w:customMarkFollows="1" w:id="68"/>
        <w:t>8</w:t>
      </w:r>
    </w:p>
    <w:p w14:paraId="5127F648" w14:textId="77777777" w:rsidR="002D0E71" w:rsidRDefault="00000000">
      <w:pPr>
        <w:pStyle w:val="Normal13"/>
        <w:widowControl w:val="0"/>
        <w:spacing w:before="240" w:line="260" w:lineRule="atLeast"/>
      </w:pPr>
      <w:r>
        <w:br/>
      </w:r>
      <w:r>
        <w:rPr>
          <w:rFonts w:ascii="Arial" w:eastAsia="Arial" w:hAnsi="Arial" w:cs="Arial"/>
          <w:i/>
          <w:color w:val="000000"/>
          <w:sz w:val="20"/>
        </w:rPr>
        <w:t>B. Count VII: the retaliation claim</w:t>
      </w:r>
    </w:p>
    <w:p w14:paraId="0520061F" w14:textId="77777777" w:rsidR="002D0E71" w:rsidRDefault="00000000">
      <w:pPr>
        <w:pStyle w:val="Normal13"/>
        <w:widowControl w:val="0"/>
        <w:spacing w:before="200" w:line="260" w:lineRule="atLeast"/>
        <w:jc w:val="both"/>
      </w:pPr>
      <w:bookmarkStart w:id="2112" w:name="Bookmark_para_76"/>
      <w:bookmarkEnd w:id="2112"/>
      <w:r>
        <w:rPr>
          <w:rFonts w:ascii="Arial" w:eastAsia="Arial" w:hAnsi="Arial" w:cs="Arial"/>
          <w:color w:val="000000"/>
          <w:sz w:val="20"/>
        </w:rPr>
        <w:t>The Brenneises also alleged in the Second Amended Complaint that the district retaliated against T.B. and Mrs. Brenneise for her "aggressive advocacy" on T.B.'s behalf. We affirm the judgment of the district court that a reasonable jury would not be able to find that the district retaliated against the Brenneises.</w:t>
      </w:r>
    </w:p>
    <w:p w14:paraId="38977E32" w14:textId="77777777" w:rsidR="002D0E71" w:rsidRDefault="00000000">
      <w:pPr>
        <w:pStyle w:val="Normal13"/>
        <w:widowControl w:val="0"/>
        <w:spacing w:before="200" w:line="260" w:lineRule="atLeast"/>
        <w:jc w:val="both"/>
      </w:pPr>
      <w:bookmarkStart w:id="2113" w:name="Bookmark_para_77"/>
      <w:bookmarkStart w:id="2114" w:name="Bookmark_I4GYDY0VBFF000W193T0016F"/>
      <w:bookmarkStart w:id="2115" w:name="Bookmark_I5HM9PWB2HM6580050000400"/>
      <w:bookmarkStart w:id="2116" w:name="Bookmark_I4GYDY0VG8K000W193T0016G"/>
      <w:bookmarkStart w:id="2117" w:name="Bookmark_I5HM9PWB2SF8780030000400"/>
      <w:bookmarkStart w:id="2118" w:name="Bookmark_I4GYDY0VNCF000W193T0016H"/>
      <w:bookmarkStart w:id="2119" w:name="Bookmark_I4GYDY0VT6K000W193T0016J"/>
      <w:bookmarkStart w:id="2120" w:name="Bookmark_I4GYDY0W09F000W193T0016M"/>
      <w:bookmarkStart w:id="2121" w:name="Bookmark_I4GYDY0W5D9000W193T0016N"/>
      <w:bookmarkStart w:id="2122" w:name="Bookmark_I5HM9PWB2SF8780050000400"/>
      <w:bookmarkStart w:id="2123" w:name="Bookmark_LNHNREFclscc11_8"/>
      <w:bookmarkEnd w:id="2113"/>
      <w:bookmarkEnd w:id="2114"/>
      <w:bookmarkEnd w:id="2115"/>
      <w:bookmarkEnd w:id="2116"/>
      <w:bookmarkEnd w:id="2117"/>
      <w:bookmarkEnd w:id="2118"/>
      <w:bookmarkEnd w:id="2119"/>
      <w:bookmarkEnd w:id="2120"/>
      <w:bookmarkEnd w:id="2121"/>
      <w:bookmarkEnd w:id="2122"/>
      <w:bookmarkEnd w:id="2123"/>
      <w:r>
        <w:rPr>
          <w:rFonts w:ascii="Arial" w:eastAsia="Arial" w:hAnsi="Arial" w:cs="Arial"/>
          <w:color w:val="000000"/>
          <w:sz w:val="20"/>
        </w:rPr>
        <w:t xml:space="preserve">We apply the Title VII burden-shifting framework, as established in  [*473]  </w:t>
      </w:r>
      <w:bookmarkStart w:id="2124" w:name="Bookmark_I5HM9PWB2HM6580040000400"/>
      <w:bookmarkEnd w:id="2124"/>
      <w:r>
        <w:rPr>
          <w:rFonts w:ascii="Arial" w:eastAsia="Arial" w:hAnsi="Arial" w:cs="Arial"/>
          <w:i/>
          <w:color w:val="000000"/>
          <w:sz w:val="20"/>
        </w:rPr>
        <w:t>McDonnell Douglas Corp. v. Green</w:t>
      </w:r>
      <w:r>
        <w:rPr>
          <w:rFonts w:ascii="Arial" w:eastAsia="Arial" w:hAnsi="Arial" w:cs="Arial"/>
          <w:color w:val="000000"/>
          <w:sz w:val="20"/>
        </w:rPr>
        <w:t xml:space="preserve">, 411 U.S. 792, 93 S. Ct. 1817, 36 L. Ed. 2d 668 (1973), to retaliation claims under the ADA. </w:t>
      </w:r>
      <w:r>
        <w:rPr>
          <w:rFonts w:ascii="Arial" w:eastAsia="Arial" w:hAnsi="Arial" w:cs="Arial"/>
          <w:i/>
          <w:color w:val="000000"/>
          <w:sz w:val="20"/>
        </w:rPr>
        <w:t xml:space="preserve">See </w:t>
      </w:r>
      <w:bookmarkStart w:id="2125" w:name="Bookmark_I5HM9PWB2HM6590010000400"/>
      <w:bookmarkEnd w:id="2125"/>
      <w:r>
        <w:rPr>
          <w:rFonts w:ascii="Arial" w:eastAsia="Arial" w:hAnsi="Arial" w:cs="Arial"/>
          <w:i/>
          <w:color w:val="000000"/>
          <w:sz w:val="20"/>
        </w:rPr>
        <w:t>Brown v. Tucson</w:t>
      </w:r>
      <w:r>
        <w:rPr>
          <w:rFonts w:ascii="Arial" w:eastAsia="Arial" w:hAnsi="Arial" w:cs="Arial"/>
          <w:color w:val="000000"/>
          <w:sz w:val="20"/>
        </w:rPr>
        <w:t xml:space="preserve">, 336 F.3d 1181, 1186-87 (9th Cir. 2003); </w:t>
      </w:r>
      <w:r>
        <w:rPr>
          <w:rFonts w:ascii="Arial" w:eastAsia="Arial" w:hAnsi="Arial" w:cs="Arial"/>
          <w:i/>
          <w:color w:val="000000"/>
          <w:sz w:val="20"/>
        </w:rPr>
        <w:t xml:space="preserve">see also </w:t>
      </w:r>
      <w:bookmarkStart w:id="2126" w:name="Bookmark_I5HM9PWB2HM6590030000400"/>
      <w:bookmarkEnd w:id="2126"/>
      <w:r>
        <w:rPr>
          <w:rFonts w:ascii="Arial" w:eastAsia="Arial" w:hAnsi="Arial" w:cs="Arial"/>
          <w:i/>
          <w:color w:val="000000"/>
          <w:sz w:val="20"/>
        </w:rPr>
        <w:t>Barnett v. U.S. Air, Inc.</w:t>
      </w:r>
      <w:r>
        <w:rPr>
          <w:rFonts w:ascii="Arial" w:eastAsia="Arial" w:hAnsi="Arial" w:cs="Arial"/>
          <w:color w:val="000000"/>
          <w:sz w:val="20"/>
        </w:rPr>
        <w:t xml:space="preserve">, 228 F.3d 1105, 1121 (9th Cir. 2000) (en banc) ("[W]e join our sister circuits in adopting the Title VII retaliation framework for ADA retaliation claims."), </w:t>
      </w:r>
      <w:r>
        <w:rPr>
          <w:rFonts w:ascii="Arial" w:eastAsia="Arial" w:hAnsi="Arial" w:cs="Arial"/>
          <w:i/>
          <w:color w:val="000000"/>
          <w:sz w:val="20"/>
        </w:rPr>
        <w:t xml:space="preserve">vacated on other grounds, </w:t>
      </w:r>
      <w:bookmarkStart w:id="2127" w:name="Bookmark_I5HM9PWB2HM6590050000400"/>
      <w:bookmarkEnd w:id="2127"/>
      <w:r>
        <w:rPr>
          <w:rFonts w:ascii="Arial" w:eastAsia="Arial" w:hAnsi="Arial" w:cs="Arial"/>
          <w:i/>
          <w:color w:val="000000"/>
          <w:sz w:val="20"/>
        </w:rPr>
        <w:t>U.S. Airways, Inc. v. Barnett</w:t>
      </w:r>
      <w:r>
        <w:rPr>
          <w:rFonts w:ascii="Arial" w:eastAsia="Arial" w:hAnsi="Arial" w:cs="Arial"/>
          <w:color w:val="000000"/>
          <w:sz w:val="20"/>
        </w:rPr>
        <w:t xml:space="preserve">, 535 U.S. 391, 122 S. Ct. 1516, 152 L. Ed. 2d 589 (2002). Under the Title VII retaliation standard, a plaintiff must make out a prima facie case "(a) that he or she was engaged in protected activity, (b) that he or she suffered an adverse action, and (c) that there was a causal [**50]  link between the two." </w:t>
      </w:r>
      <w:bookmarkStart w:id="2128" w:name="Bookmark_I5HM9PWB2SF8780020000400"/>
      <w:bookmarkEnd w:id="2128"/>
      <w:r>
        <w:rPr>
          <w:rFonts w:ascii="Arial" w:eastAsia="Arial" w:hAnsi="Arial" w:cs="Arial"/>
          <w:i/>
          <w:color w:val="000000"/>
          <w:sz w:val="20"/>
        </w:rPr>
        <w:t>Emeldi v. Univ. of Ore.</w:t>
      </w:r>
      <w:r>
        <w:rPr>
          <w:rFonts w:ascii="Arial" w:eastAsia="Arial" w:hAnsi="Arial" w:cs="Arial"/>
          <w:color w:val="000000"/>
          <w:sz w:val="20"/>
        </w:rPr>
        <w:t xml:space="preserve">, 673 F.3d 1218, 1223 (9th Cir. 2012). In </w:t>
      </w:r>
      <w:bookmarkStart w:id="2129" w:name="Bookmark_I5HM9PWB2SF8780040000400"/>
      <w:bookmarkEnd w:id="2129"/>
      <w:r>
        <w:rPr>
          <w:rFonts w:ascii="Arial" w:eastAsia="Arial" w:hAnsi="Arial" w:cs="Arial"/>
          <w:i/>
          <w:color w:val="000000"/>
          <w:sz w:val="20"/>
        </w:rPr>
        <w:t>University of Texas Southwestern Medical Center v. Nassar</w:t>
      </w:r>
      <w:r>
        <w:rPr>
          <w:rFonts w:ascii="Arial" w:eastAsia="Arial" w:hAnsi="Arial" w:cs="Arial"/>
          <w:color w:val="000000"/>
          <w:sz w:val="20"/>
        </w:rPr>
        <w:t xml:space="preserve">, 133 S. Ct. 2517, 2528, 186 L. Ed. 2d 503 (2013), the Court held that the standard for the "causal link" is but-for causation, a more stringent test. Other circuit and district courts have applied </w:t>
      </w:r>
      <w:r>
        <w:rPr>
          <w:rFonts w:ascii="Arial" w:eastAsia="Arial" w:hAnsi="Arial" w:cs="Arial"/>
          <w:i/>
          <w:color w:val="000000"/>
          <w:sz w:val="20"/>
        </w:rPr>
        <w:t>Nassar</w:t>
      </w:r>
      <w:r>
        <w:rPr>
          <w:rFonts w:ascii="Arial" w:eastAsia="Arial" w:hAnsi="Arial" w:cs="Arial"/>
          <w:color w:val="000000"/>
          <w:sz w:val="20"/>
        </w:rPr>
        <w:t xml:space="preserve"> to ADA retaliation claims, and we do as well. </w:t>
      </w:r>
      <w:r>
        <w:rPr>
          <w:rFonts w:ascii="Arial" w:eastAsia="Arial" w:hAnsi="Arial" w:cs="Arial"/>
          <w:i/>
          <w:color w:val="000000"/>
          <w:sz w:val="20"/>
        </w:rPr>
        <w:t xml:space="preserve">See, e.g., </w:t>
      </w:r>
      <w:bookmarkStart w:id="2130" w:name="Bookmark_I5HM9PWB28T4H20010000400"/>
      <w:bookmarkEnd w:id="2130"/>
      <w:r>
        <w:rPr>
          <w:rFonts w:ascii="Arial" w:eastAsia="Arial" w:hAnsi="Arial" w:cs="Arial"/>
          <w:i/>
          <w:color w:val="000000"/>
          <w:sz w:val="20"/>
        </w:rPr>
        <w:t>Feist v. La., Dep't of Justice, Office of Att'y Gen.</w:t>
      </w:r>
      <w:r>
        <w:rPr>
          <w:rFonts w:ascii="Arial" w:eastAsia="Arial" w:hAnsi="Arial" w:cs="Arial"/>
          <w:color w:val="000000"/>
          <w:sz w:val="20"/>
        </w:rPr>
        <w:t xml:space="preserve">, 730 F.3d 450, 454 (5th Cir. 2013); </w:t>
      </w:r>
      <w:bookmarkStart w:id="2131" w:name="Bookmark_I5HM9PWB28T4H20030000400"/>
      <w:bookmarkEnd w:id="2131"/>
      <w:r>
        <w:rPr>
          <w:rFonts w:ascii="Arial" w:eastAsia="Arial" w:hAnsi="Arial" w:cs="Arial"/>
          <w:i/>
          <w:color w:val="000000"/>
          <w:sz w:val="20"/>
        </w:rPr>
        <w:t>E.E.O.C. v. Ford Motor Co.</w:t>
      </w:r>
      <w:r>
        <w:rPr>
          <w:rFonts w:ascii="Arial" w:eastAsia="Arial" w:hAnsi="Arial" w:cs="Arial"/>
          <w:color w:val="000000"/>
          <w:sz w:val="20"/>
        </w:rPr>
        <w:t xml:space="preserve">, 782 F.3d 753, 767 (6th Cir. 2015) (en banc); </w:t>
      </w:r>
      <w:bookmarkStart w:id="2132" w:name="Bookmark_I5HM9PWB28T4H20050000400"/>
      <w:bookmarkEnd w:id="2132"/>
      <w:r>
        <w:rPr>
          <w:rFonts w:ascii="Arial" w:eastAsia="Arial" w:hAnsi="Arial" w:cs="Arial"/>
          <w:i/>
          <w:color w:val="000000"/>
          <w:sz w:val="20"/>
        </w:rPr>
        <w:t>Staley v. Gruenberg</w:t>
      </w:r>
      <w:r>
        <w:rPr>
          <w:rFonts w:ascii="Arial" w:eastAsia="Arial" w:hAnsi="Arial" w:cs="Arial"/>
          <w:color w:val="000000"/>
          <w:sz w:val="20"/>
        </w:rPr>
        <w:t xml:space="preserve">, 575 F. App'x 153, 155 (4th Cir. 2014); </w:t>
      </w:r>
      <w:bookmarkStart w:id="2133" w:name="Bookmark_I5HM9PWB2SF8790020000400"/>
      <w:bookmarkEnd w:id="2133"/>
      <w:r>
        <w:rPr>
          <w:rFonts w:ascii="Arial" w:eastAsia="Arial" w:hAnsi="Arial" w:cs="Arial"/>
          <w:i/>
          <w:color w:val="000000"/>
          <w:sz w:val="20"/>
        </w:rPr>
        <w:t>Gallagher v. San Diego Unified Port Dist.</w:t>
      </w:r>
      <w:r>
        <w:rPr>
          <w:rFonts w:ascii="Arial" w:eastAsia="Arial" w:hAnsi="Arial" w:cs="Arial"/>
          <w:color w:val="000000"/>
          <w:sz w:val="20"/>
        </w:rPr>
        <w:t xml:space="preserve">, 14 F. Supp. 3d. 1380, 1390-91 (S.D. Cal. 2014). Although each of these cases involved retaliation relating to employment discrimination under Title I rather than discrimination in public services under Title II, the ADA's retaliation provision applies to both titles. </w:t>
      </w:r>
      <w:bookmarkStart w:id="2134" w:name="Bookmark_I5HM9PWB2SF8790050000400"/>
      <w:bookmarkEnd w:id="2134"/>
      <w:r>
        <w:rPr>
          <w:rFonts w:ascii="Arial" w:eastAsia="Arial" w:hAnsi="Arial" w:cs="Arial"/>
          <w:i/>
          <w:color w:val="000000"/>
          <w:sz w:val="20"/>
        </w:rPr>
        <w:t>See</w:t>
      </w:r>
      <w:r>
        <w:rPr>
          <w:rFonts w:ascii="Arial" w:eastAsia="Arial" w:hAnsi="Arial" w:cs="Arial"/>
          <w:color w:val="000000"/>
          <w:sz w:val="20"/>
        </w:rPr>
        <w:t xml:space="preserve"> 42 U.S.C. § 12203. The but-for causation standard therefore applies equally to retaliation under Titles I and II. Making out a prima facie case is a necessary, but not sufficient, condition for surviving a motion for summary judgment in the </w:t>
      </w:r>
      <w:r>
        <w:rPr>
          <w:rFonts w:ascii="Arial" w:eastAsia="Arial" w:hAnsi="Arial" w:cs="Arial"/>
          <w:i/>
          <w:color w:val="000000"/>
          <w:sz w:val="20"/>
        </w:rPr>
        <w:t>McDonnell Douglas</w:t>
      </w:r>
      <w:r>
        <w:rPr>
          <w:rFonts w:ascii="Arial" w:eastAsia="Arial" w:hAnsi="Arial" w:cs="Arial"/>
          <w:color w:val="000000"/>
          <w:sz w:val="20"/>
        </w:rPr>
        <w:t xml:space="preserve"> framework. </w:t>
      </w:r>
      <w:r>
        <w:rPr>
          <w:rFonts w:ascii="Arial" w:eastAsia="Arial" w:hAnsi="Arial" w:cs="Arial"/>
          <w:i/>
          <w:color w:val="000000"/>
          <w:sz w:val="20"/>
        </w:rPr>
        <w:t xml:space="preserve">See </w:t>
      </w:r>
      <w:bookmarkStart w:id="2135" w:name="Bookmark_I5HM9PWB2SF8790040000400"/>
      <w:bookmarkEnd w:id="2135"/>
      <w:r>
        <w:rPr>
          <w:rFonts w:ascii="Arial" w:eastAsia="Arial" w:hAnsi="Arial" w:cs="Arial"/>
          <w:i/>
          <w:color w:val="000000"/>
          <w:sz w:val="20"/>
        </w:rPr>
        <w:t>Wallis v. J.R. Simplot Co.</w:t>
      </w:r>
      <w:r>
        <w:rPr>
          <w:rFonts w:ascii="Arial" w:eastAsia="Arial" w:hAnsi="Arial" w:cs="Arial"/>
          <w:color w:val="000000"/>
          <w:sz w:val="20"/>
        </w:rPr>
        <w:t>, 26 F.3d 885, 890 (9th Cir. 1994).</w:t>
      </w:r>
    </w:p>
    <w:p w14:paraId="26D12114" w14:textId="77777777" w:rsidR="002D0E71" w:rsidRDefault="00000000">
      <w:pPr>
        <w:pStyle w:val="Normal13"/>
        <w:widowControl w:val="0"/>
        <w:spacing w:before="200" w:line="260" w:lineRule="atLeast"/>
        <w:jc w:val="both"/>
      </w:pPr>
      <w:bookmarkStart w:id="2136" w:name="Bookmark_para_78"/>
      <w:bookmarkEnd w:id="2136"/>
      <w:r>
        <w:rPr>
          <w:rFonts w:ascii="Arial" w:eastAsia="Arial" w:hAnsi="Arial" w:cs="Arial"/>
          <w:color w:val="000000"/>
          <w:sz w:val="20"/>
        </w:rPr>
        <w:t>No reasonable jury could find that the Brenneises made out a prima facie case of retaliation. The Brenneises claim that the district retaliated against them by providing for a BSA to perform IEP feedings in the 2007-08 IEP.</w:t>
      </w:r>
      <w:r>
        <w:rPr>
          <w:rFonts w:ascii="Arial" w:eastAsia="Arial" w:hAnsi="Arial" w:cs="Arial"/>
          <w:vertAlign w:val="superscript"/>
        </w:rPr>
        <w:footnoteReference w:customMarkFollows="1" w:id="69"/>
        <w:t>9</w:t>
      </w:r>
      <w:r>
        <w:rPr>
          <w:rFonts w:ascii="Arial" w:eastAsia="Arial" w:hAnsi="Arial" w:cs="Arial"/>
          <w:color w:val="000000"/>
          <w:sz w:val="20"/>
        </w:rPr>
        <w:t xml:space="preserve"> But no jury could find that the school district would have provided a nurse, SEHT, or SET in the 2007-08 IEP but for Mrs. Brenneise's aggressive advocacy. There was no evidence that the district's actions were connected to Mrs. Brenneise's [**51]  advocacy. As discussed above, there were many plausible explanations why the district may have failed to provide a nurse, SEHT or SET. Retaliation was not one of them.</w:t>
      </w:r>
    </w:p>
    <w:p w14:paraId="3FEEB8BC" w14:textId="77777777" w:rsidR="002D0E71" w:rsidRDefault="00000000">
      <w:pPr>
        <w:pStyle w:val="Normal13"/>
        <w:widowControl w:val="0"/>
        <w:spacing w:before="200" w:line="260" w:lineRule="atLeast"/>
        <w:jc w:val="both"/>
      </w:pPr>
      <w:bookmarkStart w:id="2138" w:name="Bookmark_para_79"/>
      <w:bookmarkEnd w:id="2138"/>
      <w:r>
        <w:rPr>
          <w:rFonts w:ascii="Arial" w:eastAsia="Arial" w:hAnsi="Arial" w:cs="Arial"/>
          <w:color w:val="000000"/>
          <w:sz w:val="20"/>
        </w:rPr>
        <w:t>Mrs. Brenneise also claims that the school district required her to "consent" to the IEP before enrolling T.B. in school. The source of this claim is Glynn's letter to Brenneise that the district remained eager for T.B. to begin school at Wangenheim and would start him immediately "if you would consent." The Brenneises claim that, in this context, "consent" means "consent to the IEP" and that Glynn was thus trying to force Mrs. Brenneise to agree to the IEP. But there is no evidence that Glynn was refusing to consider further changes to the IEP to satisfy Mrs. Brenneise. The letter itself stated that if Mrs. Brenneise was "interested in modifications to [T.B.'s] IEP which would allow him to transition more quickly, please contact my office and we will arrange." Furthermore, [**52]  even if Glynn was not prepared to modify the IEP further to allay Mrs. Brenneise's  [*474]  concerns, a jury would not be able to conclude that Mrs. Brenneise's advocacy was a but-for cause of Glynn's letter. We affirm the district court's summary judgment on the retaliation claim.</w:t>
      </w:r>
    </w:p>
    <w:p w14:paraId="4431CE2D" w14:textId="77777777" w:rsidR="002D0E71" w:rsidRDefault="00000000">
      <w:pPr>
        <w:pStyle w:val="Normal13"/>
        <w:widowControl w:val="0"/>
        <w:spacing w:before="240" w:line="260" w:lineRule="atLeast"/>
      </w:pPr>
      <w:r>
        <w:br/>
      </w:r>
      <w:r>
        <w:rPr>
          <w:rFonts w:ascii="Arial" w:eastAsia="Arial" w:hAnsi="Arial" w:cs="Arial"/>
          <w:b/>
          <w:color w:val="000000"/>
          <w:sz w:val="20"/>
        </w:rPr>
        <w:t>IV. Attorneys' Fees</w:t>
      </w:r>
    </w:p>
    <w:p w14:paraId="45BF71EF" w14:textId="77777777" w:rsidR="002D0E71" w:rsidRDefault="00000000">
      <w:pPr>
        <w:pStyle w:val="Normal13"/>
        <w:widowControl w:val="0"/>
        <w:spacing w:before="200" w:line="260" w:lineRule="atLeast"/>
        <w:jc w:val="both"/>
      </w:pPr>
      <w:bookmarkStart w:id="2139" w:name="Bookmark_para_80"/>
      <w:bookmarkEnd w:id="2139"/>
      <w:r>
        <w:rPr>
          <w:rFonts w:ascii="Arial" w:eastAsia="Arial" w:hAnsi="Arial" w:cs="Arial"/>
          <w:color w:val="000000"/>
          <w:sz w:val="20"/>
        </w:rPr>
        <w:t>The district court granted fees and costs to the Brenneises and their attorneys but awarded only a small fraction of the amount requested.</w:t>
      </w:r>
      <w:r>
        <w:rPr>
          <w:rFonts w:ascii="Arial" w:eastAsia="Arial" w:hAnsi="Arial" w:cs="Arial"/>
          <w:vertAlign w:val="superscript"/>
        </w:rPr>
        <w:footnoteReference w:customMarkFollows="1" w:id="70"/>
        <w:t>10</w:t>
      </w:r>
      <w:r>
        <w:rPr>
          <w:rFonts w:ascii="Arial" w:eastAsia="Arial" w:hAnsi="Arial" w:cs="Arial"/>
          <w:color w:val="000000"/>
          <w:sz w:val="20"/>
        </w:rPr>
        <w:t xml:space="preserve"> They submitted a request for $1,398,048.70 in fees and costs for their success in the due process hearing and on appeal to the district court. The district court awarded only $55,433.91.</w:t>
      </w:r>
    </w:p>
    <w:p w14:paraId="5C82B2A4" w14:textId="77777777" w:rsidR="002D0E71" w:rsidRDefault="00000000">
      <w:pPr>
        <w:pStyle w:val="Normal13"/>
        <w:widowControl w:val="0"/>
        <w:spacing w:before="200" w:line="260" w:lineRule="atLeast"/>
        <w:jc w:val="both"/>
      </w:pPr>
      <w:bookmarkStart w:id="2141" w:name="Bookmark_para_81"/>
      <w:bookmarkStart w:id="2142" w:name="Bookmark_I5HM9PWB2N1PP20020000400"/>
      <w:bookmarkStart w:id="2143" w:name="Bookmark_LNHNREFclscc12_8"/>
      <w:bookmarkEnd w:id="2141"/>
      <w:bookmarkEnd w:id="2142"/>
      <w:bookmarkEnd w:id="2143"/>
      <w:r>
        <w:rPr>
          <w:rFonts w:ascii="Arial" w:eastAsia="Arial" w:hAnsi="Arial" w:cs="Arial"/>
          <w:color w:val="000000"/>
          <w:sz w:val="20"/>
        </w:rPr>
        <w:t xml:space="preserve">When reviewing a court's award of fees for abuse of discretion, we "review the underlying factual determinations for clear error and review de novo any legal analysis relevant to the fee determination." </w:t>
      </w:r>
      <w:bookmarkStart w:id="2144" w:name="Bookmark_I5HM9PWB2N1PP20010000400"/>
      <w:bookmarkEnd w:id="2144"/>
      <w:r>
        <w:rPr>
          <w:rFonts w:ascii="Arial" w:eastAsia="Arial" w:hAnsi="Arial" w:cs="Arial"/>
          <w:i/>
          <w:color w:val="000000"/>
          <w:sz w:val="20"/>
        </w:rPr>
        <w:t>Fischel v. Equitable Life Assurance Soc'y of U.S.</w:t>
      </w:r>
      <w:r>
        <w:rPr>
          <w:rFonts w:ascii="Arial" w:eastAsia="Arial" w:hAnsi="Arial" w:cs="Arial"/>
          <w:color w:val="000000"/>
          <w:sz w:val="20"/>
        </w:rPr>
        <w:t>, 307 F.3d 997, 1005 (9th Cir. 2002).</w:t>
      </w:r>
    </w:p>
    <w:p w14:paraId="1D0C2F19" w14:textId="77777777" w:rsidR="002D0E71" w:rsidRDefault="00000000">
      <w:pPr>
        <w:pStyle w:val="Normal13"/>
        <w:widowControl w:val="0"/>
        <w:spacing w:before="200" w:line="260" w:lineRule="atLeast"/>
        <w:jc w:val="both"/>
      </w:pPr>
      <w:bookmarkStart w:id="2145" w:name="Bookmark_para_82"/>
      <w:bookmarkStart w:id="2146" w:name="Bookmark_LNHNREFclscc13_7"/>
      <w:bookmarkEnd w:id="2145"/>
      <w:bookmarkEnd w:id="2146"/>
      <w:r>
        <w:rPr>
          <w:rFonts w:ascii="Arial" w:eastAsia="Arial" w:hAnsi="Arial" w:cs="Arial"/>
          <w:color w:val="000000"/>
          <w:sz w:val="20"/>
        </w:rPr>
        <w:t xml:space="preserve">The IDEA permits a court "in its discretion [to] award reasonable attorneys' fees" to a prevailing party. 20 U.S.C. § 1415(i)(3)(B)(i). The ALJ ruled that the Brenneises had prevailed on Issues 10, 14, and 15 in the due process hearing. The district court held that the Brenneises were a prevailing party under the IDEA. It rejected the district's claim that the Brenneises had secured only technical or </w:t>
      </w:r>
      <w:r>
        <w:rPr>
          <w:rFonts w:ascii="Arial" w:eastAsia="Arial" w:hAnsi="Arial" w:cs="Arial"/>
          <w:i/>
          <w:color w:val="000000"/>
          <w:sz w:val="20"/>
        </w:rPr>
        <w:t>de minimis</w:t>
      </w:r>
      <w:r>
        <w:rPr>
          <w:rFonts w:ascii="Arial" w:eastAsia="Arial" w:hAnsi="Arial" w:cs="Arial"/>
          <w:color w:val="000000"/>
          <w:sz w:val="20"/>
        </w:rPr>
        <w:t xml:space="preserve"> relief and held: "[T]he ALJ found, and this Court agreed, that the proposed August and December IEPs failed to specify a </w:t>
      </w:r>
      <w:r>
        <w:rPr>
          <w:rFonts w:ascii="Arial" w:eastAsia="Arial" w:hAnsi="Arial" w:cs="Arial"/>
          <w:i/>
          <w:color w:val="000000"/>
          <w:sz w:val="20"/>
        </w:rPr>
        <w:t>qualified</w:t>
      </w:r>
      <w:r>
        <w:rPr>
          <w:rFonts w:ascii="Arial" w:eastAsia="Arial" w:hAnsi="Arial" w:cs="Arial"/>
          <w:color w:val="000000"/>
          <w:sz w:val="20"/>
        </w:rPr>
        <w:t xml:space="preserve"> person to assist T.B. with his G-tube feedings. This is an important issue of health and safety."</w:t>
      </w:r>
    </w:p>
    <w:p w14:paraId="77778CAC" w14:textId="77777777" w:rsidR="002D0E71" w:rsidRDefault="00000000">
      <w:pPr>
        <w:pStyle w:val="Normal13"/>
        <w:widowControl w:val="0"/>
        <w:spacing w:before="200" w:line="260" w:lineRule="atLeast"/>
        <w:jc w:val="both"/>
      </w:pPr>
      <w:bookmarkStart w:id="2147" w:name="Bookmark_para_83"/>
      <w:bookmarkEnd w:id="2147"/>
      <w:r>
        <w:rPr>
          <w:rFonts w:ascii="Arial" w:eastAsia="Arial" w:hAnsi="Arial" w:cs="Arial"/>
          <w:color w:val="000000"/>
          <w:sz w:val="20"/>
        </w:rPr>
        <w:t>The limited amount of the award was primarily the result of the court's decision to deny all fees and costs for work performed on and [**54]  after May 4, 2007, the date the Brenneises rejected the district's settlement offer of $150,000 per year. The court identified two independent grounds to support that decision. First, it concluded that the IDEA barred an award for work performed after that date because the relief that the Brenneises won in the due process hearing was "not more favorable to the parents than the offer of settlement," and the parents were not "substantially justified" in rejecting the settlement. 20 U.S.C. § 1415(i)(3)(D), (E). Second, and independently, the district court exercised its discretion to cut off fees on the ground that any fees and costs incurred after that date were not "reasonable."</w:t>
      </w:r>
    </w:p>
    <w:p w14:paraId="405CA456" w14:textId="77777777" w:rsidR="002D0E71" w:rsidRDefault="00000000">
      <w:pPr>
        <w:pStyle w:val="Normal13"/>
        <w:widowControl w:val="0"/>
        <w:spacing w:before="200" w:line="260" w:lineRule="atLeast"/>
        <w:jc w:val="both"/>
      </w:pPr>
      <w:bookmarkStart w:id="2148" w:name="Bookmark_para_84"/>
      <w:bookmarkEnd w:id="2148"/>
      <w:r>
        <w:rPr>
          <w:rFonts w:ascii="Arial" w:eastAsia="Arial" w:hAnsi="Arial" w:cs="Arial"/>
          <w:color w:val="000000"/>
          <w:sz w:val="20"/>
        </w:rPr>
        <w:t>We reject both of these grounds. In addition, we conclude that the district court was mistaken about another element affecting the fee award, specifically the nature of the settlement agreement governing the attorneys' fees for the compliance complaint. Moreover, the district court did not sufficiently explain the basis of its calculations for the portion of fees that were awarded. Our decision does not mean that the Brenneises' attorneys are necessarily entitled to a substantially larger award, but the reasoning behind the previous determination [**55]  cannot be sustained.  [*475]  We therefore vacate the fee award and remand for further proceedings.</w:t>
      </w:r>
    </w:p>
    <w:p w14:paraId="3D1948D7" w14:textId="77777777" w:rsidR="002D0E71" w:rsidRDefault="00000000">
      <w:pPr>
        <w:pStyle w:val="Normal13"/>
        <w:widowControl w:val="0"/>
        <w:spacing w:before="240" w:line="260" w:lineRule="atLeast"/>
      </w:pPr>
      <w:r>
        <w:br/>
      </w:r>
      <w:r>
        <w:rPr>
          <w:rFonts w:ascii="Arial" w:eastAsia="Arial" w:hAnsi="Arial" w:cs="Arial"/>
          <w:i/>
          <w:color w:val="000000"/>
          <w:sz w:val="20"/>
        </w:rPr>
        <w:t>A. The IDEA statutory bar</w:t>
      </w:r>
    </w:p>
    <w:p w14:paraId="0E0C3288" w14:textId="77777777" w:rsidR="002D0E71" w:rsidRDefault="00000000">
      <w:pPr>
        <w:pStyle w:val="Normal13"/>
        <w:widowControl w:val="0"/>
        <w:spacing w:before="200" w:line="260" w:lineRule="atLeast"/>
        <w:jc w:val="both"/>
      </w:pPr>
      <w:bookmarkStart w:id="2149" w:name="Bookmark_para_85"/>
      <w:bookmarkEnd w:id="2149"/>
      <w:r>
        <w:rPr>
          <w:rFonts w:ascii="Arial" w:eastAsia="Arial" w:hAnsi="Arial" w:cs="Arial"/>
          <w:color w:val="000000"/>
          <w:sz w:val="20"/>
        </w:rPr>
        <w:t>The critical statutory provisions are 20 U.S.C. § 1415(i)(3)(D) and (E). They provide, in relevant part:</w:t>
      </w:r>
    </w:p>
    <w:p w14:paraId="04FB3765" w14:textId="77777777" w:rsidR="002D0E71" w:rsidRDefault="00000000">
      <w:pPr>
        <w:pStyle w:val="Normal13"/>
        <w:widowControl w:val="0"/>
        <w:spacing w:line="260" w:lineRule="atLeast"/>
        <w:ind w:left="400"/>
        <w:jc w:val="both"/>
      </w:pPr>
      <w:bookmarkStart w:id="2150" w:name="Bookmark_para_86"/>
      <w:bookmarkStart w:id="2151" w:name="Bookmark_LNHNREFclscc14_5"/>
      <w:bookmarkEnd w:id="2150"/>
      <w:bookmarkEnd w:id="2151"/>
      <w:r>
        <w:rPr>
          <w:rFonts w:ascii="Arial" w:eastAsia="Arial" w:hAnsi="Arial" w:cs="Arial"/>
          <w:color w:val="000000"/>
          <w:sz w:val="20"/>
        </w:rPr>
        <w:t>(D) Prohibition of attorneys' fees and related costs for certain services</w:t>
      </w:r>
    </w:p>
    <w:p w14:paraId="3488C2B5" w14:textId="77777777" w:rsidR="002D0E71" w:rsidRDefault="00000000">
      <w:pPr>
        <w:pStyle w:val="Normal13"/>
        <w:widowControl w:val="0"/>
        <w:spacing w:line="260" w:lineRule="atLeast"/>
        <w:ind w:left="800"/>
        <w:jc w:val="both"/>
      </w:pPr>
      <w:bookmarkStart w:id="2152" w:name="Bookmark_para_87"/>
      <w:bookmarkEnd w:id="2152"/>
      <w:r>
        <w:rPr>
          <w:rFonts w:ascii="Arial" w:eastAsia="Arial" w:hAnsi="Arial" w:cs="Arial"/>
          <w:color w:val="000000"/>
          <w:sz w:val="20"/>
        </w:rPr>
        <w:t>(i) In general</w:t>
      </w:r>
    </w:p>
    <w:p w14:paraId="7DA26940" w14:textId="77777777" w:rsidR="002D0E71" w:rsidRDefault="00000000">
      <w:pPr>
        <w:pStyle w:val="Normal13"/>
        <w:widowControl w:val="0"/>
        <w:spacing w:line="260" w:lineRule="atLeast"/>
        <w:ind w:left="800"/>
        <w:jc w:val="both"/>
      </w:pPr>
      <w:bookmarkStart w:id="2153" w:name="Bookmark_para_88"/>
      <w:bookmarkEnd w:id="2153"/>
      <w:r>
        <w:rPr>
          <w:rFonts w:ascii="Arial" w:eastAsia="Arial" w:hAnsi="Arial" w:cs="Arial"/>
          <w:color w:val="000000"/>
          <w:sz w:val="20"/>
        </w:rPr>
        <w:t>Attorneys' fees may not be awarded and related costs may not be reimbursed in any action or proceeding under this section for services performed subsequent to the time of a written offer of settlement to a parent if—</w:t>
      </w:r>
    </w:p>
    <w:p w14:paraId="5AACB1BC" w14:textId="77777777" w:rsidR="002D0E71" w:rsidRDefault="00000000">
      <w:pPr>
        <w:pStyle w:val="Normal13"/>
        <w:widowControl w:val="0"/>
        <w:spacing w:line="260" w:lineRule="atLeast"/>
        <w:ind w:left="1200"/>
        <w:jc w:val="both"/>
      </w:pPr>
      <w:bookmarkStart w:id="2154" w:name="Bookmark_para_89"/>
      <w:bookmarkEnd w:id="2154"/>
      <w:r>
        <w:rPr>
          <w:rFonts w:ascii="Arial" w:eastAsia="Arial" w:hAnsi="Arial" w:cs="Arial"/>
          <w:color w:val="000000"/>
          <w:sz w:val="20"/>
        </w:rPr>
        <w:t>(I) the offer is made within the time prescribed by Rule 68 of the Federal Rules of Civil Procedure or, in the case of an administrative proceeding, at any time more than 10 days before the proceeding begins;</w:t>
      </w:r>
    </w:p>
    <w:p w14:paraId="2E2B724F" w14:textId="77777777" w:rsidR="002D0E71" w:rsidRDefault="00000000">
      <w:pPr>
        <w:pStyle w:val="Normal13"/>
        <w:widowControl w:val="0"/>
        <w:spacing w:line="260" w:lineRule="atLeast"/>
        <w:ind w:left="1200"/>
        <w:jc w:val="both"/>
      </w:pPr>
      <w:bookmarkStart w:id="2155" w:name="Bookmark_para_90"/>
      <w:bookmarkEnd w:id="2155"/>
      <w:r>
        <w:rPr>
          <w:rFonts w:ascii="Arial" w:eastAsia="Arial" w:hAnsi="Arial" w:cs="Arial"/>
          <w:color w:val="000000"/>
          <w:sz w:val="20"/>
        </w:rPr>
        <w:t>(II) the offer is not accepted within 10 days; and</w:t>
      </w:r>
    </w:p>
    <w:p w14:paraId="53CD0196" w14:textId="77777777" w:rsidR="002D0E71" w:rsidRDefault="00000000">
      <w:pPr>
        <w:pStyle w:val="Normal13"/>
        <w:widowControl w:val="0"/>
        <w:spacing w:line="260" w:lineRule="atLeast"/>
        <w:ind w:left="1200"/>
        <w:jc w:val="both"/>
      </w:pPr>
      <w:bookmarkStart w:id="2156" w:name="Bookmark_para_91"/>
      <w:bookmarkEnd w:id="2156"/>
      <w:r>
        <w:rPr>
          <w:rFonts w:ascii="Arial" w:eastAsia="Arial" w:hAnsi="Arial" w:cs="Arial"/>
          <w:color w:val="000000"/>
          <w:sz w:val="20"/>
        </w:rPr>
        <w:t>(III) the court or administrative hearing officer finds that the relief finally obtained by the parents is not more favorable to the parents than the offer of settlement.</w:t>
      </w:r>
    </w:p>
    <w:p w14:paraId="7AC2BCDE" w14:textId="77777777" w:rsidR="002D0E71" w:rsidRDefault="00000000">
      <w:pPr>
        <w:pStyle w:val="Normal13"/>
        <w:widowControl w:val="0"/>
        <w:spacing w:line="260" w:lineRule="atLeast"/>
        <w:ind w:left="1200"/>
        <w:jc w:val="both"/>
      </w:pPr>
      <w:bookmarkStart w:id="2157" w:name="Bookmark_para_92"/>
      <w:bookmarkEnd w:id="2157"/>
      <w:r>
        <w:rPr>
          <w:rFonts w:ascii="Arial" w:eastAsia="Arial" w:hAnsi="Arial" w:cs="Arial"/>
          <w:color w:val="000000"/>
          <w:sz w:val="20"/>
        </w:rPr>
        <w:t>. . . .</w:t>
      </w:r>
    </w:p>
    <w:p w14:paraId="1BD487A3" w14:textId="77777777" w:rsidR="002D0E71" w:rsidRDefault="00000000">
      <w:pPr>
        <w:pStyle w:val="Normal13"/>
        <w:widowControl w:val="0"/>
        <w:spacing w:line="260" w:lineRule="atLeast"/>
        <w:ind w:left="400"/>
        <w:jc w:val="both"/>
      </w:pPr>
      <w:bookmarkStart w:id="2158" w:name="Bookmark_LNHNREFclscc15_4"/>
      <w:bookmarkEnd w:id="2158"/>
      <w:r>
        <w:rPr>
          <w:rFonts w:ascii="Arial" w:eastAsia="Arial" w:hAnsi="Arial" w:cs="Arial"/>
          <w:color w:val="000000"/>
          <w:sz w:val="20"/>
        </w:rPr>
        <w:t>(E) Exception to prohibition on attorneys' fees and related costs</w:t>
      </w:r>
    </w:p>
    <w:p w14:paraId="43643CC6" w14:textId="77777777" w:rsidR="002D0E71" w:rsidRDefault="00000000">
      <w:pPr>
        <w:pStyle w:val="Normal13"/>
        <w:widowControl w:val="0"/>
        <w:spacing w:line="260" w:lineRule="atLeast"/>
        <w:ind w:left="800"/>
        <w:jc w:val="both"/>
      </w:pPr>
      <w:bookmarkStart w:id="2159" w:name="Bookmark_para_93"/>
      <w:bookmarkEnd w:id="2159"/>
      <w:r>
        <w:rPr>
          <w:rFonts w:ascii="Arial" w:eastAsia="Arial" w:hAnsi="Arial" w:cs="Arial"/>
          <w:color w:val="000000"/>
          <w:sz w:val="20"/>
        </w:rPr>
        <w:t>Notwithstanding subparagraph (D), an award of attorneys' fees and related costs may be made to a parent who is the prevailing party and who was substantially justified in rejecting the settlement offer.</w:t>
      </w:r>
    </w:p>
    <w:p w14:paraId="777C597C" w14:textId="77777777" w:rsidR="002D0E71" w:rsidRDefault="00000000">
      <w:pPr>
        <w:pStyle w:val="Normal13"/>
        <w:widowControl w:val="0"/>
        <w:spacing w:before="200" w:line="260" w:lineRule="atLeast"/>
        <w:jc w:val="both"/>
      </w:pPr>
      <w:bookmarkStart w:id="2160" w:name="Bookmark_para_94"/>
      <w:bookmarkEnd w:id="2160"/>
      <w:r>
        <w:rPr>
          <w:rFonts w:ascii="Arial" w:eastAsia="Arial" w:hAnsi="Arial" w:cs="Arial"/>
          <w:color w:val="000000"/>
          <w:sz w:val="20"/>
        </w:rPr>
        <w:t>Our primary focus is on subsections (D)(i)(III) and (E). In denying fees incurred [**56]  for work on and after May 4, 2007, the district court concluded that "the relief finally obtained by the parents [wa]s not more favorable to the parents than the offer of settlement" and that the parents were not "substantially justified" in rejecting the offer.</w:t>
      </w:r>
    </w:p>
    <w:p w14:paraId="7881D6EA" w14:textId="77777777" w:rsidR="002D0E71" w:rsidRDefault="00000000">
      <w:pPr>
        <w:pStyle w:val="Normal13"/>
        <w:widowControl w:val="0"/>
        <w:spacing w:before="200" w:line="260" w:lineRule="atLeast"/>
        <w:jc w:val="both"/>
      </w:pPr>
      <w:bookmarkStart w:id="2161" w:name="Bookmark_para_95"/>
      <w:bookmarkStart w:id="2162" w:name="Bookmark_I5HM9PWB2N1PP20040000400"/>
      <w:bookmarkEnd w:id="2161"/>
      <w:bookmarkEnd w:id="2162"/>
      <w:r>
        <w:rPr>
          <w:rFonts w:ascii="Arial" w:eastAsia="Arial" w:hAnsi="Arial" w:cs="Arial"/>
          <w:color w:val="000000"/>
          <w:sz w:val="20"/>
        </w:rPr>
        <w:t xml:space="preserve">As an initial matter, we must set out our standard of review. We have not yet clearly established the standard that a reviewing court should apply when determining whether the relief obtained in a due process hearing under the IDEA is more favorable than that offered under a settlement or whether a parent was substantially justified in rejecting a settlement offer. </w:t>
      </w:r>
      <w:r>
        <w:rPr>
          <w:rFonts w:ascii="Arial" w:eastAsia="Arial" w:hAnsi="Arial" w:cs="Arial"/>
          <w:i/>
          <w:color w:val="000000"/>
          <w:sz w:val="20"/>
        </w:rPr>
        <w:t xml:space="preserve">See, e.g., </w:t>
      </w:r>
      <w:bookmarkStart w:id="2163" w:name="Bookmark_I5HM9PWB2N1PP20030000400"/>
      <w:bookmarkEnd w:id="2163"/>
      <w:r>
        <w:rPr>
          <w:rFonts w:ascii="Arial" w:eastAsia="Arial" w:hAnsi="Arial" w:cs="Arial"/>
          <w:i/>
          <w:color w:val="000000"/>
          <w:sz w:val="20"/>
        </w:rPr>
        <w:t>Capistrano Unified Sch. Dist. v. Wartenberg ex rel. Wartenberg</w:t>
      </w:r>
      <w:r>
        <w:rPr>
          <w:rFonts w:ascii="Arial" w:eastAsia="Arial" w:hAnsi="Arial" w:cs="Arial"/>
          <w:color w:val="000000"/>
          <w:sz w:val="20"/>
        </w:rPr>
        <w:t>, 59 F.3d 884, 897 (9th Cir. 1995) (analyzing whether the forerunner of § 1415(i)(3)(D) applied in an attorneys' fee dispute, and holding simply that "[the parents] won a more favorable decision"). But we can draw guidance from Federal Rule of Civil Procedure 68, which is specifically mentioned in § 1415(i)(3)(D)(i)(I). Rule 68 provides that</w:t>
      </w:r>
    </w:p>
    <w:p w14:paraId="281ECC5D" w14:textId="77777777" w:rsidR="002D0E71" w:rsidRDefault="00000000">
      <w:pPr>
        <w:pStyle w:val="Normal13"/>
        <w:widowControl w:val="0"/>
        <w:spacing w:before="200" w:line="260" w:lineRule="atLeast"/>
        <w:ind w:left="400"/>
        <w:jc w:val="both"/>
      </w:pPr>
      <w:bookmarkStart w:id="2164" w:name="Bookmark_para_96"/>
      <w:bookmarkStart w:id="2165" w:name="Bookmark_LNHNREFclscc16_4"/>
      <w:bookmarkEnd w:id="2164"/>
      <w:bookmarkEnd w:id="2165"/>
      <w:r>
        <w:rPr>
          <w:rFonts w:ascii="Arial" w:eastAsia="Arial" w:hAnsi="Arial" w:cs="Arial"/>
          <w:color w:val="000000"/>
          <w:sz w:val="20"/>
        </w:rPr>
        <w:t>At least 14 days before the date set for trial, a party defending against a claim may serve on an opposing party an offer to allow judgment on specified terms, with the costs then accrued. . . . If the judgment that the offeree finally obtains is not more favorable than the unaccepted offer, the offeree must pay the costs incurred [**57]  after the offer was made.</w:t>
      </w:r>
      <w:r>
        <w:rPr>
          <w:rFonts w:ascii="Arial" w:eastAsia="Arial" w:hAnsi="Arial" w:cs="Arial"/>
          <w:vertAlign w:val="superscript"/>
        </w:rPr>
        <w:footnoteReference w:customMarkFollows="1" w:id="71"/>
        <w:t>11</w:t>
      </w:r>
    </w:p>
    <w:p w14:paraId="4092E147" w14:textId="77777777" w:rsidR="002D0E71" w:rsidRDefault="00000000">
      <w:pPr>
        <w:pStyle w:val="Normal13"/>
        <w:widowControl w:val="0"/>
        <w:spacing w:before="200" w:line="260" w:lineRule="atLeast"/>
        <w:jc w:val="both"/>
      </w:pPr>
      <w:bookmarkStart w:id="2167" w:name="Bookmark_para_97"/>
      <w:bookmarkStart w:id="2168" w:name="Bookmark_I5HM9PWB28T4H30010000400"/>
      <w:bookmarkStart w:id="2169" w:name="Bookmark_I5HM9PWB28T4H30030000400"/>
      <w:bookmarkEnd w:id="2167"/>
      <w:bookmarkEnd w:id="2168"/>
      <w:bookmarkEnd w:id="2169"/>
      <w:r>
        <w:rPr>
          <w:rFonts w:ascii="Arial" w:eastAsia="Arial" w:hAnsi="Arial" w:cs="Arial"/>
          <w:color w:val="000000"/>
          <w:sz w:val="20"/>
        </w:rPr>
        <w:t xml:space="preserve">Rule 68 is thus clearly animated by the same principles as § 1415(i)(3)(D): if the offeree protracts the litigation by rejecting  [*476]  a favorable offer, he risks suffering a financial penalty. </w:t>
      </w:r>
      <w:bookmarkStart w:id="2170" w:name="Bookmark_I5HM9PWB28T4H30050000400"/>
      <w:bookmarkEnd w:id="2170"/>
      <w:r>
        <w:rPr>
          <w:rFonts w:ascii="Arial" w:eastAsia="Arial" w:hAnsi="Arial" w:cs="Arial"/>
          <w:i/>
          <w:color w:val="000000"/>
          <w:sz w:val="20"/>
        </w:rPr>
        <w:t xml:space="preserve">See </w:t>
      </w:r>
      <w:bookmarkStart w:id="2171" w:name="Bookmark_I5HM9PWB2N1PP20050000400"/>
      <w:bookmarkEnd w:id="2171"/>
      <w:r>
        <w:rPr>
          <w:rFonts w:ascii="Arial" w:eastAsia="Arial" w:hAnsi="Arial" w:cs="Arial"/>
          <w:i/>
          <w:color w:val="000000"/>
          <w:sz w:val="20"/>
        </w:rPr>
        <w:t>Marek v. Chesny</w:t>
      </w:r>
      <w:r>
        <w:rPr>
          <w:rFonts w:ascii="Arial" w:eastAsia="Arial" w:hAnsi="Arial" w:cs="Arial"/>
          <w:color w:val="000000"/>
          <w:sz w:val="20"/>
        </w:rPr>
        <w:t xml:space="preserve">, 473 U.S. 1, 5, 105 S. Ct. 3012, 87 L. Ed. 2d 1 (1985) ("The plain purpose of Rule 68 is to encourage settlement and avoid litigation."). Although the language of the IDEA is broader than that of Rule 68—the IDEA cuts off "attorneys' fees and related costs," while Rule 68 speaks of cutting off "costs"—the Supreme Court has held that costs for Rule 68 purposes may include attorneys' fees. </w:t>
      </w:r>
      <w:bookmarkStart w:id="2172" w:name="Bookmark_I5HM9PWB28T4H30020000400"/>
      <w:bookmarkEnd w:id="2172"/>
      <w:r>
        <w:rPr>
          <w:rFonts w:ascii="Arial" w:eastAsia="Arial" w:hAnsi="Arial" w:cs="Arial"/>
          <w:i/>
          <w:color w:val="000000"/>
          <w:sz w:val="20"/>
        </w:rPr>
        <w:t>Marek</w:t>
      </w:r>
      <w:r>
        <w:rPr>
          <w:rFonts w:ascii="Arial" w:eastAsia="Arial" w:hAnsi="Arial" w:cs="Arial"/>
          <w:color w:val="000000"/>
          <w:sz w:val="20"/>
        </w:rPr>
        <w:t xml:space="preserve">, 473 U.S. at 9-10. </w:t>
      </w:r>
      <w:bookmarkStart w:id="2173" w:name="Bookmark_I5HM9PWB28T4H30050000400_2"/>
      <w:bookmarkEnd w:id="2173"/>
      <w:r>
        <w:rPr>
          <w:rFonts w:ascii="Arial" w:eastAsia="Arial" w:hAnsi="Arial" w:cs="Arial"/>
          <w:color w:val="000000"/>
          <w:sz w:val="20"/>
        </w:rPr>
        <w:t xml:space="preserve">As a district court has noted, the provisions of § 1415(i)(3)(D) "essentially incorporate most of the elements of Rule 68 and expand their application to all offers of settlement in IDEA cases." </w:t>
      </w:r>
      <w:bookmarkStart w:id="2174" w:name="Bookmark_I5HM9PWB28T4H30040000400"/>
      <w:bookmarkEnd w:id="2174"/>
      <w:r>
        <w:rPr>
          <w:rFonts w:ascii="Arial" w:eastAsia="Arial" w:hAnsi="Arial" w:cs="Arial"/>
          <w:i/>
          <w:color w:val="000000"/>
          <w:sz w:val="20"/>
        </w:rPr>
        <w:t>B.L. ex rel. Lax v. District of Columbia</w:t>
      </w:r>
      <w:r>
        <w:rPr>
          <w:rFonts w:ascii="Arial" w:eastAsia="Arial" w:hAnsi="Arial" w:cs="Arial"/>
          <w:color w:val="000000"/>
          <w:sz w:val="20"/>
        </w:rPr>
        <w:t>, 517 F. Supp. 2d 57, 60 (D.D.C. 2007).</w:t>
      </w:r>
    </w:p>
    <w:p w14:paraId="5DD9444C" w14:textId="77777777" w:rsidR="002D0E71" w:rsidRDefault="00000000">
      <w:pPr>
        <w:pStyle w:val="Normal13"/>
        <w:widowControl w:val="0"/>
        <w:spacing w:before="200" w:line="260" w:lineRule="atLeast"/>
        <w:jc w:val="both"/>
      </w:pPr>
      <w:bookmarkStart w:id="2175" w:name="Bookmark_para_98"/>
      <w:bookmarkStart w:id="2176" w:name="Bookmark_I4GYDY0W97F000W193T0016P"/>
      <w:bookmarkStart w:id="2177" w:name="Bookmark_I5HM9PWB2D6N970020000400"/>
      <w:bookmarkStart w:id="2178" w:name="Bookmark_I5HM9PWB2D6N980010000400"/>
      <w:bookmarkEnd w:id="2175"/>
      <w:bookmarkEnd w:id="2176"/>
      <w:bookmarkEnd w:id="2177"/>
      <w:bookmarkEnd w:id="2178"/>
      <w:r>
        <w:rPr>
          <w:rFonts w:ascii="Arial" w:eastAsia="Arial" w:hAnsi="Arial" w:cs="Arial"/>
          <w:color w:val="000000"/>
          <w:sz w:val="20"/>
        </w:rPr>
        <w:t>We therefore think that our jurisprudence concerning Rule 68 provides the correct standard for reviewing [**58]  a district court's decision on the comparative favorability of a settlement offer and a final award under the IDEA. "</w:t>
      </w:r>
      <w:bookmarkStart w:id="2179" w:name="Bookmark_LNHNREFclscc17_4"/>
      <w:bookmarkEnd w:id="2179"/>
      <w:r>
        <w:rPr>
          <w:rFonts w:ascii="Arial" w:eastAsia="Arial" w:hAnsi="Arial" w:cs="Arial"/>
          <w:color w:val="000000"/>
          <w:sz w:val="20"/>
        </w:rPr>
        <w:t xml:space="preserve">We review a district court's interpretation of Rule 68 de novo. To the extent the district court's Rule 68 analysis turns on disputed factual findings, we review for clear error." </w:t>
      </w:r>
      <w:bookmarkStart w:id="2180" w:name="Bookmark_I5HM9PWB2D6N970010000400"/>
      <w:bookmarkEnd w:id="2180"/>
      <w:r>
        <w:rPr>
          <w:rFonts w:ascii="Arial" w:eastAsia="Arial" w:hAnsi="Arial" w:cs="Arial"/>
          <w:i/>
          <w:color w:val="000000"/>
          <w:sz w:val="20"/>
        </w:rPr>
        <w:t>Champion Produce, Inc. v. Ruby Robinson Co.</w:t>
      </w:r>
      <w:r>
        <w:rPr>
          <w:rFonts w:ascii="Arial" w:eastAsia="Arial" w:hAnsi="Arial" w:cs="Arial"/>
          <w:color w:val="000000"/>
          <w:sz w:val="20"/>
        </w:rPr>
        <w:t xml:space="preserve">, 342 F.3d 1016, 1020 (9th Cir. 2003) (citing </w:t>
      </w:r>
      <w:bookmarkStart w:id="2181" w:name="Bookmark_I5HM9PWB2D6N970030000400"/>
      <w:bookmarkEnd w:id="2181"/>
      <w:r>
        <w:rPr>
          <w:rFonts w:ascii="Arial" w:eastAsia="Arial" w:hAnsi="Arial" w:cs="Arial"/>
          <w:i/>
          <w:color w:val="000000"/>
          <w:sz w:val="20"/>
        </w:rPr>
        <w:t>Simon v. Intercontinental Transp. (ICT) B.V.</w:t>
      </w:r>
      <w:r>
        <w:rPr>
          <w:rFonts w:ascii="Arial" w:eastAsia="Arial" w:hAnsi="Arial" w:cs="Arial"/>
          <w:color w:val="000000"/>
          <w:sz w:val="20"/>
        </w:rPr>
        <w:t xml:space="preserve">, 882 F.2d 1435, 1439 (9th Cir. 1989) ("[W]e review </w:t>
      </w:r>
      <w:r>
        <w:rPr>
          <w:rFonts w:ascii="Arial" w:eastAsia="Arial" w:hAnsi="Arial" w:cs="Arial"/>
          <w:i/>
          <w:color w:val="000000"/>
          <w:sz w:val="20"/>
        </w:rPr>
        <w:t>de novo</w:t>
      </w:r>
      <w:r>
        <w:rPr>
          <w:rFonts w:ascii="Arial" w:eastAsia="Arial" w:hAnsi="Arial" w:cs="Arial"/>
          <w:color w:val="000000"/>
          <w:sz w:val="20"/>
        </w:rPr>
        <w:t xml:space="preserve"> whether Simon's offer of judgment, MTC's rejection of the offer, and the judgment following the trial satisfied the requirements of Rule 68.")). In this case, then, we will review the questions of relative favorability and substantial justification de novo, while reviewing the factual findings supporting the district court's decision for clear error. </w:t>
      </w:r>
      <w:r>
        <w:rPr>
          <w:rFonts w:ascii="Arial" w:eastAsia="Arial" w:hAnsi="Arial" w:cs="Arial"/>
          <w:i/>
          <w:color w:val="000000"/>
          <w:sz w:val="20"/>
        </w:rPr>
        <w:t xml:space="preserve">See </w:t>
      </w:r>
      <w:bookmarkStart w:id="2182" w:name="Bookmark_I5HM9PWB2D6N970050000400"/>
      <w:bookmarkEnd w:id="2182"/>
      <w:r>
        <w:rPr>
          <w:rFonts w:ascii="Arial" w:eastAsia="Arial" w:hAnsi="Arial" w:cs="Arial"/>
          <w:i/>
          <w:color w:val="000000"/>
          <w:sz w:val="20"/>
        </w:rPr>
        <w:t>Anchorage Sch. Dist. v. M.P.</w:t>
      </w:r>
      <w:r>
        <w:rPr>
          <w:rFonts w:ascii="Arial" w:eastAsia="Arial" w:hAnsi="Arial" w:cs="Arial"/>
          <w:color w:val="000000"/>
          <w:sz w:val="20"/>
        </w:rPr>
        <w:t xml:space="preserve">, 689 F.3d 1047, 1053 (9th Cir. 2012) (holding that mixed questions of law and fact are reviewed de novo unless the mixed question is primarily factual); </w:t>
      </w:r>
      <w:bookmarkStart w:id="2183" w:name="Bookmark_I5HM9PWB2D6N980020000400"/>
      <w:bookmarkEnd w:id="2183"/>
      <w:r>
        <w:rPr>
          <w:rFonts w:ascii="Arial" w:eastAsia="Arial" w:hAnsi="Arial" w:cs="Arial"/>
          <w:i/>
          <w:color w:val="000000"/>
          <w:sz w:val="20"/>
        </w:rPr>
        <w:t>Gregory K. v. Longview Sch. Dist.</w:t>
      </w:r>
      <w:r>
        <w:rPr>
          <w:rFonts w:ascii="Arial" w:eastAsia="Arial" w:hAnsi="Arial" w:cs="Arial"/>
          <w:color w:val="000000"/>
          <w:sz w:val="20"/>
        </w:rPr>
        <w:t>, 811 F.2d 1307, 1310 (9th Cir. 1987) (same).</w:t>
      </w:r>
    </w:p>
    <w:p w14:paraId="731DF9D6" w14:textId="77777777" w:rsidR="002D0E71" w:rsidRDefault="00000000">
      <w:pPr>
        <w:pStyle w:val="Normal13"/>
        <w:widowControl w:val="0"/>
        <w:spacing w:before="200" w:line="260" w:lineRule="atLeast"/>
        <w:jc w:val="both"/>
      </w:pPr>
      <w:bookmarkStart w:id="2184" w:name="Bookmark_para_99"/>
      <w:bookmarkEnd w:id="2184"/>
      <w:r>
        <w:rPr>
          <w:rFonts w:ascii="Arial" w:eastAsia="Arial" w:hAnsi="Arial" w:cs="Arial"/>
          <w:color w:val="000000"/>
          <w:sz w:val="20"/>
        </w:rPr>
        <w:t xml:space="preserve">Turning to the merits, it should be recognized that </w:t>
      </w:r>
      <w:bookmarkStart w:id="2185" w:name="Bookmark_LNHNREFclscc18_4"/>
      <w:bookmarkEnd w:id="2185"/>
      <w:r>
        <w:rPr>
          <w:rFonts w:ascii="Arial" w:eastAsia="Arial" w:hAnsi="Arial" w:cs="Arial"/>
          <w:color w:val="000000"/>
          <w:sz w:val="20"/>
        </w:rPr>
        <w:t xml:space="preserve">the statute specifies that the comparison of the settlement offer versus the result of litigation must be made from the perspective of the parents. To deny attorneys' fees under this provision, the court must find that the relief obtained from the ALJ was "not more favorable </w:t>
      </w:r>
      <w:r>
        <w:rPr>
          <w:rFonts w:ascii="Arial" w:eastAsia="Arial" w:hAnsi="Arial" w:cs="Arial"/>
          <w:i/>
          <w:color w:val="000000"/>
          <w:sz w:val="20"/>
        </w:rPr>
        <w:t>to the parents</w:t>
      </w:r>
      <w:r>
        <w:rPr>
          <w:rFonts w:ascii="Arial" w:eastAsia="Arial" w:hAnsi="Arial" w:cs="Arial"/>
          <w:color w:val="000000"/>
          <w:sz w:val="20"/>
        </w:rPr>
        <w:t xml:space="preserve"> than the offer of settlement." 20 U.S.C. § 1415(i)(3)(D)(i)(III) (emphasis added). From the perspective [**59]  of the school district in this case, it is fair to infer that the ALJ's decision was perceived as a big victory, not just because the district prevailed on most issues, but because the IEP as modified by the ALJ's decision would have cost the district substantially less money than the offer made to the Brenneises. But that does not necessarily mean that the settlement offer was as good as the ALJ's decision from the point of view of the parents, which is the perspective that counts under the statute.</w:t>
      </w:r>
    </w:p>
    <w:p w14:paraId="60068BF7" w14:textId="77777777" w:rsidR="002D0E71" w:rsidRDefault="00000000">
      <w:pPr>
        <w:pStyle w:val="Normal13"/>
        <w:widowControl w:val="0"/>
        <w:spacing w:before="200" w:line="260" w:lineRule="atLeast"/>
        <w:jc w:val="both"/>
      </w:pPr>
      <w:bookmarkStart w:id="2186" w:name="Bookmark_para_100"/>
      <w:bookmarkEnd w:id="2186"/>
      <w:r>
        <w:rPr>
          <w:rFonts w:ascii="Arial" w:eastAsia="Arial" w:hAnsi="Arial" w:cs="Arial"/>
          <w:color w:val="000000"/>
          <w:sz w:val="20"/>
        </w:rPr>
        <w:t>Similarly, for this purpose the comparison is between the result obtained from the litigation (in this instance, the ALJ's decision) and the settlement offer made by the district. The settlement offer relied upon by the district court in denying attorneys' fees was the offer to pay $150,000 per year in exchange for the parents taking responsibility for T.B.'s education themselves and relieving the district of that responsibility. It does not matter that the district may have been willing to provide, and likely would have preferred, the arrangement offered in the IEP. The denial of fees by the district court based on the parents' refusal to accept a settlement offer must be based on the [**60]  terms of  [*477]  that offer, not on some other offer that could have been made.</w:t>
      </w:r>
      <w:r>
        <w:rPr>
          <w:rFonts w:ascii="Arial" w:eastAsia="Arial" w:hAnsi="Arial" w:cs="Arial"/>
          <w:vertAlign w:val="superscript"/>
        </w:rPr>
        <w:footnoteReference w:customMarkFollows="1" w:id="72"/>
        <w:t>12</w:t>
      </w:r>
    </w:p>
    <w:p w14:paraId="76345B11" w14:textId="77777777" w:rsidR="002D0E71" w:rsidRDefault="00000000">
      <w:pPr>
        <w:pStyle w:val="Normal13"/>
        <w:widowControl w:val="0"/>
        <w:spacing w:before="200" w:line="260" w:lineRule="atLeast"/>
        <w:jc w:val="both"/>
      </w:pPr>
      <w:bookmarkStart w:id="2188" w:name="Bookmark_para_101"/>
      <w:bookmarkEnd w:id="2188"/>
      <w:r>
        <w:rPr>
          <w:rFonts w:ascii="Arial" w:eastAsia="Arial" w:hAnsi="Arial" w:cs="Arial"/>
          <w:color w:val="000000"/>
          <w:sz w:val="20"/>
        </w:rPr>
        <w:t>The school district's proposal would have required the parents to arrange, on their own, a complete education schedule for T.B. Paragraph 2 stated that "[p]arents take full and complete responsibility for [T.B.'s] education and entire educational program." Paragraph 3 provided that "[p]arents, and each of them, agree to enroll [T.B.] in an educational program or programs that are in full compliance with, and completely satisfy, California compulsory education laws and requirements." Paragraph 8 provided that "[p]arents represent and warrant that they can provide educational services through nonpublic [**61]  schools, nonpublic agencies and/or other service providers that are appropriate for [T.B.'s] educational needs within the meaning of the IDEA for the amount of money that the District has agreed to provide for the time period covered by this Agreement and that they do not foresee that [T.B.'s] educational needs will change as to warrant any modification of this Agreement, including termination, during that period of time." Paragraph 20 provided that any dispute under the Agreement was to be resolved by binding arbitration, with each party to bear its own fees and costs.</w:t>
      </w:r>
    </w:p>
    <w:p w14:paraId="5196A14C" w14:textId="77777777" w:rsidR="002D0E71" w:rsidRDefault="00000000">
      <w:pPr>
        <w:pStyle w:val="Normal13"/>
        <w:widowControl w:val="0"/>
        <w:spacing w:before="200" w:line="260" w:lineRule="atLeast"/>
        <w:jc w:val="both"/>
      </w:pPr>
      <w:bookmarkStart w:id="2189" w:name="Bookmark_para_102"/>
      <w:bookmarkEnd w:id="2189"/>
      <w:r>
        <w:rPr>
          <w:rFonts w:ascii="Arial" w:eastAsia="Arial" w:hAnsi="Arial" w:cs="Arial"/>
          <w:color w:val="000000"/>
          <w:sz w:val="20"/>
        </w:rPr>
        <w:t>The district court gave five reasons for the conclusion that the settlement offer was more favorable than the ultimate relief the Brenneises obtained. First, it stated that the Brenneises' asserted preference for a public school setting was "an after-the-fact rationalization." In the view of the district court, they were willing to accept money even if it meant T.B. would have remained in garage school, but they simply wanted more money than the district offered. Second, "Mrs. Brenneise preferred to keep T.B. at home unless she obtained every item on her long list of demands." Third, the district's monetary offer was [**62]  "exceptionally generous." Fourth, the offer covered the next five years, the remainder of T.B.'s status as a minor, and would have "put to rest all disputes for the next five years." Fifth, each of the district's offers included reasonable attorneys' fees and costs.</w:t>
      </w:r>
    </w:p>
    <w:p w14:paraId="1AB6BFD9" w14:textId="77777777" w:rsidR="002D0E71" w:rsidRDefault="00000000">
      <w:pPr>
        <w:pStyle w:val="Normal13"/>
        <w:widowControl w:val="0"/>
        <w:spacing w:before="200" w:line="260" w:lineRule="atLeast"/>
        <w:jc w:val="both"/>
      </w:pPr>
      <w:bookmarkStart w:id="2190" w:name="Bookmark_para_103"/>
      <w:bookmarkEnd w:id="2190"/>
      <w:r>
        <w:rPr>
          <w:rFonts w:ascii="Arial" w:eastAsia="Arial" w:hAnsi="Arial" w:cs="Arial"/>
          <w:color w:val="000000"/>
          <w:sz w:val="20"/>
        </w:rPr>
        <w:t>We disagree with the district court's conclusion. For a number of reasons, we conclude that the settlement offer made by the district was not more favorable from the perspective of the parents, such that the statutory bar should not have applied.</w:t>
      </w:r>
    </w:p>
    <w:p w14:paraId="6FEA9623" w14:textId="77777777" w:rsidR="002D0E71" w:rsidRDefault="00000000">
      <w:pPr>
        <w:pStyle w:val="Normal13"/>
        <w:widowControl w:val="0"/>
        <w:spacing w:before="120" w:line="260" w:lineRule="atLeast"/>
      </w:pPr>
      <w:r>
        <w:rPr>
          <w:rFonts w:ascii="Arial" w:eastAsia="Arial" w:hAnsi="Arial" w:cs="Arial"/>
          <w:color w:val="000000"/>
          <w:sz w:val="20"/>
        </w:rPr>
        <w:t>1. Attorneys' fees and costs up to the settlement</w:t>
      </w:r>
    </w:p>
    <w:p w14:paraId="158EA04C" w14:textId="77777777" w:rsidR="002D0E71" w:rsidRDefault="00000000">
      <w:pPr>
        <w:pStyle w:val="Normal13"/>
        <w:widowControl w:val="0"/>
        <w:spacing w:before="200" w:line="260" w:lineRule="atLeast"/>
        <w:jc w:val="both"/>
      </w:pPr>
      <w:bookmarkStart w:id="2191" w:name="Bookmark_para_104"/>
      <w:bookmarkEnd w:id="2191"/>
      <w:r>
        <w:rPr>
          <w:rFonts w:ascii="Arial" w:eastAsia="Arial" w:hAnsi="Arial" w:cs="Arial"/>
          <w:color w:val="000000"/>
          <w:sz w:val="20"/>
        </w:rPr>
        <w:t>We start with the final reason cited by the district court for reaching the opposite conclusion, the payment of the Brenneises' attorneys' fees and costs up to that point. The offer made by the district did not provide for the payment by the district of those fees and costs. The district court's finding to the contrary was clearly erroneous.</w:t>
      </w:r>
    </w:p>
    <w:p w14:paraId="1BA84686" w14:textId="77777777" w:rsidR="002D0E71" w:rsidRDefault="00000000">
      <w:pPr>
        <w:pStyle w:val="Normal13"/>
        <w:widowControl w:val="0"/>
        <w:spacing w:before="200" w:line="260" w:lineRule="atLeast"/>
        <w:jc w:val="both"/>
      </w:pPr>
      <w:bookmarkStart w:id="2192" w:name="Bookmark_para_105"/>
      <w:bookmarkEnd w:id="2192"/>
      <w:r>
        <w:rPr>
          <w:rFonts w:ascii="Arial" w:eastAsia="Arial" w:hAnsi="Arial" w:cs="Arial"/>
          <w:color w:val="000000"/>
          <w:sz w:val="20"/>
        </w:rPr>
        <w:t>The settlement agreement proposed by the district in May 2007 explicitly provided in Paragraph 18 that "[a]t no time shall this Agreement be construed to confer prevailing party status on either party. Except as otherwise provided herein, each party to this Agreement shall bear his/her/its  [*478]  own costs, [**63]  expenses, and attorneys' fees, whether taxable or otherwise, connected with the disputes resolved by this Agreement."</w:t>
      </w:r>
    </w:p>
    <w:p w14:paraId="21A63E06" w14:textId="77777777" w:rsidR="002D0E71" w:rsidRDefault="00000000">
      <w:pPr>
        <w:pStyle w:val="Normal13"/>
        <w:widowControl w:val="0"/>
        <w:spacing w:before="200" w:line="260" w:lineRule="atLeast"/>
        <w:jc w:val="both"/>
      </w:pPr>
      <w:bookmarkStart w:id="2193" w:name="Bookmark_para_106"/>
      <w:bookmarkEnd w:id="2193"/>
      <w:r>
        <w:rPr>
          <w:rFonts w:ascii="Arial" w:eastAsia="Arial" w:hAnsi="Arial" w:cs="Arial"/>
          <w:color w:val="000000"/>
          <w:sz w:val="20"/>
        </w:rPr>
        <w:t>The cover letter from the district's attorney, dated March 13, 2007, that accompanied an earlier version of the proposed settlement agreement said that it was understood that the parties had agreed that the district would pay reasonable attorneys' fees and that the district was "open to including" payment of the fees. However, that letter did not state either how much would be paid or how that amount would be determined. Moreover, the proposed settlement agreement enclosed with that letter contained language identical to the language quoted in the preceding paragraph from the May settlement agreement, and that language did not provide for the payment of those fees. Obviously, an agreement could have been drafted to provide for the payment of fees and costs, but the document sent to the Brenneises said something very different. The cover letter that accompanied the May settlement agreement made no mention of attorneys' fees.</w:t>
      </w:r>
    </w:p>
    <w:p w14:paraId="01A640A1" w14:textId="77777777" w:rsidR="002D0E71" w:rsidRDefault="00000000">
      <w:pPr>
        <w:pStyle w:val="Normal13"/>
        <w:widowControl w:val="0"/>
        <w:spacing w:before="200" w:line="260" w:lineRule="atLeast"/>
        <w:jc w:val="both"/>
      </w:pPr>
      <w:bookmarkStart w:id="2194" w:name="Bookmark_para_107"/>
      <w:bookmarkEnd w:id="2194"/>
      <w:r>
        <w:rPr>
          <w:rFonts w:ascii="Arial" w:eastAsia="Arial" w:hAnsi="Arial" w:cs="Arial"/>
          <w:color w:val="000000"/>
          <w:sz w:val="20"/>
        </w:rPr>
        <w:t xml:space="preserve">In its brief to us, the district contended that its offer "also included reasonable attorneys' fees assuming the parties could agree upon an amount." [**64]  It is always true, of course, that parties could agree to something different, but that is not what the proposed agreement itself actually said. Instead, the agreement proposed by the district explicitly stated that each party would bear its own fees and costs. The agreement contained an integration clause stating that it contained the entire agreement. </w:t>
      </w:r>
      <w:bookmarkStart w:id="2195" w:name="Bookmark_I5HM9PWB2D6N980050000400"/>
      <w:bookmarkEnd w:id="2195"/>
      <w:r>
        <w:rPr>
          <w:rFonts w:ascii="Arial" w:eastAsia="Arial" w:hAnsi="Arial" w:cs="Arial"/>
          <w:color w:val="000000"/>
          <w:sz w:val="20"/>
        </w:rPr>
        <w:t xml:space="preserve">The Brenneises should not have been required to assume differently in evaluating the offer. Nor should we assume something different in evaluating whether the district's offer was more favorable than the relief obtained. </w:t>
      </w:r>
      <w:r>
        <w:rPr>
          <w:rFonts w:ascii="Arial" w:eastAsia="Arial" w:hAnsi="Arial" w:cs="Arial"/>
          <w:i/>
          <w:color w:val="000000"/>
          <w:sz w:val="20"/>
        </w:rPr>
        <w:t xml:space="preserve">See </w:t>
      </w:r>
      <w:bookmarkStart w:id="2196" w:name="Bookmark_I5HM9PWB2D6N980040000400"/>
      <w:bookmarkEnd w:id="2196"/>
      <w:r>
        <w:rPr>
          <w:rFonts w:ascii="Arial" w:eastAsia="Arial" w:hAnsi="Arial" w:cs="Arial"/>
          <w:i/>
          <w:color w:val="000000"/>
          <w:sz w:val="20"/>
        </w:rPr>
        <w:t>Holland v. Roeser</w:t>
      </w:r>
      <w:r>
        <w:rPr>
          <w:rFonts w:ascii="Arial" w:eastAsia="Arial" w:hAnsi="Arial" w:cs="Arial"/>
          <w:color w:val="000000"/>
          <w:sz w:val="20"/>
        </w:rPr>
        <w:t xml:space="preserve">, 37 F.3d 501, 504 (9th Cir. 1994) ("[W]e have held that </w:t>
      </w:r>
      <w:bookmarkStart w:id="2197" w:name="Bookmark_LNHNREFclscc19_2"/>
      <w:bookmarkEnd w:id="2197"/>
      <w:r>
        <w:rPr>
          <w:rFonts w:ascii="Arial" w:eastAsia="Arial" w:hAnsi="Arial" w:cs="Arial"/>
          <w:color w:val="000000"/>
          <w:sz w:val="20"/>
        </w:rPr>
        <w:t xml:space="preserve">courts should apply the usual rules of contract interpretation to offers of judgment, and these rules dictate that ambiguities be construed against the drafter." (citation omitted)); </w:t>
      </w:r>
      <w:bookmarkStart w:id="2198" w:name="Bookmark_I5HM9PWB2HM65C0010000400"/>
      <w:bookmarkEnd w:id="2198"/>
      <w:r>
        <w:rPr>
          <w:rFonts w:ascii="Arial" w:eastAsia="Arial" w:hAnsi="Arial" w:cs="Arial"/>
          <w:i/>
          <w:color w:val="000000"/>
          <w:sz w:val="20"/>
        </w:rPr>
        <w:t>Erdman v. Cochise Cnty., Ariz.</w:t>
      </w:r>
      <w:r>
        <w:rPr>
          <w:rFonts w:ascii="Arial" w:eastAsia="Arial" w:hAnsi="Arial" w:cs="Arial"/>
          <w:color w:val="000000"/>
          <w:sz w:val="20"/>
        </w:rPr>
        <w:t xml:space="preserve">, 926 F.2d 877, 880 (9th Cir. 1991) (same); </w:t>
      </w:r>
      <w:bookmarkStart w:id="2199" w:name="Bookmark_I5HM9PWB2HM65C0030000400"/>
      <w:bookmarkEnd w:id="2199"/>
      <w:r>
        <w:rPr>
          <w:rFonts w:ascii="Arial" w:eastAsia="Arial" w:hAnsi="Arial" w:cs="Arial"/>
          <w:i/>
          <w:color w:val="000000"/>
          <w:sz w:val="20"/>
        </w:rPr>
        <w:t>Webb v. James</w:t>
      </w:r>
      <w:r>
        <w:rPr>
          <w:rFonts w:ascii="Arial" w:eastAsia="Arial" w:hAnsi="Arial" w:cs="Arial"/>
          <w:color w:val="000000"/>
          <w:sz w:val="20"/>
        </w:rPr>
        <w:t>, 147 F.3d 617, 623 (7th Cir. 1998) ("Because Rule 68 puts plaintiffs at their peril whether or not they accept the offer, the defendant must make clear whether the offer is inclusive of fees when the underlying statute provides fees for the prevailing party. As with costs, the plaintiff should not be left in the position of guessing what a court will later hold the offer means.").</w:t>
      </w:r>
    </w:p>
    <w:p w14:paraId="620A08CC" w14:textId="77777777" w:rsidR="002D0E71" w:rsidRDefault="00000000">
      <w:pPr>
        <w:pStyle w:val="Normal13"/>
        <w:widowControl w:val="0"/>
        <w:spacing w:before="200" w:line="260" w:lineRule="atLeast"/>
        <w:jc w:val="both"/>
      </w:pPr>
      <w:bookmarkStart w:id="2200" w:name="Bookmark_para_108"/>
      <w:bookmarkEnd w:id="2200"/>
      <w:r>
        <w:rPr>
          <w:rFonts w:ascii="Arial" w:eastAsia="Arial" w:hAnsi="Arial" w:cs="Arial"/>
          <w:color w:val="000000"/>
          <w:sz w:val="20"/>
        </w:rPr>
        <w:t>By the terms of the proposed agreement, the Brenneises would not have [**65]  been able to seek an award for fees and costs already incurred, including the activity for which the district court later awarded $55,433.91. By declining the offer, the Brenneises retained the right to seek an award of fees and costs. In that way, the offer was less favorable than the relief obtained.</w:t>
      </w:r>
    </w:p>
    <w:p w14:paraId="36006FAD" w14:textId="77777777" w:rsidR="002D0E71" w:rsidRDefault="00000000">
      <w:pPr>
        <w:pStyle w:val="Normal13"/>
        <w:widowControl w:val="0"/>
        <w:spacing w:before="120" w:line="260" w:lineRule="atLeast"/>
      </w:pPr>
      <w:r>
        <w:rPr>
          <w:rFonts w:ascii="Arial" w:eastAsia="Arial" w:hAnsi="Arial" w:cs="Arial"/>
          <w:color w:val="000000"/>
          <w:sz w:val="20"/>
        </w:rPr>
        <w:t>2. The duration of the agreement and the "stay put" provision</w:t>
      </w:r>
    </w:p>
    <w:p w14:paraId="49C8FE90" w14:textId="77777777" w:rsidR="002D0E71" w:rsidRDefault="00000000">
      <w:pPr>
        <w:pStyle w:val="Normal13"/>
        <w:widowControl w:val="0"/>
        <w:spacing w:before="200" w:line="260" w:lineRule="atLeast"/>
        <w:jc w:val="both"/>
      </w:pPr>
      <w:bookmarkStart w:id="2201" w:name="Bookmark_para_109"/>
      <w:bookmarkEnd w:id="2201"/>
      <w:r>
        <w:rPr>
          <w:rFonts w:ascii="Arial" w:eastAsia="Arial" w:hAnsi="Arial" w:cs="Arial"/>
          <w:color w:val="000000"/>
          <w:sz w:val="20"/>
        </w:rPr>
        <w:t>The fourth reason cited by the district court in support of its conclusion was that the proposed settlement would "put to rest all disputes for the next five years." Unfortunately, that was not necessarily true. The agreement explicitly provided that, after a specified period, perhaps as short as one more academic year, T.B.'s parents could re-enroll him into a district school.</w:t>
      </w:r>
      <w:r>
        <w:rPr>
          <w:rFonts w:ascii="Arial" w:eastAsia="Arial" w:hAnsi="Arial" w:cs="Arial"/>
          <w:vertAlign w:val="superscript"/>
        </w:rPr>
        <w:footnoteReference w:customMarkFollows="1" w:id="73"/>
        <w:t>13</w:t>
      </w:r>
    </w:p>
    <w:p w14:paraId="3EDAB56D" w14:textId="77777777" w:rsidR="002D0E71" w:rsidRDefault="00000000">
      <w:pPr>
        <w:pStyle w:val="Normal13"/>
        <w:widowControl w:val="0"/>
        <w:spacing w:before="200" w:line="260" w:lineRule="atLeast"/>
        <w:jc w:val="both"/>
      </w:pPr>
      <w:bookmarkStart w:id="2203" w:name="Bookmark_para_110"/>
      <w:bookmarkEnd w:id="2203"/>
      <w:r>
        <w:rPr>
          <w:rFonts w:ascii="Arial" w:eastAsia="Arial" w:hAnsi="Arial" w:cs="Arial"/>
          <w:color w:val="000000"/>
          <w:sz w:val="20"/>
        </w:rPr>
        <w:t> [*479]  That was a provision added to the May settlement offer by the school district to make the offer more attractive to the parents. To the extent that the agreement limited the options available to T.B. for a longer period, that did not necessarily make it more favorable than the ALJ's decision from the parents' perspective.</w:t>
      </w:r>
    </w:p>
    <w:p w14:paraId="676EEBA4" w14:textId="77777777" w:rsidR="002D0E71" w:rsidRDefault="00000000">
      <w:pPr>
        <w:pStyle w:val="Normal13"/>
        <w:widowControl w:val="0"/>
        <w:spacing w:before="200" w:line="260" w:lineRule="atLeast"/>
        <w:jc w:val="both"/>
      </w:pPr>
      <w:bookmarkStart w:id="2204" w:name="Bookmark_para_111"/>
      <w:bookmarkEnd w:id="2204"/>
      <w:r>
        <w:rPr>
          <w:rFonts w:ascii="Arial" w:eastAsia="Arial" w:hAnsi="Arial" w:cs="Arial"/>
          <w:color w:val="000000"/>
          <w:sz w:val="20"/>
        </w:rPr>
        <w:t xml:space="preserve">There were many reasons why the parents may have wanted the option to re-enroll T.B. in a district school at some point in the future. Over time, his condition and needs could change, for better or worse. Recognizing that the needs of a student with disabilities change over time, an IEP is customarily prepared on an annual basis. </w:t>
      </w:r>
      <w:r>
        <w:rPr>
          <w:rFonts w:ascii="Arial" w:eastAsia="Arial" w:hAnsi="Arial" w:cs="Arial"/>
          <w:i/>
          <w:color w:val="000000"/>
          <w:sz w:val="20"/>
        </w:rPr>
        <w:t>See</w:t>
      </w:r>
      <w:r>
        <w:rPr>
          <w:rFonts w:ascii="Arial" w:eastAsia="Arial" w:hAnsi="Arial" w:cs="Arial"/>
          <w:color w:val="000000"/>
          <w:sz w:val="20"/>
        </w:rPr>
        <w:t xml:space="preserve"> 20 U.S.C. § 1414(d)(4)(A)(i)—(ii). If T.B.'s condition worsened or if the parents determined that they were not able to provide T.B. with a sufficient program, even with an annual $150,000 payment from the school district, it is understandable that they would want to retain the option to return responsibility for T.B.'s education back to the school district, where that responsibility customarily rests. </w:t>
      </w:r>
      <w:bookmarkStart w:id="2205" w:name="Bookmark_LNHNREFclscc20_2"/>
      <w:bookmarkEnd w:id="2205"/>
      <w:r>
        <w:rPr>
          <w:rFonts w:ascii="Arial" w:eastAsia="Arial" w:hAnsi="Arial" w:cs="Arial"/>
          <w:color w:val="000000"/>
          <w:sz w:val="20"/>
        </w:rPr>
        <w:t xml:space="preserve">The IDEA and California law both impose responsibility on local school districts to provide a free appropriate public education [**67]  for children with disabilities. 20 U.S.C. § 1400(d)(1)(A); Cal. Educ. Code § 56000 </w:t>
      </w:r>
      <w:r>
        <w:rPr>
          <w:rFonts w:ascii="Arial" w:eastAsia="Arial" w:hAnsi="Arial" w:cs="Arial"/>
          <w:i/>
          <w:color w:val="000000"/>
          <w:sz w:val="20"/>
        </w:rPr>
        <w:t>et seq.</w:t>
      </w:r>
      <w:r>
        <w:rPr>
          <w:rFonts w:ascii="Arial" w:eastAsia="Arial" w:hAnsi="Arial" w:cs="Arial"/>
          <w:color w:val="000000"/>
          <w:sz w:val="20"/>
        </w:rPr>
        <w:t xml:space="preserve"> From the perspective of the parents, therefore, it would not have been an advantage for the agreement to extend as long as the district court presumed that it would.</w:t>
      </w:r>
    </w:p>
    <w:p w14:paraId="2552D2A3" w14:textId="77777777" w:rsidR="002D0E71" w:rsidRDefault="00000000">
      <w:pPr>
        <w:pStyle w:val="Normal13"/>
        <w:widowControl w:val="0"/>
        <w:spacing w:before="200" w:line="260" w:lineRule="atLeast"/>
        <w:jc w:val="both"/>
      </w:pPr>
      <w:bookmarkStart w:id="2206" w:name="Bookmark_para_112"/>
      <w:bookmarkEnd w:id="2206"/>
      <w:r>
        <w:rPr>
          <w:rFonts w:ascii="Arial" w:eastAsia="Arial" w:hAnsi="Arial" w:cs="Arial"/>
          <w:color w:val="000000"/>
          <w:sz w:val="20"/>
        </w:rPr>
        <w:t>Moreover, under the proposed settlement agreement, the proposed terms for any return to school by T.B. would have been unfavorable for the Brenneises. If the parents elected to return T.B. to a district school, an IEP would have to be prepared and an effort made to reach agreement about the program to be provided to T.B. The potential for disagreement at that point is obvious.</w:t>
      </w:r>
    </w:p>
    <w:p w14:paraId="75678BCE" w14:textId="77777777" w:rsidR="002D0E71" w:rsidRDefault="00000000">
      <w:pPr>
        <w:pStyle w:val="Normal13"/>
        <w:widowControl w:val="0"/>
        <w:spacing w:before="200" w:line="260" w:lineRule="atLeast"/>
        <w:jc w:val="both"/>
      </w:pPr>
      <w:bookmarkStart w:id="2207" w:name="Bookmark_para_113"/>
      <w:bookmarkEnd w:id="2207"/>
      <w:r>
        <w:rPr>
          <w:rFonts w:ascii="Arial" w:eastAsia="Arial" w:hAnsi="Arial" w:cs="Arial"/>
          <w:color w:val="000000"/>
          <w:sz w:val="20"/>
        </w:rPr>
        <w:t>The offer provided that "[s]hould Parent dispute the District's offered program, the Parties also agree [T.B.'s] stay put placement will be the District's offered program pending resolution of the dispute." In other words, if T.B. proposed to return to a district school, but he or his parents were unhappy with the program offered by the district, he would be forced to accept whatever program the school district proposed while the parties agreed on how to settle the issue or went to arbitration. T.B. would not have the option of continuing his prior placement in the meantime, no matter how unsuitable the district's program [**68]  was or how much better his previous educational program was.</w:t>
      </w:r>
    </w:p>
    <w:p w14:paraId="206B60D0" w14:textId="77777777" w:rsidR="002D0E71" w:rsidRDefault="00000000">
      <w:pPr>
        <w:pStyle w:val="Normal13"/>
        <w:widowControl w:val="0"/>
        <w:spacing w:before="200" w:line="260" w:lineRule="atLeast"/>
        <w:jc w:val="both"/>
      </w:pPr>
      <w:bookmarkStart w:id="2208" w:name="Bookmark_para_114"/>
      <w:bookmarkStart w:id="2209" w:name="Bookmark_I5HM9PWB2SF87C0010000400"/>
      <w:bookmarkStart w:id="2210" w:name="Bookmark_I5HM9PWB2SF87C0030000400"/>
      <w:bookmarkStart w:id="2211" w:name="Bookmark_LNHNREFclscc21_2"/>
      <w:bookmarkEnd w:id="2208"/>
      <w:bookmarkEnd w:id="2209"/>
      <w:bookmarkEnd w:id="2210"/>
      <w:bookmarkEnd w:id="2211"/>
      <w:r>
        <w:rPr>
          <w:rFonts w:ascii="Arial" w:eastAsia="Arial" w:hAnsi="Arial" w:cs="Arial"/>
          <w:color w:val="000000"/>
          <w:sz w:val="20"/>
        </w:rPr>
        <w:t xml:space="preserve">Stay-put provisions "direct[] that a disabled child 'shall remain in [his or her] then current educational placement' pending completion of any review proceedings, unless the parents and state or local educational agencies otherwise agree." </w:t>
      </w:r>
      <w:bookmarkStart w:id="2212" w:name="Bookmark_I5HM9PWB2HM65C0050000400"/>
      <w:bookmarkEnd w:id="2212"/>
      <w:r>
        <w:rPr>
          <w:rFonts w:ascii="Arial" w:eastAsia="Arial" w:hAnsi="Arial" w:cs="Arial"/>
          <w:i/>
          <w:color w:val="000000"/>
          <w:sz w:val="20"/>
        </w:rPr>
        <w:t>Honig</w:t>
      </w:r>
      <w:r>
        <w:rPr>
          <w:rFonts w:ascii="Arial" w:eastAsia="Arial" w:hAnsi="Arial" w:cs="Arial"/>
          <w:color w:val="000000"/>
          <w:sz w:val="20"/>
        </w:rPr>
        <w:t xml:space="preserve">, 484 U.S. at 308 (second alteration in original) (quoting 20 U.S.C. § 1415(e), the predecessor of the current stay-put provision, § 1415(j)). This is an important right for parents and students: the school district cannot change a placement over the parents' objection until review proceedings are completed. </w:t>
      </w:r>
      <w:bookmarkStart w:id="2213" w:name="Bookmark_I5HM9PWB2SF87C0020000400"/>
      <w:bookmarkEnd w:id="2213"/>
      <w:r>
        <w:rPr>
          <w:rFonts w:ascii="Arial" w:eastAsia="Arial" w:hAnsi="Arial" w:cs="Arial"/>
          <w:i/>
          <w:color w:val="000000"/>
          <w:sz w:val="20"/>
        </w:rPr>
        <w:t>Id.</w:t>
      </w:r>
      <w:r>
        <w:rPr>
          <w:rFonts w:ascii="Arial" w:eastAsia="Arial" w:hAnsi="Arial" w:cs="Arial"/>
          <w:color w:val="000000"/>
          <w:sz w:val="20"/>
        </w:rPr>
        <w:t xml:space="preserve"> at 324. Under the so-called stay-put provision in the settlement offer, however, T.B. could not continue his prior program if he objected to what the district proposed for him. It would not, in fact, have allowed T.B. to "stay put" in what he already had.</w:t>
      </w:r>
    </w:p>
    <w:p w14:paraId="526DD285" w14:textId="77777777" w:rsidR="002D0E71" w:rsidRDefault="00000000">
      <w:pPr>
        <w:pStyle w:val="Normal13"/>
        <w:widowControl w:val="0"/>
        <w:spacing w:before="200" w:line="260" w:lineRule="atLeast"/>
        <w:jc w:val="both"/>
      </w:pPr>
      <w:bookmarkStart w:id="2214" w:name="Bookmark_para_115"/>
      <w:bookmarkEnd w:id="2214"/>
      <w:r>
        <w:rPr>
          <w:rFonts w:ascii="Arial" w:eastAsia="Arial" w:hAnsi="Arial" w:cs="Arial"/>
          <w:color w:val="000000"/>
          <w:sz w:val="20"/>
        </w:rPr>
        <w:t> [*480]  The Brenneises were justified in being wary of such a provision. Their dissatisfaction with T.B.'s education had led them to withdraw him from school in 2003, and in 2006 he had lasted only five days at Coronado Academy before that school asked him to leave. The Brenneises had recently prevailed against the district in a compliance complaint related to his brief attendance at Coronado. [**69]  The stay-put provision contained in the district's settlement offer gave the district leverage it would not have had otherwise. If T.B. asked to return to a district school, he would have been required to accept whatever the district offered, for at least some period of time. That fact alone might well have deterred T.B. and his family from ever seeking to return to public school, meaning that the district's offer of the option to permit the re-enrollment of T.B. after a year or two may not, in real terms, have been much of an option at all.</w:t>
      </w:r>
    </w:p>
    <w:p w14:paraId="5A3212AE" w14:textId="77777777" w:rsidR="002D0E71" w:rsidRDefault="00000000">
      <w:pPr>
        <w:pStyle w:val="Normal13"/>
        <w:widowControl w:val="0"/>
        <w:spacing w:before="200" w:line="260" w:lineRule="atLeast"/>
        <w:jc w:val="both"/>
      </w:pPr>
      <w:bookmarkStart w:id="2215" w:name="Bookmark_para_116"/>
      <w:bookmarkEnd w:id="2215"/>
      <w:r>
        <w:rPr>
          <w:rFonts w:ascii="Arial" w:eastAsia="Arial" w:hAnsi="Arial" w:cs="Arial"/>
          <w:color w:val="000000"/>
          <w:sz w:val="20"/>
        </w:rPr>
        <w:t>In light of the term allowing T.B. to enroll in a district school after one or two years, it does not appear that the district court's finding that the settlement agreement would have put to rest all disputes for the next five years was entirely correct. To the extent that the agreement might have made it difficult for the parents to return T.B. to public school, the duration of the agreement and the stay put provision were not more favorable from the parents' perspective.</w:t>
      </w:r>
    </w:p>
    <w:p w14:paraId="4E03794C" w14:textId="77777777" w:rsidR="002D0E71" w:rsidRDefault="00000000">
      <w:pPr>
        <w:pStyle w:val="Normal13"/>
        <w:widowControl w:val="0"/>
        <w:spacing w:before="120" w:line="260" w:lineRule="atLeast"/>
      </w:pPr>
      <w:r>
        <w:rPr>
          <w:rFonts w:ascii="Arial" w:eastAsia="Arial" w:hAnsi="Arial" w:cs="Arial"/>
          <w:color w:val="000000"/>
          <w:sz w:val="20"/>
        </w:rPr>
        <w:t>3. The cash settlement amount</w:t>
      </w:r>
    </w:p>
    <w:p w14:paraId="76513B83" w14:textId="77777777" w:rsidR="002D0E71" w:rsidRDefault="00000000">
      <w:pPr>
        <w:pStyle w:val="Normal13"/>
        <w:widowControl w:val="0"/>
        <w:spacing w:before="200" w:line="260" w:lineRule="atLeast"/>
        <w:jc w:val="both"/>
      </w:pPr>
      <w:bookmarkStart w:id="2216" w:name="Bookmark_para_117"/>
      <w:bookmarkEnd w:id="2216"/>
      <w:r>
        <w:rPr>
          <w:rFonts w:ascii="Arial" w:eastAsia="Arial" w:hAnsi="Arial" w:cs="Arial"/>
          <w:color w:val="000000"/>
          <w:sz w:val="20"/>
        </w:rPr>
        <w:t>The first three reasons identified by the district court to support its conclusion that the settlement offer was more favorable for the parents than [**70]  the ultimate relief they obtained do not appear to us to amount in fact to three separate reasons. Indeed, the first two—that the parents' expressed preference for a public school was an "after-the-fact rationalization" and that Mrs. Brenneise actually preferred to keep T.B. at home—amount to the same observation. The district court reasoned, in essence, that because the parents had no genuine interest in a district placement, certain unfavorable terms of the offer—such as requiring the parents to assume sole responsibility for T.B.'s education and correspondingly absolving the district of responsibility—did not in fact make the offer unfavorable. Under that view, if the parents actually desired complete separation from the district, then these terms should not be considered unfavorable aspects of the offer.</w:t>
      </w:r>
    </w:p>
    <w:p w14:paraId="256507CD" w14:textId="77777777" w:rsidR="002D0E71" w:rsidRDefault="00000000">
      <w:pPr>
        <w:pStyle w:val="Normal13"/>
        <w:widowControl w:val="0"/>
        <w:spacing w:before="200" w:line="260" w:lineRule="atLeast"/>
        <w:jc w:val="both"/>
      </w:pPr>
      <w:bookmarkStart w:id="2217" w:name="Bookmark_para_118"/>
      <w:bookmarkEnd w:id="2217"/>
      <w:r>
        <w:rPr>
          <w:rFonts w:ascii="Arial" w:eastAsia="Arial" w:hAnsi="Arial" w:cs="Arial"/>
          <w:color w:val="000000"/>
          <w:sz w:val="20"/>
        </w:rPr>
        <w:t>We do not accept this line of reasoning. The record does not support the proposition that the parents were interested only in a cash-out alternative and not also in a district-administered placement in a district school. Nor does it support the proposition that the parents pursued their IDEA complaint solely to obtain leverage over the district in an attempt to exact a larger cash [**71]  settlement. The record shows the parents pursued a district-administered FAPE through the ALJ proceedings because they were genuinely interested in a district placement. We do not discount the evidence that the parents were also interested in a cash-out option, and in fact may at some time have preferred it, at least in light of the drawn out disagreements with the district. However, they clearly continued to value the alternative of placing T.B. in a district school. Indeed, although the parents proposed a cash-out settlement, their settlement offer also would have given them the annual option to re-enroll in the district schools. Furthermore, when the parents moved the family to Minnesota, they placed T.B. in a public school, where he appears to have thrived. Accordingly, we conclude that the district court erroneously assumed that the cash settlement offer was more favorable because the Brenneises preferred  [*481]  to educate T.B. privately as opposed to sending him to public school.</w:t>
      </w:r>
    </w:p>
    <w:p w14:paraId="2FE91D03" w14:textId="77777777" w:rsidR="002D0E71" w:rsidRDefault="00000000">
      <w:pPr>
        <w:pStyle w:val="Normal13"/>
        <w:widowControl w:val="0"/>
        <w:spacing w:before="200" w:line="260" w:lineRule="atLeast"/>
        <w:jc w:val="both"/>
      </w:pPr>
      <w:bookmarkStart w:id="2218" w:name="Bookmark_para_119"/>
      <w:bookmarkEnd w:id="2218"/>
      <w:r>
        <w:rPr>
          <w:rFonts w:ascii="Arial" w:eastAsia="Arial" w:hAnsi="Arial" w:cs="Arial"/>
          <w:color w:val="000000"/>
          <w:sz w:val="20"/>
        </w:rPr>
        <w:t>The remaining reason given by the district court to support its conclusion was the proposition that the school district's offer of $150,000 per year was "exceptionally generous." On closer examination, though, [**72]  that characterization seems exaggerated. The annual payment of $150,000 would not have covered the cost of the existing home school arrangement, which was both what the district court found that the parents wanted and what T.B. was entitled to, as the "stay put" arrangement, during the pendency of the dispute. That program was calculated to cost the school district $157,000 per year. If the parents elected to continue the arrangement that was then in place, they would have had to reach into their own pockets to make it happen.</w:t>
      </w:r>
    </w:p>
    <w:p w14:paraId="1D0AD841" w14:textId="77777777" w:rsidR="002D0E71" w:rsidRDefault="00000000">
      <w:pPr>
        <w:pStyle w:val="Normal13"/>
        <w:widowControl w:val="0"/>
        <w:spacing w:before="200" w:line="260" w:lineRule="atLeast"/>
        <w:jc w:val="both"/>
      </w:pPr>
      <w:bookmarkStart w:id="2219" w:name="Bookmark_para_120"/>
      <w:bookmarkEnd w:id="2219"/>
      <w:r>
        <w:rPr>
          <w:rFonts w:ascii="Arial" w:eastAsia="Arial" w:hAnsi="Arial" w:cs="Arial"/>
          <w:color w:val="000000"/>
          <w:sz w:val="20"/>
        </w:rPr>
        <w:t>The additional costs imposed on them might actually have exceeded the difference between $157,000 and $150,000. A case manager from the school district was involved in arranging garage school for T.B., for example. Under the settlement offer, the Brenneises would have taken full responsibility for arranging services for T.B., requiring additional time or additional expense to hire someone else to do it. Furthermore, T.B. was an individual customer in the special education market, while the district was a repeat player and had more bargaining power. It might have cost more for the Brenneises to arrange to have T.B. educated privately or to have obtained assistance [**73]  from external service providers than it cost the district.</w:t>
      </w:r>
    </w:p>
    <w:p w14:paraId="4416F920" w14:textId="77777777" w:rsidR="002D0E71" w:rsidRDefault="00000000">
      <w:pPr>
        <w:pStyle w:val="Normal13"/>
        <w:widowControl w:val="0"/>
        <w:spacing w:before="200" w:line="260" w:lineRule="atLeast"/>
        <w:jc w:val="both"/>
      </w:pPr>
      <w:bookmarkStart w:id="2220" w:name="Bookmark_para_121"/>
      <w:bookmarkStart w:id="2221" w:name="Bookmark_I5HM9PWB2SF87C0050000400"/>
      <w:bookmarkEnd w:id="2220"/>
      <w:bookmarkEnd w:id="2221"/>
      <w:r>
        <w:rPr>
          <w:rFonts w:ascii="Arial" w:eastAsia="Arial" w:hAnsi="Arial" w:cs="Arial"/>
          <w:color w:val="000000"/>
          <w:sz w:val="20"/>
        </w:rPr>
        <w:t xml:space="preserve">From this perspective, the school district's offer of an annual cash payment was not so generous. It would not have covered the expenses of T.B.'s then-current program. </w:t>
      </w:r>
      <w:bookmarkStart w:id="2222" w:name="Bookmark_LNHNREFclscc22_1"/>
      <w:bookmarkEnd w:id="2222"/>
      <w:r>
        <w:rPr>
          <w:rFonts w:ascii="Arial" w:eastAsia="Arial" w:hAnsi="Arial" w:cs="Arial"/>
          <w:color w:val="000000"/>
          <w:sz w:val="20"/>
        </w:rPr>
        <w:t xml:space="preserve">The IDEA "was intended to give handicapped children both an appropriate education and a free one; it should not be interpreted to defeat one or the other of those objectives." </w:t>
      </w:r>
      <w:bookmarkStart w:id="2223" w:name="Bookmark_I5HM9PWB2SF87C0040000400"/>
      <w:bookmarkEnd w:id="2223"/>
      <w:r>
        <w:rPr>
          <w:rFonts w:ascii="Arial" w:eastAsia="Arial" w:hAnsi="Arial" w:cs="Arial"/>
          <w:i/>
          <w:color w:val="000000"/>
          <w:sz w:val="20"/>
        </w:rPr>
        <w:t>Sch. Comm. of Town of Burlington, Mass. v. Dep't of Educ. of Mass.</w:t>
      </w:r>
      <w:r>
        <w:rPr>
          <w:rFonts w:ascii="Arial" w:eastAsia="Arial" w:hAnsi="Arial" w:cs="Arial"/>
          <w:color w:val="000000"/>
          <w:sz w:val="20"/>
        </w:rPr>
        <w:t>, 471 U.S. 359, 372, 105 S. Ct. 1996, 85 L. Ed. 2d 385 (1985). T.B.'s education would not necessarily have been free.</w:t>
      </w:r>
    </w:p>
    <w:p w14:paraId="40600D5A" w14:textId="77777777" w:rsidR="002D0E71" w:rsidRDefault="00000000">
      <w:pPr>
        <w:pStyle w:val="Normal13"/>
        <w:widowControl w:val="0"/>
        <w:spacing w:before="200" w:line="260" w:lineRule="atLeast"/>
        <w:jc w:val="both"/>
      </w:pPr>
      <w:bookmarkStart w:id="2224" w:name="Bookmark_para_122"/>
      <w:bookmarkEnd w:id="2224"/>
      <w:r>
        <w:rPr>
          <w:rFonts w:ascii="Arial" w:eastAsia="Arial" w:hAnsi="Arial" w:cs="Arial"/>
          <w:color w:val="000000"/>
          <w:sz w:val="20"/>
        </w:rPr>
        <w:t>We are unable to conclude, as the district court did, that the settlement offer was more favorable to the parents than the result of the hearing. Although the ALJ ruled in favor of the school district on most of the issues, the ultimate conclusion of the due process hearing was that the program offered by the district would not have provided T.B. with a FAPE. Both the August 2006 IEP and the December 2006 IEP had fatal shortcomings. The district court affirmed that determination, and the school district did not appeal. Had the parents accepted the settlement offer, they would not have obtained that result; they would have waived their claim for attorneys' fees and costs; they would have been precluded from re-enrolling T.B. in public [**74]  school for at least some period of time, even if his condition changed; in the event of re-enrollment, if there was a disagreement over the appropriate program for T.B., during the pendency of that dispute they would have agreed to forego the right to maintain his then-current program as the stay put arrangement and instead would have been required to accept whatever the school district offered; and if they chose to continue the garage school program, they would have been required to pay for part of it with their own funds. Based upon the facts of this case we conclude, contrary to the district court, that the settlement offer was not as favorable to the parents as the ALJ's decision.</w:t>
      </w:r>
    </w:p>
    <w:p w14:paraId="3FED0F89" w14:textId="77777777" w:rsidR="002D0E71" w:rsidRDefault="00000000">
      <w:pPr>
        <w:pStyle w:val="Normal13"/>
        <w:widowControl w:val="0"/>
        <w:spacing w:before="200" w:line="260" w:lineRule="atLeast"/>
        <w:jc w:val="both"/>
      </w:pPr>
      <w:bookmarkStart w:id="2225" w:name="Bookmark_para_123"/>
      <w:bookmarkEnd w:id="2225"/>
      <w:r>
        <w:rPr>
          <w:rFonts w:ascii="Arial" w:eastAsia="Arial" w:hAnsi="Arial" w:cs="Arial"/>
          <w:color w:val="000000"/>
          <w:sz w:val="20"/>
        </w:rPr>
        <w:t xml:space="preserve">In addition, we conclude that the parents were "substantially justified" in rejecting the May 4 settlement offer, under the exception provided in 20 U.S.C. § 1415(i)(3)(E). [*482]  Even if we agreed that the result obtained through the ALJ hearing was not "more favorable to the parents" than the terms of the May 4 offer, perhaps because the parents did in fact prefer to educate T.B. at home, that does not end the question. </w:t>
      </w:r>
      <w:bookmarkStart w:id="2226" w:name="Bookmark_LNHNREFclscc23_1"/>
      <w:bookmarkEnd w:id="2226"/>
      <w:r>
        <w:rPr>
          <w:rFonts w:ascii="Arial" w:eastAsia="Arial" w:hAnsi="Arial" w:cs="Arial"/>
          <w:color w:val="000000"/>
          <w:sz w:val="20"/>
        </w:rPr>
        <w:t xml:space="preserve">Subsection (E) establishes an exception to the statutory bar that applies even if a determination were made under 20 U.S.C. § 1415(i)(3)(D)(i) that the settlement [**75]  offer was more favorable: "Notwithstanding subparagraph (D), an award of attorneys' fees and related costs may be made to a parent who is the prevailing party and who was substantially justified in rejecting the settlement offer." As discussed above, the parents qualified as a prevailing party. Even if the May 4 offer could be considered more favorable from the parents' perspective in the aggregate, it was clearly less favorable to the parents in several material respects, as described in the preceding paragraph. These inferior aspects of the district's offer establish that the parents were "substantially justified in rejecting [it]." </w:t>
      </w:r>
      <w:r>
        <w:rPr>
          <w:rFonts w:ascii="Arial" w:eastAsia="Arial" w:hAnsi="Arial" w:cs="Arial"/>
          <w:i/>
          <w:color w:val="000000"/>
          <w:sz w:val="20"/>
        </w:rPr>
        <w:t>Id.</w:t>
      </w:r>
      <w:r>
        <w:rPr>
          <w:rFonts w:ascii="Arial" w:eastAsia="Arial" w:hAnsi="Arial" w:cs="Arial"/>
          <w:color w:val="000000"/>
          <w:sz w:val="20"/>
        </w:rPr>
        <w:t xml:space="preserve"> § 1415(i)(3)(E). Fees for services on and after May 4, 2007 should not have been denied based on the IDEA's statutory bar.</w:t>
      </w:r>
      <w:r>
        <w:rPr>
          <w:rFonts w:ascii="Arial" w:eastAsia="Arial" w:hAnsi="Arial" w:cs="Arial"/>
          <w:vertAlign w:val="superscript"/>
        </w:rPr>
        <w:footnoteReference w:customMarkFollows="1" w:id="74"/>
        <w:t>14</w:t>
      </w:r>
    </w:p>
    <w:p w14:paraId="0479CC72" w14:textId="77777777" w:rsidR="002D0E71" w:rsidRDefault="00000000">
      <w:pPr>
        <w:pStyle w:val="Normal13"/>
        <w:widowControl w:val="0"/>
        <w:spacing w:before="240" w:line="260" w:lineRule="atLeast"/>
      </w:pPr>
      <w:r>
        <w:br/>
      </w:r>
      <w:r>
        <w:rPr>
          <w:rFonts w:ascii="Arial" w:eastAsia="Arial" w:hAnsi="Arial" w:cs="Arial"/>
          <w:i/>
          <w:color w:val="000000"/>
          <w:sz w:val="20"/>
        </w:rPr>
        <w:t>B. Reasonableness</w:t>
      </w:r>
    </w:p>
    <w:p w14:paraId="4FA4E471" w14:textId="77777777" w:rsidR="002D0E71" w:rsidRDefault="00000000">
      <w:pPr>
        <w:pStyle w:val="Normal13"/>
        <w:widowControl w:val="0"/>
        <w:spacing w:before="200" w:line="260" w:lineRule="atLeast"/>
        <w:jc w:val="both"/>
      </w:pPr>
      <w:bookmarkStart w:id="2232" w:name="Bookmark_para_124"/>
      <w:bookmarkEnd w:id="2232"/>
      <w:r>
        <w:rPr>
          <w:rFonts w:ascii="Arial" w:eastAsia="Arial" w:hAnsi="Arial" w:cs="Arial"/>
          <w:color w:val="000000"/>
          <w:sz w:val="20"/>
        </w:rPr>
        <w:t>The district court's second rationale for reducing the fee award was based on the perceived unreasonableness [**77]  of the claim for fees. The court held that "[e]ven if the IDEA's provision did not strictly apply to the facts, the Court, in its discretion, would not award the Brenneises fees after they unreasonably rejected the May 3, 2007, favorable settlement offer."</w:t>
      </w:r>
    </w:p>
    <w:p w14:paraId="03DC9148" w14:textId="77777777" w:rsidR="002D0E71" w:rsidRDefault="00000000">
      <w:pPr>
        <w:pStyle w:val="Normal13"/>
        <w:widowControl w:val="0"/>
        <w:spacing w:before="200" w:line="260" w:lineRule="atLeast"/>
        <w:jc w:val="both"/>
      </w:pPr>
      <w:bookmarkStart w:id="2233" w:name="Bookmark_para_125"/>
      <w:bookmarkEnd w:id="2233"/>
      <w:r>
        <w:rPr>
          <w:rFonts w:ascii="Arial" w:eastAsia="Arial" w:hAnsi="Arial" w:cs="Arial"/>
          <w:color w:val="000000"/>
          <w:sz w:val="20"/>
        </w:rPr>
        <w:t>The district court relied on two factors in exercising its discretion. First, it held that T.B. received no benefit from the due process hearing. Second, the district court found that "the Brenneises unreasonably rejected the May 3, 2007, settlement offer." We disagree on both scores.</w:t>
      </w:r>
    </w:p>
    <w:p w14:paraId="3FBE1C8C" w14:textId="77777777" w:rsidR="002D0E71" w:rsidRDefault="00000000">
      <w:pPr>
        <w:pStyle w:val="Normal13"/>
        <w:widowControl w:val="0"/>
        <w:spacing w:before="120" w:line="260" w:lineRule="atLeast"/>
      </w:pPr>
      <w:r>
        <w:rPr>
          <w:rFonts w:ascii="Arial" w:eastAsia="Arial" w:hAnsi="Arial" w:cs="Arial"/>
          <w:color w:val="000000"/>
          <w:sz w:val="20"/>
        </w:rPr>
        <w:t>1. The benefit that T.B. obtained</w:t>
      </w:r>
    </w:p>
    <w:p w14:paraId="7B59F2D5" w14:textId="77777777" w:rsidR="002D0E71" w:rsidRDefault="00000000">
      <w:pPr>
        <w:pStyle w:val="Normal13"/>
        <w:widowControl w:val="0"/>
        <w:spacing w:before="200" w:line="260" w:lineRule="atLeast"/>
        <w:jc w:val="both"/>
      </w:pPr>
      <w:bookmarkStart w:id="2234" w:name="Bookmark_para_126"/>
      <w:bookmarkEnd w:id="2234"/>
      <w:r>
        <w:rPr>
          <w:rFonts w:ascii="Arial" w:eastAsia="Arial" w:hAnsi="Arial" w:cs="Arial"/>
          <w:color w:val="000000"/>
          <w:sz w:val="20"/>
        </w:rPr>
        <w:t>The district court reasoned that T.B. never benefitted from his victory in the due process hearing because "[t]he Brenneises never implemented the [ALJ]'s Decision on the three issues that had been  [*483]  decided in their favor. Instead, they chose to maintain the Stay Put placement through T.B.'s 2006-07 and 2007-08 school years that had kept him in garage school since the parents had removed him from public school in 2003." Even after the district court upheld the ALJ's ruling in June 2010, the school district's conduct did not change, because T.B. had moved out of the district and had been living in Minnesota "for two years by the date [**78]  of that decision."</w:t>
      </w:r>
    </w:p>
    <w:p w14:paraId="44C5DCA0" w14:textId="77777777" w:rsidR="002D0E71" w:rsidRDefault="00000000">
      <w:pPr>
        <w:pStyle w:val="Normal13"/>
        <w:widowControl w:val="0"/>
        <w:spacing w:before="200" w:line="260" w:lineRule="atLeast"/>
        <w:jc w:val="both"/>
      </w:pPr>
      <w:bookmarkStart w:id="2235" w:name="Bookmark_para_127"/>
      <w:bookmarkStart w:id="2236" w:name="Bookmark_I5HM9PWB28T4H50010000400"/>
      <w:bookmarkEnd w:id="2235"/>
      <w:bookmarkEnd w:id="2236"/>
      <w:r>
        <w:rPr>
          <w:rFonts w:ascii="Arial" w:eastAsia="Arial" w:hAnsi="Arial" w:cs="Arial"/>
          <w:color w:val="000000"/>
          <w:sz w:val="20"/>
        </w:rPr>
        <w:t xml:space="preserve">We disagree with the district court's conclusion that the Brenneises did not obtain any benefit from the court hearing. First, this finding is in conflict with its ruling that they were the "prevailing party." Indeed, the district court cited Supreme Court precedent that a "plaintiff 'prevails' when </w:t>
      </w:r>
      <w:r>
        <w:rPr>
          <w:rFonts w:ascii="Arial" w:eastAsia="Arial" w:hAnsi="Arial" w:cs="Arial"/>
          <w:i/>
          <w:color w:val="000000"/>
          <w:sz w:val="20"/>
        </w:rPr>
        <w:t>actual</w:t>
      </w:r>
      <w:r>
        <w:rPr>
          <w:rFonts w:ascii="Arial" w:eastAsia="Arial" w:hAnsi="Arial" w:cs="Arial"/>
          <w:color w:val="000000"/>
          <w:sz w:val="20"/>
        </w:rPr>
        <w:t xml:space="preserve"> relief on the merits of his claim </w:t>
      </w:r>
      <w:r>
        <w:rPr>
          <w:rFonts w:ascii="Arial" w:eastAsia="Arial" w:hAnsi="Arial" w:cs="Arial"/>
          <w:i/>
          <w:color w:val="000000"/>
          <w:sz w:val="20"/>
        </w:rPr>
        <w:t>materially alters</w:t>
      </w:r>
      <w:r>
        <w:rPr>
          <w:rFonts w:ascii="Arial" w:eastAsia="Arial" w:hAnsi="Arial" w:cs="Arial"/>
          <w:color w:val="000000"/>
          <w:sz w:val="20"/>
        </w:rPr>
        <w:t xml:space="preserve"> the legal relationship between the parties by modifying the defendant's behavior in a way that </w:t>
      </w:r>
      <w:r>
        <w:rPr>
          <w:rFonts w:ascii="Arial" w:eastAsia="Arial" w:hAnsi="Arial" w:cs="Arial"/>
          <w:i/>
          <w:color w:val="000000"/>
          <w:sz w:val="20"/>
        </w:rPr>
        <w:t>directly benefits the plaintiff</w:t>
      </w:r>
      <w:r>
        <w:rPr>
          <w:rFonts w:ascii="Arial" w:eastAsia="Arial" w:hAnsi="Arial" w:cs="Arial"/>
          <w:color w:val="000000"/>
          <w:sz w:val="20"/>
        </w:rPr>
        <w:t xml:space="preserve">." </w:t>
      </w:r>
      <w:bookmarkStart w:id="2237" w:name="Bookmark_I5HM9PWB2N1PP40050000400"/>
      <w:bookmarkEnd w:id="2237"/>
      <w:r>
        <w:rPr>
          <w:rFonts w:ascii="Arial" w:eastAsia="Arial" w:hAnsi="Arial" w:cs="Arial"/>
          <w:i/>
          <w:color w:val="000000"/>
          <w:sz w:val="20"/>
        </w:rPr>
        <w:t>Farrar v. Hobby</w:t>
      </w:r>
      <w:r>
        <w:rPr>
          <w:rFonts w:ascii="Arial" w:eastAsia="Arial" w:hAnsi="Arial" w:cs="Arial"/>
          <w:color w:val="000000"/>
          <w:sz w:val="20"/>
        </w:rPr>
        <w:t xml:space="preserve">, 506 U.S. 103, 111-12, 113 S. Ct. 566, 121 L. Ed. 2d 494 (1992) (emphasis added by district court); </w:t>
      </w:r>
      <w:r>
        <w:rPr>
          <w:rFonts w:ascii="Arial" w:eastAsia="Arial" w:hAnsi="Arial" w:cs="Arial"/>
          <w:i/>
          <w:color w:val="000000"/>
          <w:sz w:val="20"/>
        </w:rPr>
        <w:t xml:space="preserve">see also </w:t>
      </w:r>
      <w:bookmarkStart w:id="2238" w:name="Bookmark_I5HM9PWB28T4H50020000400"/>
      <w:bookmarkEnd w:id="2238"/>
      <w:r>
        <w:rPr>
          <w:rFonts w:ascii="Arial" w:eastAsia="Arial" w:hAnsi="Arial" w:cs="Arial"/>
          <w:i/>
          <w:color w:val="000000"/>
          <w:sz w:val="20"/>
        </w:rPr>
        <w:t>Bd. of Educ. of Downers Grade Sch. Dist. No. 58 v. Steven L.</w:t>
      </w:r>
      <w:r>
        <w:rPr>
          <w:rFonts w:ascii="Arial" w:eastAsia="Arial" w:hAnsi="Arial" w:cs="Arial"/>
          <w:color w:val="000000"/>
          <w:sz w:val="20"/>
        </w:rPr>
        <w:t xml:space="preserve">, 89 F.3d 464, 468-69 (7th Cir. 1996) (holding that the definition of prevailing party under 42 U.S.C. § 1988, as discussed in </w:t>
      </w:r>
      <w:r>
        <w:rPr>
          <w:rFonts w:ascii="Arial" w:eastAsia="Arial" w:hAnsi="Arial" w:cs="Arial"/>
          <w:i/>
          <w:color w:val="000000"/>
          <w:sz w:val="20"/>
        </w:rPr>
        <w:t>Farrar</w:t>
      </w:r>
      <w:r>
        <w:rPr>
          <w:rFonts w:ascii="Arial" w:eastAsia="Arial" w:hAnsi="Arial" w:cs="Arial"/>
          <w:color w:val="000000"/>
          <w:sz w:val="20"/>
        </w:rPr>
        <w:t>, is the same as that used in the IDEA). If, as the district court correctly held, the Brenneises had prevailed, they also necessarily obtained an actual benefit.</w:t>
      </w:r>
    </w:p>
    <w:p w14:paraId="75ADBAB7" w14:textId="77777777" w:rsidR="002D0E71" w:rsidRDefault="00000000">
      <w:pPr>
        <w:pStyle w:val="Normal13"/>
        <w:widowControl w:val="0"/>
        <w:spacing w:before="200" w:line="260" w:lineRule="atLeast"/>
        <w:jc w:val="both"/>
      </w:pPr>
      <w:bookmarkStart w:id="2239" w:name="Bookmark_para_128"/>
      <w:bookmarkEnd w:id="2239"/>
      <w:r>
        <w:rPr>
          <w:rFonts w:ascii="Arial" w:eastAsia="Arial" w:hAnsi="Arial" w:cs="Arial"/>
          <w:color w:val="000000"/>
          <w:sz w:val="20"/>
        </w:rPr>
        <w:t xml:space="preserve">This case is unusual in that the Brenneises did not take advantage of the benefit they received through the ALJ's decision, but that is not automatically fatal to their fee request. </w:t>
      </w:r>
      <w:bookmarkStart w:id="2240" w:name="Bookmark_I5HM9PWB28T4H50050000400"/>
      <w:bookmarkEnd w:id="2240"/>
      <w:r>
        <w:rPr>
          <w:rFonts w:ascii="Arial" w:eastAsia="Arial" w:hAnsi="Arial" w:cs="Arial"/>
          <w:color w:val="000000"/>
          <w:sz w:val="20"/>
        </w:rPr>
        <w:t xml:space="preserve">As the district court found in connection with the prevailing party discussion, the Brenneises changed the legal relationship between the parties in their favor and secured the option of relief. The failure to exercise that [**79]  option does not render the relief nonexistent. </w:t>
      </w:r>
      <w:r>
        <w:rPr>
          <w:rFonts w:ascii="Arial" w:eastAsia="Arial" w:hAnsi="Arial" w:cs="Arial"/>
          <w:i/>
          <w:color w:val="000000"/>
          <w:sz w:val="20"/>
        </w:rPr>
        <w:t xml:space="preserve">See, e.g., </w:t>
      </w:r>
      <w:bookmarkStart w:id="2241" w:name="Bookmark_I5HM9PWB28T4H50040000400"/>
      <w:bookmarkEnd w:id="2241"/>
      <w:r>
        <w:rPr>
          <w:rFonts w:ascii="Arial" w:eastAsia="Arial" w:hAnsi="Arial" w:cs="Arial"/>
          <w:i/>
          <w:color w:val="000000"/>
          <w:sz w:val="20"/>
        </w:rPr>
        <w:t>M.L. v. Fed. Way Sch. Dist.</w:t>
      </w:r>
      <w:r>
        <w:rPr>
          <w:rFonts w:ascii="Arial" w:eastAsia="Arial" w:hAnsi="Arial" w:cs="Arial"/>
          <w:color w:val="000000"/>
          <w:sz w:val="20"/>
        </w:rPr>
        <w:t xml:space="preserve">, 401 F. Supp. 2d 1158, 1163 (W.D. Wash. 2005) ("An option need not be exercised in order to be 'more favorable [than a settlement offer].'"), </w:t>
      </w:r>
      <w:r>
        <w:rPr>
          <w:rFonts w:ascii="Arial" w:eastAsia="Arial" w:hAnsi="Arial" w:cs="Arial"/>
          <w:i/>
          <w:color w:val="000000"/>
          <w:sz w:val="20"/>
        </w:rPr>
        <w:t>vacated on other grounds</w:t>
      </w:r>
      <w:r>
        <w:rPr>
          <w:rFonts w:ascii="Arial" w:eastAsia="Arial" w:hAnsi="Arial" w:cs="Arial"/>
          <w:color w:val="000000"/>
          <w:sz w:val="20"/>
        </w:rPr>
        <w:t xml:space="preserve">, </w:t>
      </w:r>
      <w:bookmarkStart w:id="2242" w:name="Bookmark_I5HM9PWB2HM65D0010000400"/>
      <w:bookmarkEnd w:id="2242"/>
      <w:r>
        <w:rPr>
          <w:rFonts w:ascii="Arial" w:eastAsia="Arial" w:hAnsi="Arial" w:cs="Arial"/>
          <w:color w:val="000000"/>
          <w:sz w:val="20"/>
        </w:rPr>
        <w:t xml:space="preserve">394 F.3d 634, 638 (9th Cir. 2005); </w:t>
      </w:r>
      <w:bookmarkStart w:id="2243" w:name="Bookmark_I5HM9PWB2HM65D0030000400"/>
      <w:bookmarkEnd w:id="2243"/>
      <w:r>
        <w:rPr>
          <w:rFonts w:ascii="Arial" w:eastAsia="Arial" w:hAnsi="Arial" w:cs="Arial"/>
          <w:i/>
          <w:color w:val="000000"/>
          <w:sz w:val="20"/>
        </w:rPr>
        <w:t>M.C. ex rel. C.M. v. Bd. of Educ. of Whitesboro Cent. Sch. Dist</w:t>
      </w:r>
      <w:r>
        <w:rPr>
          <w:rFonts w:ascii="Arial" w:eastAsia="Arial" w:hAnsi="Arial" w:cs="Arial"/>
          <w:color w:val="000000"/>
          <w:sz w:val="20"/>
        </w:rPr>
        <w:t>, No. 97-CV-1533, 1998 U.S. Dist. LEXIS 22753, 1998 WL 951675, at *3 (N.D.N.Y. Sept. 1, 1998) (holding that the plaintiffs had prevailed because "[t]he availability of this option for M.C. changed the legal relationship to the plaintiffs' benefit . . . .").</w:t>
      </w:r>
    </w:p>
    <w:p w14:paraId="24E10175" w14:textId="77777777" w:rsidR="002D0E71" w:rsidRDefault="00000000">
      <w:pPr>
        <w:pStyle w:val="Normal13"/>
        <w:widowControl w:val="0"/>
        <w:spacing w:before="200" w:line="260" w:lineRule="atLeast"/>
        <w:jc w:val="both"/>
      </w:pPr>
      <w:bookmarkStart w:id="2244" w:name="Bookmark_para_129"/>
      <w:bookmarkEnd w:id="2244"/>
      <w:r>
        <w:rPr>
          <w:rFonts w:ascii="Arial" w:eastAsia="Arial" w:hAnsi="Arial" w:cs="Arial"/>
          <w:color w:val="000000"/>
          <w:sz w:val="20"/>
        </w:rPr>
        <w:t xml:space="preserve">That the Brenneises moved to Minnesota did not render the relief illusory. It is true that the educational relationship between T.B. and the district ended in 2008 when the Brenneises left San Diego. </w:t>
      </w:r>
      <w:bookmarkStart w:id="2245" w:name="Bookmark_I5HM9PWB2D6N9B0010000400"/>
      <w:bookmarkEnd w:id="2245"/>
      <w:r>
        <w:rPr>
          <w:rFonts w:ascii="Arial" w:eastAsia="Arial" w:hAnsi="Arial" w:cs="Arial"/>
          <w:color w:val="000000"/>
          <w:sz w:val="20"/>
        </w:rPr>
        <w:t xml:space="preserve">But they had still earned relief before they left in the form of an enforceable judgment. It is the relief that they earned "at the time of the judgment or settlement" that is important. </w:t>
      </w:r>
      <w:bookmarkStart w:id="2246" w:name="Bookmark_I5HM9PWB2HM65D0050000400"/>
      <w:bookmarkEnd w:id="2246"/>
      <w:r>
        <w:rPr>
          <w:rFonts w:ascii="Arial" w:eastAsia="Arial" w:hAnsi="Arial" w:cs="Arial"/>
          <w:i/>
          <w:color w:val="000000"/>
          <w:sz w:val="20"/>
        </w:rPr>
        <w:t>Farrar</w:t>
      </w:r>
      <w:r>
        <w:rPr>
          <w:rFonts w:ascii="Arial" w:eastAsia="Arial" w:hAnsi="Arial" w:cs="Arial"/>
          <w:color w:val="000000"/>
          <w:sz w:val="20"/>
        </w:rPr>
        <w:t>, 506 U.S. at 111.</w:t>
      </w:r>
    </w:p>
    <w:p w14:paraId="6701AC75" w14:textId="77777777" w:rsidR="002D0E71" w:rsidRDefault="00000000">
      <w:pPr>
        <w:pStyle w:val="Normal13"/>
        <w:widowControl w:val="0"/>
        <w:spacing w:before="200" w:line="260" w:lineRule="atLeast"/>
        <w:jc w:val="both"/>
      </w:pPr>
      <w:bookmarkStart w:id="2247" w:name="Bookmark_para_130"/>
      <w:bookmarkEnd w:id="2247"/>
      <w:r>
        <w:rPr>
          <w:rFonts w:ascii="Arial" w:eastAsia="Arial" w:hAnsi="Arial" w:cs="Arial"/>
          <w:color w:val="000000"/>
          <w:sz w:val="20"/>
        </w:rPr>
        <w:t>Furthermore, it would be perverse to deny plaintiffs fees for the supposed failure to exercise an option when some of the blame for that failure may lie with the defendants. By way of illustration, a defendant should not be able to lose in court, resist and delay enforcement of the relief awarded, and then attempt to escape payment of attorneys' fees on the ground that the plaintiff never took advantage of the relief. As discussed earlier in relation to the summary [**80]  judgment on Count V of the Second Amended Complaint, there is outstanding a genuine dispute of material fact as to whether the district was deliberately indifferent to T.B.'s rights by failing to abide by California's g-tube feeding standards. It could be found that the district hampered T.B.'s return to school, in which case the failure of the Brenneises to take  [*484]  advantage of the ALJ decision could fairly be attributed to the district's own actions.</w:t>
      </w:r>
    </w:p>
    <w:p w14:paraId="4642053B" w14:textId="77777777" w:rsidR="002D0E71" w:rsidRDefault="00000000">
      <w:pPr>
        <w:pStyle w:val="Normal13"/>
        <w:widowControl w:val="0"/>
        <w:spacing w:before="200" w:line="260" w:lineRule="atLeast"/>
        <w:jc w:val="both"/>
      </w:pPr>
      <w:bookmarkStart w:id="2248" w:name="Bookmark_para_131"/>
      <w:bookmarkStart w:id="2249" w:name="Bookmark_I5HM9PWB2D6N9B0030000400"/>
      <w:bookmarkEnd w:id="2248"/>
      <w:bookmarkEnd w:id="2249"/>
      <w:r>
        <w:rPr>
          <w:rFonts w:ascii="Arial" w:eastAsia="Arial" w:hAnsi="Arial" w:cs="Arial"/>
          <w:color w:val="000000"/>
          <w:sz w:val="20"/>
        </w:rPr>
        <w:t xml:space="preserve">On remand the district court should take into account the value of the relief obtained and may consider the reasons why the Brenneises did not exercise the relief they won. </w:t>
      </w:r>
      <w:r>
        <w:rPr>
          <w:rFonts w:ascii="Arial" w:eastAsia="Arial" w:hAnsi="Arial" w:cs="Arial"/>
          <w:i/>
          <w:color w:val="000000"/>
          <w:sz w:val="20"/>
        </w:rPr>
        <w:t xml:space="preserve">See </w:t>
      </w:r>
      <w:bookmarkStart w:id="2250" w:name="Bookmark_I5HM9PWB2D6N9B0020000400"/>
      <w:bookmarkEnd w:id="2250"/>
      <w:r>
        <w:rPr>
          <w:rFonts w:ascii="Arial" w:eastAsia="Arial" w:hAnsi="Arial" w:cs="Arial"/>
          <w:i/>
          <w:color w:val="000000"/>
          <w:sz w:val="20"/>
        </w:rPr>
        <w:t>Aguirre v. L.A. Unified Sch. Dist.</w:t>
      </w:r>
      <w:r>
        <w:rPr>
          <w:rFonts w:ascii="Arial" w:eastAsia="Arial" w:hAnsi="Arial" w:cs="Arial"/>
          <w:color w:val="000000"/>
          <w:sz w:val="20"/>
        </w:rPr>
        <w:t xml:space="preserve">, 461 F.3d 1114, 1117-21 (9th Cir. 2006) (explaining that </w:t>
      </w:r>
      <w:bookmarkStart w:id="2251" w:name="Bookmark_LNHNREFclscc24_1"/>
      <w:bookmarkEnd w:id="2251"/>
      <w:r>
        <w:rPr>
          <w:rFonts w:ascii="Arial" w:eastAsia="Arial" w:hAnsi="Arial" w:cs="Arial"/>
          <w:color w:val="000000"/>
          <w:sz w:val="20"/>
        </w:rPr>
        <w:t>fees under the IDEA should reflect the degree of success obtained by the plaintiffs). The fact that the family moved to Minnesota did not mean that they could not have obtained any benefit.</w:t>
      </w:r>
    </w:p>
    <w:p w14:paraId="6DCF8485" w14:textId="77777777" w:rsidR="002D0E71" w:rsidRDefault="00000000">
      <w:pPr>
        <w:pStyle w:val="Normal13"/>
        <w:widowControl w:val="0"/>
        <w:spacing w:before="120" w:line="260" w:lineRule="atLeast"/>
      </w:pPr>
      <w:r>
        <w:rPr>
          <w:rFonts w:ascii="Arial" w:eastAsia="Arial" w:hAnsi="Arial" w:cs="Arial"/>
          <w:color w:val="000000"/>
          <w:sz w:val="20"/>
        </w:rPr>
        <w:t>2. Unreasonable rejection of the settlement offer</w:t>
      </w:r>
    </w:p>
    <w:p w14:paraId="4D1BC539" w14:textId="77777777" w:rsidR="002D0E71" w:rsidRDefault="00000000">
      <w:pPr>
        <w:pStyle w:val="Normal13"/>
        <w:widowControl w:val="0"/>
        <w:spacing w:before="200" w:line="260" w:lineRule="atLeast"/>
        <w:jc w:val="both"/>
      </w:pPr>
      <w:bookmarkStart w:id="2252" w:name="Bookmark_para_132"/>
      <w:bookmarkEnd w:id="2252"/>
      <w:r>
        <w:rPr>
          <w:rFonts w:ascii="Arial" w:eastAsia="Arial" w:hAnsi="Arial" w:cs="Arial"/>
          <w:color w:val="000000"/>
          <w:sz w:val="20"/>
        </w:rPr>
        <w:t>The second factor that the court cited in the exercise of its discretion was that "the Brenneises unreasonably rejected the May 3, 2007, settlement offer." In the court's view, "the Brenneises demanded an extremely high payment and took an all-or-nothing approach. Either they secured every demand on their lengthy [**81]  list or T.B. would remain in garage school. Settlement requires both sides to make concessions, but the parents were unwilling to compromise to reach a fair result." On that basis, the court denied all fees and costs for work done on and after May 4, 2007. That denial was an abuse of discretion. For the reasons noted above in support of our conclusion that the settlement offer was not as favorable for the parents as the ALJ's decision, the district court's finding that the Brenneises acted unreasonably in rejecting that offer was clearly erroneous.</w:t>
      </w:r>
      <w:r>
        <w:rPr>
          <w:rFonts w:ascii="Arial" w:eastAsia="Arial" w:hAnsi="Arial" w:cs="Arial"/>
          <w:vertAlign w:val="superscript"/>
        </w:rPr>
        <w:footnoteReference w:customMarkFollows="1" w:id="75"/>
        <w:t>15</w:t>
      </w:r>
    </w:p>
    <w:p w14:paraId="3D69EC8E" w14:textId="77777777" w:rsidR="002D0E71" w:rsidRDefault="00000000">
      <w:pPr>
        <w:pStyle w:val="Normal13"/>
        <w:widowControl w:val="0"/>
        <w:spacing w:before="240" w:line="260" w:lineRule="atLeast"/>
      </w:pPr>
      <w:r>
        <w:br/>
      </w:r>
      <w:r>
        <w:rPr>
          <w:rFonts w:ascii="Arial" w:eastAsia="Arial" w:hAnsi="Arial" w:cs="Arial"/>
          <w:i/>
          <w:color w:val="000000"/>
          <w:sz w:val="20"/>
        </w:rPr>
        <w:t>C. The fee calculation</w:t>
      </w:r>
    </w:p>
    <w:p w14:paraId="23A4DD0D" w14:textId="77777777" w:rsidR="002D0E71" w:rsidRDefault="00000000">
      <w:pPr>
        <w:pStyle w:val="Normal13"/>
        <w:widowControl w:val="0"/>
        <w:spacing w:before="200" w:line="260" w:lineRule="atLeast"/>
        <w:jc w:val="both"/>
      </w:pPr>
      <w:bookmarkStart w:id="2254" w:name="Bookmark_para_133"/>
      <w:bookmarkEnd w:id="2254"/>
      <w:r>
        <w:rPr>
          <w:rFonts w:ascii="Arial" w:eastAsia="Arial" w:hAnsi="Arial" w:cs="Arial"/>
          <w:color w:val="000000"/>
          <w:sz w:val="20"/>
        </w:rPr>
        <w:t>The district court did award a total of $55,433.91 for fees and costs incurred prior to May 4, 2007. We [**82]  vacate that award and remand for further consideration.</w:t>
      </w:r>
    </w:p>
    <w:p w14:paraId="06C110EC" w14:textId="77777777" w:rsidR="002D0E71" w:rsidRDefault="00000000">
      <w:pPr>
        <w:pStyle w:val="Normal13"/>
        <w:widowControl w:val="0"/>
        <w:spacing w:before="120" w:line="260" w:lineRule="atLeast"/>
      </w:pPr>
      <w:r>
        <w:rPr>
          <w:rFonts w:ascii="Arial" w:eastAsia="Arial" w:hAnsi="Arial" w:cs="Arial"/>
          <w:color w:val="000000"/>
          <w:sz w:val="20"/>
        </w:rPr>
        <w:t>1. The compliance complaint</w:t>
      </w:r>
    </w:p>
    <w:p w14:paraId="37B2CF01" w14:textId="77777777" w:rsidR="002D0E71" w:rsidRDefault="00000000">
      <w:pPr>
        <w:pStyle w:val="Normal13"/>
        <w:widowControl w:val="0"/>
        <w:spacing w:before="200" w:line="260" w:lineRule="atLeast"/>
        <w:jc w:val="both"/>
      </w:pPr>
      <w:bookmarkStart w:id="2255" w:name="Bookmark_para_134"/>
      <w:bookmarkEnd w:id="2255"/>
      <w:r>
        <w:rPr>
          <w:rFonts w:ascii="Arial" w:eastAsia="Arial" w:hAnsi="Arial" w:cs="Arial"/>
          <w:color w:val="000000"/>
          <w:sz w:val="20"/>
        </w:rPr>
        <w:t>As described above, the Brenneises filed a request for a Compliance Complaint Investigation with the California Department of Education in July 2006. They alleged that the district had failed to implement T.B.'s July 2006 extended school year IEP. The compliance complaint report, published in November 2006, provided 24 hours of English language arts instruction and 80 minutes of adapted physical education instruction as a remedy.</w:t>
      </w:r>
    </w:p>
    <w:p w14:paraId="61BC25B7" w14:textId="77777777" w:rsidR="002D0E71" w:rsidRDefault="00000000">
      <w:pPr>
        <w:pStyle w:val="Normal13"/>
        <w:widowControl w:val="0"/>
        <w:spacing w:before="200" w:line="260" w:lineRule="atLeast"/>
        <w:jc w:val="both"/>
      </w:pPr>
      <w:bookmarkStart w:id="2256" w:name="Bookmark_para_135"/>
      <w:bookmarkEnd w:id="2256"/>
      <w:r>
        <w:rPr>
          <w:rFonts w:ascii="Arial" w:eastAsia="Arial" w:hAnsi="Arial" w:cs="Arial"/>
          <w:color w:val="000000"/>
          <w:sz w:val="20"/>
        </w:rPr>
        <w:t>In October 2007, the Brenneises' attorneys sent the district a demand for $7,113.50 in fees and costs in connection with the compliance complaint. In November 2007, the district offered $3,500 for their work in securing the compensatory education.</w:t>
      </w:r>
    </w:p>
    <w:p w14:paraId="09FFBAD8" w14:textId="77777777" w:rsidR="002D0E71" w:rsidRDefault="00000000">
      <w:pPr>
        <w:pStyle w:val="Normal13"/>
        <w:widowControl w:val="0"/>
        <w:spacing w:before="200" w:line="260" w:lineRule="atLeast"/>
        <w:jc w:val="both"/>
      </w:pPr>
      <w:bookmarkStart w:id="2257" w:name="Bookmark_para_136"/>
      <w:bookmarkStart w:id="2258" w:name="Bookmark_I5HM9PWB2D6N9B0050000400"/>
      <w:bookmarkEnd w:id="2257"/>
      <w:bookmarkEnd w:id="2258"/>
      <w:r>
        <w:rPr>
          <w:rFonts w:ascii="Arial" w:eastAsia="Arial" w:hAnsi="Arial" w:cs="Arial"/>
          <w:color w:val="000000"/>
          <w:sz w:val="20"/>
        </w:rPr>
        <w:t xml:space="preserve">In the district court action filed by the school district in January 2008, the district sought a declaratory judgment that it was not liable to pay any fees in relation to the compliance complaint. The Brenneises then amended their district court complaint to seek reasonable fees for that activity, relying on </w:t>
      </w:r>
      <w:bookmarkStart w:id="2259" w:name="Bookmark_I5HM9PWB2D6N9B0040000400"/>
      <w:bookmarkEnd w:id="2259"/>
      <w:r>
        <w:rPr>
          <w:rFonts w:ascii="Arial" w:eastAsia="Arial" w:hAnsi="Arial" w:cs="Arial"/>
          <w:i/>
          <w:color w:val="000000"/>
          <w:sz w:val="20"/>
        </w:rPr>
        <w:t>Lucht v. Molalla River School District</w:t>
      </w:r>
      <w:r>
        <w:rPr>
          <w:rFonts w:ascii="Arial" w:eastAsia="Arial" w:hAnsi="Arial" w:cs="Arial"/>
          <w:color w:val="000000"/>
          <w:sz w:val="20"/>
        </w:rPr>
        <w:t>, 225 F.3d 1023 (9th Cir. 2000), in which we held that a party who prevails in a state's complaint resolution procedure can recover attorneys' fees.</w:t>
      </w:r>
    </w:p>
    <w:p w14:paraId="32AFB062" w14:textId="77777777" w:rsidR="002D0E71" w:rsidRDefault="00000000">
      <w:pPr>
        <w:pStyle w:val="Normal13"/>
        <w:widowControl w:val="0"/>
        <w:spacing w:before="200" w:line="260" w:lineRule="atLeast"/>
        <w:jc w:val="both"/>
      </w:pPr>
      <w:bookmarkStart w:id="2260" w:name="Bookmark_para_137"/>
      <w:bookmarkEnd w:id="2260"/>
      <w:r>
        <w:rPr>
          <w:rFonts w:ascii="Arial" w:eastAsia="Arial" w:hAnsi="Arial" w:cs="Arial"/>
          <w:color w:val="000000"/>
          <w:sz w:val="20"/>
        </w:rPr>
        <w:t>In May 2011, [**83]  the Brenneises accepted an offer of judgment from the school district for "Recovery of Reasonable Attorneys'  [*485]  Fees in Connection with a CDE Compliance Complaint[] in the sum of $7,113.50, plus reasonable attorney's fees and costs incurred by plaintiffs [in seeking that sum] prior to the date of this offer in an amount to be set by the Court."</w:t>
      </w:r>
    </w:p>
    <w:p w14:paraId="190E771F" w14:textId="77777777" w:rsidR="002D0E71" w:rsidRDefault="00000000">
      <w:pPr>
        <w:pStyle w:val="Normal13"/>
        <w:widowControl w:val="0"/>
        <w:spacing w:before="200" w:line="260" w:lineRule="atLeast"/>
        <w:jc w:val="both"/>
      </w:pPr>
      <w:bookmarkStart w:id="2261" w:name="Bookmark_para_138"/>
      <w:bookmarkEnd w:id="2261"/>
      <w:r>
        <w:rPr>
          <w:rFonts w:ascii="Arial" w:eastAsia="Arial" w:hAnsi="Arial" w:cs="Arial"/>
          <w:color w:val="000000"/>
          <w:sz w:val="20"/>
        </w:rPr>
        <w:t>The Brenneises sought $48,173.00 in fees and costs for obtaining the original $7,113.50 fee award. The district court denied these fees because "the parties previously settled their dispute as to the amount of attorneys' fees recoverable in connection with that 2006 State proceeding."</w:t>
      </w:r>
    </w:p>
    <w:p w14:paraId="5AFC99BB" w14:textId="77777777" w:rsidR="002D0E71" w:rsidRDefault="00000000">
      <w:pPr>
        <w:pStyle w:val="Normal13"/>
        <w:widowControl w:val="0"/>
        <w:spacing w:before="200" w:line="260" w:lineRule="atLeast"/>
        <w:jc w:val="both"/>
      </w:pPr>
      <w:bookmarkStart w:id="2262" w:name="Bookmark_para_139"/>
      <w:bookmarkEnd w:id="2262"/>
      <w:r>
        <w:rPr>
          <w:rFonts w:ascii="Arial" w:eastAsia="Arial" w:hAnsi="Arial" w:cs="Arial"/>
          <w:color w:val="000000"/>
          <w:sz w:val="20"/>
        </w:rPr>
        <w:t>It appears that the district court was mistaken about the parties' May 2011 agreement. The court did not state that it viewed the amount of "reasonable attorneys' fees" for recovering the $7,113.50 in fees and costs as zero; rather, it considered that this dispute was already settled. All that was settled, however, was the payment of $7,113.50 for fees and costs previously incurred in connection with the compliance complaint itself. The May 2011 settlement itself explicitly provided for additional fees and costs, in an amount to be determined by the court, incurred [**84]  by the Brenneises in seeking that payment. That part of the claim was not settled, so rejection of that claim on the ground that it had been settled was incorrect. On remand, the court should determine what fees are owing for recovering the $7,113.50 for the compliance complaint.</w:t>
      </w:r>
    </w:p>
    <w:p w14:paraId="27A280FD" w14:textId="77777777" w:rsidR="002D0E71" w:rsidRDefault="00000000">
      <w:pPr>
        <w:pStyle w:val="Normal13"/>
        <w:widowControl w:val="0"/>
        <w:spacing w:before="120" w:line="260" w:lineRule="atLeast"/>
      </w:pPr>
      <w:r>
        <w:rPr>
          <w:rFonts w:ascii="Arial" w:eastAsia="Arial" w:hAnsi="Arial" w:cs="Arial"/>
          <w:color w:val="000000"/>
          <w:sz w:val="20"/>
        </w:rPr>
        <w:t>2. The detail in the fee and costs award</w:t>
      </w:r>
    </w:p>
    <w:p w14:paraId="203B2C86" w14:textId="77777777" w:rsidR="002D0E71" w:rsidRDefault="00000000">
      <w:pPr>
        <w:pStyle w:val="Normal13"/>
        <w:widowControl w:val="0"/>
        <w:spacing w:before="200" w:line="260" w:lineRule="atLeast"/>
        <w:jc w:val="both"/>
      </w:pPr>
      <w:bookmarkStart w:id="2263" w:name="Bookmark_para_140"/>
      <w:bookmarkEnd w:id="2263"/>
      <w:r>
        <w:rPr>
          <w:rFonts w:ascii="Arial" w:eastAsia="Arial" w:hAnsi="Arial" w:cs="Arial"/>
          <w:color w:val="000000"/>
          <w:sz w:val="20"/>
        </w:rPr>
        <w:t>The Brenneises also object that the district court did not sufficiently explain its fee award. We agree.</w:t>
      </w:r>
    </w:p>
    <w:p w14:paraId="1927D684" w14:textId="77777777" w:rsidR="002D0E71" w:rsidRDefault="00000000">
      <w:pPr>
        <w:pStyle w:val="Normal13"/>
        <w:widowControl w:val="0"/>
        <w:spacing w:before="200" w:line="260" w:lineRule="atLeast"/>
        <w:jc w:val="both"/>
      </w:pPr>
      <w:bookmarkStart w:id="2264" w:name="Bookmark_para_141"/>
      <w:bookmarkEnd w:id="2264"/>
      <w:r>
        <w:rPr>
          <w:rFonts w:ascii="Arial" w:eastAsia="Arial" w:hAnsi="Arial" w:cs="Arial"/>
          <w:color w:val="000000"/>
          <w:sz w:val="20"/>
        </w:rPr>
        <w:t>The district court ruled that the Brenneises were eligible to recover the "reasonable fees and related costs that were incurred before May 4, 2007, when they rejected the School District's favorable offer to settle the IDEA issues." The court used the lodestar approach. First, it determined the reasonable billing rates for the attorneys and staff involved in the case, based on their experience and the location. It then determined the "reasonable hours" for services rendered before May 4, 2007. The court went through each of the different categories of work for which the Brenneises requested compensation and adjudicated the district's objections to the hours billed.</w:t>
      </w:r>
    </w:p>
    <w:p w14:paraId="285D4485" w14:textId="77777777" w:rsidR="002D0E71" w:rsidRDefault="00000000">
      <w:pPr>
        <w:pStyle w:val="Normal13"/>
        <w:widowControl w:val="0"/>
        <w:spacing w:before="200" w:line="260" w:lineRule="atLeast"/>
        <w:jc w:val="both"/>
      </w:pPr>
      <w:bookmarkStart w:id="2265" w:name="Bookmark_para_142"/>
      <w:bookmarkStart w:id="2266" w:name="Bookmark_I4GYDY0WGB9000W193T0016R"/>
      <w:bookmarkStart w:id="2267" w:name="Bookmark_I5HM9PWB2SF87F0020000400"/>
      <w:bookmarkEnd w:id="2265"/>
      <w:bookmarkEnd w:id="2266"/>
      <w:bookmarkEnd w:id="2267"/>
      <w:r>
        <w:rPr>
          <w:rFonts w:ascii="Arial" w:eastAsia="Arial" w:hAnsi="Arial" w:cs="Arial"/>
          <w:color w:val="000000"/>
          <w:sz w:val="20"/>
        </w:rPr>
        <w:t xml:space="preserve">As we held in </w:t>
      </w:r>
      <w:bookmarkStart w:id="2268" w:name="Bookmark_I5HM9PWB2SF87F0010000400"/>
      <w:bookmarkEnd w:id="2268"/>
      <w:r>
        <w:rPr>
          <w:rFonts w:ascii="Arial" w:eastAsia="Arial" w:hAnsi="Arial" w:cs="Arial"/>
          <w:i/>
          <w:color w:val="000000"/>
          <w:sz w:val="20"/>
        </w:rPr>
        <w:t>Moreno v. City of Sacramento</w:t>
      </w:r>
      <w:r>
        <w:rPr>
          <w:rFonts w:ascii="Arial" w:eastAsia="Arial" w:hAnsi="Arial" w:cs="Arial"/>
          <w:color w:val="000000"/>
          <w:sz w:val="20"/>
        </w:rPr>
        <w:t>, 534 F.3d 1106, 1111 (9th Cir. 2008), "</w:t>
      </w:r>
      <w:bookmarkStart w:id="2269" w:name="Bookmark_LNHNREFclscc25"/>
      <w:bookmarkEnd w:id="2269"/>
      <w:r>
        <w:rPr>
          <w:rFonts w:ascii="Arial" w:eastAsia="Arial" w:hAnsi="Arial" w:cs="Arial"/>
          <w:color w:val="000000"/>
          <w:sz w:val="20"/>
        </w:rPr>
        <w:t xml:space="preserve">[w]hen the district court makes its award, it must explain how it came up with the amount." [**85]  Here, it is not possible for us to determine how the court arrived at the amount of its award. Because there was a large difference between the fee request and the fee award—the court only awarded about five-ninths of what the Brenneises were requesting up to May 4, 2007—some greater explanation of its adjustments is in order. </w:t>
      </w:r>
      <w:r>
        <w:rPr>
          <w:rFonts w:ascii="Arial" w:eastAsia="Arial" w:hAnsi="Arial" w:cs="Arial"/>
          <w:i/>
          <w:color w:val="000000"/>
          <w:sz w:val="20"/>
        </w:rPr>
        <w:t>See id.</w:t>
      </w:r>
    </w:p>
    <w:p w14:paraId="1D1A6F7F" w14:textId="77777777" w:rsidR="002D0E71" w:rsidRDefault="00000000">
      <w:pPr>
        <w:pStyle w:val="Normal13"/>
        <w:widowControl w:val="0"/>
        <w:spacing w:before="200" w:line="260" w:lineRule="atLeast"/>
        <w:jc w:val="both"/>
      </w:pPr>
      <w:bookmarkStart w:id="2270" w:name="Bookmark_para_143"/>
      <w:bookmarkEnd w:id="2270"/>
      <w:r>
        <w:rPr>
          <w:rFonts w:ascii="Arial" w:eastAsia="Arial" w:hAnsi="Arial" w:cs="Arial"/>
          <w:color w:val="000000"/>
          <w:sz w:val="20"/>
        </w:rPr>
        <w:t>There were two main problems with the court's explanation. First, the court did not state how it reduced the billable time for each category of work. For example, the court "award[ed] reasonable hours to review the School District's request for a Due Process hearing, to discuss a strategy for responding to it, to consult with experts, and to gather evidence," but did not state what these reasonable hours were. As another example, the court "largely overrule[d] objections to the amount of time the firm spent in internal conferences," but did not say to what extent it sustained the objections. Relatedly, the district court did not say how it was reducing the fees for each lawyer in each work category. Cutting an hour off the time claimed by one of the partners in the case, whom the court decided to compensate at $425 an hour, had a much larger effect  [*486]  than cutting an hour off [**86]  the time billed by the associate, whom the court compensated at $125 an hour, and the paralegal, who was compensated at $95 an hour.</w:t>
      </w:r>
    </w:p>
    <w:p w14:paraId="1A341210" w14:textId="77777777" w:rsidR="002D0E71" w:rsidRDefault="00000000">
      <w:pPr>
        <w:pStyle w:val="Normal13"/>
        <w:widowControl w:val="0"/>
        <w:spacing w:before="200" w:line="260" w:lineRule="atLeast"/>
        <w:jc w:val="both"/>
      </w:pPr>
      <w:bookmarkStart w:id="2271" w:name="Bookmark_para_144"/>
      <w:bookmarkStart w:id="2272" w:name="Bookmark_I5HM9PWB2SF87F0040000400"/>
      <w:bookmarkEnd w:id="2271"/>
      <w:bookmarkEnd w:id="2272"/>
      <w:r>
        <w:rPr>
          <w:rFonts w:ascii="Arial" w:eastAsia="Arial" w:hAnsi="Arial" w:cs="Arial"/>
          <w:color w:val="000000"/>
          <w:sz w:val="20"/>
        </w:rPr>
        <w:t xml:space="preserve">Second, the court stated that it "significantly cut" the time that the Brenneises sought to be compensated for the fifteen out of the eighteen issues on which they lost in the due process hearing. But the court did not explain by what percentage it cut the time or why, nor did it explain which work it assigned to each losing issue. As we held in </w:t>
      </w:r>
      <w:bookmarkStart w:id="2273" w:name="Bookmark_I5HM9PWB2SF87F0030000400"/>
      <w:bookmarkEnd w:id="2273"/>
      <w:r>
        <w:rPr>
          <w:rFonts w:ascii="Arial" w:eastAsia="Arial" w:hAnsi="Arial" w:cs="Arial"/>
          <w:i/>
          <w:color w:val="000000"/>
          <w:sz w:val="20"/>
        </w:rPr>
        <w:t>Padgett v. Loventhal</w:t>
      </w:r>
      <w:r>
        <w:rPr>
          <w:rFonts w:ascii="Arial" w:eastAsia="Arial" w:hAnsi="Arial" w:cs="Arial"/>
          <w:color w:val="000000"/>
          <w:sz w:val="20"/>
        </w:rPr>
        <w:t>, 706 F.3d 1205, 1209 (9th Cir. 2013), "</w:t>
      </w:r>
      <w:bookmarkStart w:id="2274" w:name="Bookmark_LNHNREFclscc26"/>
      <w:bookmarkEnd w:id="2274"/>
      <w:r>
        <w:rPr>
          <w:rFonts w:ascii="Arial" w:eastAsia="Arial" w:hAnsi="Arial" w:cs="Arial"/>
          <w:color w:val="000000"/>
          <w:sz w:val="20"/>
        </w:rPr>
        <w:t xml:space="preserve">[f]ailure on a claim does not automatically reduce the fee award." Rather, "where attorney work proves beneficial to a successful claim, district courts should generally award these fees in full, even if the work is also useful to an unsuccessful claim." </w:t>
      </w:r>
      <w:r>
        <w:rPr>
          <w:rFonts w:ascii="Arial" w:eastAsia="Arial" w:hAnsi="Arial" w:cs="Arial"/>
          <w:i/>
          <w:color w:val="000000"/>
          <w:sz w:val="20"/>
        </w:rPr>
        <w:t>Id.</w:t>
      </w:r>
      <w:r>
        <w:rPr>
          <w:rFonts w:ascii="Arial" w:eastAsia="Arial" w:hAnsi="Arial" w:cs="Arial"/>
          <w:color w:val="000000"/>
          <w:sz w:val="20"/>
        </w:rPr>
        <w:t xml:space="preserve"> Where work is only useful to an unsuccessful claim, the fee request should be denied. </w:t>
      </w:r>
      <w:r>
        <w:rPr>
          <w:rFonts w:ascii="Arial" w:eastAsia="Arial" w:hAnsi="Arial" w:cs="Arial"/>
          <w:i/>
          <w:color w:val="000000"/>
          <w:sz w:val="20"/>
        </w:rPr>
        <w:t>See id.</w:t>
      </w:r>
      <w:r>
        <w:rPr>
          <w:rFonts w:ascii="Arial" w:eastAsia="Arial" w:hAnsi="Arial" w:cs="Arial"/>
          <w:color w:val="000000"/>
          <w:sz w:val="20"/>
        </w:rPr>
        <w:t xml:space="preserve"> Because the court did not explain how it reduced the time "devoted to losing issues," or even what time was devoted to losing issues, the Brenneises are unable to object in any detail to the court's determination and we are unable to effectively review it.</w:t>
      </w:r>
    </w:p>
    <w:p w14:paraId="5AA5A8C2" w14:textId="77777777" w:rsidR="002D0E71" w:rsidRDefault="00000000">
      <w:pPr>
        <w:pStyle w:val="Normal13"/>
        <w:widowControl w:val="0"/>
        <w:spacing w:before="200" w:line="260" w:lineRule="atLeast"/>
        <w:jc w:val="both"/>
      </w:pPr>
      <w:bookmarkStart w:id="2275" w:name="Bookmark_para_145"/>
      <w:bookmarkStart w:id="2276" w:name="Bookmark_I5HM9PWB2N1PP60010000400"/>
      <w:bookmarkStart w:id="2277" w:name="Bookmark_I5HM9PWB2N1PP60030000400"/>
      <w:bookmarkEnd w:id="2275"/>
      <w:bookmarkEnd w:id="2276"/>
      <w:bookmarkEnd w:id="2277"/>
      <w:r>
        <w:rPr>
          <w:rFonts w:ascii="Arial" w:eastAsia="Arial" w:hAnsi="Arial" w:cs="Arial"/>
          <w:color w:val="000000"/>
          <w:sz w:val="20"/>
        </w:rPr>
        <w:t xml:space="preserve">We acknowledge that a precise explanation for each reduction from the fees counsel sought may be difficult, and we recognize [**87]  that the district court may make general, across-the-board adjustments. </w:t>
      </w:r>
      <w:bookmarkStart w:id="2278" w:name="Bookmark_I5HM9PWB2N1PP60050000400"/>
      <w:bookmarkEnd w:id="2278"/>
      <w:r>
        <w:rPr>
          <w:rFonts w:ascii="Arial" w:eastAsia="Arial" w:hAnsi="Arial" w:cs="Arial"/>
          <w:color w:val="000000"/>
          <w:sz w:val="20"/>
        </w:rPr>
        <w:t xml:space="preserve">However, because the reduction in this case "passes well beyond the safety zone of a haircut . . ., the district court's justification for the cuts must be weightier and more specific." </w:t>
      </w:r>
      <w:bookmarkStart w:id="2279" w:name="Bookmark_I5HM9PWB2SF87F0050000400"/>
      <w:bookmarkEnd w:id="2279"/>
      <w:r>
        <w:rPr>
          <w:rFonts w:ascii="Arial" w:eastAsia="Arial" w:hAnsi="Arial" w:cs="Arial"/>
          <w:i/>
          <w:color w:val="000000"/>
          <w:sz w:val="20"/>
        </w:rPr>
        <w:t>Moreno</w:t>
      </w:r>
      <w:r>
        <w:rPr>
          <w:rFonts w:ascii="Arial" w:eastAsia="Arial" w:hAnsi="Arial" w:cs="Arial"/>
          <w:color w:val="000000"/>
          <w:sz w:val="20"/>
        </w:rPr>
        <w:t xml:space="preserve">, 534 F.3d at 1113. "The explanation need not be elaborate, but it must be comprehensible." </w:t>
      </w:r>
      <w:bookmarkStart w:id="2280" w:name="Bookmark_I5HM9PWB2N1PP60020000400"/>
      <w:bookmarkEnd w:id="2280"/>
      <w:r>
        <w:rPr>
          <w:rFonts w:ascii="Arial" w:eastAsia="Arial" w:hAnsi="Arial" w:cs="Arial"/>
          <w:i/>
          <w:color w:val="000000"/>
          <w:sz w:val="20"/>
        </w:rPr>
        <w:t>Id.</w:t>
      </w:r>
      <w:r>
        <w:rPr>
          <w:rFonts w:ascii="Arial" w:eastAsia="Arial" w:hAnsi="Arial" w:cs="Arial"/>
          <w:color w:val="000000"/>
          <w:sz w:val="20"/>
        </w:rPr>
        <w:t xml:space="preserve"> at 1111. </w:t>
      </w:r>
      <w:bookmarkStart w:id="2281" w:name="Bookmark_I5HM9PWB2N1PP60050000400_2"/>
      <w:bookmarkEnd w:id="2281"/>
      <w:r>
        <w:rPr>
          <w:rFonts w:ascii="Arial" w:eastAsia="Arial" w:hAnsi="Arial" w:cs="Arial"/>
          <w:i/>
          <w:color w:val="000000"/>
          <w:sz w:val="20"/>
        </w:rPr>
        <w:t xml:space="preserve">See also </w:t>
      </w:r>
      <w:bookmarkStart w:id="2282" w:name="Bookmark_I5HM9PWB2N1PP60040000400"/>
      <w:bookmarkEnd w:id="2282"/>
      <w:r>
        <w:rPr>
          <w:rFonts w:ascii="Arial" w:eastAsia="Arial" w:hAnsi="Arial" w:cs="Arial"/>
          <w:i/>
          <w:color w:val="000000"/>
          <w:sz w:val="20"/>
        </w:rPr>
        <w:t>Ferland v. Conrad Credit Corp.</w:t>
      </w:r>
      <w:r>
        <w:rPr>
          <w:rFonts w:ascii="Arial" w:eastAsia="Arial" w:hAnsi="Arial" w:cs="Arial"/>
          <w:color w:val="000000"/>
          <w:sz w:val="20"/>
        </w:rPr>
        <w:t xml:space="preserve">, 244 F.3d 1145, 1151 (9th Cir. 2001) (remanding the fee award because the district court "did not explain except at the most general level why it reduced by more than half the number of attorney hours for which [the plaintiff] could be compensated, and did not explain at all the particular level of reduction . . . chosen" (footnote omitted)); </w:t>
      </w:r>
      <w:bookmarkStart w:id="2283" w:name="Bookmark_I5HM9PWB28T4H70010000400"/>
      <w:bookmarkEnd w:id="2283"/>
      <w:r>
        <w:rPr>
          <w:rFonts w:ascii="Arial" w:eastAsia="Arial" w:hAnsi="Arial" w:cs="Arial"/>
          <w:i/>
          <w:color w:val="000000"/>
          <w:sz w:val="20"/>
        </w:rPr>
        <w:t>Gates v. Deukmejian</w:t>
      </w:r>
      <w:r>
        <w:rPr>
          <w:rFonts w:ascii="Arial" w:eastAsia="Arial" w:hAnsi="Arial" w:cs="Arial"/>
          <w:color w:val="000000"/>
          <w:sz w:val="20"/>
        </w:rPr>
        <w:t>, 987 F.2d 1392, 1400 (9th Cir. 1992) (remanding fee award because "the district court . . . failed to articulate a 'concise but clear' explanation for why the ten percent across-the-board reduction, when coupled with plaintiffs' discrete billing judgments, properly compensated for plaintiffs' overbilling or duplication").</w:t>
      </w:r>
    </w:p>
    <w:p w14:paraId="2047F61E" w14:textId="77777777" w:rsidR="002D0E71" w:rsidRDefault="00000000">
      <w:pPr>
        <w:pStyle w:val="Normal13"/>
        <w:widowControl w:val="0"/>
        <w:spacing w:before="200" w:line="260" w:lineRule="atLeast"/>
        <w:jc w:val="both"/>
      </w:pPr>
      <w:bookmarkStart w:id="2284" w:name="Bookmark_para_146"/>
      <w:bookmarkEnd w:id="2284"/>
      <w:r>
        <w:rPr>
          <w:rFonts w:ascii="Arial" w:eastAsia="Arial" w:hAnsi="Arial" w:cs="Arial"/>
          <w:color w:val="000000"/>
          <w:sz w:val="20"/>
        </w:rPr>
        <w:t>The court's ruling on nontaxable costs suffered from the same lack of clarity, although the absolute effect is much smaller.</w:t>
      </w:r>
      <w:r>
        <w:rPr>
          <w:rFonts w:ascii="Arial" w:eastAsia="Arial" w:hAnsi="Arial" w:cs="Arial"/>
          <w:vertAlign w:val="superscript"/>
        </w:rPr>
        <w:footnoteReference w:customMarkFollows="1" w:id="76"/>
        <w:t>16</w:t>
      </w:r>
      <w:r>
        <w:rPr>
          <w:rFonts w:ascii="Arial" w:eastAsia="Arial" w:hAnsi="Arial" w:cs="Arial"/>
          <w:color w:val="000000"/>
          <w:sz w:val="20"/>
        </w:rPr>
        <w:t xml:space="preserve"> For example, the court reduced the Brenneises' photocopying request from approximately $8,200 to $4,394 "to reflect the limited degree of [**88]  success." On remand, the court should strive to explain its reductions more precisely.</w:t>
      </w:r>
    </w:p>
    <w:p w14:paraId="03B995FF" w14:textId="77777777" w:rsidR="002D0E71" w:rsidRDefault="00000000">
      <w:pPr>
        <w:pStyle w:val="Normal13"/>
        <w:widowControl w:val="0"/>
        <w:spacing w:before="240" w:line="260" w:lineRule="atLeast"/>
      </w:pPr>
      <w:r>
        <w:br/>
      </w:r>
      <w:r>
        <w:rPr>
          <w:rFonts w:ascii="Arial" w:eastAsia="Arial" w:hAnsi="Arial" w:cs="Arial"/>
          <w:b/>
          <w:color w:val="000000"/>
          <w:sz w:val="20"/>
        </w:rPr>
        <w:t>V. Conclusion</w:t>
      </w:r>
    </w:p>
    <w:p w14:paraId="01BC1ADA" w14:textId="77777777" w:rsidR="002D0E71" w:rsidRDefault="00000000">
      <w:pPr>
        <w:pStyle w:val="Normal13"/>
        <w:widowControl w:val="0"/>
        <w:spacing w:before="200" w:line="260" w:lineRule="atLeast"/>
        <w:jc w:val="both"/>
      </w:pPr>
      <w:bookmarkStart w:id="2286" w:name="Bookmark_para_147"/>
      <w:bookmarkEnd w:id="2286"/>
      <w:r>
        <w:rPr>
          <w:rFonts w:ascii="Arial" w:eastAsia="Arial" w:hAnsi="Arial" w:cs="Arial"/>
          <w:color w:val="000000"/>
          <w:sz w:val="20"/>
        </w:rPr>
        <w:t>We affirm the district court's grant of summary judgment in favor of the school district as to Counts IV and VII of the Second Amended Complaint. We reverse the grant of summary judgment as to Count V. We vacate and remand the award of attorneys' fees and costs. Each party shall bear its own costs on appeal.</w:t>
      </w:r>
    </w:p>
    <w:p w14:paraId="285ECE0D" w14:textId="77777777" w:rsidR="002D0E71" w:rsidRDefault="00000000">
      <w:pPr>
        <w:pStyle w:val="Normal13"/>
        <w:widowControl w:val="0"/>
        <w:spacing w:before="200" w:line="260" w:lineRule="atLeast"/>
        <w:jc w:val="both"/>
      </w:pPr>
      <w:bookmarkStart w:id="2287" w:name="Bookmark_para_148"/>
      <w:bookmarkEnd w:id="2287"/>
      <w:r>
        <w:rPr>
          <w:rFonts w:ascii="Arial" w:eastAsia="Arial" w:hAnsi="Arial" w:cs="Arial"/>
          <w:b/>
          <w:color w:val="000000"/>
          <w:sz w:val="20"/>
        </w:rPr>
        <w:t>AFFIRMED IN PART, REVERSED IN PART, VACATED IN PART, AND REMANDED</w:t>
      </w:r>
      <w:r>
        <w:rPr>
          <w:rFonts w:ascii="Arial" w:eastAsia="Arial" w:hAnsi="Arial" w:cs="Arial"/>
          <w:color w:val="000000"/>
          <w:sz w:val="20"/>
        </w:rPr>
        <w:t>.</w:t>
      </w:r>
    </w:p>
    <w:p w14:paraId="58138CAF" w14:textId="77777777" w:rsidR="002D0E71" w:rsidRDefault="002D0E71">
      <w:pPr>
        <w:pStyle w:val="Normal13"/>
      </w:pPr>
    </w:p>
    <w:p w14:paraId="0108FCC1" w14:textId="17E7D679" w:rsidR="002D0E71" w:rsidRDefault="00000000">
      <w:pPr>
        <w:pStyle w:val="Normal13"/>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86912" behindDoc="0" locked="0" layoutInCell="1" allowOverlap="1" wp14:anchorId="52272DE4" wp14:editId="1FEE66BB">
                <wp:simplePos x="0" y="0"/>
                <wp:positionH relativeFrom="column">
                  <wp:posOffset>0</wp:posOffset>
                </wp:positionH>
                <wp:positionV relativeFrom="paragraph">
                  <wp:posOffset>127000</wp:posOffset>
                </wp:positionV>
                <wp:extent cx="6502400" cy="0"/>
                <wp:effectExtent l="9525" t="12700" r="12700" b="6350"/>
                <wp:wrapNone/>
                <wp:docPr id="59974715"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417D23" id="Line 29"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0D53029" w14:textId="77777777" w:rsidR="002D0E71" w:rsidRDefault="002D0E71">
      <w:pPr>
        <w:pStyle w:val="Normal14"/>
        <w:sectPr w:rsidR="002D0E71">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gutter="0"/>
          <w:cols w:space="720"/>
          <w:titlePg/>
        </w:sectPr>
      </w:pPr>
    </w:p>
    <w:p w14:paraId="1DA569A4" w14:textId="77777777" w:rsidR="002D0E71" w:rsidRDefault="002D0E71">
      <w:pPr>
        <w:pStyle w:val="Normal14"/>
      </w:pPr>
    </w:p>
    <w:p w14:paraId="6DD28839" w14:textId="77777777" w:rsidR="002D0E71" w:rsidRDefault="00000000">
      <w:pPr>
        <w:pStyle w:val="Heading113"/>
        <w:keepNext w:val="0"/>
        <w:widowControl w:val="0"/>
        <w:spacing w:after="200" w:line="340" w:lineRule="atLeast"/>
        <w:jc w:val="center"/>
      </w:pPr>
      <w:r>
        <w:rPr>
          <w:rFonts w:eastAsia="Arial"/>
          <w:color w:val="000000"/>
          <w:sz w:val="28"/>
        </w:rPr>
        <w:t>Wilke v. Cole</w:t>
      </w:r>
    </w:p>
    <w:p w14:paraId="40C0F622" w14:textId="77777777" w:rsidR="002D0E71" w:rsidRDefault="00000000">
      <w:pPr>
        <w:pStyle w:val="Normal14"/>
        <w:widowControl w:val="0"/>
        <w:spacing w:before="120" w:line="260" w:lineRule="atLeast"/>
        <w:jc w:val="center"/>
      </w:pPr>
      <w:r>
        <w:rPr>
          <w:rFonts w:ascii="Arial" w:eastAsia="Arial" w:hAnsi="Arial" w:cs="Arial"/>
          <w:color w:val="000000"/>
          <w:sz w:val="20"/>
        </w:rPr>
        <w:t>United States Court of Appeals for the Seventh Circuit</w:t>
      </w:r>
    </w:p>
    <w:p w14:paraId="45AF40E8" w14:textId="77777777" w:rsidR="002D0E71" w:rsidRDefault="00000000">
      <w:pPr>
        <w:pStyle w:val="Normal14"/>
        <w:widowControl w:val="0"/>
        <w:spacing w:before="120" w:line="260" w:lineRule="atLeast"/>
        <w:jc w:val="center"/>
      </w:pPr>
      <w:r>
        <w:rPr>
          <w:rFonts w:ascii="Arial" w:eastAsia="Arial" w:hAnsi="Arial" w:cs="Arial"/>
          <w:color w:val="000000"/>
          <w:sz w:val="20"/>
        </w:rPr>
        <w:t>November 6, 2015</w:t>
      </w:r>
      <w:r>
        <w:rPr>
          <w:rFonts w:ascii="Arial" w:eastAsia="Arial" w:hAnsi="Arial" w:cs="Arial"/>
          <w:vertAlign w:val="superscript"/>
        </w:rPr>
        <w:footnoteReference w:customMarkFollows="1" w:id="77"/>
        <w:t>*</w:t>
      </w:r>
      <w:r>
        <w:rPr>
          <w:rFonts w:ascii="Arial" w:eastAsia="Arial" w:hAnsi="Arial" w:cs="Arial"/>
          <w:color w:val="000000"/>
          <w:sz w:val="20"/>
        </w:rPr>
        <w:t>, Submitted; November 9, 2015, Decided</w:t>
      </w:r>
    </w:p>
    <w:p w14:paraId="6F59D3DA" w14:textId="77777777" w:rsidR="002D0E71" w:rsidRDefault="00000000">
      <w:pPr>
        <w:pStyle w:val="Normal14"/>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15-1082</w:t>
      </w:r>
    </w:p>
    <w:p w14:paraId="64214EA6" w14:textId="77777777" w:rsidR="002D0E71" w:rsidRDefault="002D0E71">
      <w:pPr>
        <w:pStyle w:val="Normal14"/>
        <w:widowControl w:val="0"/>
        <w:spacing w:line="240" w:lineRule="atLeast"/>
        <w:jc w:val="both"/>
      </w:pPr>
      <w:bookmarkStart w:id="2289" w:name="Bookmark_15"/>
      <w:bookmarkEnd w:id="2289"/>
    </w:p>
    <w:p w14:paraId="6CD32B44" w14:textId="77777777" w:rsidR="002D0E71" w:rsidRDefault="00000000">
      <w:pPr>
        <w:pStyle w:val="Normal14"/>
        <w:widowControl w:val="0"/>
        <w:spacing w:before="200" w:line="240" w:lineRule="atLeast"/>
      </w:pPr>
      <w:bookmarkStart w:id="2290" w:name="Reporter_13"/>
      <w:bookmarkEnd w:id="2290"/>
      <w:r>
        <w:rPr>
          <w:rFonts w:ascii="Arial" w:eastAsia="Arial" w:hAnsi="Arial" w:cs="Arial"/>
          <w:b/>
          <w:color w:val="000000"/>
          <w:sz w:val="18"/>
        </w:rPr>
        <w:t>Reporter</w:t>
      </w:r>
    </w:p>
    <w:p w14:paraId="7C2FBE4B" w14:textId="77777777" w:rsidR="002D0E71" w:rsidRDefault="00000000">
      <w:pPr>
        <w:pStyle w:val="Normal14"/>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630 Fed. Appx. 615 *; 2015 U.S. App. LEXIS 19498 **</w:t>
      </w:r>
    </w:p>
    <w:p w14:paraId="4EA44758" w14:textId="77777777" w:rsidR="002D0E71" w:rsidRDefault="00000000">
      <w:pPr>
        <w:pStyle w:val="Normal14"/>
        <w:widowControl w:val="0"/>
        <w:spacing w:before="120" w:line="260" w:lineRule="atLeast"/>
      </w:pPr>
      <w:r>
        <w:rPr>
          <w:rFonts w:ascii="Arial" w:eastAsia="Arial" w:hAnsi="Arial" w:cs="Arial"/>
          <w:color w:val="000000"/>
          <w:sz w:val="20"/>
        </w:rPr>
        <w:t>JONATHAN D. WILKE, Plaintiff-Appellant, v. CHARLES E. COLE, et al., Defendants-Appellees.</w:t>
      </w:r>
    </w:p>
    <w:p w14:paraId="0F51DDCD" w14:textId="77777777" w:rsidR="002D0E71" w:rsidRDefault="00000000">
      <w:pPr>
        <w:pStyle w:val="Normal14"/>
        <w:widowControl w:val="0"/>
        <w:spacing w:before="240" w:line="260" w:lineRule="atLeast"/>
        <w:jc w:val="both"/>
      </w:pPr>
      <w:bookmarkStart w:id="2291" w:name="Notice_2"/>
      <w:bookmarkEnd w:id="2291"/>
      <w:r>
        <w:rPr>
          <w:rFonts w:ascii="Arial" w:eastAsia="Arial" w:hAnsi="Arial" w:cs="Arial"/>
          <w:b/>
          <w:color w:val="000000"/>
          <w:sz w:val="20"/>
        </w:rPr>
        <w:t>Notice:</w:t>
      </w:r>
      <w:r>
        <w:rPr>
          <w:rFonts w:ascii="Arial" w:eastAsia="Arial" w:hAnsi="Arial" w:cs="Arial"/>
          <w:color w:val="000000"/>
          <w:sz w:val="20"/>
        </w:rPr>
        <w:t> </w:t>
      </w:r>
      <w:bookmarkStart w:id="2292" w:name="Bookmark_para_1_13"/>
      <w:bookmarkEnd w:id="2292"/>
      <w:r>
        <w:rPr>
          <w:rFonts w:ascii="Arial" w:eastAsia="Arial" w:hAnsi="Arial" w:cs="Arial"/>
          <w:color w:val="000000"/>
          <w:sz w:val="20"/>
        </w:rPr>
        <w:t>PLEASE REFER TO FEDERAL RULES OF APPELLATE PROCEDURE RULE 32.1 GOVERNING THE CITATION TO UNPUBLISHED OPINIONS.</w:t>
      </w:r>
    </w:p>
    <w:p w14:paraId="52B6CB5A" w14:textId="77777777" w:rsidR="002D0E71" w:rsidRDefault="00000000">
      <w:pPr>
        <w:pStyle w:val="Normal14"/>
        <w:widowControl w:val="0"/>
        <w:spacing w:before="240" w:line="260" w:lineRule="atLeast"/>
        <w:jc w:val="both"/>
      </w:pPr>
      <w:bookmarkStart w:id="2293" w:name="Prior_History_13"/>
      <w:bookmarkEnd w:id="2293"/>
      <w:r>
        <w:rPr>
          <w:rFonts w:ascii="Arial" w:eastAsia="Arial" w:hAnsi="Arial" w:cs="Arial"/>
          <w:b/>
          <w:color w:val="000000"/>
          <w:sz w:val="20"/>
        </w:rPr>
        <w:t>Prior History:</w:t>
      </w:r>
      <w:r>
        <w:rPr>
          <w:rFonts w:ascii="Arial" w:eastAsia="Arial" w:hAnsi="Arial" w:cs="Arial"/>
          <w:color w:val="000000"/>
          <w:sz w:val="20"/>
        </w:rPr>
        <w:t> </w:t>
      </w:r>
      <w:bookmarkStart w:id="2294" w:name="Bookmark_para_2_13"/>
      <w:bookmarkEnd w:id="2294"/>
      <w:r>
        <w:rPr>
          <w:rFonts w:ascii="Arial" w:eastAsia="Arial" w:hAnsi="Arial" w:cs="Arial"/>
          <w:color w:val="000000"/>
          <w:sz w:val="20"/>
        </w:rPr>
        <w:t> [**1] Appeal from the United States District Court for the Eastern District of Wisconsin. No. 12-CV-1231-JPS. J.P. Stadtmueller, Judge.</w:t>
      </w:r>
    </w:p>
    <w:p w14:paraId="49A41948" w14:textId="77777777" w:rsidR="002D0E71" w:rsidRDefault="00000000">
      <w:pPr>
        <w:pStyle w:val="Normal14"/>
        <w:widowControl w:val="0"/>
        <w:spacing w:before="120" w:line="260" w:lineRule="atLeast"/>
      </w:pPr>
      <w:r>
        <w:rPr>
          <w:rFonts w:ascii="Arial" w:eastAsia="Arial" w:hAnsi="Arial" w:cs="Arial"/>
          <w:color w:val="000000"/>
          <w:sz w:val="20"/>
        </w:rPr>
        <w:t>Wilke v. Cole, 2014 U.S. Dist. LEXIS 174137 (E.D. Wis., Dec. 17, 2014)</w:t>
      </w:r>
    </w:p>
    <w:p w14:paraId="376AB3FA" w14:textId="77777777" w:rsidR="002D0E71" w:rsidRDefault="00000000">
      <w:pPr>
        <w:pStyle w:val="Normal14"/>
        <w:widowControl w:val="0"/>
        <w:spacing w:before="240" w:line="260" w:lineRule="atLeast"/>
        <w:jc w:val="both"/>
      </w:pPr>
      <w:bookmarkStart w:id="2295" w:name="Disposition_4"/>
      <w:bookmarkEnd w:id="2295"/>
      <w:r>
        <w:rPr>
          <w:rFonts w:ascii="Arial" w:eastAsia="Arial" w:hAnsi="Arial" w:cs="Arial"/>
          <w:b/>
          <w:color w:val="000000"/>
          <w:sz w:val="20"/>
        </w:rPr>
        <w:t>Disposition:</w:t>
      </w:r>
      <w:r>
        <w:rPr>
          <w:rFonts w:ascii="Arial" w:eastAsia="Arial" w:hAnsi="Arial" w:cs="Arial"/>
          <w:color w:val="000000"/>
          <w:sz w:val="20"/>
        </w:rPr>
        <w:t> </w:t>
      </w:r>
      <w:bookmarkStart w:id="2296" w:name="Bookmark_clspara_1"/>
      <w:bookmarkEnd w:id="2296"/>
      <w:r>
        <w:rPr>
          <w:rFonts w:ascii="Arial" w:eastAsia="Arial" w:hAnsi="Arial" w:cs="Arial"/>
          <w:color w:val="000000"/>
          <w:sz w:val="20"/>
        </w:rPr>
        <w:t>AFFIRMED.</w:t>
      </w:r>
    </w:p>
    <w:p w14:paraId="138748FA" w14:textId="77777777" w:rsidR="002D0E71" w:rsidRDefault="00000000">
      <w:pPr>
        <w:pStyle w:val="Normal14"/>
        <w:widowControl w:val="0"/>
        <w:spacing w:before="240" w:line="260" w:lineRule="atLeast"/>
      </w:pPr>
      <w:bookmarkStart w:id="2297" w:name="Counsel_13"/>
      <w:bookmarkEnd w:id="2297"/>
      <w:r>
        <w:rPr>
          <w:rFonts w:ascii="Arial" w:eastAsia="Arial" w:hAnsi="Arial" w:cs="Arial"/>
          <w:b/>
          <w:color w:val="000000"/>
          <w:sz w:val="20"/>
        </w:rPr>
        <w:t>Counsel:</w:t>
      </w:r>
      <w:r>
        <w:rPr>
          <w:rFonts w:ascii="Arial" w:eastAsia="Arial" w:hAnsi="Arial" w:cs="Arial"/>
          <w:color w:val="000000"/>
          <w:sz w:val="20"/>
        </w:rPr>
        <w:t> Jonathan D. Wilke, Plaintiff - Appellant, Florence, CO.</w:t>
      </w:r>
    </w:p>
    <w:p w14:paraId="4807596A" w14:textId="77777777" w:rsidR="002D0E71" w:rsidRDefault="00000000">
      <w:pPr>
        <w:pStyle w:val="Normal14"/>
        <w:widowControl w:val="0"/>
        <w:spacing w:before="120" w:line="260" w:lineRule="atLeast"/>
      </w:pPr>
      <w:r>
        <w:rPr>
          <w:rFonts w:ascii="Arial" w:eastAsia="Arial" w:hAnsi="Arial" w:cs="Arial"/>
          <w:color w:val="000000"/>
          <w:sz w:val="20"/>
        </w:rPr>
        <w:t>For Charles E. Cole, Welcome Rose, Charles Facktor, James Greer, BRIAN FOSTER, Warden, Defendants - Appellees: Daniel P. Lennington, Attorney, Office of The Attorney General, Wisconsin Department of Justice, Madison, WI.</w:t>
      </w:r>
    </w:p>
    <w:p w14:paraId="5CFE12FE" w14:textId="77777777" w:rsidR="002D0E71" w:rsidRDefault="00000000">
      <w:pPr>
        <w:pStyle w:val="Normal14"/>
        <w:widowControl w:val="0"/>
        <w:spacing w:before="240" w:line="260" w:lineRule="atLeast"/>
      </w:pPr>
      <w:bookmarkStart w:id="2298" w:name="Judges_13"/>
      <w:bookmarkEnd w:id="2298"/>
      <w:r>
        <w:rPr>
          <w:rFonts w:ascii="Arial" w:eastAsia="Arial" w:hAnsi="Arial" w:cs="Arial"/>
          <w:b/>
          <w:color w:val="000000"/>
          <w:sz w:val="20"/>
        </w:rPr>
        <w:t>Judges:</w:t>
      </w:r>
      <w:r>
        <w:rPr>
          <w:rFonts w:ascii="Arial" w:eastAsia="Arial" w:hAnsi="Arial" w:cs="Arial"/>
          <w:color w:val="000000"/>
          <w:sz w:val="20"/>
        </w:rPr>
        <w:t> Before WILLIAM J. BAUER, Circuit Judge, JOEL M. FLAUM, Circuit Judge, DAVID F. HAMILTON, Circuit Judge.</w:t>
      </w:r>
    </w:p>
    <w:p w14:paraId="1A2B9229" w14:textId="77777777" w:rsidR="002D0E71" w:rsidRDefault="00000000">
      <w:pPr>
        <w:pStyle w:val="Normal14"/>
        <w:keepNext/>
        <w:widowControl w:val="0"/>
        <w:spacing w:before="240" w:line="340" w:lineRule="atLeast"/>
      </w:pPr>
      <w:bookmarkStart w:id="2299" w:name="Opinion_13"/>
      <w:bookmarkEnd w:id="2299"/>
      <w:r>
        <w:rPr>
          <w:rFonts w:ascii="Arial" w:eastAsia="Arial" w:hAnsi="Arial" w:cs="Arial"/>
          <w:b/>
          <w:color w:val="000000"/>
          <w:sz w:val="28"/>
        </w:rPr>
        <w:t>Opinion</w:t>
      </w:r>
    </w:p>
    <w:p w14:paraId="1492FA5A" w14:textId="125FE10D" w:rsidR="002D0E71" w:rsidRDefault="002939DF">
      <w:pPr>
        <w:pStyle w:val="Normal14"/>
        <w:spacing w:line="60" w:lineRule="exact"/>
      </w:pPr>
      <w:r>
        <w:rPr>
          <w:noProof/>
        </w:rPr>
        <mc:AlternateContent>
          <mc:Choice Requires="wps">
            <w:drawing>
              <wp:anchor distT="0" distB="0" distL="114300" distR="114300" simplePos="0" relativeHeight="251687936" behindDoc="0" locked="0" layoutInCell="1" allowOverlap="1" wp14:anchorId="44185C18" wp14:editId="671100FD">
                <wp:simplePos x="0" y="0"/>
                <wp:positionH relativeFrom="column">
                  <wp:posOffset>0</wp:posOffset>
                </wp:positionH>
                <wp:positionV relativeFrom="paragraph">
                  <wp:posOffset>25400</wp:posOffset>
                </wp:positionV>
                <wp:extent cx="3187700" cy="0"/>
                <wp:effectExtent l="19050" t="15875" r="12700" b="12700"/>
                <wp:wrapTopAndBottom/>
                <wp:docPr id="1613099848"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5DA227" id="Line 30"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59AFECC" w14:textId="77777777" w:rsidR="002D0E71" w:rsidRDefault="002D0E71">
      <w:pPr>
        <w:pStyle w:val="Normal14"/>
        <w:spacing w:line="120" w:lineRule="exact"/>
      </w:pPr>
    </w:p>
    <w:p w14:paraId="062DC97B" w14:textId="77777777" w:rsidR="002D0E71" w:rsidRDefault="00000000">
      <w:pPr>
        <w:pStyle w:val="Normal14"/>
        <w:widowControl w:val="0"/>
        <w:spacing w:before="240" w:line="260" w:lineRule="atLeast"/>
      </w:pPr>
      <w:r>
        <w:br/>
      </w:r>
      <w:r>
        <w:rPr>
          <w:rFonts w:ascii="Arial" w:eastAsia="Arial" w:hAnsi="Arial" w:cs="Arial"/>
          <w:color w:val="000000"/>
          <w:sz w:val="20"/>
        </w:rPr>
        <w:t xml:space="preserve"> [*616]  </w:t>
      </w:r>
      <w:r>
        <w:rPr>
          <w:rFonts w:ascii="Arial" w:eastAsia="Arial" w:hAnsi="Arial" w:cs="Arial"/>
          <w:b/>
          <w:color w:val="000000"/>
          <w:sz w:val="20"/>
        </w:rPr>
        <w:t>ORDER</w:t>
      </w:r>
    </w:p>
    <w:p w14:paraId="25972058" w14:textId="77777777" w:rsidR="002D0E71" w:rsidRDefault="00000000">
      <w:pPr>
        <w:pStyle w:val="Normal14"/>
        <w:widowControl w:val="0"/>
        <w:spacing w:before="200" w:line="260" w:lineRule="atLeast"/>
        <w:jc w:val="both"/>
      </w:pPr>
      <w:bookmarkStart w:id="2300" w:name="Bookmark_para_3_13"/>
      <w:bookmarkEnd w:id="2300"/>
      <w:r>
        <w:rPr>
          <w:rFonts w:ascii="Arial" w:eastAsia="Arial" w:hAnsi="Arial" w:cs="Arial"/>
          <w:color w:val="000000"/>
          <w:sz w:val="20"/>
        </w:rPr>
        <w:t xml:space="preserve">Jonathan Wilke, a former Wisconsin inmate now in federal custody, contends that the defendants, all of them employed by the Department of Corrections, did not respond appropriately to his paruresis, a type of social phobia that makes it difficult to urinate in the presence of others. </w:t>
      </w:r>
      <w:r>
        <w:rPr>
          <w:rFonts w:ascii="Arial" w:eastAsia="Arial" w:hAnsi="Arial" w:cs="Arial"/>
          <w:i/>
          <w:color w:val="000000"/>
          <w:sz w:val="20"/>
        </w:rPr>
        <w:t>See</w:t>
      </w:r>
      <w:r>
        <w:rPr>
          <w:rFonts w:ascii="Arial" w:eastAsia="Arial" w:hAnsi="Arial" w:cs="Arial"/>
          <w:color w:val="000000"/>
          <w:sz w:val="20"/>
        </w:rPr>
        <w:t xml:space="preserve"> American Psychiatric Association, </w:t>
      </w:r>
      <w:r>
        <w:rPr>
          <w:rFonts w:ascii="Arial" w:eastAsia="Arial" w:hAnsi="Arial" w:cs="Arial"/>
          <w:i/>
          <w:color w:val="000000"/>
          <w:sz w:val="20"/>
        </w:rPr>
        <w:t>Diagnostic and Statistical Manual of Mental Disorders</w:t>
      </w:r>
      <w:r>
        <w:rPr>
          <w:rFonts w:ascii="Arial" w:eastAsia="Arial" w:hAnsi="Arial" w:cs="Arial"/>
          <w:color w:val="000000"/>
          <w:sz w:val="20"/>
        </w:rPr>
        <w:t xml:space="preserve"> 300.23 (5th ed. 2013). Wilke characterized his paruresis as both a serious medical need and a disability. The defendants, he claimed, had been deliberately indifferent to the condition in violation of the Eighth Amendment, and also had failed to accommodate his phobia in violation of the Americans with Disabilities Act, [**2]  </w:t>
      </w:r>
      <w:r>
        <w:rPr>
          <w:rFonts w:ascii="Arial" w:eastAsia="Arial" w:hAnsi="Arial" w:cs="Arial"/>
          <w:i/>
          <w:color w:val="000000"/>
          <w:sz w:val="20"/>
        </w:rPr>
        <w:t>see</w:t>
      </w:r>
      <w:r>
        <w:rPr>
          <w:rFonts w:ascii="Arial" w:eastAsia="Arial" w:hAnsi="Arial" w:cs="Arial"/>
          <w:color w:val="000000"/>
          <w:sz w:val="20"/>
        </w:rPr>
        <w:t xml:space="preserve"> 42 U.S.C. § 12132. The district court dismissed the Eighth Amendment claim at screening, </w:t>
      </w:r>
      <w:r>
        <w:rPr>
          <w:rFonts w:ascii="Arial" w:eastAsia="Arial" w:hAnsi="Arial" w:cs="Arial"/>
          <w:i/>
          <w:color w:val="000000"/>
          <w:sz w:val="20"/>
        </w:rPr>
        <w:t>see</w:t>
      </w:r>
      <w:r>
        <w:rPr>
          <w:rFonts w:ascii="Arial" w:eastAsia="Arial" w:hAnsi="Arial" w:cs="Arial"/>
          <w:color w:val="000000"/>
          <w:sz w:val="20"/>
        </w:rPr>
        <w:t xml:space="preserve"> 28 U.S.C. § 1915A, and granted summary judgment for the defendants on the ADA claim. Wilke challenges both rulings. We affirm the judgment.</w:t>
      </w:r>
    </w:p>
    <w:p w14:paraId="31C08D56" w14:textId="77777777" w:rsidR="002D0E71" w:rsidRDefault="00000000">
      <w:pPr>
        <w:pStyle w:val="Normal14"/>
        <w:widowControl w:val="0"/>
        <w:spacing w:before="200" w:line="260" w:lineRule="atLeast"/>
        <w:jc w:val="both"/>
      </w:pPr>
      <w:bookmarkStart w:id="2301" w:name="Bookmark_para_4_13"/>
      <w:bookmarkEnd w:id="2301"/>
      <w:r>
        <w:rPr>
          <w:rFonts w:ascii="Arial" w:eastAsia="Arial" w:hAnsi="Arial" w:cs="Arial"/>
          <w:color w:val="000000"/>
          <w:sz w:val="20"/>
        </w:rPr>
        <w:t>Except as noted the pertinent facts are not disputed. Wilke was at Kettle Moraine Correctional Institution in early March 2011 when he first complained to a nurse about having a "shy bladder," another name for paruresis. Wilke explained that he was having difficulty urinating in the presence of staff when asked to produce a sample for urinalysis. The nurse agreed with Wilke that his symptoms were consistent with paruresis, and she recommended various mental exercises. She added, though, that there was not any known treatment.</w:t>
      </w:r>
    </w:p>
    <w:p w14:paraId="42FAED04" w14:textId="77777777" w:rsidR="002D0E71" w:rsidRDefault="00000000">
      <w:pPr>
        <w:pStyle w:val="Normal14"/>
        <w:widowControl w:val="0"/>
        <w:spacing w:before="200" w:line="260" w:lineRule="atLeast"/>
        <w:jc w:val="both"/>
      </w:pPr>
      <w:bookmarkStart w:id="2302" w:name="Bookmark_para_5_13"/>
      <w:bookmarkEnd w:id="2302"/>
      <w:r>
        <w:rPr>
          <w:rFonts w:ascii="Arial" w:eastAsia="Arial" w:hAnsi="Arial" w:cs="Arial"/>
          <w:color w:val="000000"/>
          <w:sz w:val="20"/>
        </w:rPr>
        <w:t>From March 25 to April 16, 2011, Wilke was confined in segregation, but during that period he did not report any problems attributable to his paruresis. In May 2011, however, he contacted William McCreedy, the manager of the Health Services Unit, asking that his paruresis be accommodated when collecting urine samples. McCreedy refused with the explanation that Wilke had not been diagnosed with paruresis and that in the past he had been able to provide samples without accommodation. [**3] </w:t>
      </w:r>
    </w:p>
    <w:p w14:paraId="2F6384F3" w14:textId="77777777" w:rsidR="002D0E71" w:rsidRDefault="00000000">
      <w:pPr>
        <w:pStyle w:val="Normal14"/>
        <w:widowControl w:val="0"/>
        <w:spacing w:before="200" w:line="260" w:lineRule="atLeast"/>
        <w:jc w:val="both"/>
      </w:pPr>
      <w:bookmarkStart w:id="2303" w:name="Bookmark_para_6_13"/>
      <w:bookmarkEnd w:id="2303"/>
      <w:r>
        <w:rPr>
          <w:rFonts w:ascii="Arial" w:eastAsia="Arial" w:hAnsi="Arial" w:cs="Arial"/>
          <w:color w:val="000000"/>
          <w:sz w:val="20"/>
        </w:rPr>
        <w:t>In December 2011, Wilke visited the Psychological Services Unit at Kettle Moraine and asked about treatment for paruresis and an accommodation for urine testing. Michelle Wilinski, a psychological associate, promptly added Wilke's name to the list of inmates needing accommodation (i.e., being left alone in an empty cell to produce the sample). In taking that step, Wilinski was following her unit's policy of automatically granting a urinalysis accommodation  [*617]  to any inmate who self-reports paruresis. The parties agree that adding a name to the accommodation list is not intended as a "diagnosis," but instead is done to protect inmates who might have paruresis from being disciplined for not providing a urine sample. Even so, Wilinski noted in the plaintiff's medical file that he had made a self-report of paruresis, and she also entered an initial "diagnosis," pending further investigation, of "social phobia." Not long after this interaction with Wilinski, the plaintiff was asked to produce a urine sample without accommodation. He complied, but the effort was painful. Afterward, Wilinski clarified that inmates on the accommodation list must still try each time to produce a sample without [**4]  accommodation. In practice, though, Wilke may have been taken immediately to a vacant cell whenever urine was collected (at summary judgment he gave inconsistent accounts about whether prison staff required him to first try giving the sample without accommodation).</w:t>
      </w:r>
    </w:p>
    <w:p w14:paraId="17F03798" w14:textId="77777777" w:rsidR="002D0E71" w:rsidRDefault="00000000">
      <w:pPr>
        <w:pStyle w:val="Normal14"/>
        <w:widowControl w:val="0"/>
        <w:spacing w:before="200" w:line="260" w:lineRule="atLeast"/>
        <w:jc w:val="both"/>
      </w:pPr>
      <w:bookmarkStart w:id="2304" w:name="Bookmark_para_7_13"/>
      <w:bookmarkEnd w:id="2304"/>
      <w:r>
        <w:rPr>
          <w:rFonts w:ascii="Arial" w:eastAsia="Arial" w:hAnsi="Arial" w:cs="Arial"/>
          <w:color w:val="000000"/>
          <w:sz w:val="20"/>
        </w:rPr>
        <w:t>A few weeks after Wilke first contacted psychological services, the Security Director, Dylan Radtke, and the Chief Supervising Psychologist, Toby Watson, met with him to discuss his paruresis. Dr. Watson provided information about the services available for further assessment and possible treatment, and also noted that avoidance is not an effective strategy for addressing the phobia. He instructed Wilke to contact Wilinski, who then met twice with Wilke, in January and February 2012. She gave him a pamphlet describing coping techniques, which she discussed with him.</w:t>
      </w:r>
    </w:p>
    <w:p w14:paraId="75918979" w14:textId="77777777" w:rsidR="002D0E71" w:rsidRDefault="00000000">
      <w:pPr>
        <w:pStyle w:val="Normal14"/>
        <w:widowControl w:val="0"/>
        <w:spacing w:before="200" w:line="260" w:lineRule="atLeast"/>
        <w:jc w:val="both"/>
      </w:pPr>
      <w:bookmarkStart w:id="2305" w:name="Bookmark_para_8_13"/>
      <w:bookmarkEnd w:id="2305"/>
      <w:r>
        <w:rPr>
          <w:rFonts w:ascii="Arial" w:eastAsia="Arial" w:hAnsi="Arial" w:cs="Arial"/>
          <w:color w:val="000000"/>
          <w:sz w:val="20"/>
        </w:rPr>
        <w:t>Shortly after the February meeting with Wilinski, Wilke was placed in segregation, where he shared a cell. Over the next few days, Wilke repeatedly asked the supervisor of the segregation unit, as well as the medical- and psychological-services staff, to assign him to a single cell because his paruresis was making it difficult to urinate in front of his cellmate. [**5]  This was the first time, Wilke concedes, that he asked to be housed alone while in segregation. His requests were denied, and in one response, another psychological associate, Randy Smith, urged him to use the coping techniques discussed with Wilinski. Smith explained that, as noted in the pamphlet Wilinski had provided, avoidance of the problem is not an effective treatment. Dr. Watson also responded to Wilke's requests, saying that, after consulting with Radtke, he had decided against giving Wilke a cell to himself.</w:t>
      </w:r>
    </w:p>
    <w:p w14:paraId="6B53DD31" w14:textId="77777777" w:rsidR="002D0E71" w:rsidRDefault="00000000">
      <w:pPr>
        <w:pStyle w:val="Normal14"/>
        <w:widowControl w:val="0"/>
        <w:spacing w:before="200" w:line="260" w:lineRule="atLeast"/>
        <w:jc w:val="both"/>
      </w:pPr>
      <w:bookmarkStart w:id="2306" w:name="Bookmark_para_9_13"/>
      <w:bookmarkEnd w:id="2306"/>
      <w:r>
        <w:rPr>
          <w:rFonts w:ascii="Arial" w:eastAsia="Arial" w:hAnsi="Arial" w:cs="Arial"/>
          <w:color w:val="000000"/>
          <w:sz w:val="20"/>
        </w:rPr>
        <w:t>In March and September 2012, during two more periods in segregation, Wilke again contacted psychological services and requested a single cell as an accommodation to his paruresis. Once again Smith, the psychological associate, and Dr. Watson followed up with Wilke, though they did not authorize a single cell. In a letter responding to the plaintiff's September request, Watson reminded him about a handout on paruresis, which Smith had sent Wilke so that they could begin working on a treatment plan. Watson noted that Wilke had not met regularly with the psychological-services staff after his last stint in segregation, and the psychologist encouraged Wilke to contact Smith [**6]  to begin working with him.</w:t>
      </w:r>
    </w:p>
    <w:p w14:paraId="0B5992EC" w14:textId="77777777" w:rsidR="002D0E71" w:rsidRDefault="00000000">
      <w:pPr>
        <w:pStyle w:val="Normal14"/>
        <w:widowControl w:val="0"/>
        <w:spacing w:before="200" w:line="260" w:lineRule="atLeast"/>
        <w:jc w:val="both"/>
      </w:pPr>
      <w:bookmarkStart w:id="2307" w:name="Bookmark_para_10_13"/>
      <w:bookmarkEnd w:id="2307"/>
      <w:r>
        <w:rPr>
          <w:rFonts w:ascii="Arial" w:eastAsia="Arial" w:hAnsi="Arial" w:cs="Arial"/>
          <w:color w:val="000000"/>
          <w:sz w:val="20"/>
        </w:rPr>
        <w:t>Wilke was released from segregation on November 17, 2012, and a few days later requested an appointment with psychological services. On December 4, 2012, he filed this lawsuit. Another psychological associate, Joshua Dolan, met with him later that month and also in January 2013. They discussed his symptoms and coping techniques. After that, however, Wilke did not return, and so Dolan wrote him in April 2013. Dolan noted that Wilke had not been by in three months and encouraged  [*618]  him to submit a request if he still needed assistance.</w:t>
      </w:r>
    </w:p>
    <w:p w14:paraId="06660D6D" w14:textId="77777777" w:rsidR="002D0E71" w:rsidRDefault="00000000">
      <w:pPr>
        <w:pStyle w:val="Normal14"/>
        <w:widowControl w:val="0"/>
        <w:spacing w:before="200" w:line="260" w:lineRule="atLeast"/>
        <w:jc w:val="both"/>
      </w:pPr>
      <w:bookmarkStart w:id="2308" w:name="Bookmark_para_11_13"/>
      <w:bookmarkEnd w:id="2308"/>
      <w:r>
        <w:rPr>
          <w:rFonts w:ascii="Arial" w:eastAsia="Arial" w:hAnsi="Arial" w:cs="Arial"/>
          <w:color w:val="000000"/>
          <w:sz w:val="20"/>
        </w:rPr>
        <w:t>In May 2013, Wilke engaged for the first time Kettle Moraine's process for requesting reasonable accommodations under ADA. He asked that he be given a single cell when sent to segregation. The prison's "accommodations coordinator" denied that request in June 2013, writing that she had not found confirmation of a paruresis diagnosis but noting that, even assuming that Wilke suffers from that condition, a "single cell would be contraindicated." The coordinator suggested that Wilke continue working with health services or psychological services to obtain a recommendation for this particular accommodation.</w:t>
      </w:r>
    </w:p>
    <w:p w14:paraId="141DD017" w14:textId="77777777" w:rsidR="002D0E71" w:rsidRDefault="00000000">
      <w:pPr>
        <w:pStyle w:val="Normal14"/>
        <w:widowControl w:val="0"/>
        <w:spacing w:before="200" w:line="260" w:lineRule="atLeast"/>
        <w:jc w:val="both"/>
      </w:pPr>
      <w:bookmarkStart w:id="2309" w:name="Bookmark_para_12_12"/>
      <w:bookmarkEnd w:id="2309"/>
      <w:r>
        <w:rPr>
          <w:rFonts w:ascii="Arial" w:eastAsia="Arial" w:hAnsi="Arial" w:cs="Arial"/>
          <w:color w:val="000000"/>
          <w:sz w:val="20"/>
        </w:rPr>
        <w:t xml:space="preserve">After extensive discovery, both [**7]  sides moved for summary judgment. Wilke argued that he has a disability for purposes of the ADA (paruresis impairs the functioning of his bladder, a major life activity, </w:t>
      </w:r>
      <w:r>
        <w:rPr>
          <w:rFonts w:ascii="Arial" w:eastAsia="Arial" w:hAnsi="Arial" w:cs="Arial"/>
          <w:i/>
          <w:color w:val="000000"/>
          <w:sz w:val="20"/>
        </w:rPr>
        <w:t>see</w:t>
      </w:r>
      <w:r>
        <w:rPr>
          <w:rFonts w:ascii="Arial" w:eastAsia="Arial" w:hAnsi="Arial" w:cs="Arial"/>
          <w:color w:val="000000"/>
          <w:sz w:val="20"/>
        </w:rPr>
        <w:t xml:space="preserve"> 42 U.S.C. § 12102), and he also contended that the defendants had failed to reasonably accommodate him during urinalysis and while he was in segregation. The defendants disputed that paruresis is a disability under the ADA and denied that any qualified medical professional had officially diagnosed Wilke with that condition. In September 2014 the district judge denied both motions, explaining that neither side had persuaded him that issues of material fact did not exist concerning whether Wilke was a qualified individual with a disability and whether he had been denied reasonable accommodations.</w:t>
      </w:r>
    </w:p>
    <w:p w14:paraId="56C4AC64" w14:textId="77777777" w:rsidR="002D0E71" w:rsidRDefault="00000000">
      <w:pPr>
        <w:pStyle w:val="Normal14"/>
        <w:widowControl w:val="0"/>
        <w:spacing w:before="200" w:line="260" w:lineRule="atLeast"/>
        <w:jc w:val="both"/>
      </w:pPr>
      <w:bookmarkStart w:id="2310" w:name="Bookmark_para_13_12"/>
      <w:bookmarkEnd w:id="2310"/>
      <w:r>
        <w:rPr>
          <w:rFonts w:ascii="Arial" w:eastAsia="Arial" w:hAnsi="Arial" w:cs="Arial"/>
          <w:color w:val="000000"/>
          <w:sz w:val="20"/>
        </w:rPr>
        <w:t>Meanwhile, Wilke had completed his state sentence in May 2014, and immediately had been taken into federal custody to begin serving a federal sentence. When the defendants realized that he no longer was in their custody, they obtained leave to file a renewed motion for summary judgment. This time the defendants argued that Wilke's demand for injunctive relief was now moot and that, because he was left with only a damages action under Title [**8]  II of the ADA, the suit must be dismissed on the basis of Eleventh Amendment immunity. The defendants submitted another statement of undisputed facts, which included their assertion, citing an affidavit from Smith, the psychological associate, that "providing a single cell accommodation to someone with paruresis in most instances would make their paruresis condition worse because avoidance intensifies the anxiety sufferers experience from being around others while urinating." Not only did Wilke fail to object to this statement, he concurred. The district court agreed with the defendants' new arguments and, in December 2014, granted summary judgment in their favor.</w:t>
      </w:r>
    </w:p>
    <w:p w14:paraId="52164E58" w14:textId="77777777" w:rsidR="002D0E71" w:rsidRDefault="00000000">
      <w:pPr>
        <w:pStyle w:val="Normal14"/>
        <w:widowControl w:val="0"/>
        <w:spacing w:before="200" w:line="260" w:lineRule="atLeast"/>
        <w:jc w:val="both"/>
      </w:pPr>
      <w:bookmarkStart w:id="2311" w:name="Bookmark_para_14_12"/>
      <w:bookmarkEnd w:id="2311"/>
      <w:r>
        <w:rPr>
          <w:rFonts w:ascii="Arial" w:eastAsia="Arial" w:hAnsi="Arial" w:cs="Arial"/>
          <w:color w:val="000000"/>
          <w:sz w:val="20"/>
        </w:rPr>
        <w:t>On appeal Wilke first argues that the district court erred in dismissing his Eighth Amendment claim at screening. The district court reasoned that Wilke's complaint fails to state a claim for deliberate indifference to a serious medical need because paruresis is not a condition that would be obvious to a lay person and no physician ever had diagnosed the condition officially. Moreover, the court continued, Wilke's complaint alleges that he was receiving care from the prison's medical staff, and thus he was not denied care.</w:t>
      </w:r>
    </w:p>
    <w:p w14:paraId="3CC873E4" w14:textId="77777777" w:rsidR="002D0E71" w:rsidRDefault="00000000">
      <w:pPr>
        <w:pStyle w:val="Normal14"/>
        <w:widowControl w:val="0"/>
        <w:spacing w:before="200" w:line="260" w:lineRule="atLeast"/>
        <w:jc w:val="both"/>
      </w:pPr>
      <w:bookmarkStart w:id="2312" w:name="Bookmark_para_15_12"/>
      <w:bookmarkStart w:id="2313" w:name="Bookmark_I48TWSRDRBG0003XDXD004H0"/>
      <w:bookmarkStart w:id="2314" w:name="Bookmark_I48TWSRDXFB0003XDXD004H1"/>
      <w:bookmarkStart w:id="2315" w:name="Bookmark_I48TWSRF63M0003XDXD00128"/>
      <w:bookmarkStart w:id="2316" w:name="Bookmark_I5HHRVJ52N1R5H0020000400"/>
      <w:bookmarkEnd w:id="2312"/>
      <w:bookmarkEnd w:id="2313"/>
      <w:bookmarkEnd w:id="2314"/>
      <w:bookmarkEnd w:id="2315"/>
      <w:bookmarkEnd w:id="2316"/>
      <w:r>
        <w:rPr>
          <w:rFonts w:ascii="Arial" w:eastAsia="Arial" w:hAnsi="Arial" w:cs="Arial"/>
          <w:color w:val="000000"/>
          <w:sz w:val="20"/>
        </w:rPr>
        <w:t xml:space="preserve">We are skeptical of the district court's [**9]  conclusion that Wilke did not allege that he suffers from paruresis, simply because an "official" diagnosis was never made. Putting the complaint to one side, it is clear from the substantial record that the defendants all along understood Wilke to have paruresis, and that many of the defendants likewise understood the nature of that phobia. In a different case, then, we might find it necessary to decide if, or under what circumstances, paruresis constitutes a serious medical need. </w:t>
      </w:r>
      <w:r>
        <w:rPr>
          <w:rFonts w:ascii="Arial" w:eastAsia="Arial" w:hAnsi="Arial" w:cs="Arial"/>
          <w:i/>
          <w:color w:val="000000"/>
          <w:sz w:val="20"/>
        </w:rPr>
        <w:t xml:space="preserve">Compare </w:t>
      </w:r>
      <w:bookmarkStart w:id="2317" w:name="Bookmark_I5HHRVJ52N1R5H0010000400"/>
      <w:bookmarkEnd w:id="2317"/>
      <w:r>
        <w:rPr>
          <w:rFonts w:ascii="Arial" w:eastAsia="Arial" w:hAnsi="Arial" w:cs="Arial"/>
          <w:i/>
          <w:color w:val="000000"/>
          <w:sz w:val="20"/>
        </w:rPr>
        <w:t>Roundtree v. Walton</w:t>
      </w:r>
      <w:r>
        <w:rPr>
          <w:rFonts w:ascii="Arial" w:eastAsia="Arial" w:hAnsi="Arial" w:cs="Arial"/>
          <w:color w:val="000000"/>
          <w:sz w:val="20"/>
        </w:rPr>
        <w:t xml:space="preserve">, Civil No. 12-cv-1166-JPG,  [*619]  2013 U.S. Dist. LEXIS 62104, 2013 WL 1840377 (S.D. Ill. May 1, 2013) (concluding that paruresis was serious medical need when condition allegedly caused inmate's suicide attempt), </w:t>
      </w:r>
      <w:r>
        <w:rPr>
          <w:rFonts w:ascii="Arial" w:eastAsia="Arial" w:hAnsi="Arial" w:cs="Arial"/>
          <w:i/>
          <w:color w:val="000000"/>
          <w:sz w:val="20"/>
        </w:rPr>
        <w:t xml:space="preserve">and </w:t>
      </w:r>
      <w:bookmarkStart w:id="2318" w:name="Bookmark_I5HHRVJ52N1R5H0030000400"/>
      <w:bookmarkEnd w:id="2318"/>
      <w:r>
        <w:rPr>
          <w:rFonts w:ascii="Arial" w:eastAsia="Arial" w:hAnsi="Arial" w:cs="Arial"/>
          <w:i/>
          <w:color w:val="000000"/>
          <w:sz w:val="20"/>
        </w:rPr>
        <w:t>Hunt v. Houston</w:t>
      </w:r>
      <w:r>
        <w:rPr>
          <w:rFonts w:ascii="Arial" w:eastAsia="Arial" w:hAnsi="Arial" w:cs="Arial"/>
          <w:color w:val="000000"/>
          <w:sz w:val="20"/>
        </w:rPr>
        <w:t xml:space="preserve">, No. 4:11CV3086, 2011 U.S. Dist. LEXIS 100161, 2011 WL 3897602 (D. Neb. Sept. 6, 2011) (stating that paruresis was serious medical need because it triggered post-traumatic stress disorder and hypertension), with </w:t>
      </w:r>
      <w:bookmarkStart w:id="2319" w:name="Bookmark_I5HHRVJ52N1R5H0050000400"/>
      <w:bookmarkEnd w:id="2319"/>
      <w:r>
        <w:rPr>
          <w:rFonts w:ascii="Arial" w:eastAsia="Arial" w:hAnsi="Arial" w:cs="Arial"/>
          <w:i/>
          <w:color w:val="000000"/>
          <w:sz w:val="20"/>
        </w:rPr>
        <w:t>Brammer v. Northrop</w:t>
      </w:r>
      <w:r>
        <w:rPr>
          <w:rFonts w:ascii="Arial" w:eastAsia="Arial" w:hAnsi="Arial" w:cs="Arial"/>
          <w:color w:val="000000"/>
          <w:sz w:val="20"/>
        </w:rPr>
        <w:t>, No. 06-CV-6520 CJS, 2010 U.S. Dist. LEXIS 16191, 2010 WL 681296 (W.D. N.Y. Feb. 24, 2010) (stating that inmate's paruresis was not "objectively sufficiently serious" because it arose only during urinalysis).</w:t>
      </w:r>
    </w:p>
    <w:p w14:paraId="7112B736" w14:textId="77777777" w:rsidR="002D0E71" w:rsidRDefault="00000000">
      <w:pPr>
        <w:pStyle w:val="Normal14"/>
        <w:widowControl w:val="0"/>
        <w:spacing w:before="200" w:line="260" w:lineRule="atLeast"/>
        <w:jc w:val="both"/>
      </w:pPr>
      <w:bookmarkStart w:id="2320" w:name="Bookmark_para_16_12"/>
      <w:bookmarkEnd w:id="2320"/>
      <w:r>
        <w:rPr>
          <w:rFonts w:ascii="Arial" w:eastAsia="Arial" w:hAnsi="Arial" w:cs="Arial"/>
          <w:color w:val="000000"/>
          <w:sz w:val="20"/>
        </w:rPr>
        <w:t xml:space="preserve">For purposes here we may assume that paruresis can be a serious medical need. That assumption cannot help Wilke, though, because he's already had a full opportunity to develop evidence supporting his Eighth Amendment claim, and that evidence shows the claim [**10]  to be without merit. </w:t>
      </w:r>
      <w:bookmarkStart w:id="2321" w:name="Bookmark_I5HHRVJ62HM6720030000400"/>
      <w:bookmarkEnd w:id="2321"/>
      <w:r>
        <w:rPr>
          <w:rFonts w:ascii="Arial" w:eastAsia="Arial" w:hAnsi="Arial" w:cs="Arial"/>
          <w:color w:val="000000"/>
          <w:sz w:val="20"/>
        </w:rPr>
        <w:t xml:space="preserve">In reviewing Wilke's complaint, the district court reasoned that it actually details adequate treatment, not indifference. Essentially, the court thought that Wilke had pleaded himself out of court. </w:t>
      </w:r>
      <w:r>
        <w:rPr>
          <w:rFonts w:ascii="Arial" w:eastAsia="Arial" w:hAnsi="Arial" w:cs="Arial"/>
          <w:i/>
          <w:color w:val="000000"/>
          <w:sz w:val="20"/>
        </w:rPr>
        <w:t xml:space="preserve">See </w:t>
      </w:r>
      <w:bookmarkStart w:id="2322" w:name="Bookmark_I5HHRVJ62HM6720020000400"/>
      <w:bookmarkEnd w:id="2322"/>
      <w:r>
        <w:rPr>
          <w:rFonts w:ascii="Arial" w:eastAsia="Arial" w:hAnsi="Arial" w:cs="Arial"/>
          <w:i/>
          <w:color w:val="000000"/>
          <w:sz w:val="20"/>
        </w:rPr>
        <w:t>Atkins v. City of Chicago</w:t>
      </w:r>
      <w:r>
        <w:rPr>
          <w:rFonts w:ascii="Arial" w:eastAsia="Arial" w:hAnsi="Arial" w:cs="Arial"/>
          <w:color w:val="000000"/>
          <w:sz w:val="20"/>
        </w:rPr>
        <w:t>, 631 F.3d 823, 832 (7th Cir. 2011) (explaining that plaintiff can "plead himself out of court" by alleging "facts that show that he has no legal claim"). Whether or not we would agree with that reading of the complaint, we need not blind ourselves to the record developed during discovery.</w:t>
      </w:r>
    </w:p>
    <w:p w14:paraId="760B7419" w14:textId="77777777" w:rsidR="002D0E71" w:rsidRDefault="00000000">
      <w:pPr>
        <w:pStyle w:val="Normal14"/>
        <w:widowControl w:val="0"/>
        <w:spacing w:before="200" w:line="260" w:lineRule="atLeast"/>
        <w:jc w:val="both"/>
      </w:pPr>
      <w:bookmarkStart w:id="2323" w:name="Bookmark_para_17_11"/>
      <w:bookmarkEnd w:id="2323"/>
      <w:r>
        <w:rPr>
          <w:rFonts w:ascii="Arial" w:eastAsia="Arial" w:hAnsi="Arial" w:cs="Arial"/>
          <w:color w:val="000000"/>
          <w:sz w:val="20"/>
        </w:rPr>
        <w:t xml:space="preserve">That record confirms that the defendants did not ignore Wilke's paruresis. After self-reporting the condition he was given literature about it and taught strategies for coping. He also received counseling from the psychological-services staff, including two psychological associates and the chief supervising psychologist. </w:t>
      </w:r>
      <w:bookmarkStart w:id="2324" w:name="Bookmark_I5HHRVJ62HM6720050000400"/>
      <w:bookmarkEnd w:id="2324"/>
      <w:r>
        <w:rPr>
          <w:rFonts w:ascii="Arial" w:eastAsia="Arial" w:hAnsi="Arial" w:cs="Arial"/>
          <w:color w:val="000000"/>
          <w:sz w:val="20"/>
        </w:rPr>
        <w:t xml:space="preserve">Wilke was encouraged to meet regularly with the counselors and participate in formulating a treatment plan, but he did not. Instead, he simply demanded a private cell when housed in segregation, even though, as he conceded at summary judgment, that very "accommodation" typically would aggravate paruresis because "avoidance intensifies the anxiety" experienced when urinating around others. Wilke [**11]  may have changed his mind about this concession, but his disagreement with the psychological-services staff about how best to treat his phobia cannot sustain a claim for deliberate indifference. </w:t>
      </w:r>
      <w:r>
        <w:rPr>
          <w:rFonts w:ascii="Arial" w:eastAsia="Arial" w:hAnsi="Arial" w:cs="Arial"/>
          <w:i/>
          <w:color w:val="000000"/>
          <w:sz w:val="20"/>
        </w:rPr>
        <w:t xml:space="preserve">See </w:t>
      </w:r>
      <w:bookmarkStart w:id="2325" w:name="Bookmark_I5HHRVJ62HM6720040000400"/>
      <w:bookmarkEnd w:id="2325"/>
      <w:r>
        <w:rPr>
          <w:rFonts w:ascii="Arial" w:eastAsia="Arial" w:hAnsi="Arial" w:cs="Arial"/>
          <w:i/>
          <w:color w:val="000000"/>
          <w:sz w:val="20"/>
        </w:rPr>
        <w:t>Snipes v. DeTella</w:t>
      </w:r>
      <w:r>
        <w:rPr>
          <w:rFonts w:ascii="Arial" w:eastAsia="Arial" w:hAnsi="Arial" w:cs="Arial"/>
          <w:color w:val="000000"/>
          <w:sz w:val="20"/>
        </w:rPr>
        <w:t xml:space="preserve">, 95 F.3d 586, 591 (7th Cir. 1996). </w:t>
      </w:r>
      <w:bookmarkStart w:id="2326" w:name="Bookmark_I5HHRVJ62N1R5J0020000400"/>
      <w:bookmarkEnd w:id="2326"/>
      <w:r>
        <w:rPr>
          <w:rFonts w:ascii="Arial" w:eastAsia="Arial" w:hAnsi="Arial" w:cs="Arial"/>
          <w:color w:val="000000"/>
          <w:sz w:val="20"/>
        </w:rPr>
        <w:t xml:space="preserve">The same allegations and evidence underlie both of Wilke's claims, and, with the benefit of the record developed at summary judgment on the surviving ADA claim, we are confident that a jury could not reasonably find for Wilke on the Eighth Amendment claim. For that reason Wilke could not have been harmed by the dismissal of the claim at screening, even if that dismissal was too hasty. </w:t>
      </w:r>
      <w:r>
        <w:rPr>
          <w:rFonts w:ascii="Arial" w:eastAsia="Arial" w:hAnsi="Arial" w:cs="Arial"/>
          <w:i/>
          <w:color w:val="000000"/>
          <w:sz w:val="20"/>
        </w:rPr>
        <w:t xml:space="preserve">See </w:t>
      </w:r>
      <w:bookmarkStart w:id="2327" w:name="Bookmark_I5HHRVJ62N1R5J0010000400"/>
      <w:bookmarkEnd w:id="2327"/>
      <w:r>
        <w:rPr>
          <w:rFonts w:ascii="Arial" w:eastAsia="Arial" w:hAnsi="Arial" w:cs="Arial"/>
          <w:i/>
          <w:color w:val="000000"/>
          <w:sz w:val="20"/>
        </w:rPr>
        <w:t>United States v. Rogers Cartage Co.</w:t>
      </w:r>
      <w:r>
        <w:rPr>
          <w:rFonts w:ascii="Arial" w:eastAsia="Arial" w:hAnsi="Arial" w:cs="Arial"/>
          <w:color w:val="000000"/>
          <w:sz w:val="20"/>
        </w:rPr>
        <w:t xml:space="preserve">, 794 F.3d 854, 861 (7th Cir. 2015); </w:t>
      </w:r>
      <w:bookmarkStart w:id="2328" w:name="Bookmark_I5HHRVJ62N1R5J0030000400"/>
      <w:bookmarkEnd w:id="2328"/>
      <w:r>
        <w:rPr>
          <w:rFonts w:ascii="Arial" w:eastAsia="Arial" w:hAnsi="Arial" w:cs="Arial"/>
          <w:i/>
          <w:color w:val="000000"/>
          <w:sz w:val="20"/>
        </w:rPr>
        <w:t>Estate of Davis v. Wells Fargo Bank</w:t>
      </w:r>
      <w:r>
        <w:rPr>
          <w:rFonts w:ascii="Arial" w:eastAsia="Arial" w:hAnsi="Arial" w:cs="Arial"/>
          <w:color w:val="000000"/>
          <w:sz w:val="20"/>
        </w:rPr>
        <w:t>, 633 F.3d 529, 538 (7th Cir. 2011).</w:t>
      </w:r>
    </w:p>
    <w:p w14:paraId="3071C910" w14:textId="77777777" w:rsidR="002D0E71" w:rsidRDefault="00000000">
      <w:pPr>
        <w:pStyle w:val="Normal14"/>
        <w:widowControl w:val="0"/>
        <w:spacing w:before="200" w:line="260" w:lineRule="atLeast"/>
        <w:jc w:val="both"/>
      </w:pPr>
      <w:bookmarkStart w:id="2329" w:name="Bookmark_para_18_11"/>
      <w:bookmarkStart w:id="2330" w:name="Bookmark_I5HHRVJ62SF8C40010000400"/>
      <w:bookmarkEnd w:id="2329"/>
      <w:bookmarkEnd w:id="2330"/>
      <w:r>
        <w:rPr>
          <w:rFonts w:ascii="Arial" w:eastAsia="Arial" w:hAnsi="Arial" w:cs="Arial"/>
          <w:color w:val="000000"/>
          <w:sz w:val="20"/>
        </w:rPr>
        <w:t xml:space="preserve">Next, Wilke argues that the district court erred when it granted summary judgment in favor of the defendants on his ADA claim. </w:t>
      </w:r>
      <w:bookmarkStart w:id="2331" w:name="Bookmark_I5HHRVJ62SF8C40030000400"/>
      <w:bookmarkEnd w:id="2331"/>
      <w:r>
        <w:rPr>
          <w:rFonts w:ascii="Arial" w:eastAsia="Arial" w:hAnsi="Arial" w:cs="Arial"/>
          <w:color w:val="000000"/>
          <w:sz w:val="20"/>
        </w:rPr>
        <w:t xml:space="preserve">The parties debate whether the district court properly determined that the defendants are immune from suit despite the attempted statutory abrogation of sovereign immunity in Title II of the ADA. The defendants also argue that it was unnecessary to reach this issue because Wilke's request for injunctive relief was mooted by his transfer from federal custody, and Wilke did not argue that he was subject to intentional discrimination, which they contend is required to obtain compensatory damages [**12]  under Title II. The defendants are correct, and Wilke concedes, that he can no longer seek injunctive relief because he was transferred from state custody, </w:t>
      </w:r>
      <w:r>
        <w:rPr>
          <w:rFonts w:ascii="Arial" w:eastAsia="Arial" w:hAnsi="Arial" w:cs="Arial"/>
          <w:i/>
          <w:color w:val="000000"/>
          <w:sz w:val="20"/>
        </w:rPr>
        <w:t xml:space="preserve">see </w:t>
      </w:r>
      <w:bookmarkStart w:id="2332" w:name="Bookmark_I5HHRVJ62N1R5J0050000400"/>
      <w:bookmarkEnd w:id="2332"/>
      <w:r>
        <w:rPr>
          <w:rFonts w:ascii="Arial" w:eastAsia="Arial" w:hAnsi="Arial" w:cs="Arial"/>
          <w:i/>
          <w:color w:val="000000"/>
          <w:sz w:val="20"/>
        </w:rPr>
        <w:t>Pearson v. Welborn</w:t>
      </w:r>
      <w:r>
        <w:rPr>
          <w:rFonts w:ascii="Arial" w:eastAsia="Arial" w:hAnsi="Arial" w:cs="Arial"/>
          <w:color w:val="000000"/>
          <w:sz w:val="20"/>
        </w:rPr>
        <w:t xml:space="preserve">, 471 F.3d 732, 743 (7th Cir. 2006),  [*620]  and he is therefore limited to seeking compensatory damages. </w:t>
      </w:r>
      <w:bookmarkStart w:id="2333" w:name="Bookmark_I5HHRVJ62SF8C50020000400"/>
      <w:bookmarkEnd w:id="2333"/>
      <w:r>
        <w:rPr>
          <w:rFonts w:ascii="Arial" w:eastAsia="Arial" w:hAnsi="Arial" w:cs="Arial"/>
          <w:color w:val="000000"/>
          <w:sz w:val="20"/>
        </w:rPr>
        <w:t xml:space="preserve">The defendants state that intentional discrimination is thus required, though we have never published an opinion explicitly taking this position. </w:t>
      </w:r>
      <w:bookmarkStart w:id="2334" w:name="Bookmark_I5HHRVJ62SF8C50020000400_2"/>
      <w:bookmarkStart w:id="2335" w:name="Bookmark_I5HHRVJ62SF8C40030000400_2"/>
      <w:bookmarkEnd w:id="2334"/>
      <w:bookmarkEnd w:id="2335"/>
      <w:r>
        <w:rPr>
          <w:rFonts w:ascii="Arial" w:eastAsia="Arial" w:hAnsi="Arial" w:cs="Arial"/>
          <w:color w:val="000000"/>
          <w:sz w:val="20"/>
        </w:rPr>
        <w:t xml:space="preserve">But we have observed that all circuits to address the question have reached this conclusion, </w:t>
      </w:r>
      <w:r>
        <w:rPr>
          <w:rFonts w:ascii="Arial" w:eastAsia="Arial" w:hAnsi="Arial" w:cs="Arial"/>
          <w:b/>
          <w:i/>
          <w:color w:val="000000"/>
          <w:sz w:val="20"/>
        </w:rPr>
        <w:t>s</w:t>
      </w:r>
      <w:r>
        <w:rPr>
          <w:rFonts w:ascii="Arial" w:eastAsia="Arial" w:hAnsi="Arial" w:cs="Arial"/>
          <w:i/>
          <w:color w:val="000000"/>
          <w:sz w:val="20"/>
        </w:rPr>
        <w:t xml:space="preserve">ee </w:t>
      </w:r>
      <w:bookmarkStart w:id="2336" w:name="Bookmark_I5HHRVJ62SF8C40020000400"/>
      <w:bookmarkEnd w:id="2336"/>
      <w:r>
        <w:rPr>
          <w:rFonts w:ascii="Arial" w:eastAsia="Arial" w:hAnsi="Arial" w:cs="Arial"/>
          <w:i/>
          <w:color w:val="000000"/>
          <w:sz w:val="20"/>
        </w:rPr>
        <w:t>CTL ex rel. Trebatoski v. Ashland Sch. Dist.</w:t>
      </w:r>
      <w:r>
        <w:rPr>
          <w:rFonts w:ascii="Arial" w:eastAsia="Arial" w:hAnsi="Arial" w:cs="Arial"/>
          <w:color w:val="000000"/>
          <w:sz w:val="20"/>
        </w:rPr>
        <w:t xml:space="preserve">, 743 F.3d 524, 528 n.4 (7th Cir. 2014), and we noted that compensatory damages "may be available only for claims of intentional discrimination." </w:t>
      </w:r>
      <w:bookmarkStart w:id="2337" w:name="Bookmark_I5HHRVJ62SF8C40040000400"/>
      <w:bookmarkEnd w:id="2337"/>
      <w:r>
        <w:rPr>
          <w:rFonts w:ascii="Arial" w:eastAsia="Arial" w:hAnsi="Arial" w:cs="Arial"/>
          <w:i/>
          <w:color w:val="000000"/>
          <w:sz w:val="20"/>
        </w:rPr>
        <w:t>Reed v. Columbia St. Mary's Hosp.</w:t>
      </w:r>
      <w:r>
        <w:rPr>
          <w:rFonts w:ascii="Arial" w:eastAsia="Arial" w:hAnsi="Arial" w:cs="Arial"/>
          <w:color w:val="000000"/>
          <w:sz w:val="20"/>
        </w:rPr>
        <w:t xml:space="preserve">, 782 F.3d 331 (7th Cir. 2015). Nevertheless, the circuits are split regarding whether discriminatory animus or only deliberate indifference is required, </w:t>
      </w:r>
      <w:r>
        <w:rPr>
          <w:rFonts w:ascii="Arial" w:eastAsia="Arial" w:hAnsi="Arial" w:cs="Arial"/>
          <w:i/>
          <w:color w:val="000000"/>
          <w:sz w:val="20"/>
        </w:rPr>
        <w:t xml:space="preserve">see </w:t>
      </w:r>
      <w:bookmarkStart w:id="2338" w:name="Bookmark_I5HHRVJ62SF8C50010000400"/>
      <w:bookmarkEnd w:id="2338"/>
      <w:r>
        <w:rPr>
          <w:rFonts w:ascii="Arial" w:eastAsia="Arial" w:hAnsi="Arial" w:cs="Arial"/>
          <w:i/>
          <w:color w:val="000000"/>
          <w:sz w:val="20"/>
        </w:rPr>
        <w:t>S.H. ex rel. Durrell v. Lower Merion Sch. Dist.</w:t>
      </w:r>
      <w:r>
        <w:rPr>
          <w:rFonts w:ascii="Arial" w:eastAsia="Arial" w:hAnsi="Arial" w:cs="Arial"/>
          <w:color w:val="000000"/>
          <w:sz w:val="20"/>
        </w:rPr>
        <w:t>, 729 F.3d 248, 262-63 (3d Cir. 2013) (describing different circuits' standards). We need not take a position here because the facts Wilke alleges, at worst, demonstrate negligence, which cannot meet either standard. The defendants were not deliberately indifferent to his condition when they chose not to grant him a single cell, which they judged—and Wilke admitted—would likely make his disorder worse. And the record reflects that Wilke failed to seek the treatment that psychological services advised and which would enable staff to [**13]  ascertain whether his requested accommodation was in fact necessary.</w:t>
      </w:r>
    </w:p>
    <w:p w14:paraId="183B2688" w14:textId="77777777" w:rsidR="002D0E71" w:rsidRDefault="00000000">
      <w:pPr>
        <w:pStyle w:val="Normal14"/>
        <w:widowControl w:val="0"/>
        <w:spacing w:before="200" w:line="260" w:lineRule="atLeast"/>
        <w:jc w:val="both"/>
      </w:pPr>
      <w:bookmarkStart w:id="2339" w:name="Bookmark_para_19_11"/>
      <w:bookmarkEnd w:id="2339"/>
      <w:r>
        <w:rPr>
          <w:rFonts w:ascii="Arial" w:eastAsia="Arial" w:hAnsi="Arial" w:cs="Arial"/>
          <w:color w:val="000000"/>
          <w:sz w:val="20"/>
        </w:rPr>
        <w:t>AFFIRMED.</w:t>
      </w:r>
    </w:p>
    <w:p w14:paraId="30420055" w14:textId="77777777" w:rsidR="002D0E71" w:rsidRDefault="002D0E71">
      <w:pPr>
        <w:pStyle w:val="Normal14"/>
      </w:pPr>
    </w:p>
    <w:p w14:paraId="6F1376F2" w14:textId="7E5921DD" w:rsidR="002D0E71" w:rsidRDefault="00000000">
      <w:pPr>
        <w:pStyle w:val="Normal14"/>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88960" behindDoc="0" locked="0" layoutInCell="1" allowOverlap="1" wp14:anchorId="7591DD81" wp14:editId="4822E933">
                <wp:simplePos x="0" y="0"/>
                <wp:positionH relativeFrom="column">
                  <wp:posOffset>0</wp:posOffset>
                </wp:positionH>
                <wp:positionV relativeFrom="paragraph">
                  <wp:posOffset>127000</wp:posOffset>
                </wp:positionV>
                <wp:extent cx="6502400" cy="0"/>
                <wp:effectExtent l="9525" t="12700" r="12700" b="6350"/>
                <wp:wrapNone/>
                <wp:docPr id="2104363773"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3AACB" id="Line 3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8C71959" w14:textId="77777777" w:rsidR="002D0E71" w:rsidRDefault="002D0E71">
      <w:pPr>
        <w:pStyle w:val="Normal15"/>
        <w:sectPr w:rsidR="002D0E71">
          <w:headerReference w:type="even" r:id="rId96"/>
          <w:headerReference w:type="default" r:id="rId97"/>
          <w:footerReference w:type="even" r:id="rId98"/>
          <w:footerReference w:type="default" r:id="rId99"/>
          <w:headerReference w:type="first" r:id="rId100"/>
          <w:footerReference w:type="first" r:id="rId101"/>
          <w:pgSz w:w="12240" w:h="15840"/>
          <w:pgMar w:top="840" w:right="1000" w:bottom="840" w:left="1000" w:header="400" w:footer="400" w:gutter="0"/>
          <w:cols w:space="720"/>
          <w:titlePg/>
        </w:sectPr>
      </w:pPr>
    </w:p>
    <w:p w14:paraId="692459D9" w14:textId="77777777" w:rsidR="002D0E71" w:rsidRDefault="002D0E71">
      <w:pPr>
        <w:pStyle w:val="Normal15"/>
      </w:pPr>
    </w:p>
    <w:p w14:paraId="3297D6F7" w14:textId="77777777" w:rsidR="002D0E71" w:rsidRDefault="00000000">
      <w:pPr>
        <w:pStyle w:val="Heading114"/>
        <w:keepNext w:val="0"/>
        <w:widowControl w:val="0"/>
        <w:spacing w:after="200" w:line="340" w:lineRule="atLeast"/>
        <w:jc w:val="center"/>
      </w:pPr>
      <w:r>
        <w:rPr>
          <w:rFonts w:eastAsia="Arial"/>
          <w:color w:val="000000"/>
          <w:sz w:val="28"/>
        </w:rPr>
        <w:t>Reed v. Illinois</w:t>
      </w:r>
    </w:p>
    <w:p w14:paraId="061E823F" w14:textId="77777777" w:rsidR="002D0E71" w:rsidRDefault="00000000">
      <w:pPr>
        <w:pStyle w:val="Normal15"/>
        <w:widowControl w:val="0"/>
        <w:spacing w:before="120" w:line="260" w:lineRule="atLeast"/>
        <w:jc w:val="center"/>
      </w:pPr>
      <w:r>
        <w:rPr>
          <w:rFonts w:ascii="Arial" w:eastAsia="Arial" w:hAnsi="Arial" w:cs="Arial"/>
          <w:color w:val="000000"/>
          <w:sz w:val="20"/>
        </w:rPr>
        <w:t>United States Court of Appeals for the Seventh Circuit</w:t>
      </w:r>
    </w:p>
    <w:p w14:paraId="5B776D6C" w14:textId="77777777" w:rsidR="002D0E71" w:rsidRDefault="00000000">
      <w:pPr>
        <w:pStyle w:val="Normal15"/>
        <w:widowControl w:val="0"/>
        <w:spacing w:before="120" w:line="260" w:lineRule="atLeast"/>
        <w:jc w:val="center"/>
      </w:pPr>
      <w:r>
        <w:rPr>
          <w:rFonts w:ascii="Arial" w:eastAsia="Arial" w:hAnsi="Arial" w:cs="Arial"/>
          <w:color w:val="000000"/>
          <w:sz w:val="20"/>
        </w:rPr>
        <w:t>September 21, 2015, Argued; October 30, 2015, Decided</w:t>
      </w:r>
    </w:p>
    <w:p w14:paraId="0FADAD77" w14:textId="77777777" w:rsidR="002D0E71" w:rsidRDefault="00000000">
      <w:pPr>
        <w:pStyle w:val="Normal15"/>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14-1745</w:t>
      </w:r>
    </w:p>
    <w:p w14:paraId="14E470EB" w14:textId="77777777" w:rsidR="002D0E71" w:rsidRDefault="002D0E71">
      <w:pPr>
        <w:pStyle w:val="Normal15"/>
        <w:widowControl w:val="0"/>
        <w:spacing w:line="240" w:lineRule="atLeast"/>
        <w:jc w:val="both"/>
      </w:pPr>
      <w:bookmarkStart w:id="2340" w:name="Bookmark_16"/>
      <w:bookmarkEnd w:id="2340"/>
    </w:p>
    <w:p w14:paraId="1ACCB42D" w14:textId="77777777" w:rsidR="002D0E71" w:rsidRDefault="00000000">
      <w:pPr>
        <w:pStyle w:val="Normal15"/>
        <w:widowControl w:val="0"/>
        <w:spacing w:before="200" w:line="240" w:lineRule="atLeast"/>
      </w:pPr>
      <w:bookmarkStart w:id="2341" w:name="Reporter_14"/>
      <w:bookmarkEnd w:id="2341"/>
      <w:r>
        <w:rPr>
          <w:rFonts w:ascii="Arial" w:eastAsia="Arial" w:hAnsi="Arial" w:cs="Arial"/>
          <w:b/>
          <w:color w:val="000000"/>
          <w:sz w:val="18"/>
        </w:rPr>
        <w:t>Reporter</w:t>
      </w:r>
    </w:p>
    <w:p w14:paraId="3A28DCCB" w14:textId="77777777" w:rsidR="002D0E71" w:rsidRDefault="00000000">
      <w:pPr>
        <w:pStyle w:val="Normal15"/>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808 F.3d 1103 *; 2015 U.S. App. LEXIS 18920 **</w:t>
      </w:r>
    </w:p>
    <w:p w14:paraId="4CAB254C" w14:textId="77777777" w:rsidR="002D0E71" w:rsidRDefault="00000000">
      <w:pPr>
        <w:pStyle w:val="Normal15"/>
        <w:widowControl w:val="0"/>
        <w:spacing w:before="120" w:line="260" w:lineRule="atLeast"/>
      </w:pPr>
      <w:r>
        <w:rPr>
          <w:rFonts w:ascii="Arial" w:eastAsia="Arial" w:hAnsi="Arial" w:cs="Arial"/>
          <w:color w:val="000000"/>
          <w:sz w:val="20"/>
        </w:rPr>
        <w:t>LINDA REED, Plaintiff-Appellant, v. STATE OF ILLINOIS, et al., Defendants-Appellees.</w:t>
      </w:r>
    </w:p>
    <w:p w14:paraId="5CC2AE5F" w14:textId="77777777" w:rsidR="002D0E71" w:rsidRDefault="00000000">
      <w:pPr>
        <w:pStyle w:val="Normal15"/>
        <w:widowControl w:val="0"/>
        <w:spacing w:before="240" w:line="260" w:lineRule="atLeast"/>
        <w:jc w:val="both"/>
      </w:pPr>
      <w:bookmarkStart w:id="2342" w:name="Subsequent_History_4"/>
      <w:bookmarkEnd w:id="2342"/>
      <w:r>
        <w:rPr>
          <w:rFonts w:ascii="Arial" w:eastAsia="Arial" w:hAnsi="Arial" w:cs="Arial"/>
          <w:b/>
          <w:color w:val="000000"/>
          <w:sz w:val="20"/>
        </w:rPr>
        <w:t>Subsequent History:</w:t>
      </w:r>
      <w:r>
        <w:rPr>
          <w:rFonts w:ascii="Arial" w:eastAsia="Arial" w:hAnsi="Arial" w:cs="Arial"/>
          <w:color w:val="000000"/>
          <w:sz w:val="20"/>
        </w:rPr>
        <w:t> </w:t>
      </w:r>
      <w:bookmarkStart w:id="2343" w:name="Bookmark_para_1_14"/>
      <w:bookmarkEnd w:id="2343"/>
      <w:r>
        <w:rPr>
          <w:rFonts w:ascii="Arial" w:eastAsia="Arial" w:hAnsi="Arial" w:cs="Arial"/>
          <w:color w:val="000000"/>
          <w:sz w:val="20"/>
        </w:rPr>
        <w:t>As Corrected December 11, 2015.</w:t>
      </w:r>
    </w:p>
    <w:p w14:paraId="33A86394" w14:textId="77777777" w:rsidR="002D0E71" w:rsidRDefault="00000000">
      <w:pPr>
        <w:pStyle w:val="Normal15"/>
        <w:widowControl w:val="0"/>
        <w:spacing w:before="120" w:line="260" w:lineRule="atLeast"/>
      </w:pPr>
      <w:r>
        <w:rPr>
          <w:rFonts w:ascii="Arial" w:eastAsia="Arial" w:hAnsi="Arial" w:cs="Arial"/>
          <w:color w:val="000000"/>
          <w:sz w:val="20"/>
        </w:rPr>
        <w:t>Motion granted by, in part, Motion denied by, in part, Motion granted by, Dismissed by, in part Reed v. Illinois, 2016 U.S. Dist. LEXIS 60875 (N.D. Ill., May 9, 2016)</w:t>
      </w:r>
    </w:p>
    <w:p w14:paraId="5E010246" w14:textId="77777777" w:rsidR="002D0E71" w:rsidRDefault="00000000">
      <w:pPr>
        <w:pStyle w:val="Normal15"/>
        <w:widowControl w:val="0"/>
        <w:spacing w:before="240" w:line="260" w:lineRule="atLeast"/>
        <w:jc w:val="both"/>
      </w:pPr>
      <w:bookmarkStart w:id="2344" w:name="Prior_History_14"/>
      <w:bookmarkEnd w:id="2344"/>
      <w:r>
        <w:rPr>
          <w:rFonts w:ascii="Arial" w:eastAsia="Arial" w:hAnsi="Arial" w:cs="Arial"/>
          <w:b/>
          <w:color w:val="000000"/>
          <w:sz w:val="20"/>
        </w:rPr>
        <w:t>Prior History:</w:t>
      </w:r>
      <w:r>
        <w:rPr>
          <w:rFonts w:ascii="Arial" w:eastAsia="Arial" w:hAnsi="Arial" w:cs="Arial"/>
          <w:color w:val="000000"/>
          <w:sz w:val="20"/>
        </w:rPr>
        <w:t> </w:t>
      </w:r>
      <w:bookmarkStart w:id="2345" w:name="Bookmark_para_2_14"/>
      <w:bookmarkEnd w:id="2345"/>
      <w:r>
        <w:rPr>
          <w:rFonts w:ascii="Arial" w:eastAsia="Arial" w:hAnsi="Arial" w:cs="Arial"/>
          <w:color w:val="000000"/>
          <w:sz w:val="20"/>
        </w:rPr>
        <w:t> [**1] Appeal from the United States District Court for the Northern District of Illinois, Eastern Division. No. 12 C 7274 — Amy J. St. Eve, Judge.</w:t>
      </w:r>
    </w:p>
    <w:p w14:paraId="67C12BA4" w14:textId="77777777" w:rsidR="002D0E71" w:rsidRDefault="00000000">
      <w:pPr>
        <w:pStyle w:val="Normal15"/>
        <w:widowControl w:val="0"/>
        <w:spacing w:before="120" w:line="260" w:lineRule="atLeast"/>
      </w:pPr>
      <w:r>
        <w:rPr>
          <w:rFonts w:ascii="Arial" w:eastAsia="Arial" w:hAnsi="Arial" w:cs="Arial"/>
          <w:color w:val="000000"/>
          <w:sz w:val="20"/>
        </w:rPr>
        <w:t>Reed v. Illinois, 2014 U.S. Dist. LEXIS 30381 (N.D. Ill., Mar. 10, 2014)</w:t>
      </w:r>
    </w:p>
    <w:p w14:paraId="78B42836" w14:textId="77777777" w:rsidR="002D0E71" w:rsidRDefault="00000000">
      <w:pPr>
        <w:pStyle w:val="Normal15"/>
        <w:widowControl w:val="0"/>
        <w:spacing w:before="240" w:line="260" w:lineRule="atLeast"/>
      </w:pPr>
      <w:bookmarkStart w:id="2346" w:name="Counsel_14"/>
      <w:bookmarkEnd w:id="2346"/>
      <w:r>
        <w:rPr>
          <w:rFonts w:ascii="Arial" w:eastAsia="Arial" w:hAnsi="Arial" w:cs="Arial"/>
          <w:b/>
          <w:color w:val="000000"/>
          <w:sz w:val="20"/>
        </w:rPr>
        <w:t>Counsel:</w:t>
      </w:r>
      <w:r>
        <w:rPr>
          <w:rFonts w:ascii="Arial" w:eastAsia="Arial" w:hAnsi="Arial" w:cs="Arial"/>
          <w:color w:val="000000"/>
          <w:sz w:val="20"/>
        </w:rPr>
        <w:t> For Linda Reed, Plaintiff - Appellant: Paul W. Mollica, Attorney, Outten &amp; Golden Llp, Chicago, IL.</w:t>
      </w:r>
    </w:p>
    <w:p w14:paraId="3277A690" w14:textId="77777777" w:rsidR="002D0E71" w:rsidRDefault="00000000">
      <w:pPr>
        <w:pStyle w:val="Normal15"/>
        <w:widowControl w:val="0"/>
        <w:spacing w:before="120" w:line="260" w:lineRule="atLeast"/>
      </w:pPr>
      <w:r>
        <w:rPr>
          <w:rFonts w:ascii="Arial" w:eastAsia="Arial" w:hAnsi="Arial" w:cs="Arial"/>
          <w:color w:val="000000"/>
          <w:sz w:val="20"/>
        </w:rPr>
        <w:t>For STATE OF ILLINOIS, official and individual capacity, SIDNEY A. JONES, III, in his Official Capacity as Circuit Judge of the Cook County Circuit Court, Circuit Court of Cook County, Illinois, TIMOTHY C. EVANS, in his Official Capacity as Chief Judge of the Cook County Circuit Court, Defendants - Appellees: Mary Ellen Welsh, Attorney, Office of The Attorney General, Civil Appeals Division, Chicago, IL.</w:t>
      </w:r>
    </w:p>
    <w:p w14:paraId="333DC166" w14:textId="77777777" w:rsidR="002D0E71" w:rsidRDefault="00000000">
      <w:pPr>
        <w:pStyle w:val="Normal15"/>
        <w:widowControl w:val="0"/>
        <w:spacing w:before="120" w:line="260" w:lineRule="atLeast"/>
      </w:pPr>
      <w:r>
        <w:rPr>
          <w:rFonts w:ascii="Arial" w:eastAsia="Arial" w:hAnsi="Arial" w:cs="Arial"/>
          <w:color w:val="000000"/>
          <w:sz w:val="20"/>
        </w:rPr>
        <w:t>For MELISSA PACELLI, in her official capacity as Court Disability Coordinator for the Cook County Circuit Court, Defendant - Appellee: Paul A. Castiglione, Attorney, Patricia M. Fallon, Attorney, Office of The Cook County State's Attorney, Chicago, IL.</w:t>
      </w:r>
    </w:p>
    <w:p w14:paraId="63312CC9" w14:textId="77777777" w:rsidR="002D0E71" w:rsidRDefault="00000000">
      <w:pPr>
        <w:pStyle w:val="Normal15"/>
        <w:widowControl w:val="0"/>
        <w:spacing w:before="240" w:line="260" w:lineRule="atLeast"/>
      </w:pPr>
      <w:bookmarkStart w:id="2347" w:name="Judges_14"/>
      <w:bookmarkEnd w:id="2347"/>
      <w:r>
        <w:rPr>
          <w:rFonts w:ascii="Arial" w:eastAsia="Arial" w:hAnsi="Arial" w:cs="Arial"/>
          <w:b/>
          <w:color w:val="000000"/>
          <w:sz w:val="20"/>
        </w:rPr>
        <w:t>Judges:</w:t>
      </w:r>
      <w:r>
        <w:rPr>
          <w:rFonts w:ascii="Arial" w:eastAsia="Arial" w:hAnsi="Arial" w:cs="Arial"/>
          <w:color w:val="000000"/>
          <w:sz w:val="20"/>
        </w:rPr>
        <w:t> Before POSNER, WILLIAMS, and SYKES, Circuit Judges. SYKES, Circuit Judge, dissenting.</w:t>
      </w:r>
    </w:p>
    <w:p w14:paraId="709006D7" w14:textId="77777777" w:rsidR="002D0E71" w:rsidRDefault="00000000">
      <w:pPr>
        <w:pStyle w:val="Normal15"/>
        <w:widowControl w:val="0"/>
        <w:spacing w:before="240" w:line="260" w:lineRule="atLeast"/>
      </w:pPr>
      <w:bookmarkStart w:id="2348" w:name="Opinion_by_10"/>
      <w:bookmarkEnd w:id="2348"/>
      <w:r>
        <w:rPr>
          <w:rFonts w:ascii="Arial" w:eastAsia="Arial" w:hAnsi="Arial" w:cs="Arial"/>
          <w:b/>
          <w:color w:val="000000"/>
          <w:sz w:val="20"/>
        </w:rPr>
        <w:t>Opinion by:</w:t>
      </w:r>
      <w:r>
        <w:rPr>
          <w:rFonts w:ascii="Arial" w:eastAsia="Arial" w:hAnsi="Arial" w:cs="Arial"/>
          <w:color w:val="000000"/>
          <w:sz w:val="20"/>
        </w:rPr>
        <w:t> POSNER</w:t>
      </w:r>
    </w:p>
    <w:p w14:paraId="60634E8E" w14:textId="77777777" w:rsidR="002D0E71" w:rsidRDefault="00000000">
      <w:pPr>
        <w:pStyle w:val="Normal15"/>
        <w:keepNext/>
        <w:widowControl w:val="0"/>
        <w:spacing w:before="240" w:line="340" w:lineRule="atLeast"/>
      </w:pPr>
      <w:bookmarkStart w:id="2349" w:name="Opinion_14"/>
      <w:bookmarkEnd w:id="2349"/>
      <w:r>
        <w:rPr>
          <w:rFonts w:ascii="Arial" w:eastAsia="Arial" w:hAnsi="Arial" w:cs="Arial"/>
          <w:b/>
          <w:color w:val="000000"/>
          <w:sz w:val="28"/>
        </w:rPr>
        <w:t>Opinion</w:t>
      </w:r>
    </w:p>
    <w:p w14:paraId="5CC97F84" w14:textId="62C0A0D8" w:rsidR="002D0E71" w:rsidRDefault="002939DF">
      <w:pPr>
        <w:pStyle w:val="Normal15"/>
        <w:spacing w:line="60" w:lineRule="exact"/>
      </w:pPr>
      <w:r>
        <w:rPr>
          <w:noProof/>
        </w:rPr>
        <mc:AlternateContent>
          <mc:Choice Requires="wps">
            <w:drawing>
              <wp:anchor distT="0" distB="0" distL="114300" distR="114300" simplePos="0" relativeHeight="251689984" behindDoc="0" locked="0" layoutInCell="1" allowOverlap="1" wp14:anchorId="77EBA76E" wp14:editId="61F72E85">
                <wp:simplePos x="0" y="0"/>
                <wp:positionH relativeFrom="column">
                  <wp:posOffset>0</wp:posOffset>
                </wp:positionH>
                <wp:positionV relativeFrom="paragraph">
                  <wp:posOffset>25400</wp:posOffset>
                </wp:positionV>
                <wp:extent cx="3187700" cy="0"/>
                <wp:effectExtent l="19050" t="15875" r="12700" b="12700"/>
                <wp:wrapTopAndBottom/>
                <wp:docPr id="97147248"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5C0974" id="Line 32"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92DD44E" w14:textId="77777777" w:rsidR="002D0E71" w:rsidRDefault="002D0E71">
      <w:pPr>
        <w:pStyle w:val="Normal15"/>
      </w:pPr>
    </w:p>
    <w:p w14:paraId="2E3676A6" w14:textId="77777777" w:rsidR="002D0E71" w:rsidRDefault="00000000">
      <w:pPr>
        <w:pStyle w:val="Normal15"/>
        <w:widowControl w:val="0"/>
        <w:spacing w:before="200" w:line="260" w:lineRule="atLeast"/>
        <w:jc w:val="both"/>
      </w:pPr>
      <w:bookmarkStart w:id="2350" w:name="Bookmark_para_3_14"/>
      <w:bookmarkEnd w:id="2350"/>
      <w:r>
        <w:rPr>
          <w:rFonts w:ascii="Arial" w:eastAsia="Arial" w:hAnsi="Arial" w:cs="Arial"/>
          <w:color w:val="000000"/>
          <w:sz w:val="20"/>
        </w:rPr>
        <w:t xml:space="preserve"> [*1104]  </w:t>
      </w:r>
      <w:r>
        <w:rPr>
          <w:rFonts w:ascii="Arial" w:eastAsia="Arial" w:hAnsi="Arial" w:cs="Arial"/>
          <w:smallCaps/>
          <w:color w:val="000000"/>
          <w:sz w:val="20"/>
        </w:rPr>
        <w:t>Posner</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 The plaintiff was diagnosed with a rare neurological disorder called tardive dyskinesia in April 2011. According to the National Alliance on Mental Illness,</w:t>
      </w:r>
    </w:p>
    <w:p w14:paraId="7A728EA0" w14:textId="77777777" w:rsidR="002D0E71" w:rsidRDefault="00000000">
      <w:pPr>
        <w:pStyle w:val="Normal15"/>
        <w:widowControl w:val="0"/>
        <w:spacing w:before="200" w:line="260" w:lineRule="atLeast"/>
        <w:ind w:left="400"/>
        <w:jc w:val="both"/>
      </w:pPr>
      <w:bookmarkStart w:id="2351" w:name="Bookmark_para_4_14"/>
      <w:bookmarkEnd w:id="2351"/>
      <w:r>
        <w:rPr>
          <w:rFonts w:ascii="Arial" w:eastAsia="Arial" w:hAnsi="Arial" w:cs="Arial"/>
          <w:color w:val="000000"/>
          <w:sz w:val="20"/>
        </w:rPr>
        <w:t>Tardive dyskinesia (TD) is one of [**2]  the most disturbing potential side effects of antipsychotic medications. Tardive (late) dyskinesia (bad movement) is a movement disorder that occurs over months, years and even decades. TD is a principle [</w:t>
      </w:r>
      <w:r>
        <w:rPr>
          <w:rFonts w:ascii="Arial" w:eastAsia="Arial" w:hAnsi="Arial" w:cs="Arial"/>
          <w:i/>
          <w:color w:val="000000"/>
          <w:sz w:val="20"/>
        </w:rPr>
        <w:t>sic</w:t>
      </w:r>
      <w:r>
        <w:rPr>
          <w:rFonts w:ascii="Arial" w:eastAsia="Arial" w:hAnsi="Arial" w:cs="Arial"/>
          <w:color w:val="000000"/>
          <w:sz w:val="20"/>
        </w:rPr>
        <w:t>—should be principal] concern of first generation antipsychotic medication but has been reported in second generation antipsychotic medication and needs to be monitored for all people who take these medications. TD is one of a group of side effects called 'extrapyramidal symptoms' that includes akathesia (restlessness), dystonia (sudden and painful muscle stiffness) and Parkinsonism (tremors and slowing down of all body muscles). TD is perhaps the most severe of these side effects and does not occur until after many months or years of taking antipsychotic drugs. TD is primarily characterized by random movements of different muscles within the body and can occur in the tongue, lips or jaw (e.g., facial grimacing), or consist of purposeless movements of arms, legs, fingers and toes. In some severe cases, TD can include swaying movements of the trunk or hips or affect the muscles associated with breathing. TD can be quite embarrassing and—depending on its severity—can be disabling [**3]  as well. National Alliance on Mental Illness, "Tardive Dyskinesia," www2.nami.org/Content/Navigation Menu/Inform_Yourself/About_Mental_Illness/By_Illness/Tardive_Dyskinesia.htm  [*1105]  (visited October 29, 2015).</w:t>
      </w:r>
    </w:p>
    <w:p w14:paraId="17D6858A" w14:textId="77777777" w:rsidR="002D0E71" w:rsidRDefault="00000000">
      <w:pPr>
        <w:pStyle w:val="Normal15"/>
        <w:widowControl w:val="0"/>
        <w:spacing w:line="260" w:lineRule="atLeast"/>
        <w:jc w:val="both"/>
      </w:pPr>
      <w:r>
        <w:rPr>
          <w:rFonts w:ascii="Arial" w:eastAsia="Arial" w:hAnsi="Arial" w:cs="Arial"/>
          <w:color w:val="000000"/>
          <w:sz w:val="20"/>
        </w:rPr>
        <w:t>It is not a conventional speech impediment, such as stammering, or speaking hoarsely or with a lisp.</w:t>
      </w:r>
    </w:p>
    <w:p w14:paraId="1BCDCAE3" w14:textId="77777777" w:rsidR="002D0E71" w:rsidRDefault="00000000">
      <w:pPr>
        <w:pStyle w:val="Normal15"/>
        <w:widowControl w:val="0"/>
        <w:spacing w:before="200" w:line="260" w:lineRule="atLeast"/>
        <w:jc w:val="both"/>
      </w:pPr>
      <w:bookmarkStart w:id="2352" w:name="Bookmark_para_5_14"/>
      <w:bookmarkEnd w:id="2352"/>
      <w:r>
        <w:rPr>
          <w:rFonts w:ascii="Arial" w:eastAsia="Arial" w:hAnsi="Arial" w:cs="Arial"/>
          <w:color w:val="000000"/>
          <w:sz w:val="20"/>
        </w:rPr>
        <w:t>The plaintiff's complaint confirms that she experiences the typical symptoms of tardive dyskinesia, and we take the allegations in her complaint to be true because she's appealing from the district court's grant of the defendants' motion to dismiss her suit. Her involuntary movements include tongue thrusting, pursing of the lips, choking, and side-to-side chewing of the jaw. She becomes mute, screams or makes non-verbal sounds, particularly under stress. She often cannot use a telephone without assistive technology. She has also been diagnosed with post-traumatic stress disorder and bipolar disorder, which can cause her severe anxiety. The impairments we've listed (all drawn from as yet unchallenged allegations) substantially limit her in the major life activities of concentrating, thinking, communicating, speaking, interacting with others, mobility, and work. The state acknowledges [**4]  in its brief that "with stress, Plaintiff's condition worsens and she may become mute, scream, or make non-verbal sounds." It notes that her "involuntary movements include tongue-thrusting, lip-pursing, choking, side-to-side chewing and (especially when under stress) head movements and finger-tapping."</w:t>
      </w:r>
    </w:p>
    <w:p w14:paraId="40ED3271" w14:textId="77777777" w:rsidR="002D0E71" w:rsidRDefault="00000000">
      <w:pPr>
        <w:pStyle w:val="Normal15"/>
        <w:widowControl w:val="0"/>
        <w:spacing w:before="200" w:line="260" w:lineRule="atLeast"/>
        <w:jc w:val="both"/>
      </w:pPr>
      <w:bookmarkStart w:id="2353" w:name="Bookmark_para_6_14"/>
      <w:bookmarkEnd w:id="2353"/>
      <w:r>
        <w:rPr>
          <w:rFonts w:ascii="Arial" w:eastAsia="Arial" w:hAnsi="Arial" w:cs="Arial"/>
          <w:color w:val="000000"/>
          <w:sz w:val="20"/>
        </w:rPr>
        <w:t>Shortly after the plaintiff was diagnosed with tardive dyskinesia, a personal injury suit that she had filed in the Circuit Court of Cook County, Illinois—</w:t>
      </w:r>
      <w:r>
        <w:rPr>
          <w:rFonts w:ascii="Arial" w:eastAsia="Arial" w:hAnsi="Arial" w:cs="Arial"/>
          <w:i/>
          <w:color w:val="000000"/>
          <w:sz w:val="20"/>
        </w:rPr>
        <w:t>Reed v. Moore</w:t>
      </w:r>
      <w:r>
        <w:rPr>
          <w:rFonts w:ascii="Arial" w:eastAsia="Arial" w:hAnsi="Arial" w:cs="Arial"/>
          <w:color w:val="000000"/>
          <w:sz w:val="20"/>
        </w:rPr>
        <w:t>, No. 09 M1 301249—went to trial. She had no lawyer. Before the trial began she asked the court's disability coordinator for accommodations of her medical problems, and in response to her request she was permitted to have a friend and a family member take notes for her, was given a podium to stand at, and was allowed to take occasional recesses. But she was denied other help that she requested—a microphone (to enable her to project her voice so that it would be audible even when her ability to vocalize was impaired by her tardive dyskinesia), an interpreter (to articulate her thoughts when she could not express them clearly herself), and a jury instruction explaining her disorder, lest the jurors think she was just acting [**5]  up. Her difficulty in speaking was likely to be amplified by her having to speak to an entire courtroom. We don't know the size of the courtroom, but even if it was small a person has to "speak up" when speaking to an entire room, rather than to another person face to face. Without the microphone and the interpreter, she sometimes had to resort to hand signals, grunts, and other non-verbal attempts at communication that were difficult to understand. The need for an interpreter, a "mouthpiece" in almost a literal sense, was related to the need for a microphone. She could have whispered inarticulately to an interpreter, who if experienced in helping persons with a speech disability to express themselves could articulate the plaintiff's words in normal speech that the judge and jury would understand without strain.</w:t>
      </w:r>
    </w:p>
    <w:p w14:paraId="66B4F9EE" w14:textId="77777777" w:rsidR="002D0E71" w:rsidRDefault="00000000">
      <w:pPr>
        <w:pStyle w:val="Normal15"/>
        <w:widowControl w:val="0"/>
        <w:spacing w:before="200" w:line="260" w:lineRule="atLeast"/>
        <w:jc w:val="both"/>
      </w:pPr>
      <w:bookmarkStart w:id="2354" w:name="Bookmark_para_7_14"/>
      <w:bookmarkEnd w:id="2354"/>
      <w:r>
        <w:rPr>
          <w:rFonts w:ascii="Arial" w:eastAsia="Arial" w:hAnsi="Arial" w:cs="Arial"/>
          <w:color w:val="000000"/>
          <w:sz w:val="20"/>
        </w:rPr>
        <w:t>Apart from being denied these aids, she was hectored by the judge, who may not have understood the gravity of her disorder. The judge told the jury that the plaintiff has a "speech impediment," but that made it sound as if she stammers or has a lisp, and thus understated the gravity of her disability. The judge knew or should have known that it was her condition, rather than [**6]  willful defiance of courtroom proprieties, that was responsible for the long, involuntary pauses in her statements; yet he kept telling her to "hurry up," to move on to the "next question," and to wrap up her examination of witnesses. He permitted her only 10 minutes to examine  [*1106]  a particular witness. At one point during the plaintiff's cross-examination by the defendant's lawyer the judge said "I have been waiting ten seconds for you to answer and am moving on to the next thing." He also at times yelled at her, glared at her, smacked his bench, leaned forward, and otherwise expressed annoyance with her—all in front of the jury.</w:t>
      </w:r>
    </w:p>
    <w:p w14:paraId="47E51A58" w14:textId="77777777" w:rsidR="002D0E71" w:rsidRDefault="00000000">
      <w:pPr>
        <w:pStyle w:val="Normal15"/>
        <w:widowControl w:val="0"/>
        <w:spacing w:before="200" w:line="260" w:lineRule="atLeast"/>
        <w:jc w:val="both"/>
      </w:pPr>
      <w:bookmarkStart w:id="2355" w:name="Bookmark_para_8_14"/>
      <w:bookmarkEnd w:id="2355"/>
      <w:r>
        <w:rPr>
          <w:rFonts w:ascii="Arial" w:eastAsia="Arial" w:hAnsi="Arial" w:cs="Arial"/>
          <w:color w:val="000000"/>
          <w:sz w:val="20"/>
        </w:rPr>
        <w:t>She suffered other embarrassments in front of the jury. For example, a piece of gum that she was chewing to control her involuntary movements fell out of her mouth, an accident for which the judge scolded her, precipitating a convulsive state in her.</w:t>
      </w:r>
    </w:p>
    <w:p w14:paraId="3B30779D" w14:textId="77777777" w:rsidR="002D0E71" w:rsidRDefault="00000000">
      <w:pPr>
        <w:pStyle w:val="Normal15"/>
        <w:widowControl w:val="0"/>
        <w:spacing w:before="200" w:line="260" w:lineRule="atLeast"/>
        <w:jc w:val="both"/>
      </w:pPr>
      <w:bookmarkStart w:id="2356" w:name="Bookmark_para_9_14"/>
      <w:bookmarkEnd w:id="2356"/>
      <w:r>
        <w:rPr>
          <w:rFonts w:ascii="Arial" w:eastAsia="Arial" w:hAnsi="Arial" w:cs="Arial"/>
          <w:color w:val="000000"/>
          <w:sz w:val="20"/>
        </w:rPr>
        <w:t>The judge's treatment of her at the trial is surprising in light of his statement made after the trial in denying her motion for a new trial that "almost immediately before the actual trial, the plaintiff began to experience a rapid and noticeable diminishment [</w:t>
      </w:r>
      <w:r>
        <w:rPr>
          <w:rFonts w:ascii="Arial" w:eastAsia="Arial" w:hAnsi="Arial" w:cs="Arial"/>
          <w:i/>
          <w:color w:val="000000"/>
          <w:sz w:val="20"/>
        </w:rPr>
        <w:t>sic</w:t>
      </w:r>
      <w:r>
        <w:rPr>
          <w:rFonts w:ascii="Arial" w:eastAsia="Arial" w:hAnsi="Arial" w:cs="Arial"/>
          <w:color w:val="000000"/>
          <w:sz w:val="20"/>
        </w:rPr>
        <w:t xml:space="preserve">—he meant 'diminution'] of speech ability so that her [**7]  speaking was interrupted by uncontrollable pauses on account of an apparent nervous disorder that forced her into involuntary contortions of the mouth and unintended utterances, most of which consisted of unintelligible sounds. However, she at all times presented as having been fully mentally capable and alert, physically able </w:t>
      </w:r>
      <w:r>
        <w:rPr>
          <w:rFonts w:ascii="Arial" w:eastAsia="Arial" w:hAnsi="Arial" w:cs="Arial"/>
          <w:i/>
          <w:color w:val="000000"/>
          <w:sz w:val="20"/>
        </w:rPr>
        <w:t>except for the speech condition</w:t>
      </w:r>
      <w:r>
        <w:rPr>
          <w:rFonts w:ascii="Arial" w:eastAsia="Arial" w:hAnsi="Arial" w:cs="Arial"/>
          <w:color w:val="000000"/>
          <w:sz w:val="20"/>
        </w:rPr>
        <w:t xml:space="preserve">, and clearly frustrated whenever she experienced such interruptions" (emphasis added). We've italicized the most puzzling phrase in the quoted passage. Ability to speak was </w:t>
      </w:r>
      <w:r>
        <w:rPr>
          <w:rFonts w:ascii="Arial" w:eastAsia="Arial" w:hAnsi="Arial" w:cs="Arial"/>
          <w:i/>
          <w:color w:val="000000"/>
          <w:sz w:val="20"/>
        </w:rPr>
        <w:t>the</w:t>
      </w:r>
      <w:r>
        <w:rPr>
          <w:rFonts w:ascii="Arial" w:eastAsia="Arial" w:hAnsi="Arial" w:cs="Arial"/>
          <w:color w:val="000000"/>
          <w:sz w:val="20"/>
        </w:rPr>
        <w:t xml:space="preserve"> critical physical ability that the plaintiff needed in order to litigate a jury case; without that ability, being "fully mentally capable and alert" couldn't do much for her.</w:t>
      </w:r>
    </w:p>
    <w:p w14:paraId="4D698D1D" w14:textId="77777777" w:rsidR="002D0E71" w:rsidRDefault="00000000">
      <w:pPr>
        <w:pStyle w:val="Normal15"/>
        <w:widowControl w:val="0"/>
        <w:spacing w:before="200" w:line="260" w:lineRule="atLeast"/>
        <w:jc w:val="both"/>
      </w:pPr>
      <w:bookmarkStart w:id="2357" w:name="Bookmark_para_10_14"/>
      <w:bookmarkEnd w:id="2357"/>
      <w:r>
        <w:rPr>
          <w:rFonts w:ascii="Arial" w:eastAsia="Arial" w:hAnsi="Arial" w:cs="Arial"/>
          <w:color w:val="000000"/>
          <w:sz w:val="20"/>
        </w:rPr>
        <w:t>The jury returned a verdict for the defendant. The plaintiff filed a post-trial motion, asking for a new trial on the ground (among other grounds) that she was disabled within the meaning of the Americans with Disabilities Act yet had been denied reasonable accommodations for her disability. The judge denied the motion, on grounds suggestive of a failure to understand the plaintiff's problems in communicating. True, he said he was denying oral argument on her post-trial motion "because [**8]  the plaintiff has developed a severe speech impediment that prevents her from communicating in any vocal fashion." Yet inconsistently he said in reference to the trial, held just a few months earlier, that the plaintiff's "readily observable speech impediment concern was accommodated, and that she was thus fully afforded a fair and adequate opportunity to present her case." If she was incapable of "communicating in any vocal fashion" with regard to her post-trial motion, how can she not have needed a microphone and interpreter at the trial to help her overcome her "readily observable speech impediment?"</w:t>
      </w:r>
    </w:p>
    <w:p w14:paraId="65576B86" w14:textId="77777777" w:rsidR="002D0E71" w:rsidRDefault="00000000">
      <w:pPr>
        <w:pStyle w:val="Normal15"/>
        <w:widowControl w:val="0"/>
        <w:spacing w:before="200" w:line="260" w:lineRule="atLeast"/>
        <w:jc w:val="both"/>
      </w:pPr>
      <w:bookmarkStart w:id="2358" w:name="Bookmark_para_11_14"/>
      <w:bookmarkEnd w:id="2358"/>
      <w:r>
        <w:rPr>
          <w:rFonts w:ascii="Arial" w:eastAsia="Arial" w:hAnsi="Arial" w:cs="Arial"/>
          <w:color w:val="000000"/>
          <w:sz w:val="20"/>
        </w:rPr>
        <w:t>In denying the post-trial motion the judge also remarked that "there were occasions [during the trial] when her pauses were so lengthy that the court [that is, he, the judge] concluded that she was being indecisive rather than laboring under the impediment, and she was asked to move on, as would any other individual." He failed to note that there is no contradiction between being indecisive and suffering from tardive dyskinesia—indeed it would be difficult for someone suffering from that disorder to speak consistently in a decisive fashion. Furthermore, she was not "any other individual." [**9]  An unimpaired person could indeed be asked to "move on," and be expected to obey, but the plaintiff could not be expected to be consistently responsive to such a command, based as it was on the unlikely assumption that her pausing was voluntary. It would have been prudent for the judge, having no reason to think himself qualified to distinguish between pauses attributable to normal and therefore censurable indecisiveness  [*1107]  and pauses attributable to a serious neurological disorder, to have invited a medical expert or at least the court's disability coordinator to advise him on the effect of the plaintiff's condition on her ability to litigate her case.</w:t>
      </w:r>
    </w:p>
    <w:p w14:paraId="65C4D349" w14:textId="77777777" w:rsidR="002D0E71" w:rsidRDefault="00000000">
      <w:pPr>
        <w:pStyle w:val="Normal15"/>
        <w:widowControl w:val="0"/>
        <w:spacing w:before="200" w:line="260" w:lineRule="atLeast"/>
        <w:jc w:val="both"/>
      </w:pPr>
      <w:bookmarkStart w:id="2359" w:name="Bookmark_para_12_13"/>
      <w:bookmarkStart w:id="2360" w:name="Bookmark_I5HFM41M2D6NM20020000400"/>
      <w:bookmarkEnd w:id="2359"/>
      <w:bookmarkEnd w:id="2360"/>
      <w:r>
        <w:rPr>
          <w:rFonts w:ascii="Arial" w:eastAsia="Arial" w:hAnsi="Arial" w:cs="Arial"/>
          <w:color w:val="000000"/>
          <w:sz w:val="20"/>
        </w:rPr>
        <w:t xml:space="preserve">The plaintiff appealed to the Illinois appellate court, which affirmed the jury's verdict in a nonprecedential order. </w:t>
      </w:r>
      <w:bookmarkStart w:id="2361" w:name="Bookmark_I5HFM41M2D6NM20010000400"/>
      <w:bookmarkEnd w:id="2361"/>
      <w:r>
        <w:rPr>
          <w:rFonts w:ascii="Arial" w:eastAsia="Arial" w:hAnsi="Arial" w:cs="Arial"/>
          <w:i/>
          <w:color w:val="000000"/>
          <w:sz w:val="20"/>
        </w:rPr>
        <w:t>Reed v. Moore</w:t>
      </w:r>
      <w:r>
        <w:rPr>
          <w:rFonts w:ascii="Arial" w:eastAsia="Arial" w:hAnsi="Arial" w:cs="Arial"/>
          <w:color w:val="000000"/>
          <w:sz w:val="20"/>
        </w:rPr>
        <w:t>, 2012 IL App (1st) 113442-U (Ill. App. 2012). The order does not mention her disability, apparently because, still proceeding pro se, she pitched her appeal entirely on grounds relating to jurisdiction, discovery, and other matters all unrelated to her disability, although her opening brief had remarked that she was "disabled" and had been "denied reasonable accommodations" by the trial judge.</w:t>
      </w:r>
    </w:p>
    <w:p w14:paraId="4AEA8F08" w14:textId="77777777" w:rsidR="002D0E71" w:rsidRDefault="00000000">
      <w:pPr>
        <w:pStyle w:val="Normal15"/>
        <w:widowControl w:val="0"/>
        <w:spacing w:before="200" w:line="260" w:lineRule="atLeast"/>
        <w:jc w:val="both"/>
      </w:pPr>
      <w:bookmarkStart w:id="2362" w:name="Bookmark_para_13_13"/>
      <w:bookmarkEnd w:id="2362"/>
      <w:r>
        <w:rPr>
          <w:rFonts w:ascii="Arial" w:eastAsia="Arial" w:hAnsi="Arial" w:cs="Arial"/>
          <w:color w:val="000000"/>
          <w:sz w:val="20"/>
        </w:rPr>
        <w:t xml:space="preserve">Shortly before the appellate court handed down its decision, she filed the [**10]  present suit in the federal district court in Chicago. In it she complained that the Cook County Circuit Court had failed to accommodate her tardive dyskinesia, in violation of </w:t>
      </w:r>
      <w:bookmarkStart w:id="2363" w:name="Bookmark_LNHNREFclscc1_12"/>
      <w:bookmarkEnd w:id="2363"/>
      <w:r>
        <w:rPr>
          <w:rFonts w:ascii="Arial" w:eastAsia="Arial" w:hAnsi="Arial" w:cs="Arial"/>
          <w:color w:val="000000"/>
          <w:sz w:val="20"/>
        </w:rPr>
        <w:t xml:space="preserve">Title II of the Americans with Disabilities Act, 42 U.S.C. § 12131 </w:t>
      </w:r>
      <w:r>
        <w:rPr>
          <w:rFonts w:ascii="Arial" w:eastAsia="Arial" w:hAnsi="Arial" w:cs="Arial"/>
          <w:i/>
          <w:color w:val="000000"/>
          <w:sz w:val="20"/>
        </w:rPr>
        <w:t>et seq.</w:t>
      </w:r>
      <w:r>
        <w:rPr>
          <w:rFonts w:ascii="Arial" w:eastAsia="Arial" w:hAnsi="Arial" w:cs="Arial"/>
          <w:color w:val="000000"/>
          <w:sz w:val="20"/>
        </w:rPr>
        <w:t xml:space="preserve">, and section 504 of the Rehabilitation Act, 29 U.S.C. § 794, both of which create federal remedies for disability discrimination by state and local government agencies, such as the Illinois courts. Of particular relevance to this case, a regulation under the Americans with Disabilities Act provides that "a public entity shall take appropriate steps to ensure that communications [with disabled persons] ... are as effective as communications with others," and "a public entity [which of course a court is] shall furnish appropriate auxiliary aids and services where necessary to afford individuals with disabilities ... an </w:t>
      </w:r>
      <w:r>
        <w:rPr>
          <w:rFonts w:ascii="Arial" w:eastAsia="Arial" w:hAnsi="Arial" w:cs="Arial"/>
          <w:i/>
          <w:color w:val="000000"/>
          <w:sz w:val="20"/>
        </w:rPr>
        <w:t>equal</w:t>
      </w:r>
      <w:r>
        <w:rPr>
          <w:rFonts w:ascii="Arial" w:eastAsia="Arial" w:hAnsi="Arial" w:cs="Arial"/>
          <w:color w:val="000000"/>
          <w:sz w:val="20"/>
        </w:rPr>
        <w:t xml:space="preserve"> opportunity to participate in, and enjoy the benefits of, a service, program or activity of a public entity." 28 C.F.R. §§ 35.160(a)(1), (b)(1) (emphasis added).</w:t>
      </w:r>
    </w:p>
    <w:p w14:paraId="237DF4E2" w14:textId="77777777" w:rsidR="002D0E71" w:rsidRDefault="00000000">
      <w:pPr>
        <w:pStyle w:val="Normal15"/>
        <w:widowControl w:val="0"/>
        <w:spacing w:before="200" w:line="260" w:lineRule="atLeast"/>
        <w:jc w:val="both"/>
      </w:pPr>
      <w:bookmarkStart w:id="2364" w:name="Bookmark_para_14_13"/>
      <w:bookmarkEnd w:id="2364"/>
      <w:r>
        <w:rPr>
          <w:rFonts w:ascii="Arial" w:eastAsia="Arial" w:hAnsi="Arial" w:cs="Arial"/>
          <w:color w:val="000000"/>
          <w:sz w:val="20"/>
        </w:rPr>
        <w:t>The response of the defendants (which include the State of Illinois, the Cook County Circuit Court, the trial judge, and other officials) to the federal suit was that Illinois's doctrine of collateral estoppel, which (the parties agree) is [**11]  applicable to the suit, bars the discrimination claim because it had been presented and rejected by the Illinois circuit court in a decision affirmed by the Illinois appellate court. The district court agreed and so dismissed the suit for failure to state a claim.</w:t>
      </w:r>
    </w:p>
    <w:p w14:paraId="322846D0" w14:textId="77777777" w:rsidR="002D0E71" w:rsidRDefault="00000000">
      <w:pPr>
        <w:pStyle w:val="Normal15"/>
        <w:widowControl w:val="0"/>
        <w:spacing w:before="200" w:line="260" w:lineRule="atLeast"/>
        <w:jc w:val="both"/>
      </w:pPr>
      <w:bookmarkStart w:id="2365" w:name="Bookmark_para_15_13"/>
      <w:bookmarkStart w:id="2366" w:name="Bookmark_I48TWKY935X0003XDX7003F6"/>
      <w:bookmarkStart w:id="2367" w:name="Bookmark_I5HFM41M2D6NM20040000400"/>
      <w:bookmarkStart w:id="2368" w:name="Bookmark_I5HFM41M28T49C0010000400"/>
      <w:bookmarkStart w:id="2369" w:name="Bookmark_LNHNREFclscc2_12"/>
      <w:bookmarkEnd w:id="2365"/>
      <w:bookmarkEnd w:id="2366"/>
      <w:bookmarkEnd w:id="2367"/>
      <w:bookmarkEnd w:id="2368"/>
      <w:bookmarkEnd w:id="2369"/>
      <w:r>
        <w:rPr>
          <w:rFonts w:ascii="Arial" w:eastAsia="Arial" w:hAnsi="Arial" w:cs="Arial"/>
          <w:color w:val="000000"/>
          <w:sz w:val="20"/>
        </w:rPr>
        <w:t xml:space="preserve">"The minimum threshold requirements for the application of [Illinois] collateral estoppel ... are: (1) the issue decided in the prior adjudication is identical with the one presented in the suit in question, (2) there was a final judgment on the merits in the prior adjudication, and (3) the party against whom estoppel is asserted was a party or in privity with a party to the prior adjudication. ... [Also,] a decision on the issue must have been necessary for the judgment in the first litigation, and the person to be bound must have actually litigated the issue in the first suit. [But] even where the threshold elements of the doctrine are satisfied and an identical common issue is found to exist between a former and current lawsuit, collateral estoppel must not be applied to preclude parties from presenting their claims or defenses unless it is clear that no unfairness results to the party being estopped." </w:t>
      </w:r>
      <w:bookmarkStart w:id="2370" w:name="Bookmark_I5HFM41M2D6NM20030000400"/>
      <w:bookmarkEnd w:id="2370"/>
      <w:r>
        <w:rPr>
          <w:rFonts w:ascii="Arial" w:eastAsia="Arial" w:hAnsi="Arial" w:cs="Arial"/>
          <w:i/>
          <w:color w:val="000000"/>
          <w:sz w:val="20"/>
        </w:rPr>
        <w:t>Talarico v. Dunlap</w:t>
      </w:r>
      <w:r>
        <w:rPr>
          <w:rFonts w:ascii="Arial" w:eastAsia="Arial" w:hAnsi="Arial" w:cs="Arial"/>
          <w:color w:val="000000"/>
          <w:sz w:val="20"/>
        </w:rPr>
        <w:t xml:space="preserve">, 177 Ill. 2d 185, 685 N.E.2d 325, 328, 226 Ill. Dec. 222 (Ill. 1997). </w:t>
      </w:r>
      <w:bookmarkStart w:id="2371" w:name="Bookmark_I5HFM41M28T49C0030000400"/>
      <w:bookmarkEnd w:id="2371"/>
      <w:r>
        <w:rPr>
          <w:rFonts w:ascii="Arial" w:eastAsia="Arial" w:hAnsi="Arial" w:cs="Arial"/>
          <w:color w:val="000000"/>
          <w:sz w:val="20"/>
        </w:rPr>
        <w:t xml:space="preserve">In other words [**12]  "collateral estoppel is a flexible doctrine which defies rigid or mechanical application. The question of whether a party has had a full and fair opportunity to contest a prior determination cannot be reduced to a simple formula." </w:t>
      </w:r>
      <w:bookmarkStart w:id="2372" w:name="Bookmark_I5HFM41M2D6NM20050000400"/>
      <w:bookmarkEnd w:id="2372"/>
      <w:r>
        <w:rPr>
          <w:rFonts w:ascii="Arial" w:eastAsia="Arial" w:hAnsi="Arial" w:cs="Arial"/>
          <w:i/>
          <w:color w:val="000000"/>
          <w:sz w:val="20"/>
        </w:rPr>
        <w:t>Id.</w:t>
      </w:r>
      <w:r>
        <w:rPr>
          <w:rFonts w:ascii="Arial" w:eastAsia="Arial" w:hAnsi="Arial" w:cs="Arial"/>
          <w:color w:val="000000"/>
          <w:sz w:val="20"/>
        </w:rPr>
        <w:t xml:space="preserve"> at 329-30. </w:t>
      </w:r>
      <w:bookmarkStart w:id="2373" w:name="Bookmark_I5HFM41M28T49C0030000400_2"/>
      <w:bookmarkEnd w:id="2373"/>
      <w:r>
        <w:rPr>
          <w:rFonts w:ascii="Arial" w:eastAsia="Arial" w:hAnsi="Arial" w:cs="Arial"/>
          <w:color w:val="000000"/>
          <w:sz w:val="20"/>
        </w:rPr>
        <w:t xml:space="preserve">To the same effect see </w:t>
      </w:r>
      <w:bookmarkStart w:id="2374" w:name="Bookmark_I5HFM41M28T49C0020000400"/>
      <w:bookmarkEnd w:id="2374"/>
      <w:r>
        <w:rPr>
          <w:rFonts w:ascii="Arial" w:eastAsia="Arial" w:hAnsi="Arial" w:cs="Arial"/>
          <w:i/>
          <w:color w:val="000000"/>
          <w:sz w:val="20"/>
        </w:rPr>
        <w:t>Nowak v. St. Rita High School</w:t>
      </w:r>
      <w:r>
        <w:rPr>
          <w:rFonts w:ascii="Arial" w:eastAsia="Arial" w:hAnsi="Arial" w:cs="Arial"/>
          <w:color w:val="000000"/>
          <w:sz w:val="20"/>
        </w:rPr>
        <w:t xml:space="preserve">, 197 Ill. 2d 381, 757 N.E.2d 471, 478, 258 Ill. Dec. 782 (Ill. 2001);  [*1108]  </w:t>
      </w:r>
      <w:bookmarkStart w:id="2375" w:name="Bookmark_I5HFM41M28T49C0040000400"/>
      <w:bookmarkEnd w:id="2375"/>
      <w:r>
        <w:rPr>
          <w:rFonts w:ascii="Arial" w:eastAsia="Arial" w:hAnsi="Arial" w:cs="Arial"/>
          <w:i/>
          <w:color w:val="000000"/>
          <w:sz w:val="20"/>
        </w:rPr>
        <w:t>American Family Mutual Ins. Co. v. Savickas</w:t>
      </w:r>
      <w:r>
        <w:rPr>
          <w:rFonts w:ascii="Arial" w:eastAsia="Arial" w:hAnsi="Arial" w:cs="Arial"/>
          <w:color w:val="000000"/>
          <w:sz w:val="20"/>
        </w:rPr>
        <w:t>, 193 Ill. 2d 378, 739 N.E.2d 445, 451, 250 Ill. Dec. 682 (Ill. 2000).</w:t>
      </w:r>
    </w:p>
    <w:p w14:paraId="4E3162B1" w14:textId="77777777" w:rsidR="002D0E71" w:rsidRDefault="00000000">
      <w:pPr>
        <w:pStyle w:val="Normal15"/>
        <w:widowControl w:val="0"/>
        <w:spacing w:before="200" w:line="260" w:lineRule="atLeast"/>
        <w:jc w:val="both"/>
      </w:pPr>
      <w:bookmarkStart w:id="2376" w:name="Bookmark_para_16_13"/>
      <w:bookmarkStart w:id="2377" w:name="Bookmark_I5HFM41M2D6NM30020000400"/>
      <w:bookmarkEnd w:id="2376"/>
      <w:bookmarkEnd w:id="2377"/>
      <w:r>
        <w:rPr>
          <w:rFonts w:ascii="Arial" w:eastAsia="Arial" w:hAnsi="Arial" w:cs="Arial"/>
          <w:color w:val="000000"/>
          <w:sz w:val="20"/>
        </w:rPr>
        <w:t xml:space="preserve">The threshold requirements of collateral estoppel under Illinois law have been met: the plaintiff's challenge to the adequacy of the accommodation that the circuit court made to her disability and the challenge in the district court to that adequacy are essentially the same, and the plaintiff had an opportunity to obtain appellate review of the circuit court's ruling on the adequacy of the accommodations she had received at the trial. But remember that even when these essential conditions of collateral estoppel are satisfied, the doctrine, as understood in Illinois, is not to be applied "unless it is clear that no unfairness results to the party being estopped." </w:t>
      </w:r>
      <w:bookmarkStart w:id="2378" w:name="Bookmark_I5HFM41M2D6NM30010000400"/>
      <w:bookmarkEnd w:id="2378"/>
      <w:r>
        <w:rPr>
          <w:rFonts w:ascii="Arial" w:eastAsia="Arial" w:hAnsi="Arial" w:cs="Arial"/>
          <w:i/>
          <w:color w:val="000000"/>
          <w:sz w:val="20"/>
        </w:rPr>
        <w:t>Talarico v. Dunlap, supra</w:t>
      </w:r>
      <w:r>
        <w:rPr>
          <w:rFonts w:ascii="Arial" w:eastAsia="Arial" w:hAnsi="Arial" w:cs="Arial"/>
          <w:color w:val="000000"/>
          <w:sz w:val="20"/>
        </w:rPr>
        <w:t>, 685 N.E.2d at 328.</w:t>
      </w:r>
    </w:p>
    <w:p w14:paraId="57A404EE" w14:textId="77777777" w:rsidR="002D0E71" w:rsidRDefault="00000000">
      <w:pPr>
        <w:pStyle w:val="Normal15"/>
        <w:widowControl w:val="0"/>
        <w:spacing w:before="200" w:line="260" w:lineRule="atLeast"/>
        <w:jc w:val="both"/>
      </w:pPr>
      <w:bookmarkStart w:id="2379" w:name="Bookmark_para_17_12"/>
      <w:bookmarkEnd w:id="2379"/>
      <w:r>
        <w:rPr>
          <w:rFonts w:ascii="Arial" w:eastAsia="Arial" w:hAnsi="Arial" w:cs="Arial"/>
          <w:color w:val="000000"/>
          <w:sz w:val="20"/>
        </w:rPr>
        <w:t>Admittedly terms like "fair" and "unfair," if left undefined, as so often they are, lack precision, yet they cannot be ignored when, as in the Illinois law of collateral estoppel, they are elements of legal doctrine. What is unfair in the present context is to deny, without [**13]  a good reason, a party's right to press a potentially winning argument.</w:t>
      </w:r>
      <w:bookmarkStart w:id="2380" w:name="Bookmark_LNHNREFclscc3_12"/>
      <w:bookmarkEnd w:id="2380"/>
      <w:r>
        <w:rPr>
          <w:rFonts w:ascii="Arial" w:eastAsia="Arial" w:hAnsi="Arial" w:cs="Arial"/>
          <w:color w:val="000000"/>
          <w:sz w:val="20"/>
        </w:rPr>
        <w:t xml:space="preserve"> A "desire not to deprive a litigant of an adequate day in court" is a proper consideration in deciding whether to invoke collateral estoppel, </w:t>
      </w:r>
      <w:r>
        <w:rPr>
          <w:rFonts w:ascii="Arial" w:eastAsia="Arial" w:hAnsi="Arial" w:cs="Arial"/>
          <w:i/>
          <w:color w:val="000000"/>
          <w:sz w:val="20"/>
        </w:rPr>
        <w:t>Restatement (Second) of Judgments</w:t>
      </w:r>
      <w:r>
        <w:rPr>
          <w:rFonts w:ascii="Arial" w:eastAsia="Arial" w:hAnsi="Arial" w:cs="Arial"/>
          <w:color w:val="000000"/>
          <w:sz w:val="20"/>
        </w:rPr>
        <w:t xml:space="preserve"> § 27, comment c (1982), and one reason a litigant may not have had an adequate day in court is that he or she was "laboring under a mental or physical disability that impeded effective litigation." </w:t>
      </w:r>
      <w:r>
        <w:rPr>
          <w:rFonts w:ascii="Arial" w:eastAsia="Arial" w:hAnsi="Arial" w:cs="Arial"/>
          <w:i/>
          <w:color w:val="000000"/>
          <w:sz w:val="20"/>
        </w:rPr>
        <w:t>Id.</w:t>
      </w:r>
      <w:r>
        <w:rPr>
          <w:rFonts w:ascii="Arial" w:eastAsia="Arial" w:hAnsi="Arial" w:cs="Arial"/>
          <w:color w:val="000000"/>
          <w:sz w:val="20"/>
        </w:rPr>
        <w:t>, § 28, comment j. The circuit court judge had ruled that the plaintiff was incapable of advocating her post-trial motion orally and, as we said earlier, this suggests that she probably was incapable of conducting her trial as well.</w:t>
      </w:r>
    </w:p>
    <w:p w14:paraId="4A5DF620" w14:textId="77777777" w:rsidR="002D0E71" w:rsidRDefault="00000000">
      <w:pPr>
        <w:pStyle w:val="Normal15"/>
        <w:widowControl w:val="0"/>
        <w:spacing w:before="200" w:line="260" w:lineRule="atLeast"/>
        <w:jc w:val="both"/>
      </w:pPr>
      <w:bookmarkStart w:id="2381" w:name="Bookmark_para_18_12"/>
      <w:bookmarkStart w:id="2382" w:name="Bookmark_LNHNREFclscc4_12"/>
      <w:bookmarkEnd w:id="2381"/>
      <w:bookmarkEnd w:id="2382"/>
      <w:r>
        <w:rPr>
          <w:rFonts w:ascii="Arial" w:eastAsia="Arial" w:hAnsi="Arial" w:cs="Arial"/>
          <w:color w:val="000000"/>
          <w:sz w:val="20"/>
        </w:rPr>
        <w:t xml:space="preserve">A good reason for according finality to the ruling in a previous case is that the party made the same argument in that case and it was rejected on a sound ground. That is not this case. In the plaintiff's personal-injury suit, she was in no position, being pro se and seriously disabled, to establish the applicability to her case of the federal laws against disability discrimination. She knew she needed help to litigate her personal-injury suit, especially having no lawyer. And so she asked for help. Many of her requests were ignored or denied by the judge, who was at [**14]  times impatient with and even rude to her; and his conclusion that her disability had been adequately accommodated was untenable. </w:t>
      </w:r>
      <w:bookmarkStart w:id="2383" w:name="Bookmark_I48TWKY988S0003XDX7003F7"/>
      <w:bookmarkStart w:id="2384" w:name="Bookmark_I5HFM41M2D6NM30040000400"/>
      <w:bookmarkEnd w:id="2383"/>
      <w:bookmarkEnd w:id="2384"/>
      <w:r>
        <w:rPr>
          <w:rFonts w:ascii="Arial" w:eastAsia="Arial" w:hAnsi="Arial" w:cs="Arial"/>
          <w:color w:val="000000"/>
          <w:sz w:val="20"/>
        </w:rPr>
        <w:t xml:space="preserve">There was nothing "fair" in his bestowal of inadequate accommodations, or in his conclusion, in the very ruling on her post-trial motion in which he adjudged her incompetent to make an oral presentation, that the accommodations provided for her at trial had been adequate. She was denied a full and impartial opportunity to litigate the accommodations issue when the judge refused to grant her oral argument, on account of her disability, and she had no lawyer to argue in her place. Apt is the observation of the Supreme Court in </w:t>
      </w:r>
      <w:bookmarkStart w:id="2385" w:name="Bookmark_I5HFM41M2D6NM30030000400"/>
      <w:bookmarkEnd w:id="2385"/>
      <w:r>
        <w:rPr>
          <w:rFonts w:ascii="Arial" w:eastAsia="Arial" w:hAnsi="Arial" w:cs="Arial"/>
          <w:i/>
          <w:color w:val="000000"/>
          <w:sz w:val="20"/>
        </w:rPr>
        <w:t>Tennessee v. Lane</w:t>
      </w:r>
      <w:r>
        <w:rPr>
          <w:rFonts w:ascii="Arial" w:eastAsia="Arial" w:hAnsi="Arial" w:cs="Arial"/>
          <w:color w:val="000000"/>
          <w:sz w:val="20"/>
        </w:rPr>
        <w:t xml:space="preserve">, 541 U.S. 509, 531, 124 S. Ct. 1978, 158 L. Ed. 2d 820 (2004), that </w:t>
      </w:r>
      <w:bookmarkStart w:id="2386" w:name="Bookmark_LNHNREFclscc5_12"/>
      <w:bookmarkEnd w:id="2386"/>
      <w:r>
        <w:rPr>
          <w:rFonts w:ascii="Arial" w:eastAsia="Arial" w:hAnsi="Arial" w:cs="Arial"/>
          <w:color w:val="000000"/>
          <w:sz w:val="20"/>
        </w:rPr>
        <w:t>Title II of the ADA was passed in part to provide equal access to courts for the disabled: "The unequal treatment of disabled persons in the administration of judicial services has a long history, and has persisted despite several legislative efforts to remedy the problem of disability discrimination."</w:t>
      </w:r>
    </w:p>
    <w:p w14:paraId="11B81766" w14:textId="77777777" w:rsidR="002D0E71" w:rsidRDefault="00000000">
      <w:pPr>
        <w:pStyle w:val="Normal15"/>
        <w:widowControl w:val="0"/>
        <w:spacing w:before="200" w:line="260" w:lineRule="atLeast"/>
        <w:jc w:val="both"/>
      </w:pPr>
      <w:bookmarkStart w:id="2387" w:name="Bookmark_para_19_12"/>
      <w:bookmarkEnd w:id="2387"/>
      <w:r>
        <w:rPr>
          <w:rFonts w:ascii="Arial" w:eastAsia="Arial" w:hAnsi="Arial" w:cs="Arial"/>
          <w:color w:val="000000"/>
          <w:sz w:val="20"/>
        </w:rPr>
        <w:t>There is a further objection to the invocation of collateral estoppel in this case. At her trial in state court the plaintiff knew that she needed accommodations to her disability in order to be able to litigate her case. And she [**15]  knew there was a disability coordinator to whom she could appeal. But she asserted no federal statutory entitlement to accommodation before or during her trial, and while she did  [*1109]  invoke the Americans with Disabilities Act in her post-trial motions she mentioned neither the Rehabilitation Act nor the highly pertinent ("equal opportunity") regulation under the ADA that we quoted earlier in this opinion. Furthermore, although federal law forbids discrimination against disabled persons, the trial judge did not consider whether the plaintiff had been discriminated against, that is, had been treated worse in the litigation than a nondisabled person would have been. He considered only the adequacy of the accommodations made for her disability at the state-court trial. The post-trial proceeding conducted by the state-court trial judge thus limited the plaintiff to a truncated version of her disability claim (a version that ignored her right to an opportunity equal to that of a nondisabled person to litigate her claim), while the present, federal litigation encompasses the full range of issues concerning the scope and application of federal disability law to her plight. [**16] </w:t>
      </w:r>
    </w:p>
    <w:p w14:paraId="5E665B80" w14:textId="77777777" w:rsidR="002D0E71" w:rsidRDefault="00000000">
      <w:pPr>
        <w:pStyle w:val="Normal15"/>
        <w:widowControl w:val="0"/>
        <w:spacing w:before="200" w:line="260" w:lineRule="atLeast"/>
        <w:jc w:val="both"/>
      </w:pPr>
      <w:bookmarkStart w:id="2388" w:name="Bookmark_para_20_10"/>
      <w:bookmarkStart w:id="2389" w:name="Bookmark_I5HFM41M2SF81R0010000400"/>
      <w:bookmarkStart w:id="2390" w:name="Bookmark_LNHNREFclscc6_11"/>
      <w:bookmarkEnd w:id="2388"/>
      <w:bookmarkEnd w:id="2389"/>
      <w:bookmarkEnd w:id="2390"/>
      <w:r>
        <w:rPr>
          <w:rFonts w:ascii="Arial" w:eastAsia="Arial" w:hAnsi="Arial" w:cs="Arial"/>
          <w:color w:val="000000"/>
          <w:sz w:val="20"/>
        </w:rPr>
        <w:t xml:space="preserve">"[O]nce a person has been afforded a full and fair opportunity to litigate a particular issue, that person may not be permitted to do so again," </w:t>
      </w:r>
      <w:bookmarkStart w:id="2391" w:name="Bookmark_I5HFM41M2D6NM30050000400"/>
      <w:bookmarkEnd w:id="2391"/>
      <w:r>
        <w:rPr>
          <w:rFonts w:ascii="Arial" w:eastAsia="Arial" w:hAnsi="Arial" w:cs="Arial"/>
          <w:i/>
          <w:color w:val="000000"/>
          <w:sz w:val="20"/>
        </w:rPr>
        <w:t>Gramatan Home Investors Corp. v. Lopez</w:t>
      </w:r>
      <w:r>
        <w:rPr>
          <w:rFonts w:ascii="Arial" w:eastAsia="Arial" w:hAnsi="Arial" w:cs="Arial"/>
          <w:color w:val="000000"/>
          <w:sz w:val="20"/>
        </w:rPr>
        <w:t xml:space="preserve">, 46 N.Y.2d 481, 386 N.E.2d 1328, 1331, 414 N.Y.S.2d 308 (N.Y. 1979), and thus a "court determining whether estoppel should apply must balance the need to limit litigation against the right to an adversarial proceeding in which a party is accorded a full and fair opportunity to present his case." </w:t>
      </w:r>
      <w:bookmarkStart w:id="2392" w:name="Bookmark_I5HFM41M2SF81R0020000400"/>
      <w:bookmarkEnd w:id="2392"/>
      <w:r>
        <w:rPr>
          <w:rFonts w:ascii="Arial" w:eastAsia="Arial" w:hAnsi="Arial" w:cs="Arial"/>
          <w:i/>
          <w:color w:val="000000"/>
          <w:sz w:val="20"/>
        </w:rPr>
        <w:t>American Family Mutual Ins. Co. v. Savickas, supra</w:t>
      </w:r>
      <w:r>
        <w:rPr>
          <w:rFonts w:ascii="Arial" w:eastAsia="Arial" w:hAnsi="Arial" w:cs="Arial"/>
          <w:color w:val="000000"/>
          <w:sz w:val="20"/>
        </w:rPr>
        <w:t>, 739 N.E.2d at 451. For one court (the state court) to deny accommodations without which a disabled plaintiff has no chance of prevailing in her trial, and for another court (the federal district court) on the basis of that rejection to refuse [**17]  to provide a remedy for the discrimination that she experienced in the first trial, is to deny the plaintiff a full and fair opportunity to vindicate her claims.</w:t>
      </w:r>
    </w:p>
    <w:p w14:paraId="17D1273A" w14:textId="77777777" w:rsidR="002D0E71" w:rsidRDefault="00000000">
      <w:pPr>
        <w:pStyle w:val="Normal15"/>
        <w:widowControl w:val="0"/>
        <w:spacing w:before="200" w:line="260" w:lineRule="atLeast"/>
        <w:jc w:val="both"/>
      </w:pPr>
      <w:bookmarkStart w:id="2393" w:name="Bookmark_para_21_10"/>
      <w:bookmarkStart w:id="2394" w:name="Bookmark_I5HFM41M2SF81R0050000400"/>
      <w:bookmarkEnd w:id="2393"/>
      <w:bookmarkEnd w:id="2394"/>
      <w:r>
        <w:rPr>
          <w:rFonts w:ascii="Arial" w:eastAsia="Arial" w:hAnsi="Arial" w:cs="Arial"/>
          <w:color w:val="000000"/>
          <w:sz w:val="20"/>
        </w:rPr>
        <w:t xml:space="preserve">Finally, citing </w:t>
      </w:r>
      <w:bookmarkStart w:id="2395" w:name="Bookmark_I5HFM41M2SF81R0040000400"/>
      <w:bookmarkEnd w:id="2395"/>
      <w:r>
        <w:rPr>
          <w:rFonts w:ascii="Arial" w:eastAsia="Arial" w:hAnsi="Arial" w:cs="Arial"/>
          <w:i/>
          <w:color w:val="000000"/>
          <w:sz w:val="20"/>
        </w:rPr>
        <w:t>Stanek v. St. Charles Community Unit School District No. 303</w:t>
      </w:r>
      <w:r>
        <w:rPr>
          <w:rFonts w:ascii="Arial" w:eastAsia="Arial" w:hAnsi="Arial" w:cs="Arial"/>
          <w:color w:val="000000"/>
          <w:sz w:val="20"/>
        </w:rPr>
        <w:t>, 783 F.3d 634, 644 (7th Cir. 2015), the defendants argue on appeal that the state appellate court and its chief judge are the only proper defendants. The district court had no opportunity to consider this argument, so it remains for consideration on remand.</w:t>
      </w:r>
    </w:p>
    <w:p w14:paraId="4DDA9ADC" w14:textId="77777777" w:rsidR="002D0E71" w:rsidRDefault="00000000">
      <w:pPr>
        <w:pStyle w:val="Normal15"/>
        <w:widowControl w:val="0"/>
        <w:spacing w:before="200" w:line="260" w:lineRule="atLeast"/>
        <w:jc w:val="both"/>
      </w:pPr>
      <w:bookmarkStart w:id="2396" w:name="Bookmark_para_22_10"/>
      <w:bookmarkEnd w:id="2396"/>
      <w:r>
        <w:rPr>
          <w:rFonts w:ascii="Arial" w:eastAsia="Arial" w:hAnsi="Arial" w:cs="Arial"/>
          <w:smallCaps/>
          <w:color w:val="000000"/>
          <w:sz w:val="20"/>
        </w:rPr>
        <w:t>Reversed and Remanded</w:t>
      </w:r>
    </w:p>
    <w:p w14:paraId="5673CC01" w14:textId="77777777" w:rsidR="002D0E71" w:rsidRDefault="00000000">
      <w:pPr>
        <w:pStyle w:val="Normal15"/>
        <w:widowControl w:val="0"/>
        <w:spacing w:before="240" w:line="260" w:lineRule="atLeast"/>
      </w:pPr>
      <w:bookmarkStart w:id="2397" w:name="Dissent_by"/>
      <w:bookmarkEnd w:id="2397"/>
      <w:r>
        <w:rPr>
          <w:rFonts w:ascii="Arial" w:eastAsia="Arial" w:hAnsi="Arial" w:cs="Arial"/>
          <w:b/>
          <w:color w:val="000000"/>
          <w:sz w:val="20"/>
        </w:rPr>
        <w:t>Dissent by:</w:t>
      </w:r>
      <w:r>
        <w:rPr>
          <w:rFonts w:ascii="Arial" w:eastAsia="Arial" w:hAnsi="Arial" w:cs="Arial"/>
          <w:color w:val="000000"/>
          <w:sz w:val="20"/>
        </w:rPr>
        <w:t> SYKES</w:t>
      </w:r>
    </w:p>
    <w:p w14:paraId="33661349" w14:textId="77777777" w:rsidR="002D0E71" w:rsidRDefault="00000000">
      <w:pPr>
        <w:pStyle w:val="Normal15"/>
        <w:keepNext/>
        <w:widowControl w:val="0"/>
        <w:spacing w:before="240" w:line="340" w:lineRule="atLeast"/>
      </w:pPr>
      <w:bookmarkStart w:id="2398" w:name="Dissent"/>
      <w:bookmarkEnd w:id="2398"/>
      <w:r>
        <w:rPr>
          <w:rFonts w:ascii="Arial" w:eastAsia="Arial" w:hAnsi="Arial" w:cs="Arial"/>
          <w:b/>
          <w:color w:val="000000"/>
          <w:sz w:val="28"/>
        </w:rPr>
        <w:t>Dissent</w:t>
      </w:r>
    </w:p>
    <w:p w14:paraId="6DFEB7F3" w14:textId="33E03A2F" w:rsidR="002D0E71" w:rsidRDefault="002939DF">
      <w:pPr>
        <w:pStyle w:val="Normal15"/>
        <w:spacing w:line="60" w:lineRule="exact"/>
      </w:pPr>
      <w:r>
        <w:rPr>
          <w:noProof/>
        </w:rPr>
        <mc:AlternateContent>
          <mc:Choice Requires="wps">
            <w:drawing>
              <wp:anchor distT="0" distB="0" distL="114300" distR="114300" simplePos="0" relativeHeight="251691008" behindDoc="0" locked="0" layoutInCell="1" allowOverlap="1" wp14:anchorId="268313AF" wp14:editId="0DD4B2E9">
                <wp:simplePos x="0" y="0"/>
                <wp:positionH relativeFrom="column">
                  <wp:posOffset>0</wp:posOffset>
                </wp:positionH>
                <wp:positionV relativeFrom="paragraph">
                  <wp:posOffset>25400</wp:posOffset>
                </wp:positionV>
                <wp:extent cx="3187700" cy="0"/>
                <wp:effectExtent l="19050" t="15875" r="12700" b="12700"/>
                <wp:wrapTopAndBottom/>
                <wp:docPr id="771236128"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2AE8B" id="Line 33"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5FE3DCB6" w14:textId="77777777" w:rsidR="002D0E71" w:rsidRDefault="002D0E71">
      <w:pPr>
        <w:pStyle w:val="Normal15"/>
      </w:pPr>
    </w:p>
    <w:p w14:paraId="439720A3" w14:textId="77777777" w:rsidR="002D0E71" w:rsidRDefault="00000000">
      <w:pPr>
        <w:pStyle w:val="Normal15"/>
        <w:widowControl w:val="0"/>
        <w:spacing w:before="200" w:line="260" w:lineRule="atLeast"/>
        <w:jc w:val="both"/>
      </w:pPr>
      <w:bookmarkStart w:id="2399" w:name="Bookmark_para_23_10"/>
      <w:bookmarkEnd w:id="2399"/>
      <w:r>
        <w:rPr>
          <w:rFonts w:ascii="Arial" w:eastAsia="Arial" w:hAnsi="Arial" w:cs="Arial"/>
          <w:smallCaps/>
          <w:color w:val="000000"/>
          <w:sz w:val="20"/>
        </w:rPr>
        <w:t>Sykes</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 dissenting. My colleagues have concluded that although the threshold elements of collateral estoppel are satisfied here, the state judge's ruling on the accommodation issue cannot be given preclusive effect because it was unfair. I respectfully disagree.</w:t>
      </w:r>
    </w:p>
    <w:p w14:paraId="17CBE3FC" w14:textId="77777777" w:rsidR="002D0E71" w:rsidRDefault="00000000">
      <w:pPr>
        <w:pStyle w:val="Normal15"/>
        <w:widowControl w:val="0"/>
        <w:spacing w:before="200" w:line="260" w:lineRule="atLeast"/>
        <w:jc w:val="both"/>
      </w:pPr>
      <w:bookmarkStart w:id="2400" w:name="Bookmark_para_24_10"/>
      <w:bookmarkEnd w:id="2400"/>
      <w:r>
        <w:rPr>
          <w:rFonts w:ascii="Arial" w:eastAsia="Arial" w:hAnsi="Arial" w:cs="Arial"/>
          <w:color w:val="000000"/>
          <w:sz w:val="20"/>
        </w:rPr>
        <w:t>In April 2011 plaintiff Linda Reed was diagnosed with tardive dyskinesia, a disabling movement disorder described at length in the majority opinion. At the time of her diagnosis, Reed had a personal-injury case pending in Cook County Circuit Court. She was representing herself. Because her disability affects oral communication and sometimes manifests startling symptoms, she asked for six specific accommodations to assist her in presenting her case to the jury: (1) a note taker; (2) a podium; (3) [**18]  recesses as needed; (4) an interpreter; (5) a microphone; and (6) an instruction explaining her disability to the jurors so they would understand her symptoms.</w:t>
      </w:r>
    </w:p>
    <w:p w14:paraId="03F5FB10" w14:textId="77777777" w:rsidR="002D0E71" w:rsidRDefault="00000000">
      <w:pPr>
        <w:pStyle w:val="Normal15"/>
        <w:widowControl w:val="0"/>
        <w:spacing w:before="200" w:line="260" w:lineRule="atLeast"/>
        <w:jc w:val="both"/>
      </w:pPr>
      <w:bookmarkStart w:id="2401" w:name="Bookmark_para_25_10"/>
      <w:bookmarkEnd w:id="2401"/>
      <w:r>
        <w:rPr>
          <w:rFonts w:ascii="Arial" w:eastAsia="Arial" w:hAnsi="Arial" w:cs="Arial"/>
          <w:color w:val="000000"/>
          <w:sz w:val="20"/>
        </w:rPr>
        <w:t>The judge granted the first three requests. Reed was permitted to have a friend and a family member at counsel table to help her organize her presentation; she was provided a podium; and the judge allowed recesses when she needed a break. Although the judge did not instruct the jury about the specifics of her disability, he didn't entirely ignore her request for a jury instruction. Rather, during jury selection, he informed the prospective jurors that Reed had a speech  [*1110]  impediment (that's how she herself had described it), and he questioned them about their ability to disregard the impairment and fairly decide the case. Also, at several points during the course of the trial, the judge reminded the jurors not to hold Reed's condition against her. So only two of Reed's six accommodation requests were denied outright: the court did not provide a microphone or an interpreter.</w:t>
      </w:r>
    </w:p>
    <w:p w14:paraId="0EAD575A" w14:textId="77777777" w:rsidR="002D0E71" w:rsidRDefault="00000000">
      <w:pPr>
        <w:pStyle w:val="Normal15"/>
        <w:widowControl w:val="0"/>
        <w:spacing w:before="200" w:line="260" w:lineRule="atLeast"/>
        <w:jc w:val="both"/>
      </w:pPr>
      <w:bookmarkStart w:id="2402" w:name="Bookmark_para_26_10"/>
      <w:bookmarkEnd w:id="2402"/>
      <w:r>
        <w:rPr>
          <w:rFonts w:ascii="Arial" w:eastAsia="Arial" w:hAnsi="Arial" w:cs="Arial"/>
          <w:color w:val="000000"/>
          <w:sz w:val="20"/>
        </w:rPr>
        <w:t xml:space="preserve">After the jury returned a defense verdict, Reed moved for a new trial arguing (among other things) that she was a person with a disability under the Americans [**19]  with Disabilities Act and that the court had failed to adequately accommodate her disability. Before the motion could be heard, however, Reed's condition deteriorated. She could not travel to Chicago for a hearing on the motion (she lives in Milwaukee), and she was unable to participate over the phone, as she had done for pretrial conferences. Accordingly, the judge decided the motion on the papers, explaining in his written order that he opted to proceed without oral argument because Reed's "severe speech impediment ... prevents her from communicating in any vocal fashion." Importantly, Reed's inability to orally communicate arose </w:t>
      </w:r>
      <w:r>
        <w:rPr>
          <w:rFonts w:ascii="Arial" w:eastAsia="Arial" w:hAnsi="Arial" w:cs="Arial"/>
          <w:i/>
          <w:color w:val="000000"/>
          <w:sz w:val="20"/>
        </w:rPr>
        <w:t>after</w:t>
      </w:r>
      <w:r>
        <w:rPr>
          <w:rFonts w:ascii="Arial" w:eastAsia="Arial" w:hAnsi="Arial" w:cs="Arial"/>
          <w:color w:val="000000"/>
          <w:sz w:val="20"/>
        </w:rPr>
        <w:t xml:space="preserve"> trial, not before or during trial.</w:t>
      </w:r>
    </w:p>
    <w:p w14:paraId="2AFCD690" w14:textId="77777777" w:rsidR="002D0E71" w:rsidRDefault="00000000">
      <w:pPr>
        <w:pStyle w:val="Normal15"/>
        <w:widowControl w:val="0"/>
        <w:spacing w:before="200" w:line="260" w:lineRule="atLeast"/>
        <w:jc w:val="both"/>
      </w:pPr>
      <w:bookmarkStart w:id="2403" w:name="Bookmark_para_27_10"/>
      <w:bookmarkEnd w:id="2403"/>
      <w:r>
        <w:rPr>
          <w:rFonts w:ascii="Arial" w:eastAsia="Arial" w:hAnsi="Arial" w:cs="Arial"/>
          <w:color w:val="000000"/>
          <w:sz w:val="20"/>
        </w:rPr>
        <w:t>The judge denied Reed's motion for a new trial. Addressing her failure-to-accommodate claim, the judge wrote as follows (and I include his entire analysis because my colleagues have attacked it as unfair):</w:t>
      </w:r>
    </w:p>
    <w:p w14:paraId="40C01500" w14:textId="77777777" w:rsidR="002D0E71" w:rsidRDefault="00000000">
      <w:pPr>
        <w:pStyle w:val="Normal15"/>
        <w:widowControl w:val="0"/>
        <w:spacing w:before="200" w:line="260" w:lineRule="atLeast"/>
        <w:ind w:left="400"/>
        <w:jc w:val="both"/>
      </w:pPr>
      <w:bookmarkStart w:id="2404" w:name="Bookmark_para_28_10"/>
      <w:bookmarkEnd w:id="2404"/>
      <w:r>
        <w:rPr>
          <w:rFonts w:ascii="Arial" w:eastAsia="Arial" w:hAnsi="Arial" w:cs="Arial"/>
          <w:color w:val="000000"/>
          <w:sz w:val="20"/>
        </w:rPr>
        <w:t>The plaintiff finally contends that she was not afforded an accommodation of a physical disability. The plaintiff has been a resident of Milwaukee, Wisconsin during all phases of this litigation. In order to allow for her full and meaningful participation, she was allowed to participate by telephone in almost all [**20]  of the pre-trial hearings. This process worked well, and the parties were always able to fully engage in argument on their pre-trial issues. During each of these sessions, the plaintiff always argued her positions thoughtfully and with appropriate levels of forcefulness. Even in spite of sometimes sharp exchanges, she was always cordial to both counsel and the court. Almost immediately before the actual trial, the plaintiff began to experience a rapid and noticeable diminishment of speech ability so that her speaking was interrupted by uncontrollable pauses on account of an apparent nervous disorder that forced her into involuntary contortions of the mouth and unintended utterances, most of which consisted of unintelligible sounds. However, she at all times presented as having been fully mentally capable and alert, physically able except for the speech condition, and clearly frustrated whenever she experienced such interruptions. It was necessary to take several steps to accommodate her obvious speech challenge. To begin with, she was allowed to have an additional person at counsel table to assist her in organizing her voluminous materials during the trial. The prospective jurors were [**21]  asked whether the plaintiff's impediment would prevent them from giving the parties a fair trial, and the sworn jury was reminded several times not to hold her condition against her or the defendant. There were frequent recesses so that the plaintiff could drink water and otherwise comfort herself, and the court was always mindful of her physical challenge to simply speak as she intended. There were occasions when her pauses were so lengthy that the court concluded that she was being indecisive rather than laboring under the impediment, and she was asked to move on, as would any other individual. At those times, she appeared able to fully respond and proceed in a most functional manner.  [*1111]  This court was never of the view that the plaintiff ever labored under any court-induced feeling of being intimidated. She was always allowed wide latitude in the presentation of her case. The court overruled many procedural objections by the defense in order to accommodate her condition, and sustained certain substantive defense objections when appropriate to do so. She was entirely engaging during the jury selection process and never seemed to confuse or irritate the jurors during the evidentiary [**22]  phase of the trial or during the final arguments. Indeed, it was this court's observation throughout the trial that the jurors liked her. This court has no doubt but that her readily observable speech impediment concern was accommodated, and that she was thus fully afforded a fair and adequate opportunity to present her case, which she accomplished at a level that far exceeded that of most pro-se litigants in jury trials in spite of her condition.</w:t>
      </w:r>
    </w:p>
    <w:p w14:paraId="23F26DCE" w14:textId="77777777" w:rsidR="002D0E71" w:rsidRDefault="00000000">
      <w:pPr>
        <w:pStyle w:val="Normal15"/>
        <w:widowControl w:val="0"/>
        <w:spacing w:before="200" w:line="260" w:lineRule="atLeast"/>
        <w:jc w:val="both"/>
      </w:pPr>
      <w:bookmarkStart w:id="2405" w:name="Bookmark_para_29_10"/>
      <w:bookmarkEnd w:id="2405"/>
      <w:r>
        <w:rPr>
          <w:rFonts w:ascii="Arial" w:eastAsia="Arial" w:hAnsi="Arial" w:cs="Arial"/>
          <w:color w:val="000000"/>
          <w:sz w:val="20"/>
        </w:rPr>
        <w:t xml:space="preserve">Reed appealed but did not develop her ADA accommodation argument before the appellate court. Instead, while the appeal was still pending, she sued the state judge in federal court (along with other court officials, the Cook County Circuit Court, and the State of Illinois). Her new lawsuit alleged that the defendants failed to accommodate her disability during the trial of her personal-injury action and thus violated the ADA, 42 U.S.C. §§ 12131 </w:t>
      </w:r>
      <w:r>
        <w:rPr>
          <w:rFonts w:ascii="Arial" w:eastAsia="Arial" w:hAnsi="Arial" w:cs="Arial"/>
          <w:i/>
          <w:color w:val="000000"/>
          <w:sz w:val="20"/>
        </w:rPr>
        <w:t>et seq.</w:t>
      </w:r>
      <w:r>
        <w:rPr>
          <w:rFonts w:ascii="Arial" w:eastAsia="Arial" w:hAnsi="Arial" w:cs="Arial"/>
          <w:color w:val="000000"/>
          <w:sz w:val="20"/>
        </w:rPr>
        <w:t>, and section 504 of the Rehabilitation Act, 29 U.S.C. § 794. In the meantime, the state appellate court affirmed the judgment, and the Illinois Supreme Court denied review.</w:t>
      </w:r>
    </w:p>
    <w:p w14:paraId="266B3248" w14:textId="77777777" w:rsidR="002D0E71" w:rsidRDefault="00000000">
      <w:pPr>
        <w:pStyle w:val="Normal15"/>
        <w:widowControl w:val="0"/>
        <w:spacing w:before="200" w:line="260" w:lineRule="atLeast"/>
        <w:jc w:val="both"/>
      </w:pPr>
      <w:bookmarkStart w:id="2406" w:name="Bookmark_para_30_10"/>
      <w:bookmarkStart w:id="2407" w:name="Bookmark_I48TWKY9FCM0003XDX7003F8"/>
      <w:bookmarkStart w:id="2408" w:name="Bookmark_I5HFM41N2D6NM40020000400"/>
      <w:bookmarkEnd w:id="2406"/>
      <w:bookmarkEnd w:id="2407"/>
      <w:bookmarkEnd w:id="2408"/>
      <w:r>
        <w:rPr>
          <w:rFonts w:ascii="Arial" w:eastAsia="Arial" w:hAnsi="Arial" w:cs="Arial"/>
          <w:color w:val="000000"/>
          <w:sz w:val="20"/>
        </w:rPr>
        <w:t xml:space="preserve">The district court dismissed Reed's suit based on collateral estoppel (also known as issue preclusion), which "bars relitigation of an issue already decided in a prior case." [**23]  </w:t>
      </w:r>
      <w:bookmarkStart w:id="2409" w:name="Bookmark_I5HFM41N2D6NM40010000400"/>
      <w:bookmarkEnd w:id="2409"/>
      <w:r>
        <w:rPr>
          <w:rFonts w:ascii="Arial" w:eastAsia="Arial" w:hAnsi="Arial" w:cs="Arial"/>
          <w:i/>
          <w:color w:val="000000"/>
          <w:sz w:val="20"/>
        </w:rPr>
        <w:t>In re A.W.</w:t>
      </w:r>
      <w:r>
        <w:rPr>
          <w:rFonts w:ascii="Arial" w:eastAsia="Arial" w:hAnsi="Arial" w:cs="Arial"/>
          <w:color w:val="000000"/>
          <w:sz w:val="20"/>
        </w:rPr>
        <w:t>, 231 Ill. 2d 92, 896 N.E.2d 316, 321, 324 Ill. Dec. 530 (Ill. 2008). My colleagues agree that the basic elements of issue preclusion are satisfied here; the accommodation issue was raised and decided in the state-court litigation, which proceeded to final judgment on the merits, and no one disputes the identity of the parties.</w:t>
      </w:r>
      <w:r>
        <w:rPr>
          <w:rFonts w:ascii="Arial" w:eastAsia="Arial" w:hAnsi="Arial" w:cs="Arial"/>
          <w:vertAlign w:val="superscript"/>
        </w:rPr>
        <w:footnoteReference w:customMarkFollows="1" w:id="78"/>
        <w:t>1</w:t>
      </w:r>
      <w:r>
        <w:rPr>
          <w:rFonts w:ascii="Arial" w:eastAsia="Arial" w:hAnsi="Arial" w:cs="Arial"/>
          <w:color w:val="000000"/>
          <w:sz w:val="20"/>
        </w:rPr>
        <w:t xml:space="preserve"> </w:t>
      </w:r>
      <w:r>
        <w:rPr>
          <w:rFonts w:ascii="Arial" w:eastAsia="Arial" w:hAnsi="Arial" w:cs="Arial"/>
          <w:i/>
          <w:color w:val="000000"/>
          <w:sz w:val="20"/>
        </w:rPr>
        <w:t>See id.</w:t>
      </w:r>
      <w:r>
        <w:rPr>
          <w:rFonts w:ascii="Arial" w:eastAsia="Arial" w:hAnsi="Arial" w:cs="Arial"/>
          <w:color w:val="000000"/>
          <w:sz w:val="20"/>
        </w:rPr>
        <w:t xml:space="preserve"> (explaining the elements of collateral estoppel).</w:t>
      </w:r>
    </w:p>
    <w:p w14:paraId="7974C1B4" w14:textId="77777777" w:rsidR="002D0E71" w:rsidRDefault="00000000">
      <w:pPr>
        <w:pStyle w:val="Normal15"/>
        <w:widowControl w:val="0"/>
        <w:spacing w:before="200" w:line="260" w:lineRule="atLeast"/>
        <w:jc w:val="both"/>
      </w:pPr>
      <w:bookmarkStart w:id="2411" w:name="Bookmark_para_31_10"/>
      <w:bookmarkEnd w:id="2411"/>
      <w:r>
        <w:rPr>
          <w:rFonts w:ascii="Arial" w:eastAsia="Arial" w:hAnsi="Arial" w:cs="Arial"/>
          <w:color w:val="000000"/>
          <w:sz w:val="20"/>
        </w:rPr>
        <w:t>Still, my colleagues refuse to give the state court's ruling preclusive effect. Here is the key passage in their analysis:</w:t>
      </w:r>
    </w:p>
    <w:p w14:paraId="0F381685" w14:textId="77777777" w:rsidR="002D0E71" w:rsidRDefault="00000000">
      <w:pPr>
        <w:pStyle w:val="Normal15"/>
        <w:widowControl w:val="0"/>
        <w:spacing w:before="200" w:line="260" w:lineRule="atLeast"/>
        <w:ind w:left="400"/>
        <w:jc w:val="both"/>
      </w:pPr>
      <w:bookmarkStart w:id="2412" w:name="Bookmark_para_32_9"/>
      <w:bookmarkEnd w:id="2412"/>
      <w:r>
        <w:rPr>
          <w:rFonts w:ascii="Arial" w:eastAsia="Arial" w:hAnsi="Arial" w:cs="Arial"/>
          <w:color w:val="000000"/>
          <w:sz w:val="20"/>
        </w:rPr>
        <w:t>[The plaintiff] knew she needed help to litigate her personal-injury suit, especially having no lawyer. And so she asked for help. Many of her requests were ignored or denied by the judge, who was at times impatient with and even rude to her; and his conclusion that her disability had been adequately accommodated was untenable. There was nothing "fair" in his bestowal of inadequate accommodations, or in his conclusion, in the very ruling on her post-trial motion in which he adjudged her incompetent to make an oral presentation,  [*1112]  that the accommodations provided for her at trial had been adequate.</w:t>
      </w:r>
    </w:p>
    <w:p w14:paraId="75C4B72B" w14:textId="77777777" w:rsidR="002D0E71" w:rsidRDefault="00000000">
      <w:pPr>
        <w:pStyle w:val="Normal15"/>
        <w:widowControl w:val="0"/>
        <w:spacing w:line="260" w:lineRule="atLeast"/>
        <w:jc w:val="both"/>
      </w:pPr>
      <w:r>
        <w:rPr>
          <w:rFonts w:ascii="Arial" w:eastAsia="Arial" w:hAnsi="Arial" w:cs="Arial"/>
          <w:color w:val="000000"/>
          <w:sz w:val="20"/>
        </w:rPr>
        <w:t>Majority Op. at 10.</w:t>
      </w:r>
    </w:p>
    <w:p w14:paraId="16B3D812" w14:textId="77777777" w:rsidR="002D0E71" w:rsidRDefault="00000000">
      <w:pPr>
        <w:pStyle w:val="Normal15"/>
        <w:widowControl w:val="0"/>
        <w:spacing w:before="200" w:line="260" w:lineRule="atLeast"/>
        <w:jc w:val="both"/>
      </w:pPr>
      <w:bookmarkStart w:id="2413" w:name="Bookmark_para_33_9"/>
      <w:bookmarkStart w:id="2414" w:name="Bookmark_I48TWKY9NS60003XDX7003F9"/>
      <w:bookmarkStart w:id="2415" w:name="Bookmark_I5HFM41N2D6NM40040000400"/>
      <w:bookmarkEnd w:id="2413"/>
      <w:bookmarkEnd w:id="2414"/>
      <w:bookmarkEnd w:id="2415"/>
      <w:r>
        <w:rPr>
          <w:rFonts w:ascii="Arial" w:eastAsia="Arial" w:hAnsi="Arial" w:cs="Arial"/>
          <w:color w:val="000000"/>
          <w:sz w:val="20"/>
        </w:rPr>
        <w:t xml:space="preserve">It is of course true that collateral estoppel is an equitable doctrine and as such will be applied only when "no unfairness results to the party being estopped." </w:t>
      </w:r>
      <w:bookmarkStart w:id="2416" w:name="Bookmark_I5HFM41N2D6NM40030000400"/>
      <w:bookmarkEnd w:id="2416"/>
      <w:r>
        <w:rPr>
          <w:rFonts w:ascii="Arial" w:eastAsia="Arial" w:hAnsi="Arial" w:cs="Arial"/>
          <w:i/>
          <w:color w:val="000000"/>
          <w:sz w:val="20"/>
        </w:rPr>
        <w:t>Nowak v. St. Rita High Sch.</w:t>
      </w:r>
      <w:r>
        <w:rPr>
          <w:rFonts w:ascii="Arial" w:eastAsia="Arial" w:hAnsi="Arial" w:cs="Arial"/>
          <w:color w:val="000000"/>
          <w:sz w:val="20"/>
        </w:rPr>
        <w:t xml:space="preserve">, 197 Ill. 2d 381, 757 N.E.2d 471, 478, 258 Ill. Dec. 782 (Ill. 2001). Under Illinois law, "[i]n determining whether a party has had a full and fair opportunity to litigate an issue in a prior action, those elements which comprise the practical realities of litigation must be examined." </w:t>
      </w:r>
      <w:r>
        <w:rPr>
          <w:rFonts w:ascii="Arial" w:eastAsia="Arial" w:hAnsi="Arial" w:cs="Arial"/>
          <w:i/>
          <w:color w:val="000000"/>
          <w:sz w:val="20"/>
        </w:rPr>
        <w:t>Id.</w:t>
      </w:r>
    </w:p>
    <w:p w14:paraId="0C74F04D" w14:textId="77777777" w:rsidR="002D0E71" w:rsidRDefault="00000000">
      <w:pPr>
        <w:pStyle w:val="Normal15"/>
        <w:widowControl w:val="0"/>
        <w:spacing w:before="200" w:line="260" w:lineRule="atLeast"/>
        <w:jc w:val="both"/>
      </w:pPr>
      <w:bookmarkStart w:id="2417" w:name="Bookmark_para_34_9"/>
      <w:bookmarkEnd w:id="2417"/>
      <w:r>
        <w:rPr>
          <w:rFonts w:ascii="Arial" w:eastAsia="Arial" w:hAnsi="Arial" w:cs="Arial"/>
          <w:color w:val="000000"/>
          <w:sz w:val="20"/>
        </w:rPr>
        <w:t xml:space="preserve">Weighing the fairness question in light of the practical realities [**25]  of assessing the adequacy of accommodations for disabled pro se litigants, I have several points of departure with my colleagues. First and most obviously, the state judge did not ignore or deny "many" of Reed's requests, as the majority asserts. To the contrary, as I've explained, the judge </w:t>
      </w:r>
      <w:r>
        <w:rPr>
          <w:rFonts w:ascii="Arial" w:eastAsia="Arial" w:hAnsi="Arial" w:cs="Arial"/>
          <w:i/>
          <w:color w:val="000000"/>
          <w:sz w:val="20"/>
        </w:rPr>
        <w:t>granted</w:t>
      </w:r>
      <w:r>
        <w:rPr>
          <w:rFonts w:ascii="Arial" w:eastAsia="Arial" w:hAnsi="Arial" w:cs="Arial"/>
          <w:color w:val="000000"/>
          <w:sz w:val="20"/>
        </w:rPr>
        <w:t xml:space="preserve"> most of the accommodations she requested and denied only two—a microphone and an interpreter. Regarding the former, Reed has not claimed that the jury or the witnesses could not hear her. She tells us nothing about the size of the courtroom or her proximity to the jury or witness boxes during trial. If in fact her voice was too faint to be heard without amplification, it's inconceivable to me that some participant in the trial—the defense attorney, a witness, a juror—would not have spoken up and asked the judge to fix the problem. On this record, it's hard to see why the failure to provide a microphone could be deemed unreasonable, much less unfair.</w:t>
      </w:r>
    </w:p>
    <w:p w14:paraId="7D337191" w14:textId="77777777" w:rsidR="002D0E71" w:rsidRDefault="00000000">
      <w:pPr>
        <w:pStyle w:val="Normal15"/>
        <w:widowControl w:val="0"/>
        <w:spacing w:before="200" w:line="260" w:lineRule="atLeast"/>
        <w:jc w:val="both"/>
      </w:pPr>
      <w:bookmarkStart w:id="2418" w:name="Bookmark_para_35_9"/>
      <w:bookmarkEnd w:id="2418"/>
      <w:r>
        <w:rPr>
          <w:rFonts w:ascii="Arial" w:eastAsia="Arial" w:hAnsi="Arial" w:cs="Arial"/>
          <w:color w:val="000000"/>
          <w:sz w:val="20"/>
        </w:rPr>
        <w:t>Reed does allege that without an interpreter her communications were less effective than her opponent's. But the judge carefully explained in his post-trial ruling his conclusion that Reed's disability had been adequately accommodated. In addition [**26]  to the accommodations mentioned above (a helper at counsel table, recesses as needed, etc.), he noted that Reed was given "wide latitude in the presentation of her case" and he "overruled many procedural objections by the defense in order to accommodate her condition." He also explained that the jury did not seem confused or irritated by her impairment. "Indeed," he wrote, "it was this court's observation throughout the trial that the jurors liked her." Finally, the judge observed that Reed presented her case "at a level that far exceeded that of most pro-se litigants in jury trials in spite of her condition." For these reasons (and others reflected in the full text of the decision), the judge concluded that Reed's disability was appropriately accommodated and she was "fully afforded a fair and adequate opportunity to present her case."</w:t>
      </w:r>
    </w:p>
    <w:p w14:paraId="3998BF56" w14:textId="77777777" w:rsidR="002D0E71" w:rsidRDefault="00000000">
      <w:pPr>
        <w:pStyle w:val="Normal15"/>
        <w:widowControl w:val="0"/>
        <w:spacing w:before="200" w:line="260" w:lineRule="atLeast"/>
        <w:jc w:val="both"/>
      </w:pPr>
      <w:bookmarkStart w:id="2419" w:name="Bookmark_para_36_9"/>
      <w:bookmarkEnd w:id="2419"/>
      <w:r>
        <w:rPr>
          <w:rFonts w:ascii="Arial" w:eastAsia="Arial" w:hAnsi="Arial" w:cs="Arial"/>
          <w:color w:val="000000"/>
          <w:sz w:val="20"/>
        </w:rPr>
        <w:t>This thorough ruling, reproduced in full above, cannot reasonably be characterized as "untenable," as my colleagues assert. Majority Op. at 10. As the case comes to us, we have no objective basis upon which to find the judge's ruling unfair and thus refuse to give it preclusive effect.</w:t>
      </w:r>
      <w:r>
        <w:rPr>
          <w:rFonts w:ascii="Arial" w:eastAsia="Arial" w:hAnsi="Arial" w:cs="Arial"/>
          <w:vertAlign w:val="superscript"/>
        </w:rPr>
        <w:footnoteReference w:customMarkFollows="1" w:id="79"/>
        <w:t>2</w:t>
      </w:r>
      <w:r>
        <w:rPr>
          <w:rFonts w:ascii="Arial" w:eastAsia="Arial" w:hAnsi="Arial" w:cs="Arial"/>
          <w:color w:val="000000"/>
          <w:sz w:val="20"/>
        </w:rPr>
        <w:t xml:space="preserve">  [*1113]  The majority wrongly implies that because Reed was unable to orally [**27]  argue her post-trial motion, she must have been unable to orally present her case to the jury. Majority Op. at 6 ("If she was incapable of 'communicating in any vocal fashion' with regard to her post-trial motion, how can she not have needed a microphone and interpreter at the trial to help her overcome her 'readily observable speech impediment?'"). This overlooks that Reed's condition worsened after trial; only then did oral communication become impossible. Indeed, she has never alleged that she was unable to orally communicate during trial. Rather, she alleges that her communications were periodically interrupted by the distressing symptoms of tardive dyskinesia.</w:t>
      </w:r>
    </w:p>
    <w:p w14:paraId="33F1233B" w14:textId="77777777" w:rsidR="002D0E71" w:rsidRDefault="00000000">
      <w:pPr>
        <w:pStyle w:val="Normal15"/>
        <w:widowControl w:val="0"/>
        <w:spacing w:before="200" w:line="260" w:lineRule="atLeast"/>
        <w:jc w:val="both"/>
      </w:pPr>
      <w:bookmarkStart w:id="2424" w:name="Bookmark_para_37_9"/>
      <w:bookmarkEnd w:id="2424"/>
      <w:r>
        <w:rPr>
          <w:rFonts w:ascii="Arial" w:eastAsia="Arial" w:hAnsi="Arial" w:cs="Arial"/>
          <w:color w:val="000000"/>
          <w:sz w:val="20"/>
        </w:rPr>
        <w:t>My colleagues conclude with the following observation:</w:t>
      </w:r>
    </w:p>
    <w:p w14:paraId="44E151DE" w14:textId="77777777" w:rsidR="002D0E71" w:rsidRDefault="00000000">
      <w:pPr>
        <w:pStyle w:val="Normal15"/>
        <w:widowControl w:val="0"/>
        <w:spacing w:line="260" w:lineRule="atLeast"/>
        <w:ind w:left="400"/>
        <w:jc w:val="both"/>
      </w:pPr>
      <w:bookmarkStart w:id="2425" w:name="Bookmark_para_38_8"/>
      <w:bookmarkEnd w:id="2425"/>
      <w:r>
        <w:rPr>
          <w:rFonts w:ascii="Arial" w:eastAsia="Arial" w:hAnsi="Arial" w:cs="Arial"/>
          <w:color w:val="000000"/>
          <w:sz w:val="20"/>
        </w:rPr>
        <w:t>For one court (the state court) to deny accommodations without which a disabled plaintiff has no chance of prevailing in her trial, and for another court (the federal district court) on the basis of that rejection to refuse to provide a remedy for the discrimination that she experienced in the first trial, is to deny the plaintiff a full and fair opportunity to vindicate her claims.</w:t>
      </w:r>
    </w:p>
    <w:p w14:paraId="130E9DC6" w14:textId="77777777" w:rsidR="002D0E71" w:rsidRDefault="00000000">
      <w:pPr>
        <w:pStyle w:val="Normal15"/>
        <w:widowControl w:val="0"/>
        <w:spacing w:before="200" w:line="260" w:lineRule="atLeast"/>
        <w:jc w:val="both"/>
      </w:pPr>
      <w:r>
        <w:rPr>
          <w:rFonts w:ascii="Arial" w:eastAsia="Arial" w:hAnsi="Arial" w:cs="Arial"/>
          <w:color w:val="000000"/>
          <w:sz w:val="20"/>
        </w:rPr>
        <w:t xml:space="preserve">Majority Op. at 12. This assumes that the two rejected accommodations (a microphone and an interpreter) were in fact </w:t>
      </w:r>
      <w:r>
        <w:rPr>
          <w:rFonts w:ascii="Arial" w:eastAsia="Arial" w:hAnsi="Arial" w:cs="Arial"/>
          <w:i/>
          <w:color w:val="000000"/>
          <w:sz w:val="20"/>
        </w:rPr>
        <w:t>necessary</w:t>
      </w:r>
      <w:r>
        <w:rPr>
          <w:rFonts w:ascii="Arial" w:eastAsia="Arial" w:hAnsi="Arial" w:cs="Arial"/>
          <w:color w:val="000000"/>
          <w:sz w:val="20"/>
        </w:rPr>
        <w:t xml:space="preserve"> for Reed to present her case—indeed, were </w:t>
      </w:r>
      <w:r>
        <w:rPr>
          <w:rFonts w:ascii="Arial" w:eastAsia="Arial" w:hAnsi="Arial" w:cs="Arial"/>
          <w:i/>
          <w:color w:val="000000"/>
          <w:sz w:val="20"/>
        </w:rPr>
        <w:t>so essential</w:t>
      </w:r>
      <w:r>
        <w:rPr>
          <w:rFonts w:ascii="Arial" w:eastAsia="Arial" w:hAnsi="Arial" w:cs="Arial"/>
          <w:color w:val="000000"/>
          <w:sz w:val="20"/>
        </w:rPr>
        <w:t xml:space="preserve"> that the state judge's resolution of the accommodation issue cannot be trusted and was downright unfair. For the reasons already explained, I cannot agree.</w:t>
      </w:r>
    </w:p>
    <w:p w14:paraId="32C76C87" w14:textId="77777777" w:rsidR="002D0E71" w:rsidRDefault="00000000">
      <w:pPr>
        <w:pStyle w:val="Normal15"/>
        <w:widowControl w:val="0"/>
        <w:spacing w:before="200" w:line="260" w:lineRule="atLeast"/>
        <w:jc w:val="both"/>
      </w:pPr>
      <w:bookmarkStart w:id="2426" w:name="Bookmark_para_39_8"/>
      <w:bookmarkEnd w:id="2426"/>
      <w:r>
        <w:rPr>
          <w:rFonts w:ascii="Arial" w:eastAsia="Arial" w:hAnsi="Arial" w:cs="Arial"/>
          <w:color w:val="000000"/>
          <w:sz w:val="20"/>
        </w:rPr>
        <w:t>Clearly my colleagues believe that the state judge botched Reed's request for accommodation. But mere [**29]  disagreement with a final ruling in a prior case isn't a proper basis for a later court to deny its normal preclusive effect. If it were, then few decisions would be final; judges disagree all the time, especially on highly contextual and discretionary judgments (such as how to accommodate a litigant's disability). The majority's approach to collateral estoppel allows repetitive litigation whenever the second-in-line court disagrees strongly enough with the first. That approach unsettles preclusion doctrine.</w:t>
      </w:r>
    </w:p>
    <w:p w14:paraId="279B4858" w14:textId="77777777" w:rsidR="002D0E71" w:rsidRDefault="00000000">
      <w:pPr>
        <w:pStyle w:val="Normal15"/>
        <w:widowControl w:val="0"/>
        <w:spacing w:before="200" w:line="260" w:lineRule="atLeast"/>
        <w:jc w:val="both"/>
      </w:pPr>
      <w:bookmarkStart w:id="2427" w:name="Bookmark_para_40_8"/>
      <w:bookmarkEnd w:id="2427"/>
      <w:r>
        <w:rPr>
          <w:rFonts w:ascii="Arial" w:eastAsia="Arial" w:hAnsi="Arial" w:cs="Arial"/>
          <w:color w:val="000000"/>
          <w:sz w:val="20"/>
        </w:rPr>
        <w:t>Because the elements of collateral estoppel are satisfied and it's not unfair to preclude Reed from relitigating the accommodation issue, I would affirm the judgment of the district court dismissing this suit.</w:t>
      </w:r>
    </w:p>
    <w:p w14:paraId="0B330E85" w14:textId="77777777" w:rsidR="002D0E71" w:rsidRDefault="002D0E71">
      <w:pPr>
        <w:pStyle w:val="Normal15"/>
      </w:pPr>
    </w:p>
    <w:p w14:paraId="40C0C0C9" w14:textId="0A66717D" w:rsidR="002D0E71" w:rsidRDefault="00000000">
      <w:pPr>
        <w:pStyle w:val="Normal15"/>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92032" behindDoc="0" locked="0" layoutInCell="1" allowOverlap="1" wp14:anchorId="0D96E9A2" wp14:editId="7B6C7236">
                <wp:simplePos x="0" y="0"/>
                <wp:positionH relativeFrom="column">
                  <wp:posOffset>0</wp:posOffset>
                </wp:positionH>
                <wp:positionV relativeFrom="paragraph">
                  <wp:posOffset>127000</wp:posOffset>
                </wp:positionV>
                <wp:extent cx="6502400" cy="0"/>
                <wp:effectExtent l="9525" t="12700" r="12700" b="6350"/>
                <wp:wrapNone/>
                <wp:docPr id="96965865"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71BA4E" id="Line 34"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DB0A8E6" w14:textId="77777777" w:rsidR="002D0E71" w:rsidRDefault="002D0E71">
      <w:pPr>
        <w:pStyle w:val="Normal16"/>
        <w:sectPr w:rsidR="002D0E71">
          <w:headerReference w:type="even" r:id="rId102"/>
          <w:headerReference w:type="default" r:id="rId103"/>
          <w:footerReference w:type="even" r:id="rId104"/>
          <w:footerReference w:type="default" r:id="rId105"/>
          <w:headerReference w:type="first" r:id="rId106"/>
          <w:footerReference w:type="first" r:id="rId107"/>
          <w:pgSz w:w="12240" w:h="15840"/>
          <w:pgMar w:top="840" w:right="1000" w:bottom="840" w:left="1000" w:header="400" w:footer="400" w:gutter="0"/>
          <w:cols w:space="720"/>
          <w:titlePg/>
        </w:sectPr>
      </w:pPr>
    </w:p>
    <w:p w14:paraId="3D4C5D24" w14:textId="77777777" w:rsidR="002D0E71" w:rsidRDefault="002D0E71">
      <w:pPr>
        <w:pStyle w:val="Normal16"/>
      </w:pPr>
    </w:p>
    <w:p w14:paraId="359E02E6" w14:textId="77777777" w:rsidR="002D0E71" w:rsidRDefault="00000000">
      <w:pPr>
        <w:pStyle w:val="Heading115"/>
        <w:keepNext w:val="0"/>
        <w:widowControl w:val="0"/>
        <w:spacing w:after="200" w:line="340" w:lineRule="atLeast"/>
        <w:jc w:val="center"/>
      </w:pPr>
      <w:r>
        <w:rPr>
          <w:rFonts w:eastAsia="Arial"/>
          <w:color w:val="000000"/>
          <w:sz w:val="28"/>
        </w:rPr>
        <w:t>Taylor v. Augusta-Richmond Cnty. Consol. Comm'rs</w:t>
      </w:r>
    </w:p>
    <w:p w14:paraId="09E1FCB6" w14:textId="77777777" w:rsidR="002D0E71" w:rsidRDefault="00000000">
      <w:pPr>
        <w:pStyle w:val="Normal16"/>
        <w:widowControl w:val="0"/>
        <w:spacing w:before="120" w:line="260" w:lineRule="atLeast"/>
        <w:jc w:val="center"/>
      </w:pPr>
      <w:r>
        <w:rPr>
          <w:rFonts w:ascii="Arial" w:eastAsia="Arial" w:hAnsi="Arial" w:cs="Arial"/>
          <w:color w:val="000000"/>
          <w:sz w:val="20"/>
        </w:rPr>
        <w:t>United States Court of Appeals for the Eleventh Circuit</w:t>
      </w:r>
    </w:p>
    <w:p w14:paraId="3DA88CB6" w14:textId="77777777" w:rsidR="002D0E71" w:rsidRDefault="00000000">
      <w:pPr>
        <w:pStyle w:val="Normal16"/>
        <w:widowControl w:val="0"/>
        <w:spacing w:before="120" w:line="260" w:lineRule="atLeast"/>
        <w:jc w:val="center"/>
      </w:pPr>
      <w:r>
        <w:rPr>
          <w:rFonts w:ascii="Arial" w:eastAsia="Arial" w:hAnsi="Arial" w:cs="Arial"/>
          <w:color w:val="000000"/>
          <w:sz w:val="20"/>
        </w:rPr>
        <w:t>October 7, 2015, Decided</w:t>
      </w:r>
    </w:p>
    <w:p w14:paraId="062AFD9C" w14:textId="77777777" w:rsidR="002D0E71" w:rsidRDefault="00000000">
      <w:pPr>
        <w:pStyle w:val="Normal16"/>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15-11751 Non-Argument Calendar</w:t>
      </w:r>
    </w:p>
    <w:p w14:paraId="3A4FF4D5" w14:textId="77777777" w:rsidR="002D0E71" w:rsidRDefault="002D0E71">
      <w:pPr>
        <w:pStyle w:val="Normal16"/>
        <w:widowControl w:val="0"/>
        <w:spacing w:line="240" w:lineRule="atLeast"/>
        <w:jc w:val="both"/>
      </w:pPr>
      <w:bookmarkStart w:id="2428" w:name="Bookmark_17"/>
      <w:bookmarkEnd w:id="2428"/>
    </w:p>
    <w:p w14:paraId="28705AD5" w14:textId="77777777" w:rsidR="002D0E71" w:rsidRDefault="00000000">
      <w:pPr>
        <w:pStyle w:val="Normal16"/>
        <w:widowControl w:val="0"/>
        <w:spacing w:before="200" w:line="240" w:lineRule="atLeast"/>
      </w:pPr>
      <w:bookmarkStart w:id="2429" w:name="Reporter_15"/>
      <w:bookmarkEnd w:id="2429"/>
      <w:r>
        <w:rPr>
          <w:rFonts w:ascii="Arial" w:eastAsia="Arial" w:hAnsi="Arial" w:cs="Arial"/>
          <w:b/>
          <w:color w:val="000000"/>
          <w:sz w:val="18"/>
        </w:rPr>
        <w:t>Reporter</w:t>
      </w:r>
    </w:p>
    <w:p w14:paraId="795973D8" w14:textId="77777777" w:rsidR="002D0E71" w:rsidRDefault="00000000">
      <w:pPr>
        <w:pStyle w:val="Normal16"/>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618 Fed. Appx. 651 *; 2015 U.S. App. LEXIS 17555 **; 2015 WL 5827444</w:t>
      </w:r>
    </w:p>
    <w:p w14:paraId="77BE16D5" w14:textId="77777777" w:rsidR="002D0E71" w:rsidRDefault="00000000">
      <w:pPr>
        <w:pStyle w:val="Normal16"/>
        <w:widowControl w:val="0"/>
        <w:spacing w:before="120" w:line="260" w:lineRule="atLeast"/>
      </w:pPr>
      <w:r>
        <w:rPr>
          <w:rFonts w:ascii="Arial" w:eastAsia="Arial" w:hAnsi="Arial" w:cs="Arial"/>
          <w:color w:val="000000"/>
          <w:sz w:val="20"/>
        </w:rPr>
        <w:t>WARREN ADAM TAYLOR, Plaintiff-Appellant. versus AUGUSTA-RICHMOND COUNTY CONSOLIDATED COMMISSIONERS, et al., Defendants, J. PATRICK CLAIBORNE, Third Party Defendant, GWENDOLYN B. TAYLOR, Third Party Defendant-Appellee.</w:t>
      </w:r>
    </w:p>
    <w:p w14:paraId="527EE2D6" w14:textId="77777777" w:rsidR="002D0E71" w:rsidRDefault="00000000">
      <w:pPr>
        <w:pStyle w:val="Normal16"/>
        <w:widowControl w:val="0"/>
        <w:spacing w:before="240" w:line="260" w:lineRule="atLeast"/>
        <w:jc w:val="both"/>
      </w:pPr>
      <w:bookmarkStart w:id="2430" w:name="Notice_3"/>
      <w:bookmarkEnd w:id="2430"/>
      <w:r>
        <w:rPr>
          <w:rFonts w:ascii="Arial" w:eastAsia="Arial" w:hAnsi="Arial" w:cs="Arial"/>
          <w:b/>
          <w:color w:val="000000"/>
          <w:sz w:val="20"/>
        </w:rPr>
        <w:t>Notice:</w:t>
      </w:r>
      <w:r>
        <w:rPr>
          <w:rFonts w:ascii="Arial" w:eastAsia="Arial" w:hAnsi="Arial" w:cs="Arial"/>
          <w:color w:val="000000"/>
          <w:sz w:val="20"/>
        </w:rPr>
        <w:t> </w:t>
      </w:r>
      <w:bookmarkStart w:id="2431" w:name="Bookmark_para_1_15"/>
      <w:bookmarkEnd w:id="2431"/>
      <w:r>
        <w:rPr>
          <w:rFonts w:ascii="Arial" w:eastAsia="Arial" w:hAnsi="Arial" w:cs="Arial"/>
          <w:color w:val="000000"/>
          <w:sz w:val="20"/>
        </w:rPr>
        <w:t>PLEASE REFER TO FEDERAL RULES OF APPELLATE PROCEDURE RULE 32.1 GOVERNING THE CITATION TO UNPUBLISHED OPINIONS.</w:t>
      </w:r>
    </w:p>
    <w:p w14:paraId="68D11683" w14:textId="77777777" w:rsidR="002D0E71" w:rsidRDefault="00000000">
      <w:pPr>
        <w:pStyle w:val="Normal16"/>
        <w:widowControl w:val="0"/>
        <w:spacing w:before="240" w:line="260" w:lineRule="atLeast"/>
      </w:pPr>
      <w:bookmarkStart w:id="2432" w:name="Subsequent_History_5"/>
      <w:bookmarkEnd w:id="2432"/>
      <w:r>
        <w:rPr>
          <w:rFonts w:ascii="Arial" w:eastAsia="Arial" w:hAnsi="Arial" w:cs="Arial"/>
          <w:b/>
          <w:color w:val="000000"/>
          <w:sz w:val="20"/>
        </w:rPr>
        <w:t>Subsequent History:</w:t>
      </w:r>
      <w:r>
        <w:rPr>
          <w:rFonts w:ascii="Arial" w:eastAsia="Arial" w:hAnsi="Arial" w:cs="Arial"/>
          <w:color w:val="000000"/>
          <w:sz w:val="20"/>
        </w:rPr>
        <w:t> Motion denied by Taylor v. Taylor, 136 S. Ct. 1702, 194 L. Ed. 2d 763, 2016 U.S. LEXIS 2612 (U.S., 2016)</w:t>
      </w:r>
    </w:p>
    <w:p w14:paraId="38599993" w14:textId="77777777" w:rsidR="002D0E71" w:rsidRDefault="00000000">
      <w:pPr>
        <w:pStyle w:val="Normal16"/>
        <w:widowControl w:val="0"/>
        <w:spacing w:before="240" w:line="260" w:lineRule="atLeast"/>
        <w:jc w:val="both"/>
      </w:pPr>
      <w:bookmarkStart w:id="2433" w:name="Prior_History_15"/>
      <w:bookmarkEnd w:id="2433"/>
      <w:r>
        <w:rPr>
          <w:rFonts w:ascii="Arial" w:eastAsia="Arial" w:hAnsi="Arial" w:cs="Arial"/>
          <w:b/>
          <w:color w:val="000000"/>
          <w:sz w:val="20"/>
        </w:rPr>
        <w:t>Prior History:</w:t>
      </w:r>
      <w:r>
        <w:rPr>
          <w:rFonts w:ascii="Arial" w:eastAsia="Arial" w:hAnsi="Arial" w:cs="Arial"/>
          <w:color w:val="000000"/>
          <w:sz w:val="20"/>
        </w:rPr>
        <w:t> </w:t>
      </w:r>
      <w:bookmarkStart w:id="2434" w:name="Bookmark_para_2_15"/>
      <w:bookmarkEnd w:id="2434"/>
      <w:r>
        <w:rPr>
          <w:rFonts w:ascii="Arial" w:eastAsia="Arial" w:hAnsi="Arial" w:cs="Arial"/>
          <w:color w:val="000000"/>
          <w:sz w:val="20"/>
        </w:rPr>
        <w:t> [**1] Appeal from the United States District Court for the Southern District of Georgia. D.C. Docket No. 1:14-cv-00231-JRH-BKE.</w:t>
      </w:r>
    </w:p>
    <w:p w14:paraId="60656B26" w14:textId="77777777" w:rsidR="002D0E71" w:rsidRDefault="00000000">
      <w:pPr>
        <w:pStyle w:val="Normal16"/>
        <w:widowControl w:val="0"/>
        <w:spacing w:before="120" w:line="260" w:lineRule="atLeast"/>
      </w:pPr>
      <w:r>
        <w:rPr>
          <w:rFonts w:ascii="Arial" w:eastAsia="Arial" w:hAnsi="Arial" w:cs="Arial"/>
          <w:color w:val="000000"/>
          <w:sz w:val="20"/>
        </w:rPr>
        <w:t>Taylor v. Augusta-Richmond Cnty. Consol. Comm'rs, 2015 U.S. Dist. LEXIS 50993 (S.D. Ga., Apr. 17, 2015)</w:t>
      </w:r>
    </w:p>
    <w:p w14:paraId="2DCC8D56" w14:textId="77777777" w:rsidR="002D0E71" w:rsidRDefault="00000000">
      <w:pPr>
        <w:pStyle w:val="Normal16"/>
        <w:widowControl w:val="0"/>
        <w:spacing w:before="240" w:line="260" w:lineRule="atLeast"/>
      </w:pPr>
      <w:bookmarkStart w:id="2435" w:name="Counsel_15"/>
      <w:bookmarkEnd w:id="2435"/>
      <w:r>
        <w:rPr>
          <w:rFonts w:ascii="Arial" w:eastAsia="Arial" w:hAnsi="Arial" w:cs="Arial"/>
          <w:b/>
          <w:color w:val="000000"/>
          <w:sz w:val="20"/>
        </w:rPr>
        <w:t>Counsel:</w:t>
      </w:r>
      <w:r>
        <w:rPr>
          <w:rFonts w:ascii="Arial" w:eastAsia="Arial" w:hAnsi="Arial" w:cs="Arial"/>
          <w:color w:val="000000"/>
          <w:sz w:val="20"/>
        </w:rPr>
        <w:t> Warren Adam Taylor, Plaintiff - Appellant, Pro se, Augusta, GA.</w:t>
      </w:r>
    </w:p>
    <w:p w14:paraId="1B56F1BD" w14:textId="77777777" w:rsidR="002D0E71" w:rsidRDefault="00000000">
      <w:pPr>
        <w:pStyle w:val="Normal16"/>
        <w:widowControl w:val="0"/>
        <w:spacing w:before="120" w:line="260" w:lineRule="atLeast"/>
      </w:pPr>
      <w:r>
        <w:rPr>
          <w:rFonts w:ascii="Arial" w:eastAsia="Arial" w:hAnsi="Arial" w:cs="Arial"/>
          <w:color w:val="000000"/>
          <w:sz w:val="20"/>
        </w:rPr>
        <w:t>For Gwendolyn B. Taylor, Defendant - Appellee: Gregory Joseph Gelpi, The Gelpi Law Firm, Martinez, GA; Wendell Johnston Jr., Johnston, Wilkin &amp; Johnston, LLP, Augusta, GA.</w:t>
      </w:r>
    </w:p>
    <w:p w14:paraId="71849CCD" w14:textId="77777777" w:rsidR="002D0E71" w:rsidRDefault="00000000">
      <w:pPr>
        <w:pStyle w:val="Normal16"/>
        <w:widowControl w:val="0"/>
        <w:spacing w:before="240" w:line="260" w:lineRule="atLeast"/>
      </w:pPr>
      <w:bookmarkStart w:id="2436" w:name="Judges_15"/>
      <w:bookmarkEnd w:id="2436"/>
      <w:r>
        <w:rPr>
          <w:rFonts w:ascii="Arial" w:eastAsia="Arial" w:hAnsi="Arial" w:cs="Arial"/>
          <w:b/>
          <w:color w:val="000000"/>
          <w:sz w:val="20"/>
        </w:rPr>
        <w:t>Judges:</w:t>
      </w:r>
      <w:r>
        <w:rPr>
          <w:rFonts w:ascii="Arial" w:eastAsia="Arial" w:hAnsi="Arial" w:cs="Arial"/>
          <w:color w:val="000000"/>
          <w:sz w:val="20"/>
        </w:rPr>
        <w:t> Before WILLIAM PRYOR, MARTIN and ANDERSON, Circuit Judges.</w:t>
      </w:r>
    </w:p>
    <w:p w14:paraId="078046B5" w14:textId="77777777" w:rsidR="002D0E71" w:rsidRDefault="00000000">
      <w:pPr>
        <w:pStyle w:val="Normal16"/>
        <w:keepNext/>
        <w:widowControl w:val="0"/>
        <w:spacing w:before="240" w:line="340" w:lineRule="atLeast"/>
      </w:pPr>
      <w:bookmarkStart w:id="2437" w:name="Opinion_15"/>
      <w:bookmarkEnd w:id="2437"/>
      <w:r>
        <w:rPr>
          <w:rFonts w:ascii="Arial" w:eastAsia="Arial" w:hAnsi="Arial" w:cs="Arial"/>
          <w:b/>
          <w:color w:val="000000"/>
          <w:sz w:val="28"/>
        </w:rPr>
        <w:t>Opinion</w:t>
      </w:r>
    </w:p>
    <w:p w14:paraId="5F254653" w14:textId="04D6D989" w:rsidR="002D0E71" w:rsidRDefault="002939DF">
      <w:pPr>
        <w:pStyle w:val="Normal16"/>
        <w:spacing w:line="60" w:lineRule="exact"/>
      </w:pPr>
      <w:r>
        <w:rPr>
          <w:noProof/>
        </w:rPr>
        <mc:AlternateContent>
          <mc:Choice Requires="wps">
            <w:drawing>
              <wp:anchor distT="0" distB="0" distL="114300" distR="114300" simplePos="0" relativeHeight="251693056" behindDoc="0" locked="0" layoutInCell="1" allowOverlap="1" wp14:anchorId="718DA325" wp14:editId="7CE55410">
                <wp:simplePos x="0" y="0"/>
                <wp:positionH relativeFrom="column">
                  <wp:posOffset>0</wp:posOffset>
                </wp:positionH>
                <wp:positionV relativeFrom="paragraph">
                  <wp:posOffset>25400</wp:posOffset>
                </wp:positionV>
                <wp:extent cx="3187700" cy="0"/>
                <wp:effectExtent l="19050" t="15875" r="12700" b="12700"/>
                <wp:wrapTopAndBottom/>
                <wp:docPr id="1472557746"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B491A" id="Line 35"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407BD50" w14:textId="77777777" w:rsidR="002D0E71" w:rsidRDefault="002D0E71">
      <w:pPr>
        <w:pStyle w:val="Normal16"/>
      </w:pPr>
    </w:p>
    <w:p w14:paraId="27F673C4" w14:textId="77777777" w:rsidR="002D0E71" w:rsidRDefault="00000000">
      <w:pPr>
        <w:pStyle w:val="Normal16"/>
        <w:widowControl w:val="0"/>
        <w:spacing w:before="200" w:line="260" w:lineRule="atLeast"/>
        <w:jc w:val="both"/>
      </w:pPr>
      <w:bookmarkStart w:id="2438" w:name="Bookmark_para_3_15"/>
      <w:bookmarkEnd w:id="2438"/>
      <w:r>
        <w:rPr>
          <w:rFonts w:ascii="Arial" w:eastAsia="Arial" w:hAnsi="Arial" w:cs="Arial"/>
          <w:color w:val="000000"/>
          <w:sz w:val="20"/>
        </w:rPr>
        <w:t> [*652]  PER CURIAM:</w:t>
      </w:r>
    </w:p>
    <w:p w14:paraId="34C3E78B" w14:textId="77777777" w:rsidR="002D0E71" w:rsidRDefault="00000000">
      <w:pPr>
        <w:pStyle w:val="Normal16"/>
        <w:widowControl w:val="0"/>
        <w:spacing w:before="200" w:line="260" w:lineRule="atLeast"/>
        <w:jc w:val="both"/>
      </w:pPr>
      <w:bookmarkStart w:id="2439" w:name="Bookmark_para_4_15"/>
      <w:bookmarkEnd w:id="2439"/>
      <w:r>
        <w:rPr>
          <w:rFonts w:ascii="Arial" w:eastAsia="Arial" w:hAnsi="Arial" w:cs="Arial"/>
          <w:color w:val="000000"/>
          <w:sz w:val="20"/>
        </w:rPr>
        <w:t xml:space="preserve">Warren Taylor appeals </w:t>
      </w:r>
      <w:r>
        <w:rPr>
          <w:rFonts w:ascii="Arial" w:eastAsia="Arial" w:hAnsi="Arial" w:cs="Arial"/>
          <w:i/>
          <w:color w:val="000000"/>
          <w:sz w:val="20"/>
        </w:rPr>
        <w:t>pro se</w:t>
      </w:r>
      <w:r>
        <w:rPr>
          <w:rFonts w:ascii="Arial" w:eastAsia="Arial" w:hAnsi="Arial" w:cs="Arial"/>
          <w:color w:val="000000"/>
          <w:sz w:val="20"/>
        </w:rPr>
        <w:t xml:space="preserve"> the dismissal of his complaint about violations of his civil rights, 42 U.S.C. § 1983, and of the Americans with Disabilities Act, Act, </w:t>
      </w:r>
      <w:r>
        <w:rPr>
          <w:rFonts w:ascii="Arial" w:eastAsia="Arial" w:hAnsi="Arial" w:cs="Arial"/>
          <w:i/>
          <w:color w:val="000000"/>
          <w:sz w:val="20"/>
        </w:rPr>
        <w:t>id.</w:t>
      </w:r>
      <w:r>
        <w:rPr>
          <w:rFonts w:ascii="Arial" w:eastAsia="Arial" w:hAnsi="Arial" w:cs="Arial"/>
          <w:color w:val="000000"/>
          <w:sz w:val="20"/>
        </w:rPr>
        <w:t xml:space="preserve"> § 12101, </w:t>
      </w:r>
      <w:r>
        <w:rPr>
          <w:rFonts w:ascii="Arial" w:eastAsia="Arial" w:hAnsi="Arial" w:cs="Arial"/>
          <w:i/>
          <w:color w:val="000000"/>
          <w:sz w:val="20"/>
        </w:rPr>
        <w:t>et seq.</w:t>
      </w:r>
      <w:r>
        <w:rPr>
          <w:rFonts w:ascii="Arial" w:eastAsia="Arial" w:hAnsi="Arial" w:cs="Arial"/>
          <w:color w:val="000000"/>
          <w:sz w:val="20"/>
        </w:rPr>
        <w:t>, by his former wife, Gwendolyn Taylor; her attorney, J. Patrick Claiborne; and officials of Augusta-Richmond County. The district court dismissed Taylor's complaint for failure to prosecute. We affirm.</w:t>
      </w:r>
    </w:p>
    <w:p w14:paraId="5A9681F5" w14:textId="77777777" w:rsidR="002D0E71" w:rsidRDefault="00000000">
      <w:pPr>
        <w:pStyle w:val="Normal16"/>
        <w:widowControl w:val="0"/>
        <w:spacing w:before="200" w:line="260" w:lineRule="atLeast"/>
        <w:jc w:val="both"/>
      </w:pPr>
      <w:bookmarkStart w:id="2440" w:name="Bookmark_para_5_15"/>
      <w:bookmarkStart w:id="2441" w:name="Bookmark_I5H8XGM22N1RH70020000400"/>
      <w:bookmarkEnd w:id="2440"/>
      <w:bookmarkEnd w:id="2441"/>
      <w:r>
        <w:rPr>
          <w:rFonts w:ascii="Arial" w:eastAsia="Arial" w:hAnsi="Arial" w:cs="Arial"/>
          <w:color w:val="000000"/>
          <w:sz w:val="20"/>
        </w:rPr>
        <w:t xml:space="preserve">The district court did not abuse its discretion when it dismissed Taylor's complaint, even if the ruling was tantamount to a dismissal with prejudice. Taylor filed three requests for a judgment of default, despite being told repeatedly by the district court that none of the defendants were in default. Taylor failed to comply with the order of the district court to respond to a motion to dismiss his complaint, even [**2]  after the district court </w:t>
      </w:r>
      <w:r>
        <w:rPr>
          <w:rFonts w:ascii="Arial" w:eastAsia="Arial" w:hAnsi="Arial" w:cs="Arial"/>
          <w:i/>
          <w:color w:val="000000"/>
          <w:sz w:val="20"/>
        </w:rPr>
        <w:t>sua sponte</w:t>
      </w:r>
      <w:r>
        <w:rPr>
          <w:rFonts w:ascii="Arial" w:eastAsia="Arial" w:hAnsi="Arial" w:cs="Arial"/>
          <w:color w:val="000000"/>
          <w:sz w:val="20"/>
        </w:rPr>
        <w:t xml:space="preserve"> granted Taylor an extension of time. </w:t>
      </w:r>
      <w:r>
        <w:rPr>
          <w:rFonts w:ascii="Arial" w:eastAsia="Arial" w:hAnsi="Arial" w:cs="Arial"/>
          <w:i/>
          <w:color w:val="000000"/>
          <w:sz w:val="20"/>
        </w:rPr>
        <w:t xml:space="preserve">See </w:t>
      </w:r>
      <w:bookmarkStart w:id="2442" w:name="Bookmark_I5H8XGM22N1RH70010000400"/>
      <w:bookmarkEnd w:id="2442"/>
      <w:r>
        <w:rPr>
          <w:rFonts w:ascii="Arial" w:eastAsia="Arial" w:hAnsi="Arial" w:cs="Arial"/>
          <w:i/>
          <w:color w:val="000000"/>
          <w:sz w:val="20"/>
        </w:rPr>
        <w:t>Zocaras v. Castro</w:t>
      </w:r>
      <w:r>
        <w:rPr>
          <w:rFonts w:ascii="Arial" w:eastAsia="Arial" w:hAnsi="Arial" w:cs="Arial"/>
          <w:color w:val="000000"/>
          <w:sz w:val="20"/>
        </w:rPr>
        <w:t xml:space="preserve">, 465 F.3d 479, 483 (11th Cir. 2006); Fed. R. Civ. P. 41(b). </w:t>
      </w:r>
      <w:bookmarkStart w:id="2443" w:name="Bookmark_I5H8XGM22N1RH70040000400"/>
      <w:bookmarkEnd w:id="2443"/>
      <w:r>
        <w:rPr>
          <w:rFonts w:ascii="Arial" w:eastAsia="Arial" w:hAnsi="Arial" w:cs="Arial"/>
          <w:color w:val="000000"/>
          <w:sz w:val="20"/>
        </w:rPr>
        <w:t xml:space="preserve">Rather than respond to the motion to dismiss, Taylor objected to the denial of his request for a judgment of default and asked the district court to vacate and remand his action to this Court. And Taylor ignored the warnings of the district court that, pursuant to a local rule, S.D. Ga. Local R.41.1, it would dismiss his complaint for failure to prosecute if he willfully disobeyed or ignored the order to respond. </w:t>
      </w:r>
      <w:r>
        <w:rPr>
          <w:rFonts w:ascii="Arial" w:eastAsia="Arial" w:hAnsi="Arial" w:cs="Arial"/>
          <w:i/>
          <w:color w:val="000000"/>
          <w:sz w:val="20"/>
        </w:rPr>
        <w:t xml:space="preserve">See </w:t>
      </w:r>
      <w:bookmarkStart w:id="2444" w:name="Bookmark_I5H8XGM22N1RH70030000400"/>
      <w:bookmarkEnd w:id="2444"/>
      <w:r>
        <w:rPr>
          <w:rFonts w:ascii="Arial" w:eastAsia="Arial" w:hAnsi="Arial" w:cs="Arial"/>
          <w:i/>
          <w:color w:val="000000"/>
          <w:sz w:val="20"/>
        </w:rPr>
        <w:t>Moon v. Newsome</w:t>
      </w:r>
      <w:r>
        <w:rPr>
          <w:rFonts w:ascii="Arial" w:eastAsia="Arial" w:hAnsi="Arial" w:cs="Arial"/>
          <w:color w:val="000000"/>
          <w:sz w:val="20"/>
        </w:rPr>
        <w:t>, 863 F.2d 835, 837 (11th Cir. 1989). Dismissal was an appropriate remedy based on Taylor's delay and willful conduct.</w:t>
      </w:r>
    </w:p>
    <w:p w14:paraId="5B047243" w14:textId="77777777" w:rsidR="002D0E71" w:rsidRDefault="00000000">
      <w:pPr>
        <w:pStyle w:val="Normal16"/>
        <w:widowControl w:val="0"/>
        <w:spacing w:before="200" w:line="260" w:lineRule="atLeast"/>
        <w:jc w:val="both"/>
      </w:pPr>
      <w:bookmarkStart w:id="2445" w:name="Bookmark_para_6_15"/>
      <w:bookmarkEnd w:id="2445"/>
      <w:r>
        <w:rPr>
          <w:rFonts w:ascii="Arial" w:eastAsia="Arial" w:hAnsi="Arial" w:cs="Arial"/>
          <w:color w:val="000000"/>
          <w:sz w:val="20"/>
        </w:rPr>
        <w:t xml:space="preserve">We </w:t>
      </w:r>
      <w:r>
        <w:rPr>
          <w:rFonts w:ascii="Arial" w:eastAsia="Arial" w:hAnsi="Arial" w:cs="Arial"/>
          <w:b/>
          <w:color w:val="000000"/>
          <w:sz w:val="20"/>
        </w:rPr>
        <w:t>AFFIRM</w:t>
      </w:r>
      <w:r>
        <w:rPr>
          <w:rFonts w:ascii="Arial" w:eastAsia="Arial" w:hAnsi="Arial" w:cs="Arial"/>
          <w:color w:val="000000"/>
          <w:sz w:val="20"/>
        </w:rPr>
        <w:t xml:space="preserve"> the dismissal of Taylor's complaint.</w:t>
      </w:r>
    </w:p>
    <w:p w14:paraId="54A06182" w14:textId="77777777" w:rsidR="002D0E71" w:rsidRDefault="002D0E71">
      <w:pPr>
        <w:pStyle w:val="Normal16"/>
      </w:pPr>
    </w:p>
    <w:p w14:paraId="27C9AB05" w14:textId="32FD0AF1" w:rsidR="002D0E71" w:rsidRDefault="00000000">
      <w:pPr>
        <w:pStyle w:val="Normal16"/>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94080" behindDoc="0" locked="0" layoutInCell="1" allowOverlap="1" wp14:anchorId="61B8C497" wp14:editId="6CB9E7C3">
                <wp:simplePos x="0" y="0"/>
                <wp:positionH relativeFrom="column">
                  <wp:posOffset>0</wp:posOffset>
                </wp:positionH>
                <wp:positionV relativeFrom="paragraph">
                  <wp:posOffset>127000</wp:posOffset>
                </wp:positionV>
                <wp:extent cx="6502400" cy="0"/>
                <wp:effectExtent l="9525" t="12700" r="12700" b="6350"/>
                <wp:wrapNone/>
                <wp:docPr id="1683450659"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597C7" id="Line 3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EB29CC7" w14:textId="77777777" w:rsidR="002D0E71" w:rsidRDefault="002D0E71">
      <w:pPr>
        <w:pStyle w:val="Normal17"/>
        <w:sectPr w:rsidR="002D0E71">
          <w:headerReference w:type="even" r:id="rId108"/>
          <w:headerReference w:type="default" r:id="rId109"/>
          <w:footerReference w:type="even" r:id="rId110"/>
          <w:footerReference w:type="default" r:id="rId111"/>
          <w:headerReference w:type="first" r:id="rId112"/>
          <w:footerReference w:type="first" r:id="rId113"/>
          <w:pgSz w:w="12240" w:h="15840"/>
          <w:pgMar w:top="840" w:right="1000" w:bottom="840" w:left="1000" w:header="400" w:footer="400" w:gutter="0"/>
          <w:cols w:space="720"/>
          <w:titlePg/>
        </w:sectPr>
      </w:pPr>
    </w:p>
    <w:p w14:paraId="253586D0" w14:textId="77777777" w:rsidR="002D0E71" w:rsidRDefault="002D0E71">
      <w:pPr>
        <w:pStyle w:val="Normal17"/>
      </w:pPr>
    </w:p>
    <w:p w14:paraId="1181B19B" w14:textId="77777777" w:rsidR="002D0E71" w:rsidRDefault="00000000">
      <w:pPr>
        <w:pStyle w:val="Heading116"/>
        <w:keepNext w:val="0"/>
        <w:widowControl w:val="0"/>
        <w:spacing w:after="200" w:line="340" w:lineRule="atLeast"/>
        <w:jc w:val="center"/>
      </w:pPr>
      <w:r>
        <w:rPr>
          <w:rFonts w:eastAsia="Arial"/>
          <w:color w:val="000000"/>
          <w:sz w:val="28"/>
        </w:rPr>
        <w:t>Dean v. Univ. at Buffalo Sch. of Med. &amp; Biomedical Scis.</w:t>
      </w:r>
    </w:p>
    <w:p w14:paraId="37874B32" w14:textId="77777777" w:rsidR="002D0E71" w:rsidRDefault="00000000">
      <w:pPr>
        <w:pStyle w:val="Normal17"/>
        <w:widowControl w:val="0"/>
        <w:spacing w:before="120" w:line="260" w:lineRule="atLeast"/>
        <w:jc w:val="center"/>
      </w:pPr>
      <w:r>
        <w:rPr>
          <w:rFonts w:ascii="Arial" w:eastAsia="Arial" w:hAnsi="Arial" w:cs="Arial"/>
          <w:color w:val="000000"/>
          <w:sz w:val="20"/>
        </w:rPr>
        <w:t>United States Court of Appeals for the Second Circuit</w:t>
      </w:r>
    </w:p>
    <w:p w14:paraId="5C5C865E" w14:textId="77777777" w:rsidR="002D0E71" w:rsidRDefault="00000000">
      <w:pPr>
        <w:pStyle w:val="Normal17"/>
        <w:widowControl w:val="0"/>
        <w:spacing w:before="120" w:line="260" w:lineRule="atLeast"/>
        <w:jc w:val="center"/>
      </w:pPr>
      <w:r>
        <w:rPr>
          <w:rFonts w:ascii="Arial" w:eastAsia="Arial" w:hAnsi="Arial" w:cs="Arial"/>
          <w:color w:val="000000"/>
          <w:sz w:val="20"/>
        </w:rPr>
        <w:t>February 19, 2015, Argued; October 6, 2015, Decided</w:t>
      </w:r>
    </w:p>
    <w:p w14:paraId="649BAFBE" w14:textId="77777777" w:rsidR="002D0E71" w:rsidRDefault="00000000">
      <w:pPr>
        <w:pStyle w:val="Normal17"/>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Docket No. 14-1546-cv</w:t>
      </w:r>
    </w:p>
    <w:p w14:paraId="43B205EF" w14:textId="77777777" w:rsidR="002D0E71" w:rsidRDefault="002D0E71">
      <w:pPr>
        <w:pStyle w:val="Normal17"/>
        <w:widowControl w:val="0"/>
        <w:spacing w:line="240" w:lineRule="atLeast"/>
        <w:jc w:val="both"/>
      </w:pPr>
      <w:bookmarkStart w:id="2446" w:name="Bookmark_18"/>
      <w:bookmarkEnd w:id="2446"/>
    </w:p>
    <w:p w14:paraId="1F9A699C" w14:textId="77777777" w:rsidR="002D0E71" w:rsidRDefault="00000000">
      <w:pPr>
        <w:pStyle w:val="Normal17"/>
        <w:widowControl w:val="0"/>
        <w:spacing w:before="200" w:line="240" w:lineRule="atLeast"/>
      </w:pPr>
      <w:bookmarkStart w:id="2447" w:name="Reporter_16"/>
      <w:bookmarkEnd w:id="2447"/>
      <w:r>
        <w:rPr>
          <w:rFonts w:ascii="Arial" w:eastAsia="Arial" w:hAnsi="Arial" w:cs="Arial"/>
          <w:b/>
          <w:color w:val="000000"/>
          <w:sz w:val="18"/>
        </w:rPr>
        <w:t>Reporter</w:t>
      </w:r>
    </w:p>
    <w:p w14:paraId="01D2399A" w14:textId="77777777" w:rsidR="002D0E71" w:rsidRDefault="00000000">
      <w:pPr>
        <w:pStyle w:val="Normal17"/>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804 F.3d 178 *; 2015 U.S. App. LEXIS 17539 **</w:t>
      </w:r>
    </w:p>
    <w:p w14:paraId="78F877B3" w14:textId="77777777" w:rsidR="002D0E71" w:rsidRDefault="00000000">
      <w:pPr>
        <w:pStyle w:val="Normal17"/>
        <w:widowControl w:val="0"/>
        <w:spacing w:before="120" w:line="260" w:lineRule="atLeast"/>
      </w:pPr>
      <w:r>
        <w:rPr>
          <w:rFonts w:ascii="Arial" w:eastAsia="Arial" w:hAnsi="Arial" w:cs="Arial"/>
          <w:color w:val="000000"/>
          <w:sz w:val="20"/>
        </w:rPr>
        <w:t>MAXIAM DEAN, Plaintiff-Appellant, v. UNIVERSITY AT BUFFALO SCHOOL OF MEDICINE AND BIOMEDICAL SCIENCES, STATE UNIVERSITY OF NEW YORK, MICHAEL E. CAIN, M.D., Individually and in his official capacity as Dean of the University at Buffalo School of Medicine and Biomedical Sciences, NANCY NIELSEN, M.D., Ph.D., Individually and in her official capacity as Senior Associate Dean of the University at Buffalo School of Medicine and Biomedical Sciences, Defendants-Appellees.</w:t>
      </w:r>
    </w:p>
    <w:p w14:paraId="6F14F50E" w14:textId="77777777" w:rsidR="002D0E71" w:rsidRDefault="00000000">
      <w:pPr>
        <w:pStyle w:val="Normal17"/>
        <w:widowControl w:val="0"/>
        <w:spacing w:before="240" w:line="260" w:lineRule="atLeast"/>
        <w:jc w:val="both"/>
      </w:pPr>
      <w:bookmarkStart w:id="2448" w:name="Prior_History_16"/>
      <w:bookmarkEnd w:id="2448"/>
      <w:r>
        <w:rPr>
          <w:rFonts w:ascii="Arial" w:eastAsia="Arial" w:hAnsi="Arial" w:cs="Arial"/>
          <w:b/>
          <w:color w:val="000000"/>
          <w:sz w:val="20"/>
        </w:rPr>
        <w:t>Prior History:</w:t>
      </w:r>
      <w:r>
        <w:rPr>
          <w:rFonts w:ascii="Arial" w:eastAsia="Arial" w:hAnsi="Arial" w:cs="Arial"/>
          <w:color w:val="000000"/>
          <w:sz w:val="20"/>
        </w:rPr>
        <w:t> </w:t>
      </w:r>
      <w:bookmarkStart w:id="2449" w:name="Bookmark_para_1_16"/>
      <w:bookmarkEnd w:id="2449"/>
      <w:r>
        <w:rPr>
          <w:rFonts w:ascii="Arial" w:eastAsia="Arial" w:hAnsi="Arial" w:cs="Arial"/>
          <w:color w:val="000000"/>
          <w:sz w:val="20"/>
        </w:rPr>
        <w:t>Appeal from the United States District Court for the Western District of New York (William M. Skretny, J.) granting summary judgment to defendants and dismissing plaintiff Maxiam Dean's claims under, inter alia, Title II of the Americans with Disabilities Act, Section 504 of the Rehabilitation Act of 1973, and the Due Process Clause [**1] . After failing to sit for and pass his third attempt at Step 1 of the United States Medical Licensing Examination by the deadline set by the University at Buffalo School of Medicine and Biomedical Sciences, Dean was dismissed from the M.D. program. Because defendants did not grant Dean the accommodation he requested for his mental-health condition and failed to provide a "plainly reasonable" alternative or attempt to show that Dean's proposed modification was unreasonable, the district court erred in granting summary judgment on the ADA and Rehabilitation Act claims. However, having received notice of potential termination from the program and a "careful and deliberate" decision Dean was provided the procedural process due for an academic dismissal.</w:t>
      </w:r>
    </w:p>
    <w:p w14:paraId="120A0191" w14:textId="77777777" w:rsidR="002D0E71" w:rsidRDefault="00000000">
      <w:pPr>
        <w:pStyle w:val="Normal17"/>
        <w:widowControl w:val="0"/>
        <w:spacing w:before="120" w:line="260" w:lineRule="atLeast"/>
      </w:pPr>
      <w:r>
        <w:rPr>
          <w:rFonts w:ascii="Arial" w:eastAsia="Arial" w:hAnsi="Arial" w:cs="Arial"/>
          <w:color w:val="000000"/>
          <w:sz w:val="20"/>
        </w:rPr>
        <w:t>Dean v. Univ. at Buffalo Sch. of Med. &amp; Biomedical Scis., 2014 U.S. Dist. LEXIS 44578 (W.D.N.Y., Mar. 31, 2014)</w:t>
      </w:r>
    </w:p>
    <w:p w14:paraId="24EAC54F" w14:textId="77777777" w:rsidR="002D0E71" w:rsidRDefault="00000000">
      <w:pPr>
        <w:pStyle w:val="Normal17"/>
        <w:widowControl w:val="0"/>
        <w:spacing w:before="240" w:line="260" w:lineRule="atLeast"/>
        <w:jc w:val="both"/>
      </w:pPr>
      <w:bookmarkStart w:id="2450" w:name="Disposition_5"/>
      <w:bookmarkEnd w:id="2450"/>
      <w:r>
        <w:rPr>
          <w:rFonts w:ascii="Arial" w:eastAsia="Arial" w:hAnsi="Arial" w:cs="Arial"/>
          <w:b/>
          <w:color w:val="000000"/>
          <w:sz w:val="20"/>
        </w:rPr>
        <w:t>Disposition:</w:t>
      </w:r>
      <w:r>
        <w:rPr>
          <w:rFonts w:ascii="Arial" w:eastAsia="Arial" w:hAnsi="Arial" w:cs="Arial"/>
          <w:color w:val="000000"/>
          <w:sz w:val="20"/>
        </w:rPr>
        <w:t> </w:t>
      </w:r>
      <w:bookmarkStart w:id="2451" w:name="Bookmark_clspara_4_4"/>
      <w:bookmarkEnd w:id="2451"/>
      <w:r>
        <w:rPr>
          <w:rFonts w:ascii="Arial" w:eastAsia="Arial" w:hAnsi="Arial" w:cs="Arial"/>
          <w:color w:val="000000"/>
          <w:sz w:val="20"/>
        </w:rPr>
        <w:t>Affirmed in part, vacated in part, and remanded.</w:t>
      </w:r>
    </w:p>
    <w:p w14:paraId="5DA032ED" w14:textId="77777777" w:rsidR="002D0E71" w:rsidRDefault="00000000">
      <w:pPr>
        <w:pStyle w:val="Normal17"/>
        <w:widowControl w:val="0"/>
        <w:spacing w:before="240" w:line="260" w:lineRule="atLeast"/>
      </w:pPr>
      <w:bookmarkStart w:id="2452" w:name="Counsel_16"/>
      <w:bookmarkEnd w:id="2452"/>
      <w:r>
        <w:rPr>
          <w:rFonts w:ascii="Arial" w:eastAsia="Arial" w:hAnsi="Arial" w:cs="Arial"/>
          <w:b/>
          <w:color w:val="000000"/>
          <w:sz w:val="20"/>
        </w:rPr>
        <w:t>Counsel:</w:t>
      </w:r>
      <w:r>
        <w:rPr>
          <w:rFonts w:ascii="Arial" w:eastAsia="Arial" w:hAnsi="Arial" w:cs="Arial"/>
          <w:color w:val="000000"/>
          <w:sz w:val="20"/>
        </w:rPr>
        <w:t> PARKER R. MACKAY (David J. Seeger, Buffalo, NY, on the brief), Kenmore, NY, for Plaintiff-Appellant. [**2] </w:t>
      </w:r>
    </w:p>
    <w:p w14:paraId="65CE9605" w14:textId="77777777" w:rsidR="002D0E71" w:rsidRDefault="00000000">
      <w:pPr>
        <w:pStyle w:val="Normal17"/>
        <w:widowControl w:val="0"/>
        <w:spacing w:before="120" w:line="260" w:lineRule="atLeast"/>
      </w:pPr>
      <w:r>
        <w:rPr>
          <w:rFonts w:ascii="Arial" w:eastAsia="Arial" w:hAnsi="Arial" w:cs="Arial"/>
          <w:color w:val="000000"/>
          <w:sz w:val="20"/>
        </w:rPr>
        <w:t>LAURA ETLINGER, Assistant Solicitor General (Barbara D. Underwood, Solicitor General, Andrea Oser, Deputy Solicitor General, on the brief), for Eric T. Schneiderman, Attorney General of the State of New York, Albany, NY for Defendants-Appellees.</w:t>
      </w:r>
    </w:p>
    <w:p w14:paraId="415E3B8C" w14:textId="77777777" w:rsidR="002D0E71" w:rsidRDefault="00000000">
      <w:pPr>
        <w:pStyle w:val="Normal17"/>
        <w:widowControl w:val="0"/>
        <w:spacing w:before="240" w:line="260" w:lineRule="atLeast"/>
      </w:pPr>
      <w:bookmarkStart w:id="2453" w:name="Judges_16"/>
      <w:bookmarkEnd w:id="2453"/>
      <w:r>
        <w:rPr>
          <w:rFonts w:ascii="Arial" w:eastAsia="Arial" w:hAnsi="Arial" w:cs="Arial"/>
          <w:b/>
          <w:color w:val="000000"/>
          <w:sz w:val="20"/>
        </w:rPr>
        <w:t>Judges:</w:t>
      </w:r>
      <w:r>
        <w:rPr>
          <w:rFonts w:ascii="Arial" w:eastAsia="Arial" w:hAnsi="Arial" w:cs="Arial"/>
          <w:color w:val="000000"/>
          <w:sz w:val="20"/>
        </w:rPr>
        <w:t> Before: WINTER, POOLER, SACK, Circuit Judges.</w:t>
      </w:r>
    </w:p>
    <w:p w14:paraId="571F3BC1" w14:textId="77777777" w:rsidR="002D0E71" w:rsidRDefault="00000000">
      <w:pPr>
        <w:pStyle w:val="Normal17"/>
        <w:widowControl w:val="0"/>
        <w:spacing w:before="240" w:line="260" w:lineRule="atLeast"/>
      </w:pPr>
      <w:bookmarkStart w:id="2454" w:name="Opinion_by_11"/>
      <w:bookmarkEnd w:id="2454"/>
      <w:r>
        <w:rPr>
          <w:rFonts w:ascii="Arial" w:eastAsia="Arial" w:hAnsi="Arial" w:cs="Arial"/>
          <w:b/>
          <w:color w:val="000000"/>
          <w:sz w:val="20"/>
        </w:rPr>
        <w:t>Opinion by:</w:t>
      </w:r>
      <w:r>
        <w:rPr>
          <w:rFonts w:ascii="Arial" w:eastAsia="Arial" w:hAnsi="Arial" w:cs="Arial"/>
          <w:color w:val="000000"/>
          <w:sz w:val="20"/>
        </w:rPr>
        <w:t> POOLER</w:t>
      </w:r>
    </w:p>
    <w:p w14:paraId="64444968" w14:textId="77777777" w:rsidR="002D0E71" w:rsidRDefault="00000000">
      <w:pPr>
        <w:pStyle w:val="Normal17"/>
        <w:keepNext/>
        <w:widowControl w:val="0"/>
        <w:spacing w:before="240" w:line="340" w:lineRule="atLeast"/>
      </w:pPr>
      <w:bookmarkStart w:id="2455" w:name="Opinion_16"/>
      <w:bookmarkEnd w:id="2455"/>
      <w:r>
        <w:rPr>
          <w:rFonts w:ascii="Arial" w:eastAsia="Arial" w:hAnsi="Arial" w:cs="Arial"/>
          <w:b/>
          <w:color w:val="000000"/>
          <w:sz w:val="28"/>
        </w:rPr>
        <w:t>Opinion</w:t>
      </w:r>
    </w:p>
    <w:p w14:paraId="2AC10302" w14:textId="093644F7" w:rsidR="002D0E71" w:rsidRDefault="002939DF">
      <w:pPr>
        <w:pStyle w:val="Normal17"/>
        <w:spacing w:line="60" w:lineRule="exact"/>
      </w:pPr>
      <w:r>
        <w:rPr>
          <w:noProof/>
        </w:rPr>
        <mc:AlternateContent>
          <mc:Choice Requires="wps">
            <w:drawing>
              <wp:anchor distT="0" distB="0" distL="114300" distR="114300" simplePos="0" relativeHeight="251695104" behindDoc="0" locked="0" layoutInCell="1" allowOverlap="1" wp14:anchorId="085AC254" wp14:editId="58247200">
                <wp:simplePos x="0" y="0"/>
                <wp:positionH relativeFrom="column">
                  <wp:posOffset>0</wp:posOffset>
                </wp:positionH>
                <wp:positionV relativeFrom="paragraph">
                  <wp:posOffset>25400</wp:posOffset>
                </wp:positionV>
                <wp:extent cx="3187700" cy="0"/>
                <wp:effectExtent l="19050" t="15875" r="12700" b="12700"/>
                <wp:wrapTopAndBottom/>
                <wp:docPr id="896560566"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EB324" id="Line 37"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99D309A" w14:textId="77777777" w:rsidR="002D0E71" w:rsidRDefault="002D0E71">
      <w:pPr>
        <w:pStyle w:val="Normal17"/>
      </w:pPr>
    </w:p>
    <w:p w14:paraId="2E5E6BB9" w14:textId="77777777" w:rsidR="002D0E71" w:rsidRDefault="00000000">
      <w:pPr>
        <w:pStyle w:val="Normal17"/>
        <w:widowControl w:val="0"/>
        <w:spacing w:before="200" w:line="260" w:lineRule="atLeast"/>
        <w:jc w:val="both"/>
      </w:pPr>
      <w:bookmarkStart w:id="2456" w:name="Bookmark_para_2_16"/>
      <w:bookmarkEnd w:id="2456"/>
      <w:r>
        <w:rPr>
          <w:rFonts w:ascii="Arial" w:eastAsia="Arial" w:hAnsi="Arial" w:cs="Arial"/>
          <w:color w:val="000000"/>
          <w:sz w:val="20"/>
        </w:rPr>
        <w:t xml:space="preserve"> [*182]  POOLER, </w:t>
      </w:r>
      <w:r>
        <w:rPr>
          <w:rFonts w:ascii="Arial" w:eastAsia="Arial" w:hAnsi="Arial" w:cs="Arial"/>
          <w:i/>
          <w:color w:val="000000"/>
          <w:sz w:val="20"/>
        </w:rPr>
        <w:t>Circuit Judge</w:t>
      </w:r>
      <w:r>
        <w:rPr>
          <w:rFonts w:ascii="Arial" w:eastAsia="Arial" w:hAnsi="Arial" w:cs="Arial"/>
          <w:color w:val="000000"/>
          <w:sz w:val="20"/>
        </w:rPr>
        <w:t>:</w:t>
      </w:r>
    </w:p>
    <w:p w14:paraId="775761A2" w14:textId="77777777" w:rsidR="002D0E71" w:rsidRDefault="00000000">
      <w:pPr>
        <w:pStyle w:val="Normal17"/>
        <w:widowControl w:val="0"/>
        <w:spacing w:before="200" w:line="260" w:lineRule="atLeast"/>
        <w:jc w:val="both"/>
      </w:pPr>
      <w:bookmarkStart w:id="2457" w:name="Bookmark_para_3_16"/>
      <w:bookmarkEnd w:id="2457"/>
      <w:r>
        <w:rPr>
          <w:rFonts w:ascii="Arial" w:eastAsia="Arial" w:hAnsi="Arial" w:cs="Arial"/>
          <w:color w:val="000000"/>
          <w:sz w:val="20"/>
        </w:rPr>
        <w:t xml:space="preserve">Plaintiff-Appellant Maxiam Dean appeals from the judgment of the United States District Court for the Western District of New York (William M. Skretny, </w:t>
      </w:r>
      <w:r>
        <w:rPr>
          <w:rFonts w:ascii="Arial" w:eastAsia="Arial" w:hAnsi="Arial" w:cs="Arial"/>
          <w:i/>
          <w:color w:val="000000"/>
          <w:sz w:val="20"/>
        </w:rPr>
        <w:t>J.</w:t>
      </w:r>
      <w:r>
        <w:rPr>
          <w:rFonts w:ascii="Arial" w:eastAsia="Arial" w:hAnsi="Arial" w:cs="Arial"/>
          <w:color w:val="000000"/>
          <w:sz w:val="20"/>
        </w:rPr>
        <w:t>) granting summary judgment to the University at Buffalo School of Medicine and Biomedical Sciences ("UBMED"), State University of New York ("SUNY"), Michael E. Cain, and Nancy Nielsen (collectively "Defendants") and dismissing his complaint. Dean brought suit under, inter alia, Title II of the Americans with Disabilities Act ("ADA"), 42 U.S.C. § 12132; Section 504 of the Rehabilitation Act of 1973, 29 U.S.C. § 794; and 42 USC § 1983 for alleged violations of the Due Process Clause of the United States Constitution. After failing to sit for and pass his third attempt at Step 1 of the United States Medical Licensing Examination ("USMLE") by the deadline set by UBMED, Dean was dismissed from the M.D. program. Because a trier of fact could find that defendants did not grant the accommodation Dean requested for his mental-health [**3]  condition and failed to provide a "plainly reasonable" alternative or attempt to show that Dean's proposed modification was unreasonable, the district court erred in granting summary judgment on the ADA and Rehabilitation Act claims. However, having received notice of potential termination from the program and a "careful and deliberate" decision Dean was, as a matter of law, provided the procedural process due for an academic dismissal.</w:t>
      </w:r>
    </w:p>
    <w:p w14:paraId="6E49845A" w14:textId="77777777" w:rsidR="002D0E71" w:rsidRDefault="00000000">
      <w:pPr>
        <w:pStyle w:val="Normal17"/>
        <w:widowControl w:val="0"/>
        <w:spacing w:before="200" w:line="260" w:lineRule="atLeast"/>
        <w:jc w:val="both"/>
      </w:pPr>
      <w:bookmarkStart w:id="2458" w:name="Bookmark_para_4_16"/>
      <w:bookmarkEnd w:id="2458"/>
      <w:r>
        <w:rPr>
          <w:rFonts w:ascii="Arial" w:eastAsia="Arial" w:hAnsi="Arial" w:cs="Arial"/>
          <w:color w:val="000000"/>
          <w:sz w:val="20"/>
        </w:rPr>
        <w:t>Accordingly, we affirm the grant of summary judgment to Defendants as to Dean's due process claim, vacate the remainder of the judgment, and remand to the district court.</w:t>
      </w:r>
    </w:p>
    <w:p w14:paraId="15675E51" w14:textId="77777777" w:rsidR="002D0E71" w:rsidRDefault="00000000">
      <w:pPr>
        <w:pStyle w:val="Normal17"/>
        <w:widowControl w:val="0"/>
        <w:spacing w:before="240" w:line="260" w:lineRule="atLeast"/>
      </w:pPr>
      <w:r>
        <w:br/>
      </w:r>
      <w:r>
        <w:rPr>
          <w:rFonts w:ascii="Arial" w:eastAsia="Arial" w:hAnsi="Arial" w:cs="Arial"/>
          <w:b/>
          <w:color w:val="000000"/>
          <w:sz w:val="20"/>
        </w:rPr>
        <w:t>BACKGROUND</w:t>
      </w:r>
    </w:p>
    <w:p w14:paraId="399A1960" w14:textId="77777777" w:rsidR="002D0E71" w:rsidRDefault="00000000">
      <w:pPr>
        <w:pStyle w:val="Normal17"/>
        <w:widowControl w:val="0"/>
        <w:spacing w:before="200" w:line="260" w:lineRule="atLeast"/>
        <w:jc w:val="both"/>
      </w:pPr>
      <w:bookmarkStart w:id="2459" w:name="Bookmark_para_5_16"/>
      <w:bookmarkEnd w:id="2459"/>
      <w:r>
        <w:rPr>
          <w:rFonts w:ascii="Arial" w:eastAsia="Arial" w:hAnsi="Arial" w:cs="Arial"/>
          <w:color w:val="000000"/>
          <w:sz w:val="20"/>
        </w:rPr>
        <w:t>Maxiam Dean enrolled in the four-year M.D. course at UBMED in August 2004. The program is divided in two phases, each comprising two years of study. To progress to the latter stage a student must pass all first-phase modules and electives, a second-year clinical competency examination, and Step 1 of the USMLE administered by the National Board of Medical Examiners ("NBME"). Dean completed the required coursework and second year clinical competency exam by the spring of 2006.</w:t>
      </w:r>
    </w:p>
    <w:p w14:paraId="67CC4A72" w14:textId="77777777" w:rsidR="002D0E71" w:rsidRDefault="00000000">
      <w:pPr>
        <w:pStyle w:val="Normal17"/>
        <w:widowControl w:val="0"/>
        <w:spacing w:before="200" w:line="260" w:lineRule="atLeast"/>
        <w:jc w:val="both"/>
      </w:pPr>
      <w:bookmarkStart w:id="2460" w:name="Bookmark_para_6_16"/>
      <w:bookmarkEnd w:id="2460"/>
      <w:r>
        <w:rPr>
          <w:rFonts w:ascii="Arial" w:eastAsia="Arial" w:hAnsi="Arial" w:cs="Arial"/>
          <w:color w:val="000000"/>
          <w:sz w:val="20"/>
        </w:rPr>
        <w:t>The Academic Status Policies ("ASP") issued by UBMED permits a student three opportunities to pass the [**4]  Step 1 exam, with all attempts to be completed in one academic year exclusive of official (non-study) leaves of absence. A student who thrice fails the Step 1 exam is to be administratively dismissed, but may appeal to the dean of UBMED. Under this policy Dean was required to complete Step 1 of the USMLE by May 31, 2007.</w:t>
      </w:r>
    </w:p>
    <w:p w14:paraId="2350D7B3" w14:textId="77777777" w:rsidR="002D0E71" w:rsidRDefault="00000000">
      <w:pPr>
        <w:pStyle w:val="Normal17"/>
        <w:widowControl w:val="0"/>
        <w:spacing w:before="200" w:line="260" w:lineRule="atLeast"/>
        <w:jc w:val="both"/>
      </w:pPr>
      <w:bookmarkStart w:id="2461" w:name="Bookmark_para_7_15"/>
      <w:bookmarkEnd w:id="2461"/>
      <w:r>
        <w:rPr>
          <w:rFonts w:ascii="Arial" w:eastAsia="Arial" w:hAnsi="Arial" w:cs="Arial"/>
          <w:color w:val="000000"/>
          <w:sz w:val="20"/>
        </w:rPr>
        <w:t>UBMED allowed Dean study leave before his first and second attempts at the Step 1 exam. In June 2006, Dean took a six-week leave to prepare for the examination but failed it in mid-August 2006. Dean thereafter received three additional six-week study leaves. Although the ASP provides only eight weeks for a student to prepare for a second sitting of the Step 1 exam, UBMED granted Dean's requests. Prior to his second attempt, senior associate dean Dr. Nancy Nielsen wrote to Dean  [*183]  on January 4, 2007, informing him that by the terms of his leave of absence he would be "automatically dismissed from medical school" if he failed to sit for Step 1 by February 17, 2007, and that no extensions for further study would be granted. App'x at 177. Dean replied by email to Dr. Nielsen explaining that he had enrolled in the PASS Program, a private examination preparation course consisting of lectures [**5]  and tutoring, to prepare for the USMLE, which Dean understood he could sit for as late as May 31, 2007. Dean noted that prior to attending the program he was "ridden with depression, stress, and anxiety," App'x at 231, asked for an "extra month in the Pass Program to succeed" but did not request medical leave. App'x at 232. Dean ultimately retook Step 1 on February 16, 2007, and again failed.</w:t>
      </w:r>
    </w:p>
    <w:p w14:paraId="6F6FB129" w14:textId="77777777" w:rsidR="002D0E71" w:rsidRDefault="00000000">
      <w:pPr>
        <w:pStyle w:val="Normal17"/>
        <w:widowControl w:val="0"/>
        <w:spacing w:before="200" w:line="260" w:lineRule="atLeast"/>
        <w:jc w:val="both"/>
      </w:pPr>
      <w:bookmarkStart w:id="2462" w:name="Bookmark_para_8_15"/>
      <w:bookmarkEnd w:id="2462"/>
      <w:r>
        <w:rPr>
          <w:rFonts w:ascii="Arial" w:eastAsia="Arial" w:hAnsi="Arial" w:cs="Arial"/>
          <w:color w:val="000000"/>
          <w:sz w:val="20"/>
        </w:rPr>
        <w:t>Dr. Nielsen informed Dean by letter that he would go on study leave at the end of his current medical clerkship to prepare for a final try (no later than May 31, 2007) at the Step 1 exam. The ASP does not prescribe a particular study period for a third attempt but states that the student will be removed from the clerkship roster and "allowed to prepare for, and sit for, the examination one final time. [The student] must sit for the examination by the date established by the Office of Medical Education for the next incoming third year class." App'x at 142. Former faculty member and chair of surgery Dr. Eddie Hoover attested that "it was longstanding policy that students taking the Step 1 exam, whether on their first, second or third attempt, were afforded a 6 to 8 week period to prepare." App'x at 339. In particular, he emphasized that "each [**6]  time a medical student took the Step 1 exam, he or she was allowed and expected to study exclusively for the exam for a 6 to 8 week period leading up to the examination itself." App'x at 339. In his deposition, Dean similarly testified that all students were afforded a six- to eight-week study leave prior to each attempt.</w:t>
      </w:r>
    </w:p>
    <w:p w14:paraId="2AEC6882" w14:textId="77777777" w:rsidR="002D0E71" w:rsidRDefault="00000000">
      <w:pPr>
        <w:pStyle w:val="Normal17"/>
        <w:widowControl w:val="0"/>
        <w:spacing w:before="200" w:line="260" w:lineRule="atLeast"/>
        <w:jc w:val="both"/>
      </w:pPr>
      <w:bookmarkStart w:id="2463" w:name="Bookmark_para_9_15"/>
      <w:bookmarkEnd w:id="2463"/>
      <w:r>
        <w:rPr>
          <w:rFonts w:ascii="Arial" w:eastAsia="Arial" w:hAnsi="Arial" w:cs="Arial"/>
          <w:color w:val="000000"/>
          <w:sz w:val="20"/>
        </w:rPr>
        <w:t>Sometime after failing the Step 1 exam for a second time Dean became disabled. In April 2007, he began to experience increased symptoms of depression, and on May 4, 2007, Dr. Andrea Greenwood, a psychologist, conducted a crisis evaluation session with Dean through the university's counseling services. Dean reported disrupted sleep and appetite, fatigue, and difficulty concentrating. Dr. Greenwood advised Dean to schedule a comprehensive evaluation. That same day Dean met with Dr. Dwight Lewis, an internist, who proposed that Dean begin pharmacological treatment and provided Dean an "excuse slip" recommending a three-month leave of absence due to situational depression.</w:t>
      </w:r>
    </w:p>
    <w:p w14:paraId="4A720B62" w14:textId="77777777" w:rsidR="002D0E71" w:rsidRDefault="00000000">
      <w:pPr>
        <w:pStyle w:val="Normal17"/>
        <w:widowControl w:val="0"/>
        <w:spacing w:before="200" w:line="260" w:lineRule="atLeast"/>
        <w:jc w:val="both"/>
      </w:pPr>
      <w:bookmarkStart w:id="2464" w:name="Bookmark_para_10_15"/>
      <w:bookmarkEnd w:id="2464"/>
      <w:r>
        <w:rPr>
          <w:rFonts w:ascii="Arial" w:eastAsia="Arial" w:hAnsi="Arial" w:cs="Arial"/>
          <w:color w:val="000000"/>
          <w:sz w:val="20"/>
        </w:rPr>
        <w:t>Dean presented the slip to UBMED and received responses from Dr. Nielsen, by letter and email, informing him that Dr. Lewis's note provided insufficient information to support an extended leave. Dr. Nielsen advised [**7]  Dean that the dean of UBMED, Dr. Michael Cain, would not grant any additional extensions and that Dean was to sit for Step 1 by May 31, 2007. After learning that Dean independently inquired of UBMED's leave of absence committee, Dr. Nielsen notified Dean that Dr. Cain had already reviewed his physician's note and declined to grant an extension. In a separate letter Dr. Nielsen stated that Dean would "be immediately administratively dismissed from school" upon receipt of a failing score on the Step 1 exam. App'x at 175.</w:t>
      </w:r>
    </w:p>
    <w:p w14:paraId="142B855F" w14:textId="77777777" w:rsidR="002D0E71" w:rsidRDefault="00000000">
      <w:pPr>
        <w:pStyle w:val="Normal17"/>
        <w:widowControl w:val="0"/>
        <w:spacing w:before="200" w:line="260" w:lineRule="atLeast"/>
        <w:jc w:val="both"/>
      </w:pPr>
      <w:bookmarkStart w:id="2465" w:name="Bookmark_para_11_15"/>
      <w:bookmarkEnd w:id="2465"/>
      <w:r>
        <w:rPr>
          <w:rFonts w:ascii="Arial" w:eastAsia="Arial" w:hAnsi="Arial" w:cs="Arial"/>
          <w:color w:val="000000"/>
          <w:sz w:val="20"/>
        </w:rPr>
        <w:t>Dr. Greenwood re-evaluated Dean on May 17, 2007. In a letter to Dr. Nielsen and the leave of absence committee she outlined the symptoms of Dean's depression, noting effects on his ability to concentrate and maintain focus and opining that Dean would likely benefit from treatment.  [*184]  The following day Dr. Lewis prescribed Dean Lexapro, an anti-depressant medication. As a follow up to the earlier excuse slip, Dr. Lewis also wrote to the committee recommending a medical leave of absence to permit Dean to return to proper functioning such that he would be "capable of the academic performance required to advance in his medical training." App'x at 300. Neither Dr. Greenwood nor Dr. Lewis suggested a [**8]  particular period of leave.</w:t>
      </w:r>
    </w:p>
    <w:p w14:paraId="64A84E06" w14:textId="77777777" w:rsidR="002D0E71" w:rsidRDefault="00000000">
      <w:pPr>
        <w:pStyle w:val="Normal17"/>
        <w:widowControl w:val="0"/>
        <w:spacing w:before="200" w:line="260" w:lineRule="atLeast"/>
        <w:jc w:val="both"/>
      </w:pPr>
      <w:bookmarkStart w:id="2466" w:name="Bookmark_para_12_14"/>
      <w:bookmarkEnd w:id="2466"/>
      <w:r>
        <w:rPr>
          <w:rFonts w:ascii="Arial" w:eastAsia="Arial" w:hAnsi="Arial" w:cs="Arial"/>
          <w:color w:val="000000"/>
          <w:sz w:val="20"/>
        </w:rPr>
        <w:t>Dean wrote separately to the leave-of-absence committee on May 21, 2007, describing his symptoms and requesting a three-month leave to continue the medication regimen, visit the university psychologist, and temporarily return home for family support. He indicated that "[a]t the end of the leave [he would] sit for the retake of step 1 and return back to clinical clerkship." App'x at 296.</w:t>
      </w:r>
    </w:p>
    <w:p w14:paraId="27C62515" w14:textId="77777777" w:rsidR="002D0E71" w:rsidRDefault="00000000">
      <w:pPr>
        <w:pStyle w:val="Normal17"/>
        <w:widowControl w:val="0"/>
        <w:spacing w:before="200" w:line="260" w:lineRule="atLeast"/>
        <w:jc w:val="both"/>
      </w:pPr>
      <w:bookmarkStart w:id="2467" w:name="Bookmark_para_13_14"/>
      <w:bookmarkEnd w:id="2467"/>
      <w:r>
        <w:rPr>
          <w:rFonts w:ascii="Arial" w:eastAsia="Arial" w:hAnsi="Arial" w:cs="Arial"/>
          <w:color w:val="000000"/>
          <w:sz w:val="20"/>
        </w:rPr>
        <w:t>After meeting with Dean, the leave- of-absence committee endorsed a leave of absence until June 30, 2007, a date approximately six weeks after Dean began taking Lexapro. The committee's May 22, 2007 letter to Dr. Nielsen noted that leave should be granted to permit adequate time for the treatment to become effective but that Dean "should not be granted a leave of absence to gain more 'study time'" and counseled that no further leave be granted. App'x at 302. Accepting the committee's recommendation, Dr. Cain informed Dean by letter dated May 25, 2007, of the extended deadline but stated that "[n]o further delays whatsoever w[ould] be granted" and reminded Dean that he was required to pass Step 1 within the three attempts permitted by the ASP before returning to the M.D. program. App'x at 306.</w:t>
      </w:r>
    </w:p>
    <w:p w14:paraId="7789557E" w14:textId="77777777" w:rsidR="002D0E71" w:rsidRDefault="00000000">
      <w:pPr>
        <w:pStyle w:val="Normal17"/>
        <w:widowControl w:val="0"/>
        <w:spacing w:before="200" w:line="260" w:lineRule="atLeast"/>
        <w:jc w:val="both"/>
      </w:pPr>
      <w:bookmarkStart w:id="2468" w:name="Bookmark_para_14_14"/>
      <w:bookmarkEnd w:id="2468"/>
      <w:r>
        <w:rPr>
          <w:rFonts w:ascii="Arial" w:eastAsia="Arial" w:hAnsi="Arial" w:cs="Arial"/>
          <w:color w:val="000000"/>
          <w:sz w:val="20"/>
        </w:rPr>
        <w:t>On May 31, 2007, Dean attended a [**9]  follow-up appointment with university psychiatrist Dr. Calvert Warren, who furnished Dean with a letter indicating that despite mild improvement since beginning treatment on May 18, Dean exhibited symptoms of major depression. Dr. Warren supported a leave of absence to permit Dean's treatment interventions to progress and noted a six- to eight- week timeframe for anti-depressant medications to achieve effectiveness. Dean forwarded Dr. Warren's letter to Dr. Cain and enclosed his own letter dated June 1, 2007, again requesting a three-month leave of absence: "Please reconsider giving me more than one month so that the medication will reach steady state and be therapeutic, so I can focus on preparing for the retake of Step 1." App'x at 311. By letter dated June 7, 2007, Dr. Cain allowed Dean until July 28, 2007, to sit for the Step 1 exam but stated that "no further extensions regardless of reason" would be granted. App'x at 313. The July 28 deadline fell approximately ten weeks after Dean began drug therapy for his depression.</w:t>
      </w:r>
    </w:p>
    <w:p w14:paraId="6AA1ABD2" w14:textId="77777777" w:rsidR="002D0E71" w:rsidRDefault="00000000">
      <w:pPr>
        <w:pStyle w:val="Normal17"/>
        <w:widowControl w:val="0"/>
        <w:spacing w:before="200" w:line="260" w:lineRule="atLeast"/>
        <w:jc w:val="both"/>
      </w:pPr>
      <w:bookmarkStart w:id="2469" w:name="Bookmark_para_15_14"/>
      <w:bookmarkEnd w:id="2469"/>
      <w:r>
        <w:rPr>
          <w:rFonts w:ascii="Arial" w:eastAsia="Arial" w:hAnsi="Arial" w:cs="Arial"/>
          <w:color w:val="000000"/>
          <w:sz w:val="20"/>
        </w:rPr>
        <w:t>While re-enrolled in the PASS Program, Dean experienced "a noticeable improvement in his functioning" in late June 2007. App'x at 20. By mid-July, approximately eight weeks after commencing treatment, [**10]  Dean "regained normal functioning" and was able to intensively study. App'x at 20. Dean reported being "virtually free of depression" on July 21. App'x at 243. Two days later, Dr. Francis Ihejarika, the founder of the PASS Program, left a voicemail for Dr. Cain, expressing confidence that Dean would be successful on the Step 1 exam with an additional month of preparation time. Dr. Nielsen informed Dean by email that due to privacy regulations the school would not return Dr. Ihejirika's call. Dean ultimately did not sit for the Step 1 exam by July 28, 2007, and did not request further extension of that deadline.</w:t>
      </w:r>
    </w:p>
    <w:p w14:paraId="57498A9A" w14:textId="77777777" w:rsidR="002D0E71" w:rsidRDefault="00000000">
      <w:pPr>
        <w:pStyle w:val="Normal17"/>
        <w:widowControl w:val="0"/>
        <w:spacing w:before="200" w:line="260" w:lineRule="atLeast"/>
        <w:jc w:val="both"/>
      </w:pPr>
      <w:bookmarkStart w:id="2470" w:name="Bookmark_para_16_14"/>
      <w:bookmarkEnd w:id="2470"/>
      <w:r>
        <w:rPr>
          <w:rFonts w:ascii="Arial" w:eastAsia="Arial" w:hAnsi="Arial" w:cs="Arial"/>
          <w:color w:val="000000"/>
          <w:sz w:val="20"/>
        </w:rPr>
        <w:t>By letter dated August 15, 2007, UBMED notified Dean that he had been administratively  [*185]  dismissed from the M.D. program for failure to timely sit for the Step 1 exam. The letter informed Dean that he could appeal and that Dr. Nielsen would review the process, purportedly outlined in the ASP, with him should he so desire. Dean did not appeal. However, in late August he attempted to register for the Step 1 exam. NBME rejected the registration as Dean was no longer enrolled in a medical school.</w:t>
      </w:r>
    </w:p>
    <w:p w14:paraId="3B5724B1" w14:textId="77777777" w:rsidR="002D0E71" w:rsidRDefault="00000000">
      <w:pPr>
        <w:pStyle w:val="Normal17"/>
        <w:widowControl w:val="0"/>
        <w:spacing w:before="200" w:line="260" w:lineRule="atLeast"/>
        <w:jc w:val="both"/>
      </w:pPr>
      <w:bookmarkStart w:id="2471" w:name="Bookmark_para_17_13"/>
      <w:bookmarkEnd w:id="2471"/>
      <w:r>
        <w:rPr>
          <w:rFonts w:ascii="Arial" w:eastAsia="Arial" w:hAnsi="Arial" w:cs="Arial"/>
          <w:color w:val="000000"/>
          <w:sz w:val="20"/>
        </w:rPr>
        <w:t>Dean subsequently filed a complaint with the U.S. Department of Education's Office of Civil Rights ("OCR"). In [**11]  May 2008, OCR concluded that Defendants "granted [Dean] a leave of absence consistent with the recommendations made by [Dean's] medical team," and found "insufficient evidence to support [Dean's] allegation that the School discriminated against him, on the basis of his disability, by refusing to grant him an additional month's leave of absence." App'x at 112. With this complaint pending Dean wrote to Dr. Cain requesting a meeting to discuss his dismissal. Dr. Cain declined to meet during the OCR investigation but invited Dean to submit additional information at the conclusion of those proceedings. In July 2008, Dean formally sought reinstatement arguing that his failure to sit for the Step 1 exam was not an act of defiance, and submitted a letter from Dr. Hoover noting that it was "impractical" for Dean to study for the exam "with his degree of depression." App'x at 109. UBMED rejected Dean's request for reinstatement. Because Dean was dismissed from UBMED he is ineligible to transfer to another American medical school.</w:t>
      </w:r>
      <w:r>
        <w:rPr>
          <w:rFonts w:ascii="Arial" w:eastAsia="Arial" w:hAnsi="Arial" w:cs="Arial"/>
          <w:vertAlign w:val="superscript"/>
        </w:rPr>
        <w:footnoteReference w:customMarkFollows="1" w:id="80"/>
        <w:t>1</w:t>
      </w:r>
    </w:p>
    <w:p w14:paraId="19275F9D" w14:textId="77777777" w:rsidR="002D0E71" w:rsidRDefault="00000000">
      <w:pPr>
        <w:pStyle w:val="Normal17"/>
        <w:widowControl w:val="0"/>
        <w:spacing w:before="200" w:line="260" w:lineRule="atLeast"/>
        <w:jc w:val="both"/>
      </w:pPr>
      <w:bookmarkStart w:id="2473" w:name="Bookmark_para_18_13"/>
      <w:bookmarkStart w:id="2474" w:name="Bookmark_I5H8GK1S28T4D60020000400"/>
      <w:bookmarkEnd w:id="2473"/>
      <w:bookmarkEnd w:id="2474"/>
      <w:r>
        <w:rPr>
          <w:rFonts w:ascii="Arial" w:eastAsia="Arial" w:hAnsi="Arial" w:cs="Arial"/>
          <w:color w:val="000000"/>
          <w:sz w:val="20"/>
        </w:rPr>
        <w:t xml:space="preserve">Dean commenced this action in the district court bringing claims against Defendants under: Title II of the ADA; the Rehabilitation Act; 42 U.S.C. § 1981; and 42 U.S.C. § 1983. </w:t>
      </w:r>
      <w:bookmarkStart w:id="2475" w:name="Bookmark_I5H8GK1S2D6NPG0010000400"/>
      <w:bookmarkEnd w:id="2475"/>
      <w:r>
        <w:rPr>
          <w:rFonts w:ascii="Arial" w:eastAsia="Arial" w:hAnsi="Arial" w:cs="Arial"/>
          <w:color w:val="000000"/>
          <w:sz w:val="20"/>
        </w:rPr>
        <w:t xml:space="preserve">Seeking money damages and reinstatement, Dean alleged that his dismissal from UBMED resulted from discrimination on the basis of disability and race. Upon completion of discovery, Defendants moved for summary judgment. The district court granted the motion and dismissed the case in its entirety, finding, inter alia, "no plausible inference" of discrimination against Dean as a result of his disability, </w:t>
      </w:r>
      <w:bookmarkStart w:id="2476" w:name="Bookmark_I5H8GK1S28T4D60010000400"/>
      <w:bookmarkEnd w:id="2476"/>
      <w:r>
        <w:rPr>
          <w:rFonts w:ascii="Arial" w:eastAsia="Arial" w:hAnsi="Arial" w:cs="Arial"/>
          <w:i/>
          <w:color w:val="000000"/>
          <w:sz w:val="20"/>
        </w:rPr>
        <w:t>Dean v. Univ. at Buffalo Sch. of Med. &amp; Biomedical Scis.</w:t>
      </w:r>
      <w:r>
        <w:rPr>
          <w:rFonts w:ascii="Arial" w:eastAsia="Arial" w:hAnsi="Arial" w:cs="Arial"/>
          <w:color w:val="000000"/>
          <w:sz w:val="20"/>
        </w:rPr>
        <w:t xml:space="preserve">, No. 10-CV-209S (Sr), 2014 U.S. Dist. LEXIS 44578, 2014 WL 1316186, at *7 (W.D.N.Y. Mar. 31, 2014), or that the medical leave afforded "insufficient accommodation or otherwise disadvantaged [Dean] as compared to able-bodied students required to complete all attempts at the Step 1 exam within one academic year," </w:t>
      </w:r>
      <w:bookmarkStart w:id="2477" w:name="Bookmark_I5H8GK1S28T4D60030000400"/>
      <w:bookmarkEnd w:id="2477"/>
      <w:r>
        <w:rPr>
          <w:rFonts w:ascii="Arial" w:eastAsia="Arial" w:hAnsi="Arial" w:cs="Arial"/>
          <w:color w:val="000000"/>
          <w:sz w:val="20"/>
        </w:rPr>
        <w:t xml:space="preserve">2014 U.S. Dist. LEXIS 44578, [WL] at *7 n.5. </w:t>
      </w:r>
      <w:bookmarkStart w:id="2478" w:name="Bookmark_I5H8GK1S2D6NPG0010000400_2"/>
      <w:bookmarkEnd w:id="2478"/>
      <w:r>
        <w:rPr>
          <w:rFonts w:ascii="Arial" w:eastAsia="Arial" w:hAnsi="Arial" w:cs="Arial"/>
          <w:color w:val="000000"/>
          <w:sz w:val="20"/>
        </w:rPr>
        <w:t xml:space="preserve">On the due process claim, the district court concluded that because academic dismissals require only notice and a "careful and deliberate" decision, Defendants provided Dean the process due under the circumstances. </w:t>
      </w:r>
      <w:bookmarkStart w:id="2479" w:name="Bookmark_I5H8GK1S28T4D60050000400"/>
      <w:bookmarkEnd w:id="2479"/>
      <w:r>
        <w:rPr>
          <w:rFonts w:ascii="Arial" w:eastAsia="Arial" w:hAnsi="Arial" w:cs="Arial"/>
          <w:color w:val="000000"/>
          <w:sz w:val="20"/>
        </w:rPr>
        <w:t>2014 U.S. Dist. LEXIS 44578, [WL] at *9.</w:t>
      </w:r>
    </w:p>
    <w:p w14:paraId="168BBE30" w14:textId="77777777" w:rsidR="002D0E71" w:rsidRDefault="00000000">
      <w:pPr>
        <w:pStyle w:val="Normal17"/>
        <w:widowControl w:val="0"/>
        <w:spacing w:before="200" w:line="260" w:lineRule="atLeast"/>
        <w:jc w:val="both"/>
      </w:pPr>
      <w:bookmarkStart w:id="2480" w:name="Bookmark_para_19_13"/>
      <w:bookmarkStart w:id="2481" w:name="Bookmark_I5H8GK1S2D6NPG0030000400"/>
      <w:bookmarkEnd w:id="2480"/>
      <w:bookmarkEnd w:id="2481"/>
      <w:r>
        <w:rPr>
          <w:rFonts w:ascii="Arial" w:eastAsia="Arial" w:hAnsi="Arial" w:cs="Arial"/>
          <w:color w:val="000000"/>
          <w:sz w:val="20"/>
        </w:rPr>
        <w:t>On appeal, Dean challenges the grant of summary judgment to Defendants on the ADA, Rehabilitation Act, and due process claims.</w:t>
      </w:r>
      <w:r>
        <w:rPr>
          <w:rFonts w:ascii="Arial" w:eastAsia="Arial" w:hAnsi="Arial" w:cs="Arial"/>
          <w:vertAlign w:val="superscript"/>
        </w:rPr>
        <w:footnoteReference w:customMarkFollows="1" w:id="81"/>
        <w:t>2</w:t>
      </w:r>
    </w:p>
    <w:p w14:paraId="0A0BFB1A" w14:textId="77777777" w:rsidR="002D0E71" w:rsidRDefault="00000000">
      <w:pPr>
        <w:pStyle w:val="Normal17"/>
        <w:widowControl w:val="0"/>
        <w:spacing w:before="240" w:line="260" w:lineRule="atLeast"/>
      </w:pPr>
      <w:r>
        <w:br/>
      </w:r>
      <w:r>
        <w:rPr>
          <w:rFonts w:ascii="Arial" w:eastAsia="Arial" w:hAnsi="Arial" w:cs="Arial"/>
          <w:b/>
          <w:color w:val="000000"/>
          <w:sz w:val="20"/>
        </w:rPr>
        <w:t>DISCUSSION</w:t>
      </w:r>
    </w:p>
    <w:p w14:paraId="08ACC8C0" w14:textId="77777777" w:rsidR="002D0E71" w:rsidRDefault="00000000">
      <w:pPr>
        <w:pStyle w:val="Normal17"/>
        <w:widowControl w:val="0"/>
        <w:spacing w:before="240" w:line="260" w:lineRule="atLeast"/>
      </w:pPr>
      <w:r>
        <w:br/>
      </w:r>
      <w:r>
        <w:rPr>
          <w:rFonts w:ascii="Arial" w:eastAsia="Arial" w:hAnsi="Arial" w:cs="Arial"/>
          <w:b/>
          <w:color w:val="000000"/>
          <w:sz w:val="20"/>
        </w:rPr>
        <w:t>I. Standard of Review</w:t>
      </w:r>
    </w:p>
    <w:p w14:paraId="679E18FB" w14:textId="77777777" w:rsidR="002D0E71" w:rsidRDefault="00000000">
      <w:pPr>
        <w:pStyle w:val="Normal17"/>
        <w:widowControl w:val="0"/>
        <w:spacing w:before="200" w:line="260" w:lineRule="atLeast"/>
        <w:jc w:val="both"/>
      </w:pPr>
      <w:bookmarkStart w:id="2484" w:name="Bookmark_para_20_11"/>
      <w:bookmarkStart w:id="2485" w:name="Bookmark_I5H8GK1S2D6NPG0050000400"/>
      <w:bookmarkStart w:id="2486" w:name="Bookmark_LNHNREFclscc1_13"/>
      <w:bookmarkEnd w:id="2484"/>
      <w:bookmarkEnd w:id="2485"/>
      <w:bookmarkEnd w:id="2486"/>
      <w:r>
        <w:rPr>
          <w:rFonts w:ascii="Arial" w:eastAsia="Arial" w:hAnsi="Arial" w:cs="Arial"/>
          <w:color w:val="000000"/>
          <w:sz w:val="20"/>
        </w:rPr>
        <w:t xml:space="preserve">We review an order granting summary judgment de novo, drawing all permissible factual inferences in favor of the non-moving party. </w:t>
      </w:r>
      <w:bookmarkStart w:id="2487" w:name="Bookmark_I5H8GK1S28T4D70020000400"/>
      <w:bookmarkStart w:id="2488" w:name="Bookmark_I5H8GK1S2D6NPG0040000400"/>
      <w:bookmarkEnd w:id="2487"/>
      <w:bookmarkEnd w:id="2488"/>
      <w:r>
        <w:rPr>
          <w:rFonts w:ascii="Arial" w:eastAsia="Arial" w:hAnsi="Arial" w:cs="Arial"/>
          <w:i/>
          <w:color w:val="000000"/>
          <w:sz w:val="20"/>
        </w:rPr>
        <w:t>Cox v. Warwick Valley Cent.  [*186]  Sch. Dist.</w:t>
      </w:r>
      <w:r>
        <w:rPr>
          <w:rFonts w:ascii="Arial" w:eastAsia="Arial" w:hAnsi="Arial" w:cs="Arial"/>
          <w:color w:val="000000"/>
          <w:sz w:val="20"/>
        </w:rPr>
        <w:t xml:space="preserve">, 654 F.3d 267, 271 (2d Cir. 2011). </w:t>
      </w:r>
      <w:bookmarkStart w:id="2489" w:name="Bookmark_I5H8GK1T2HM6HR0010000400"/>
      <w:bookmarkStart w:id="2490" w:name="Bookmark_LNHNREFclscc2_13"/>
      <w:bookmarkEnd w:id="2489"/>
      <w:bookmarkEnd w:id="2490"/>
      <w:r>
        <w:rPr>
          <w:rFonts w:ascii="Arial" w:eastAsia="Arial" w:hAnsi="Arial" w:cs="Arial"/>
          <w:color w:val="000000"/>
          <w:sz w:val="20"/>
        </w:rPr>
        <w:t xml:space="preserve">Summary judgment is appropriate only where "there is no genuine dispute as to any material fact and the movant is entitled to judgment as a matter of law." Fed. R. Civ. P. 56(a). </w:t>
      </w:r>
      <w:bookmarkStart w:id="2491" w:name="Bookmark_I5H8GK1T2HM6HR0010000400_2"/>
      <w:bookmarkStart w:id="2492" w:name="Bookmark_I5H8GK1S28T4D70020000400_2"/>
      <w:bookmarkStart w:id="2493" w:name="Bookmark_I5H8GK1T2HM6HR0030000400"/>
      <w:bookmarkEnd w:id="2491"/>
      <w:bookmarkEnd w:id="2492"/>
      <w:bookmarkEnd w:id="2493"/>
      <w:r>
        <w:rPr>
          <w:rFonts w:ascii="Arial" w:eastAsia="Arial" w:hAnsi="Arial" w:cs="Arial"/>
          <w:color w:val="000000"/>
          <w:sz w:val="20"/>
        </w:rPr>
        <w:t xml:space="preserve">A genuine dispute of material fact exists only "where the evidence is such that a reasonable jury could decide in the non-movant's favor." </w:t>
      </w:r>
      <w:bookmarkStart w:id="2494" w:name="Bookmark_I5H8GK1S28T4D70010000400"/>
      <w:bookmarkEnd w:id="2494"/>
      <w:r>
        <w:rPr>
          <w:rFonts w:ascii="Arial" w:eastAsia="Arial" w:hAnsi="Arial" w:cs="Arial"/>
          <w:i/>
          <w:color w:val="000000"/>
          <w:sz w:val="20"/>
        </w:rPr>
        <w:t>Delaney v. Bank of America Corp.</w:t>
      </w:r>
      <w:r>
        <w:rPr>
          <w:rFonts w:ascii="Arial" w:eastAsia="Arial" w:hAnsi="Arial" w:cs="Arial"/>
          <w:color w:val="000000"/>
          <w:sz w:val="20"/>
        </w:rPr>
        <w:t xml:space="preserve">, 766 F.3d 163, 167 (2d Cir. 2014) (quoting </w:t>
      </w:r>
      <w:bookmarkStart w:id="2495" w:name="Bookmark_I5H8GK1S28T4D70030000400"/>
      <w:bookmarkEnd w:id="2495"/>
      <w:r>
        <w:rPr>
          <w:rFonts w:ascii="Arial" w:eastAsia="Arial" w:hAnsi="Arial" w:cs="Arial"/>
          <w:i/>
          <w:color w:val="000000"/>
          <w:sz w:val="20"/>
        </w:rPr>
        <w:t>Beyer v. Cty. of Nassau</w:t>
      </w:r>
      <w:r>
        <w:rPr>
          <w:rFonts w:ascii="Arial" w:eastAsia="Arial" w:hAnsi="Arial" w:cs="Arial"/>
          <w:color w:val="000000"/>
          <w:sz w:val="20"/>
        </w:rPr>
        <w:t xml:space="preserve">, 524 F.3d 160, 163 (2d Cir. 2008)). </w:t>
      </w:r>
      <w:bookmarkStart w:id="2496" w:name="Bookmark_I5H8GK1T2HM6HR0030000400_2"/>
      <w:bookmarkEnd w:id="2496"/>
      <w:r>
        <w:rPr>
          <w:rFonts w:ascii="Arial" w:eastAsia="Arial" w:hAnsi="Arial" w:cs="Arial"/>
          <w:color w:val="000000"/>
          <w:sz w:val="20"/>
        </w:rPr>
        <w:t xml:space="preserve">"[R]eliance upon conclusory statements or mere allegations is not sufficient to defeat a summary judgment motion." </w:t>
      </w:r>
      <w:bookmarkStart w:id="2497" w:name="Bookmark_I5H8GK1S28T4D70050000400"/>
      <w:bookmarkEnd w:id="2497"/>
      <w:r>
        <w:rPr>
          <w:rFonts w:ascii="Arial" w:eastAsia="Arial" w:hAnsi="Arial" w:cs="Arial"/>
          <w:i/>
          <w:color w:val="000000"/>
          <w:sz w:val="20"/>
        </w:rPr>
        <w:t>Davis v. New York</w:t>
      </w:r>
      <w:r>
        <w:rPr>
          <w:rFonts w:ascii="Arial" w:eastAsia="Arial" w:hAnsi="Arial" w:cs="Arial"/>
          <w:color w:val="000000"/>
          <w:sz w:val="20"/>
        </w:rPr>
        <w:t xml:space="preserve">, 316 F.3d 93, 100 (2d Cir. 2002). </w:t>
      </w:r>
      <w:bookmarkStart w:id="2498" w:name="Bookmark_I5H8GK1T2HM6HR0030000400_3"/>
      <w:bookmarkEnd w:id="2498"/>
      <w:r>
        <w:rPr>
          <w:rFonts w:ascii="Arial" w:eastAsia="Arial" w:hAnsi="Arial" w:cs="Arial"/>
          <w:color w:val="000000"/>
          <w:sz w:val="20"/>
        </w:rPr>
        <w:t xml:space="preserve">However, "[i]f, as to the issue on which summary judgment is sought, there is any evidence in the record from which a reasonable inference could be drawn in favor of the opposing party, summary judgment is improper." </w:t>
      </w:r>
      <w:bookmarkStart w:id="2499" w:name="Bookmark_I5H8GK1T2HM6HR0020000400"/>
      <w:bookmarkEnd w:id="2499"/>
      <w:r>
        <w:rPr>
          <w:rFonts w:ascii="Arial" w:eastAsia="Arial" w:hAnsi="Arial" w:cs="Arial"/>
          <w:i/>
          <w:color w:val="000000"/>
          <w:sz w:val="20"/>
        </w:rPr>
        <w:t>Sec. Ins. Co. of Hartford v. Old Dominion Freight Line Inc.</w:t>
      </w:r>
      <w:r>
        <w:rPr>
          <w:rFonts w:ascii="Arial" w:eastAsia="Arial" w:hAnsi="Arial" w:cs="Arial"/>
          <w:color w:val="000000"/>
          <w:sz w:val="20"/>
        </w:rPr>
        <w:t xml:space="preserve">, 391 F.3d 77, 82-83 (2d Cir. 2004) (quoting </w:t>
      </w:r>
      <w:bookmarkStart w:id="2500" w:name="Bookmark_I5H8GK1T2HM6HR0040000400"/>
      <w:bookmarkEnd w:id="2500"/>
      <w:r>
        <w:rPr>
          <w:rFonts w:ascii="Arial" w:eastAsia="Arial" w:hAnsi="Arial" w:cs="Arial"/>
          <w:i/>
          <w:color w:val="000000"/>
          <w:sz w:val="20"/>
        </w:rPr>
        <w:t>Gummo v. Village of Depew</w:t>
      </w:r>
      <w:r>
        <w:rPr>
          <w:rFonts w:ascii="Arial" w:eastAsia="Arial" w:hAnsi="Arial" w:cs="Arial"/>
          <w:color w:val="000000"/>
          <w:sz w:val="20"/>
        </w:rPr>
        <w:t>, 75 F.3d 98, 107 (2d Cir. 1996)).</w:t>
      </w:r>
    </w:p>
    <w:p w14:paraId="37314DF8" w14:textId="77777777" w:rsidR="002D0E71" w:rsidRDefault="00000000">
      <w:pPr>
        <w:pStyle w:val="Normal17"/>
        <w:widowControl w:val="0"/>
        <w:spacing w:before="240" w:line="260" w:lineRule="atLeast"/>
      </w:pPr>
      <w:r>
        <w:br/>
      </w:r>
      <w:r>
        <w:rPr>
          <w:rFonts w:ascii="Arial" w:eastAsia="Arial" w:hAnsi="Arial" w:cs="Arial"/>
          <w:b/>
          <w:color w:val="000000"/>
          <w:sz w:val="20"/>
        </w:rPr>
        <w:t>II. ADA and Rehabilitation Act Claims</w:t>
      </w:r>
    </w:p>
    <w:p w14:paraId="7988F570" w14:textId="77777777" w:rsidR="002D0E71" w:rsidRDefault="00000000">
      <w:pPr>
        <w:pStyle w:val="Normal17"/>
        <w:widowControl w:val="0"/>
        <w:spacing w:before="200" w:line="260" w:lineRule="atLeast"/>
        <w:jc w:val="both"/>
      </w:pPr>
      <w:bookmarkStart w:id="2501" w:name="Bookmark_para_21_11"/>
      <w:bookmarkEnd w:id="2501"/>
      <w:r>
        <w:rPr>
          <w:rFonts w:ascii="Arial" w:eastAsia="Arial" w:hAnsi="Arial" w:cs="Arial"/>
          <w:color w:val="000000"/>
          <w:sz w:val="20"/>
        </w:rPr>
        <w:t xml:space="preserve">Congress enacted the ADA "to provide a clear and comprehensive national mandate for the elimination of discrimination against individuals with disabilities." 42 U.S.C. § 12101(b)(1). To that end, </w:t>
      </w:r>
      <w:bookmarkStart w:id="2502" w:name="Bookmark_LNHNREFclscc3_13"/>
      <w:bookmarkEnd w:id="2502"/>
      <w:r>
        <w:rPr>
          <w:rFonts w:ascii="Arial" w:eastAsia="Arial" w:hAnsi="Arial" w:cs="Arial"/>
          <w:color w:val="000000"/>
          <w:sz w:val="20"/>
        </w:rPr>
        <w:t xml:space="preserve">Title II of the ADA provides that "no qualified individual with a disability shall, by reason of such disability, be excluded [**14]  from participation in or be denied the benefits of the services, programs, or activities of a public entity, or be subjected to discrimination by any such entity." </w:t>
      </w:r>
      <w:r>
        <w:rPr>
          <w:rFonts w:ascii="Arial" w:eastAsia="Arial" w:hAnsi="Arial" w:cs="Arial"/>
          <w:i/>
          <w:color w:val="000000"/>
          <w:sz w:val="20"/>
        </w:rPr>
        <w:t>Id.</w:t>
      </w:r>
      <w:r>
        <w:rPr>
          <w:rFonts w:ascii="Arial" w:eastAsia="Arial" w:hAnsi="Arial" w:cs="Arial"/>
          <w:color w:val="000000"/>
          <w:sz w:val="20"/>
        </w:rPr>
        <w:t xml:space="preserve"> § 12132. A qualified individual with a disability is defined as "an individual with a disability who, with or without reasonable modifications to rules, policies, or practices . . . meets the essential eligibility requirements for . . . participation in programs or activities provided by a public entity." </w:t>
      </w:r>
      <w:r>
        <w:rPr>
          <w:rFonts w:ascii="Arial" w:eastAsia="Arial" w:hAnsi="Arial" w:cs="Arial"/>
          <w:i/>
          <w:color w:val="000000"/>
          <w:sz w:val="20"/>
        </w:rPr>
        <w:t>Id.</w:t>
      </w:r>
      <w:r>
        <w:rPr>
          <w:rFonts w:ascii="Arial" w:eastAsia="Arial" w:hAnsi="Arial" w:cs="Arial"/>
          <w:color w:val="000000"/>
          <w:sz w:val="20"/>
        </w:rPr>
        <w:t xml:space="preserve"> § 12131(2). A public entity includes a state or local government body or any instrumentality thereof. </w:t>
      </w:r>
      <w:r>
        <w:rPr>
          <w:rFonts w:ascii="Arial" w:eastAsia="Arial" w:hAnsi="Arial" w:cs="Arial"/>
          <w:i/>
          <w:color w:val="000000"/>
          <w:sz w:val="20"/>
        </w:rPr>
        <w:t>Id.</w:t>
      </w:r>
      <w:r>
        <w:rPr>
          <w:rFonts w:ascii="Arial" w:eastAsia="Arial" w:hAnsi="Arial" w:cs="Arial"/>
          <w:color w:val="000000"/>
          <w:sz w:val="20"/>
        </w:rPr>
        <w:t xml:space="preserve"> § 12131(1).</w:t>
      </w:r>
    </w:p>
    <w:p w14:paraId="163CBB6E" w14:textId="77777777" w:rsidR="002D0E71" w:rsidRDefault="00000000">
      <w:pPr>
        <w:pStyle w:val="Normal17"/>
        <w:widowControl w:val="0"/>
        <w:spacing w:before="200" w:line="260" w:lineRule="atLeast"/>
        <w:jc w:val="both"/>
      </w:pPr>
      <w:bookmarkStart w:id="2503" w:name="Bookmark_para_22_11"/>
      <w:bookmarkStart w:id="2504" w:name="Bookmark_I5H8GK1T2N1PXF0020000400"/>
      <w:bookmarkStart w:id="2505" w:name="Bookmark_LNHNREFclscc4_13"/>
      <w:bookmarkEnd w:id="2503"/>
      <w:bookmarkEnd w:id="2504"/>
      <w:bookmarkEnd w:id="2505"/>
      <w:r>
        <w:rPr>
          <w:rFonts w:ascii="Arial" w:eastAsia="Arial" w:hAnsi="Arial" w:cs="Arial"/>
          <w:color w:val="000000"/>
          <w:sz w:val="20"/>
        </w:rPr>
        <w:t xml:space="preserve">Section 504 of the Rehabilitation Act provides, in pertinent part, that "[n]o otherwise qualified individual with a disability . . . shall, solely by reason of her or his disability, be excluded from the participation in, be denied the benefits of, or be subjected to discrimination under any program or activity." 29 U.S.C. § 794(a). By its terms, the Rehabilitation Act, which was enacted prior to the ADA, applies only to programs receiving federal financial support. </w:t>
      </w:r>
      <w:r>
        <w:rPr>
          <w:rFonts w:ascii="Arial" w:eastAsia="Arial" w:hAnsi="Arial" w:cs="Arial"/>
          <w:i/>
          <w:color w:val="000000"/>
          <w:sz w:val="20"/>
        </w:rPr>
        <w:t xml:space="preserve">Id.; see </w:t>
      </w:r>
      <w:bookmarkStart w:id="2506" w:name="Bookmark_I5H8GK1T2N1PXF0010000400"/>
      <w:bookmarkEnd w:id="2506"/>
      <w:r>
        <w:rPr>
          <w:rFonts w:ascii="Arial" w:eastAsia="Arial" w:hAnsi="Arial" w:cs="Arial"/>
          <w:i/>
          <w:color w:val="000000"/>
          <w:sz w:val="20"/>
        </w:rPr>
        <w:t>Powell v. Nat'l Bd. of Med. Exam'rs</w:t>
      </w:r>
      <w:r>
        <w:rPr>
          <w:rFonts w:ascii="Arial" w:eastAsia="Arial" w:hAnsi="Arial" w:cs="Arial"/>
          <w:color w:val="000000"/>
          <w:sz w:val="20"/>
        </w:rPr>
        <w:t xml:space="preserve">, 364 F.3d 79, 85 (2d Cir.), </w:t>
      </w:r>
      <w:r>
        <w:rPr>
          <w:rFonts w:ascii="Arial" w:eastAsia="Arial" w:hAnsi="Arial" w:cs="Arial"/>
          <w:i/>
          <w:color w:val="000000"/>
          <w:sz w:val="20"/>
        </w:rPr>
        <w:t>opinion corrected</w:t>
      </w:r>
      <w:r>
        <w:rPr>
          <w:rFonts w:ascii="Arial" w:eastAsia="Arial" w:hAnsi="Arial" w:cs="Arial"/>
          <w:color w:val="000000"/>
          <w:sz w:val="20"/>
        </w:rPr>
        <w:t>, 511 F.3d 238 (2d Cir. 2004).</w:t>
      </w:r>
    </w:p>
    <w:p w14:paraId="32EF3A9C" w14:textId="77777777" w:rsidR="002D0E71" w:rsidRDefault="00000000">
      <w:pPr>
        <w:pStyle w:val="Normal17"/>
        <w:widowControl w:val="0"/>
        <w:spacing w:before="200" w:line="260" w:lineRule="atLeast"/>
        <w:jc w:val="both"/>
      </w:pPr>
      <w:bookmarkStart w:id="2507" w:name="Bookmark_para_23_11"/>
      <w:bookmarkStart w:id="2508" w:name="Bookmark_I5H8GK1T2N1PXF0040000400"/>
      <w:bookmarkStart w:id="2509" w:name="Bookmark_LNHNREFclscc5_13"/>
      <w:bookmarkEnd w:id="2507"/>
      <w:bookmarkEnd w:id="2508"/>
      <w:bookmarkEnd w:id="2509"/>
      <w:r>
        <w:rPr>
          <w:rFonts w:ascii="Arial" w:eastAsia="Arial" w:hAnsi="Arial" w:cs="Arial"/>
          <w:color w:val="000000"/>
          <w:sz w:val="20"/>
        </w:rPr>
        <w:t xml:space="preserve">Both acts "prohibit discrimination against qualified disabled individuals by requiring that they receive 'reasonable accommodations' that permit them to have access [**15]  to and take a meaningful part in . . . public accommodations." </w:t>
      </w:r>
      <w:r>
        <w:rPr>
          <w:rFonts w:ascii="Arial" w:eastAsia="Arial" w:hAnsi="Arial" w:cs="Arial"/>
          <w:i/>
          <w:color w:val="000000"/>
          <w:sz w:val="20"/>
        </w:rPr>
        <w:t>Id.</w:t>
      </w:r>
      <w:r>
        <w:rPr>
          <w:rFonts w:ascii="Arial" w:eastAsia="Arial" w:hAnsi="Arial" w:cs="Arial"/>
          <w:color w:val="000000"/>
          <w:sz w:val="20"/>
        </w:rPr>
        <w:t xml:space="preserve"> The ADA defines "discriminate" as, inter alia, "not making reasonable accommodations to the known physical or mental limitations of an otherwise qualified individual with a disability . . . unless [the provider of the service] can demonstrate that the accommodation would impose an undue hardship on" its operations. 42 U.S.C. § 12112(b)(5)(A). Under the Rehabilitation Act "an otherwise qualified handicapped individual must be provided with meaningful access to the benefit that the grantee offers . . . . [T]o assure meaningful access, reasonable accommodations in the grantee's program or benefit may have to be made." </w:t>
      </w:r>
      <w:bookmarkStart w:id="2510" w:name="Bookmark_I5H8GK1T2N1PXF0030000400"/>
      <w:bookmarkEnd w:id="2510"/>
      <w:r>
        <w:rPr>
          <w:rFonts w:ascii="Arial" w:eastAsia="Arial" w:hAnsi="Arial" w:cs="Arial"/>
          <w:i/>
          <w:color w:val="000000"/>
          <w:sz w:val="20"/>
        </w:rPr>
        <w:t>Alexander v. Choate</w:t>
      </w:r>
      <w:r>
        <w:rPr>
          <w:rFonts w:ascii="Arial" w:eastAsia="Arial" w:hAnsi="Arial" w:cs="Arial"/>
          <w:color w:val="000000"/>
          <w:sz w:val="20"/>
        </w:rPr>
        <w:t xml:space="preserve">, 469 U.S. 287, 301, 105 S. Ct. 712, 83 L. Ed. 2d 661 (1985); </w:t>
      </w:r>
      <w:r>
        <w:rPr>
          <w:rFonts w:ascii="Arial" w:eastAsia="Arial" w:hAnsi="Arial" w:cs="Arial"/>
          <w:i/>
          <w:color w:val="000000"/>
          <w:sz w:val="20"/>
        </w:rPr>
        <w:t xml:space="preserve">see </w:t>
      </w:r>
      <w:bookmarkStart w:id="2511" w:name="Bookmark_I5H8GK1T2N1PXF0050000400"/>
      <w:bookmarkEnd w:id="2511"/>
      <w:r>
        <w:rPr>
          <w:rFonts w:ascii="Arial" w:eastAsia="Arial" w:hAnsi="Arial" w:cs="Arial"/>
          <w:i/>
          <w:color w:val="000000"/>
          <w:sz w:val="20"/>
        </w:rPr>
        <w:t>Henrietta D. v. Bloomberg</w:t>
      </w:r>
      <w:r>
        <w:rPr>
          <w:rFonts w:ascii="Arial" w:eastAsia="Arial" w:hAnsi="Arial" w:cs="Arial"/>
          <w:color w:val="000000"/>
          <w:sz w:val="20"/>
        </w:rPr>
        <w:t>, 331 F.3d 261, 273 (2d Cir. 2003).</w:t>
      </w:r>
    </w:p>
    <w:p w14:paraId="1EA84FBC" w14:textId="77777777" w:rsidR="002D0E71" w:rsidRDefault="00000000">
      <w:pPr>
        <w:pStyle w:val="Normal17"/>
        <w:widowControl w:val="0"/>
        <w:spacing w:before="200" w:line="260" w:lineRule="atLeast"/>
        <w:jc w:val="both"/>
      </w:pPr>
      <w:bookmarkStart w:id="2512" w:name="Bookmark_para_24_11"/>
      <w:bookmarkStart w:id="2513" w:name="Bookmark_I5H8GK1T2D6NPJ0030000400"/>
      <w:bookmarkStart w:id="2514" w:name="Bookmark_I5H8GK1T28T4D80030000400"/>
      <w:bookmarkStart w:id="2515" w:name="Bookmark_LNHNREFclscc6_12"/>
      <w:bookmarkEnd w:id="2512"/>
      <w:bookmarkEnd w:id="2513"/>
      <w:bookmarkEnd w:id="2514"/>
      <w:bookmarkEnd w:id="2515"/>
      <w:r>
        <w:rPr>
          <w:rFonts w:ascii="Arial" w:eastAsia="Arial" w:hAnsi="Arial" w:cs="Arial"/>
          <w:color w:val="000000"/>
          <w:sz w:val="20"/>
        </w:rPr>
        <w:t xml:space="preserve">In the education context, the ADA and the Rehabilitation Act require a covered  [*187]  institution to offer reasonable accommodations for a student's known disability unless the accommodation would impose an "undue hardship" on the operation of its program, </w:t>
      </w:r>
      <w:bookmarkStart w:id="2516" w:name="Bookmark_I5H8GK1T2D6NPJ0020000400"/>
      <w:bookmarkEnd w:id="2516"/>
      <w:r>
        <w:rPr>
          <w:rFonts w:ascii="Arial" w:eastAsia="Arial" w:hAnsi="Arial" w:cs="Arial"/>
          <w:i/>
          <w:color w:val="000000"/>
          <w:sz w:val="20"/>
        </w:rPr>
        <w:t>Powell</w:t>
      </w:r>
      <w:r>
        <w:rPr>
          <w:rFonts w:ascii="Arial" w:eastAsia="Arial" w:hAnsi="Arial" w:cs="Arial"/>
          <w:color w:val="000000"/>
          <w:sz w:val="20"/>
        </w:rPr>
        <w:t xml:space="preserve">, 364 F.3d at 88 (citing 28 C.F.R. § 41.53); </w:t>
      </w:r>
      <w:r>
        <w:rPr>
          <w:rFonts w:ascii="Arial" w:eastAsia="Arial" w:hAnsi="Arial" w:cs="Arial"/>
          <w:i/>
          <w:color w:val="000000"/>
          <w:sz w:val="20"/>
        </w:rPr>
        <w:t xml:space="preserve">see </w:t>
      </w:r>
      <w:bookmarkStart w:id="2517" w:name="Bookmark_I5H8GK1T2D6NPJ0040000400"/>
      <w:bookmarkEnd w:id="2517"/>
      <w:r>
        <w:rPr>
          <w:rFonts w:ascii="Arial" w:eastAsia="Arial" w:hAnsi="Arial" w:cs="Arial"/>
          <w:i/>
          <w:color w:val="000000"/>
          <w:sz w:val="20"/>
        </w:rPr>
        <w:t>Rothschild v. Grottenthaler</w:t>
      </w:r>
      <w:r>
        <w:rPr>
          <w:rFonts w:ascii="Arial" w:eastAsia="Arial" w:hAnsi="Arial" w:cs="Arial"/>
          <w:color w:val="000000"/>
          <w:sz w:val="20"/>
        </w:rPr>
        <w:t xml:space="preserve">, 907 F.2d 286, 292 (2d Cir. 1990) ("Accommodations to permit access to handicapped persons should not impose 'undue financial and administrative burdens.'") (quoting </w:t>
      </w:r>
      <w:bookmarkStart w:id="2518" w:name="Bookmark_I5H8GK1T2N1PXG0010000400"/>
      <w:bookmarkEnd w:id="2518"/>
      <w:r>
        <w:rPr>
          <w:rFonts w:ascii="Arial" w:eastAsia="Arial" w:hAnsi="Arial" w:cs="Arial"/>
          <w:i/>
          <w:color w:val="000000"/>
          <w:sz w:val="20"/>
        </w:rPr>
        <w:t>Se. Cmty. Coll. v. Davis</w:t>
      </w:r>
      <w:r>
        <w:rPr>
          <w:rFonts w:ascii="Arial" w:eastAsia="Arial" w:hAnsi="Arial" w:cs="Arial"/>
          <w:color w:val="000000"/>
          <w:sz w:val="20"/>
        </w:rPr>
        <w:t xml:space="preserve">, 442 U.S. 397, 412, 99 S. Ct. 2361, 60 L. Ed. 2d 980 (1979)), or "'fundamentally alter the nature of the service, program, or activity,'" </w:t>
      </w:r>
      <w:bookmarkStart w:id="2519" w:name="Bookmark_I5H8GK1T2N1PXG0030000400"/>
      <w:bookmarkEnd w:id="2519"/>
      <w:r>
        <w:rPr>
          <w:rFonts w:ascii="Arial" w:eastAsia="Arial" w:hAnsi="Arial" w:cs="Arial"/>
          <w:i/>
          <w:color w:val="000000"/>
          <w:sz w:val="20"/>
        </w:rPr>
        <w:t>Powell</w:t>
      </w:r>
      <w:r>
        <w:rPr>
          <w:rFonts w:ascii="Arial" w:eastAsia="Arial" w:hAnsi="Arial" w:cs="Arial"/>
          <w:color w:val="000000"/>
          <w:sz w:val="20"/>
        </w:rPr>
        <w:t xml:space="preserve">, 364 F.3d at 88 (quoting 28 C.F.R. § 35.130(b)(7)); </w:t>
      </w:r>
      <w:r>
        <w:rPr>
          <w:rFonts w:ascii="Arial" w:eastAsia="Arial" w:hAnsi="Arial" w:cs="Arial"/>
          <w:i/>
          <w:color w:val="000000"/>
          <w:sz w:val="20"/>
        </w:rPr>
        <w:t xml:space="preserve">see </w:t>
      </w:r>
      <w:bookmarkStart w:id="2520" w:name="Bookmark_I5H8GK1T2N1PXG0050000400"/>
      <w:bookmarkEnd w:id="2520"/>
      <w:r>
        <w:rPr>
          <w:rFonts w:ascii="Arial" w:eastAsia="Arial" w:hAnsi="Arial" w:cs="Arial"/>
          <w:i/>
          <w:color w:val="000000"/>
          <w:sz w:val="20"/>
        </w:rPr>
        <w:t>Alexander</w:t>
      </w:r>
      <w:r>
        <w:rPr>
          <w:rFonts w:ascii="Arial" w:eastAsia="Arial" w:hAnsi="Arial" w:cs="Arial"/>
          <w:color w:val="000000"/>
          <w:sz w:val="20"/>
        </w:rPr>
        <w:t xml:space="preserve">, 469 U.S. at 300 ("[W]hile a grantee need not be required to make [**16]  'fundamental' or 'substantial' modifications to accommodate the handicapped, it may be required to make 'reasonable' ones."). Thus, while a covered entity "must make 'reasonable accommodations,' it does not have to provide a disabled individual with every accommodation he requests or the accommodation of his choice." </w:t>
      </w:r>
      <w:bookmarkStart w:id="2521" w:name="Bookmark_I5H8GK1T28T4D80020000400"/>
      <w:bookmarkEnd w:id="2521"/>
      <w:r>
        <w:rPr>
          <w:rFonts w:ascii="Arial" w:eastAsia="Arial" w:hAnsi="Arial" w:cs="Arial"/>
          <w:i/>
          <w:color w:val="000000"/>
          <w:sz w:val="20"/>
        </w:rPr>
        <w:t>McElwee v. Cty. of Orange</w:t>
      </w:r>
      <w:r>
        <w:rPr>
          <w:rFonts w:ascii="Arial" w:eastAsia="Arial" w:hAnsi="Arial" w:cs="Arial"/>
          <w:color w:val="000000"/>
          <w:sz w:val="20"/>
        </w:rPr>
        <w:t xml:space="preserve">, 700 F.3d 635, 641 (2d Cir. 2012); </w:t>
      </w:r>
      <w:r>
        <w:rPr>
          <w:rFonts w:ascii="Arial" w:eastAsia="Arial" w:hAnsi="Arial" w:cs="Arial"/>
          <w:i/>
          <w:color w:val="000000"/>
          <w:sz w:val="20"/>
        </w:rPr>
        <w:t xml:space="preserve">see </w:t>
      </w:r>
      <w:bookmarkStart w:id="2522" w:name="Bookmark_I5H8GK1T28T4D80040000400"/>
      <w:bookmarkEnd w:id="2522"/>
      <w:r>
        <w:rPr>
          <w:rFonts w:ascii="Arial" w:eastAsia="Arial" w:hAnsi="Arial" w:cs="Arial"/>
          <w:i/>
          <w:color w:val="000000"/>
          <w:sz w:val="20"/>
        </w:rPr>
        <w:t>Fink v. N.Y.C. Dep't of Pers.</w:t>
      </w:r>
      <w:r>
        <w:rPr>
          <w:rFonts w:ascii="Arial" w:eastAsia="Arial" w:hAnsi="Arial" w:cs="Arial"/>
          <w:color w:val="000000"/>
          <w:sz w:val="20"/>
        </w:rPr>
        <w:t>, 53 F.3d 565, 567 (2d Cir. 1995) (same)..</w:t>
      </w:r>
    </w:p>
    <w:p w14:paraId="3A07A9B4" w14:textId="77777777" w:rsidR="002D0E71" w:rsidRDefault="00000000">
      <w:pPr>
        <w:pStyle w:val="Normal17"/>
        <w:widowControl w:val="0"/>
        <w:spacing w:before="200" w:line="260" w:lineRule="atLeast"/>
        <w:jc w:val="both"/>
      </w:pPr>
      <w:bookmarkStart w:id="2523" w:name="Bookmark_para_25_11"/>
      <w:bookmarkStart w:id="2524" w:name="Bookmark_I5H8GK1T2HM6HS0020000400"/>
      <w:bookmarkStart w:id="2525" w:name="Bookmark_I5PX5KJW6CT000VWWV300431"/>
      <w:bookmarkStart w:id="2526" w:name="Bookmark_I5PX5KJWB6Y000VWWV300432"/>
      <w:bookmarkStart w:id="2527" w:name="Bookmark_I5H8GK1T2HM6HS0040000400"/>
      <w:bookmarkStart w:id="2528" w:name="Bookmark_LNHNREFclscc7_11"/>
      <w:bookmarkEnd w:id="2523"/>
      <w:bookmarkEnd w:id="2524"/>
      <w:bookmarkEnd w:id="2525"/>
      <w:bookmarkEnd w:id="2526"/>
      <w:bookmarkEnd w:id="2527"/>
      <w:bookmarkEnd w:id="2528"/>
      <w:r>
        <w:rPr>
          <w:rFonts w:ascii="Arial" w:eastAsia="Arial" w:hAnsi="Arial" w:cs="Arial"/>
          <w:color w:val="000000"/>
          <w:sz w:val="20"/>
        </w:rPr>
        <w:t xml:space="preserve">As the standards for actions under these provisions of the ADA and the Rehabilitation Act are generally equivalent, we analyze such claims together. </w:t>
      </w:r>
      <w:bookmarkStart w:id="2529" w:name="Bookmark_I5H8GK1T2N1PXH0030000400"/>
      <w:bookmarkStart w:id="2530" w:name="Bookmark_I5H8GK1T2HM6HS0010000400"/>
      <w:bookmarkEnd w:id="2529"/>
      <w:bookmarkEnd w:id="2530"/>
      <w:r>
        <w:rPr>
          <w:rFonts w:ascii="Arial" w:eastAsia="Arial" w:hAnsi="Arial" w:cs="Arial"/>
          <w:i/>
          <w:color w:val="000000"/>
          <w:sz w:val="20"/>
        </w:rPr>
        <w:t>Harris v. Mills</w:t>
      </w:r>
      <w:r>
        <w:rPr>
          <w:rFonts w:ascii="Arial" w:eastAsia="Arial" w:hAnsi="Arial" w:cs="Arial"/>
          <w:color w:val="000000"/>
          <w:sz w:val="20"/>
        </w:rPr>
        <w:t xml:space="preserve">, 572 F.3d 66, 73-74 (2d Cir. 2009). To establish a prima facie violation under these acts, a plaintiff must demonstrate "(1) that she is a 'qualified individual' with a disability; (2) that the defendants are subject to one of the Acts; and (3) that she was 'denied the opportunity to participate in or benefit from defendants' services, programs, or activities, or was otherwise discriminated against by defendants, by reason of her disability.'" </w:t>
      </w:r>
      <w:bookmarkStart w:id="2531" w:name="Bookmark_I5H8GK1T2HM6HS0030000400"/>
      <w:bookmarkEnd w:id="2531"/>
      <w:r>
        <w:rPr>
          <w:rFonts w:ascii="Arial" w:eastAsia="Arial" w:hAnsi="Arial" w:cs="Arial"/>
          <w:i/>
          <w:color w:val="000000"/>
          <w:sz w:val="20"/>
        </w:rPr>
        <w:t>Powell</w:t>
      </w:r>
      <w:r>
        <w:rPr>
          <w:rFonts w:ascii="Arial" w:eastAsia="Arial" w:hAnsi="Arial" w:cs="Arial"/>
          <w:color w:val="000000"/>
          <w:sz w:val="20"/>
        </w:rPr>
        <w:t xml:space="preserve">, 364 F.3d at 85 (quoting </w:t>
      </w:r>
      <w:bookmarkStart w:id="2532" w:name="Bookmark_I5H8GK1T2HM6HS0050000400"/>
      <w:bookmarkEnd w:id="2532"/>
      <w:r>
        <w:rPr>
          <w:rFonts w:ascii="Arial" w:eastAsia="Arial" w:hAnsi="Arial" w:cs="Arial"/>
          <w:i/>
          <w:color w:val="000000"/>
          <w:sz w:val="20"/>
        </w:rPr>
        <w:t>Henrietta D.</w:t>
      </w:r>
      <w:r>
        <w:rPr>
          <w:rFonts w:ascii="Arial" w:eastAsia="Arial" w:hAnsi="Arial" w:cs="Arial"/>
          <w:color w:val="000000"/>
          <w:sz w:val="20"/>
        </w:rPr>
        <w:t xml:space="preserve">, 331 F.3d at 272) (alterations omitted). </w:t>
      </w:r>
      <w:bookmarkStart w:id="2533" w:name="Bookmark_I5H8GK1T2N1PXH0030000400_2"/>
      <w:bookmarkEnd w:id="2533"/>
      <w:r>
        <w:rPr>
          <w:rFonts w:ascii="Arial" w:eastAsia="Arial" w:hAnsi="Arial" w:cs="Arial"/>
          <w:color w:val="000000"/>
          <w:sz w:val="20"/>
        </w:rPr>
        <w:t xml:space="preserve">Before the district court Defendants conceded that they were entities covered by the provisions of the acts, </w:t>
      </w:r>
      <w:bookmarkStart w:id="2534" w:name="Bookmark_I5H8GK1T2N1PXH0020000400"/>
      <w:bookmarkEnd w:id="2534"/>
      <w:r>
        <w:rPr>
          <w:rFonts w:ascii="Arial" w:eastAsia="Arial" w:hAnsi="Arial" w:cs="Arial"/>
          <w:i/>
          <w:color w:val="000000"/>
          <w:sz w:val="20"/>
        </w:rPr>
        <w:t>Dean</w:t>
      </w:r>
      <w:r>
        <w:rPr>
          <w:rFonts w:ascii="Arial" w:eastAsia="Arial" w:hAnsi="Arial" w:cs="Arial"/>
          <w:color w:val="000000"/>
          <w:sz w:val="20"/>
        </w:rPr>
        <w:t xml:space="preserve">, 2014 U.S. Dist. LEXIS 44578, 2014 WL 1316186, at *6, and given their failure to address whether Dean was a "qualified individual with a disability," the district court assumed that Defendants conceded that issue [**17]  for purposes of the summary judgment motion. </w:t>
      </w:r>
      <w:bookmarkStart w:id="2535" w:name="Bookmark_I5H8GK1T2N1PXH0040000400"/>
      <w:bookmarkEnd w:id="2535"/>
      <w:r>
        <w:rPr>
          <w:rFonts w:ascii="Arial" w:eastAsia="Arial" w:hAnsi="Arial" w:cs="Arial"/>
          <w:color w:val="000000"/>
          <w:sz w:val="20"/>
        </w:rPr>
        <w:t>2014 U.S. Dist. LEXIS 44578, [WL] at *6 n.3. Thus, only the third prong of the prima facie analysis was in issue—whether Defendants engaged in discrimination by failing to make reasonable accommodations.</w:t>
      </w:r>
    </w:p>
    <w:p w14:paraId="53062007" w14:textId="77777777" w:rsidR="002D0E71" w:rsidRDefault="00000000">
      <w:pPr>
        <w:pStyle w:val="Normal17"/>
        <w:widowControl w:val="0"/>
        <w:spacing w:before="200" w:line="260" w:lineRule="atLeast"/>
        <w:jc w:val="both"/>
      </w:pPr>
      <w:bookmarkStart w:id="2536" w:name="Bookmark_para_26_11"/>
      <w:bookmarkStart w:id="2537" w:name="Bookmark_I5H8GK1T2SF84G0020000400"/>
      <w:bookmarkEnd w:id="2536"/>
      <w:bookmarkEnd w:id="2537"/>
      <w:r>
        <w:rPr>
          <w:rFonts w:ascii="Arial" w:eastAsia="Arial" w:hAnsi="Arial" w:cs="Arial"/>
          <w:color w:val="000000"/>
          <w:sz w:val="20"/>
        </w:rPr>
        <w:t xml:space="preserve">Surveying the record, the district court discerned "no plausible inference that Defendants discriminated against Plaintiff or deprived him of an opportunity or benefit because of a disability such that a reasonable jury could find in his favor." </w:t>
      </w:r>
      <w:bookmarkStart w:id="2538" w:name="Bookmark_I5H8GK1T2SF84G0010000400"/>
      <w:bookmarkEnd w:id="2538"/>
      <w:r>
        <w:rPr>
          <w:rFonts w:ascii="Arial" w:eastAsia="Arial" w:hAnsi="Arial" w:cs="Arial"/>
          <w:color w:val="000000"/>
          <w:sz w:val="20"/>
        </w:rPr>
        <w:t xml:space="preserve">2014 U.S. Dist. LEXIS 44578, [WL] at *7. In support of this conclusion, the court noted that the period of medical leave granted by Defendants allowed Dean to return to normal functioning approximately two weeks prior to the Step 1 exam deadline and incidentally extended the time in which he could sit for the exam beyond the period ordinarily permitted. </w:t>
      </w:r>
      <w:bookmarkStart w:id="2539" w:name="Bookmark_I5H8GK1T2SF84G0040000400"/>
      <w:bookmarkEnd w:id="2539"/>
      <w:r>
        <w:rPr>
          <w:rFonts w:ascii="Arial" w:eastAsia="Arial" w:hAnsi="Arial" w:cs="Arial"/>
          <w:color w:val="000000"/>
          <w:sz w:val="20"/>
        </w:rPr>
        <w:t xml:space="preserve">Moreover, the district court concluded that Dean had not shown that the accommodation he received was unreasonable, as he did "not offer[] any evidence indicating the leave he was granted failed to level the playing field or treat him in an even-handed manner with regard to the Step 1 exam." </w:t>
      </w:r>
      <w:r>
        <w:rPr>
          <w:rFonts w:ascii="Arial" w:eastAsia="Arial" w:hAnsi="Arial" w:cs="Arial"/>
          <w:i/>
          <w:color w:val="000000"/>
          <w:sz w:val="20"/>
        </w:rPr>
        <w:t>Id.</w:t>
      </w:r>
      <w:r>
        <w:rPr>
          <w:rFonts w:ascii="Arial" w:eastAsia="Arial" w:hAnsi="Arial" w:cs="Arial"/>
          <w:color w:val="000000"/>
          <w:sz w:val="20"/>
        </w:rPr>
        <w:t xml:space="preserve"> (footnote omitted). </w:t>
      </w:r>
      <w:bookmarkStart w:id="2540" w:name="Bookmark_I5H8GK1T2SF84G0040000400_2"/>
      <w:bookmarkEnd w:id="2540"/>
      <w:r>
        <w:rPr>
          <w:rFonts w:ascii="Arial" w:eastAsia="Arial" w:hAnsi="Arial" w:cs="Arial"/>
          <w:color w:val="000000"/>
          <w:sz w:val="20"/>
        </w:rPr>
        <w:t xml:space="preserve">That the period of leave granted complied with the general recommendations of Dean's doctors buttressed the district [**18]  court's conclusion that the accommodation offered was sufficient. Finally, emphasizing that Dean had already devoted a year to study prior to his medical leave, the district court indicated that Dean's "opinion" provided the only support for his contention that a reasonable accommodation would have included  [*188]  an additional period for study after the symptoms of his depression abated. </w:t>
      </w:r>
      <w:bookmarkStart w:id="2541" w:name="Bookmark_I5H8GK1T2SF84G0030000400"/>
      <w:bookmarkEnd w:id="2541"/>
      <w:r>
        <w:rPr>
          <w:rFonts w:ascii="Arial" w:eastAsia="Arial" w:hAnsi="Arial" w:cs="Arial"/>
          <w:color w:val="000000"/>
          <w:sz w:val="20"/>
        </w:rPr>
        <w:t>2014 U.S. Dist. LEXIS 44578, [WL] at *6, 7 n.5. The district court therefore granted Defendants' summary judgment motion on Dean's ADA and Rehabilitation Act claims.</w:t>
      </w:r>
    </w:p>
    <w:p w14:paraId="2D078AE1" w14:textId="77777777" w:rsidR="002D0E71" w:rsidRDefault="00000000">
      <w:pPr>
        <w:pStyle w:val="Normal17"/>
        <w:widowControl w:val="0"/>
        <w:spacing w:before="200" w:line="260" w:lineRule="atLeast"/>
        <w:jc w:val="both"/>
      </w:pPr>
      <w:bookmarkStart w:id="2542" w:name="Bookmark_para_27_11"/>
      <w:bookmarkEnd w:id="2542"/>
      <w:r>
        <w:rPr>
          <w:rFonts w:ascii="Arial" w:eastAsia="Arial" w:hAnsi="Arial" w:cs="Arial"/>
          <w:color w:val="000000"/>
          <w:sz w:val="20"/>
        </w:rPr>
        <w:t xml:space="preserve">On appeal, Dean contends that Defendants failed to provide a reasonable accommodation because he should have been afforded an interval of leave sufficient to allow the prescribed medication to take effect and for Dean to thereafter prepare for a final attempt at the Step 1 exam. Defendants respond that Dean sought medical leave solely for the purpose of undergoing treatment for depression and did not specifically request additional study time prior to the Step 1 retake. </w:t>
      </w:r>
      <w:bookmarkStart w:id="2543" w:name="Bookmark_I5H8GK1T28T4D90010000400"/>
      <w:bookmarkEnd w:id="2543"/>
      <w:r>
        <w:rPr>
          <w:rFonts w:ascii="Arial" w:eastAsia="Arial" w:hAnsi="Arial" w:cs="Arial"/>
          <w:color w:val="000000"/>
          <w:sz w:val="20"/>
        </w:rPr>
        <w:t>Thus, in ultimately supplying Dean a more generous leave period than purportedly requested by Dean and recommended by his physicians, Defendants assert they provided a reasonable accommodation. It is axiomatic that</w:t>
      </w:r>
      <w:bookmarkStart w:id="2544" w:name="Bookmark_LNHNREFclscc8_11"/>
      <w:bookmarkEnd w:id="2544"/>
      <w:r>
        <w:rPr>
          <w:rFonts w:ascii="Arial" w:eastAsia="Arial" w:hAnsi="Arial" w:cs="Arial"/>
          <w:color w:val="000000"/>
          <w:sz w:val="20"/>
        </w:rPr>
        <w:t xml:space="preserve"> a claim [**19]  for failure to accommodate does not lie where the accommodation received is the accommodation the plaintiff requested. </w:t>
      </w:r>
      <w:r>
        <w:rPr>
          <w:rFonts w:ascii="Arial" w:eastAsia="Arial" w:hAnsi="Arial" w:cs="Arial"/>
          <w:i/>
          <w:color w:val="000000"/>
          <w:sz w:val="20"/>
        </w:rPr>
        <w:t xml:space="preserve">See </w:t>
      </w:r>
      <w:bookmarkStart w:id="2545" w:name="Bookmark_I5H8GK1T2SF84G0050000400"/>
      <w:bookmarkEnd w:id="2545"/>
      <w:r>
        <w:rPr>
          <w:rFonts w:ascii="Arial" w:eastAsia="Arial" w:hAnsi="Arial" w:cs="Arial"/>
          <w:i/>
          <w:color w:val="000000"/>
          <w:sz w:val="20"/>
        </w:rPr>
        <w:t>Tsombanidis v. W. Haven Fire Dep't</w:t>
      </w:r>
      <w:r>
        <w:rPr>
          <w:rFonts w:ascii="Arial" w:eastAsia="Arial" w:hAnsi="Arial" w:cs="Arial"/>
          <w:color w:val="000000"/>
          <w:sz w:val="20"/>
        </w:rPr>
        <w:t>, 352 F.3d 565, 579 (2d Cir. 2003).</w:t>
      </w:r>
    </w:p>
    <w:p w14:paraId="1567A784" w14:textId="77777777" w:rsidR="002D0E71" w:rsidRDefault="00000000">
      <w:pPr>
        <w:pStyle w:val="Normal17"/>
        <w:widowControl w:val="0"/>
        <w:spacing w:before="200" w:line="260" w:lineRule="atLeast"/>
        <w:jc w:val="both"/>
      </w:pPr>
      <w:bookmarkStart w:id="2546" w:name="Bookmark_para_28_11"/>
      <w:bookmarkEnd w:id="2546"/>
      <w:r>
        <w:rPr>
          <w:rFonts w:ascii="Arial" w:eastAsia="Arial" w:hAnsi="Arial" w:cs="Arial"/>
          <w:color w:val="000000"/>
          <w:sz w:val="20"/>
        </w:rPr>
        <w:t>Dean was not afforded the accommodation he sought. In his June 1, 2007 letter to Dr. Cain requesting reconsideration of the leave of absence set to expire at the end of that month, Dean asked for a three-month leave to allow "the medication [to] reach steady state and be therapeutic, so [he] c[ould] focus on preparing for the retake of Step 1." App'x at 311. While Dean did not explicitly disaggregate the purposes of the requested leave period, he explained that Dr. Warren had counseled that Dean "would need at least 6 to 8 weeks before [he] could see some improvement from the medication." App'x at 311. As Dean requested a period some five to seven weeks longer than necessary for the medication to become effective, a trier of fact could find that the additional time Dean sought was clearly to prepare for the Step 1 retake. The leave of absence committee had little difficulty discerning the dual purpose of Dean's request for leave. In its May 22, 2007 letter to Dr. Nielsen, the committee recommended that Dean's requested three-month leave period be limited to approximately six weeks of medical [**20]  leave, as the "committee fel[t] that [Dean] should not be granted a leave of absence to gain more 'study time.'" App'x at 169. On this record, a reasonable juror could find that the leave Dean requested included a period for exam preparation and that Defendants understood the scope of his request.</w:t>
      </w:r>
      <w:r>
        <w:rPr>
          <w:rFonts w:ascii="Arial" w:eastAsia="Arial" w:hAnsi="Arial" w:cs="Arial"/>
          <w:vertAlign w:val="superscript"/>
        </w:rPr>
        <w:footnoteReference w:customMarkFollows="1" w:id="82"/>
        <w:t>3</w:t>
      </w:r>
    </w:p>
    <w:p w14:paraId="44923B42" w14:textId="77777777" w:rsidR="002D0E71" w:rsidRDefault="00000000">
      <w:pPr>
        <w:pStyle w:val="Normal17"/>
        <w:widowControl w:val="0"/>
        <w:spacing w:before="200" w:line="260" w:lineRule="atLeast"/>
        <w:jc w:val="both"/>
      </w:pPr>
      <w:bookmarkStart w:id="2548" w:name="Bookmark_para_29_11"/>
      <w:bookmarkEnd w:id="2548"/>
      <w:r>
        <w:rPr>
          <w:rFonts w:ascii="Arial" w:eastAsia="Arial" w:hAnsi="Arial" w:cs="Arial"/>
          <w:color w:val="000000"/>
          <w:sz w:val="20"/>
        </w:rPr>
        <w:t>While Defendants did not provide the accommodation Dean sought, it is undisputed that they afforded him an alternative one. Dean was permitted a cumulative leave period spanning approximately ten weeks—from May 21, 2007, when he formally requested leave, until July 28, 2007, when he was required to sit for the Step 1 exam. The record establishes that by mid-July Dean's symptoms had lessened to the extent that he was able to engage in productive study. Thus, by the July 28 deadline, Dean enjoyed at least some depression-free study time. We must therefore decide, on the summary judgment record before us, whether this modification to the [**21]  exam deadline was a reasonable accommodation.</w:t>
      </w:r>
    </w:p>
    <w:p w14:paraId="38F837AE" w14:textId="77777777" w:rsidR="002D0E71" w:rsidRDefault="00000000">
      <w:pPr>
        <w:pStyle w:val="Normal17"/>
        <w:widowControl w:val="0"/>
        <w:spacing w:before="200" w:line="260" w:lineRule="atLeast"/>
        <w:jc w:val="both"/>
      </w:pPr>
      <w:bookmarkStart w:id="2549" w:name="Bookmark_para_30_11"/>
      <w:bookmarkStart w:id="2550" w:name="Bookmark_I5H8GK1T28T4D90030000400"/>
      <w:bookmarkStart w:id="2551" w:name="Bookmark_LNHNREFclscc9_10"/>
      <w:bookmarkEnd w:id="2549"/>
      <w:bookmarkEnd w:id="2550"/>
      <w:bookmarkEnd w:id="2551"/>
      <w:r>
        <w:rPr>
          <w:rFonts w:ascii="Arial" w:eastAsia="Arial" w:hAnsi="Arial" w:cs="Arial"/>
          <w:color w:val="000000"/>
          <w:sz w:val="20"/>
        </w:rPr>
        <w:t xml:space="preserve">Where a defendant's educational institution has implemented or offered  [*189]  an accommodation, the institution will be entitled to summary judgment only if the undisputed record reveals that the plaintiff was accorded a "'plainly reasonable'" accommodation. </w:t>
      </w:r>
      <w:bookmarkStart w:id="2552" w:name="Bookmark_I5H8GK1T28T4DB0020000400"/>
      <w:bookmarkStart w:id="2553" w:name="Bookmark_I5H8GK1T28T4D90020000400"/>
      <w:bookmarkEnd w:id="2552"/>
      <w:bookmarkEnd w:id="2553"/>
      <w:r>
        <w:rPr>
          <w:rFonts w:ascii="Arial" w:eastAsia="Arial" w:hAnsi="Arial" w:cs="Arial"/>
          <w:i/>
          <w:color w:val="000000"/>
          <w:sz w:val="20"/>
        </w:rPr>
        <w:t>Noll v. Int'l Bus. Machs. Corp.</w:t>
      </w:r>
      <w:r>
        <w:rPr>
          <w:rFonts w:ascii="Arial" w:eastAsia="Arial" w:hAnsi="Arial" w:cs="Arial"/>
          <w:color w:val="000000"/>
          <w:sz w:val="20"/>
        </w:rPr>
        <w:t xml:space="preserve">, 787 F.3d 89, 94 (2d Cir. 2015) (quoting </w:t>
      </w:r>
      <w:bookmarkStart w:id="2554" w:name="Bookmark_I5H8GK1T28T4D90040000400"/>
      <w:bookmarkEnd w:id="2554"/>
      <w:r>
        <w:rPr>
          <w:rFonts w:ascii="Arial" w:eastAsia="Arial" w:hAnsi="Arial" w:cs="Arial"/>
          <w:i/>
          <w:color w:val="000000"/>
          <w:sz w:val="20"/>
        </w:rPr>
        <w:t>Wernick v. Fed. Reserve Bank of N.Y.</w:t>
      </w:r>
      <w:r>
        <w:rPr>
          <w:rFonts w:ascii="Arial" w:eastAsia="Arial" w:hAnsi="Arial" w:cs="Arial"/>
          <w:color w:val="000000"/>
          <w:sz w:val="20"/>
        </w:rPr>
        <w:t xml:space="preserve">, 91 F.3d 379, 385 (2d Cir. 1996)). </w:t>
      </w:r>
      <w:bookmarkStart w:id="2555" w:name="Bookmark_I5H8GK1T28T4DB0040000400"/>
      <w:bookmarkEnd w:id="2555"/>
      <w:r>
        <w:rPr>
          <w:rFonts w:ascii="Arial" w:eastAsia="Arial" w:hAnsi="Arial" w:cs="Arial"/>
          <w:color w:val="000000"/>
          <w:sz w:val="20"/>
        </w:rPr>
        <w:t xml:space="preserve">The hallmark of a reasonable accommodation is effectiveness. </w:t>
      </w:r>
      <w:bookmarkStart w:id="2556" w:name="Bookmark_I5H8GK1T28T4DB0040000400_2"/>
      <w:bookmarkStart w:id="2557" w:name="Bookmark_I5H8GK1T28T4DB0020000400_2"/>
      <w:bookmarkStart w:id="2558" w:name="Bookmark_I5H8GK1T2D6NPK0010000400"/>
      <w:bookmarkEnd w:id="2556"/>
      <w:bookmarkEnd w:id="2557"/>
      <w:bookmarkEnd w:id="2558"/>
      <w:r>
        <w:rPr>
          <w:rFonts w:ascii="Arial" w:eastAsia="Arial" w:hAnsi="Arial" w:cs="Arial"/>
          <w:i/>
          <w:color w:val="000000"/>
          <w:sz w:val="20"/>
        </w:rPr>
        <w:t xml:space="preserve">See </w:t>
      </w:r>
      <w:bookmarkStart w:id="2559" w:name="Bookmark_I5H8GK1T28T4DB0010000400"/>
      <w:bookmarkEnd w:id="2559"/>
      <w:r>
        <w:rPr>
          <w:rFonts w:ascii="Arial" w:eastAsia="Arial" w:hAnsi="Arial" w:cs="Arial"/>
          <w:i/>
          <w:color w:val="000000"/>
          <w:sz w:val="20"/>
        </w:rPr>
        <w:t>U.S. Airways, Inc. v. Barnett</w:t>
      </w:r>
      <w:r>
        <w:rPr>
          <w:rFonts w:ascii="Arial" w:eastAsia="Arial" w:hAnsi="Arial" w:cs="Arial"/>
          <w:color w:val="000000"/>
          <w:sz w:val="20"/>
        </w:rPr>
        <w:t xml:space="preserve">, 535 U.S. 391, 400, 122 S. Ct. 1516, 152 L. Ed. 2d 589 (2002) ("It is the word 'accommodation,' not the word 'reasonable,' that conveys the need for effectiveness."). </w:t>
      </w:r>
      <w:bookmarkStart w:id="2560" w:name="Bookmark_I5H8GK1T2D6NPK0010000400_2"/>
      <w:bookmarkEnd w:id="2560"/>
      <w:r>
        <w:rPr>
          <w:rFonts w:ascii="Arial" w:eastAsia="Arial" w:hAnsi="Arial" w:cs="Arial"/>
          <w:color w:val="000000"/>
          <w:sz w:val="20"/>
        </w:rPr>
        <w:t xml:space="preserve">The accommodation need not be "perfect" or the one "most strongly preferred" by the student-plaintiff, but it still must be "effective," </w:t>
      </w:r>
      <w:bookmarkStart w:id="2561" w:name="Bookmark_I5H8GK1T28T4DB0030000400"/>
      <w:bookmarkEnd w:id="2561"/>
      <w:r>
        <w:rPr>
          <w:rFonts w:ascii="Arial" w:eastAsia="Arial" w:hAnsi="Arial" w:cs="Arial"/>
          <w:i/>
          <w:color w:val="000000"/>
          <w:sz w:val="20"/>
        </w:rPr>
        <w:t>Noll</w:t>
      </w:r>
      <w:r>
        <w:rPr>
          <w:rFonts w:ascii="Arial" w:eastAsia="Arial" w:hAnsi="Arial" w:cs="Arial"/>
          <w:color w:val="000000"/>
          <w:sz w:val="20"/>
        </w:rPr>
        <w:t xml:space="preserve">, 787 F.3d at 95. </w:t>
      </w:r>
      <w:bookmarkStart w:id="2562" w:name="Bookmark_I5H8GK1T2D6NPK0010000400_3"/>
      <w:bookmarkEnd w:id="2562"/>
      <w:r>
        <w:rPr>
          <w:rFonts w:ascii="Arial" w:eastAsia="Arial" w:hAnsi="Arial" w:cs="Arial"/>
          <w:color w:val="000000"/>
          <w:sz w:val="20"/>
        </w:rPr>
        <w:t xml:space="preserve">Given the "fact-specific" nature of the question of whether a measure to accommodate a student's disability is a reasonable accommodation, this determination "must be made on a case-by-case basis." </w:t>
      </w:r>
      <w:bookmarkStart w:id="2563" w:name="Bookmark_I5H8GK1T28T4DB0050000400"/>
      <w:bookmarkEnd w:id="2563"/>
      <w:r>
        <w:rPr>
          <w:rFonts w:ascii="Arial" w:eastAsia="Arial" w:hAnsi="Arial" w:cs="Arial"/>
          <w:i/>
          <w:color w:val="000000"/>
          <w:sz w:val="20"/>
        </w:rPr>
        <w:t>Wernick</w:t>
      </w:r>
      <w:r>
        <w:rPr>
          <w:rFonts w:ascii="Arial" w:eastAsia="Arial" w:hAnsi="Arial" w:cs="Arial"/>
          <w:color w:val="000000"/>
          <w:sz w:val="20"/>
        </w:rPr>
        <w:t>, 91 F.3d at 385.</w:t>
      </w:r>
    </w:p>
    <w:p w14:paraId="257CECD9" w14:textId="77777777" w:rsidR="002D0E71" w:rsidRDefault="00000000">
      <w:pPr>
        <w:pStyle w:val="Normal17"/>
        <w:widowControl w:val="0"/>
        <w:spacing w:before="200" w:line="260" w:lineRule="atLeast"/>
        <w:jc w:val="both"/>
      </w:pPr>
      <w:bookmarkStart w:id="2564" w:name="Bookmark_para_31_11"/>
      <w:bookmarkEnd w:id="2564"/>
      <w:r>
        <w:rPr>
          <w:rFonts w:ascii="Arial" w:eastAsia="Arial" w:hAnsi="Arial" w:cs="Arial"/>
          <w:color w:val="000000"/>
          <w:sz w:val="20"/>
        </w:rPr>
        <w:t>Defendants posit that the accommodation offered Dean was reasonable since he had studied during two extended periods of leave prior to any reported mental health condition, such that additional study time would not have been necessary. In alluding to the year Dean spent preparing for the Step 1 exam, the district court appeared to embrace this theory.</w:t>
      </w:r>
    </w:p>
    <w:p w14:paraId="4497041E" w14:textId="77777777" w:rsidR="002D0E71" w:rsidRDefault="00000000">
      <w:pPr>
        <w:pStyle w:val="Normal17"/>
        <w:widowControl w:val="0"/>
        <w:spacing w:before="200" w:line="260" w:lineRule="atLeast"/>
        <w:jc w:val="both"/>
      </w:pPr>
      <w:bookmarkStart w:id="2565" w:name="Bookmark_para_32_10"/>
      <w:bookmarkStart w:id="2566" w:name="Bookmark_I5H8GK1T2D6NPK0030000400"/>
      <w:bookmarkEnd w:id="2565"/>
      <w:bookmarkEnd w:id="2566"/>
      <w:r>
        <w:rPr>
          <w:rFonts w:ascii="Arial" w:eastAsia="Arial" w:hAnsi="Arial" w:cs="Arial"/>
          <w:color w:val="000000"/>
          <w:sz w:val="20"/>
        </w:rPr>
        <w:t xml:space="preserve">We disagree. As an initial matter, [**22]  we harbor serious doubt that earlier periods of study suffice to prepare a student for a later examination, particularly when the student twice failed that very exam. Further, contrary to the district court's conclusion, Dean offered evidence to establish that he was not treated in an evenhanded manner with respect to similarly situated students. </w:t>
      </w:r>
      <w:r>
        <w:rPr>
          <w:rFonts w:ascii="Arial" w:eastAsia="Arial" w:hAnsi="Arial" w:cs="Arial"/>
          <w:i/>
          <w:color w:val="000000"/>
          <w:sz w:val="20"/>
        </w:rPr>
        <w:t xml:space="preserve">Cf. </w:t>
      </w:r>
      <w:bookmarkStart w:id="2567" w:name="Bookmark_I5H8GK1T2D6NPK0020000400"/>
      <w:bookmarkEnd w:id="2567"/>
      <w:r>
        <w:rPr>
          <w:rFonts w:ascii="Arial" w:eastAsia="Arial" w:hAnsi="Arial" w:cs="Arial"/>
          <w:i/>
          <w:color w:val="000000"/>
          <w:sz w:val="20"/>
        </w:rPr>
        <w:t>Doe v. Pfrommer</w:t>
      </w:r>
      <w:r>
        <w:rPr>
          <w:rFonts w:ascii="Arial" w:eastAsia="Arial" w:hAnsi="Arial" w:cs="Arial"/>
          <w:color w:val="000000"/>
          <w:sz w:val="20"/>
        </w:rPr>
        <w:t>, 148 F.3d 73, 83 (2d Cir. 1998) ("</w:t>
      </w:r>
      <w:bookmarkStart w:id="2568" w:name="Bookmark_LNHNREFclscc10_10"/>
      <w:bookmarkEnd w:id="2568"/>
      <w:r>
        <w:rPr>
          <w:rFonts w:ascii="Arial" w:eastAsia="Arial" w:hAnsi="Arial" w:cs="Arial"/>
          <w:color w:val="000000"/>
          <w:sz w:val="20"/>
        </w:rPr>
        <w:t xml:space="preserve">[T]he central purpose of the ADA and § 504 of the Rehabilitation Act is to assure that disabled individuals receive evenhanded treatment' in relation to the able-bodied."). According to Dean's evidence, UBMED granted a set period of study leave to students prior to each sitting of the examination. Dr. Hoover attested to a "longstanding policy" of affording students six to eight weeks exclusively for exam preparation prior to each attempt at Step 1 of the USMLE. App'x at 339. </w:t>
      </w:r>
      <w:bookmarkStart w:id="2569" w:name="Bookmark_I5H8GK1T2D6NPK0050000400"/>
      <w:bookmarkEnd w:id="2569"/>
      <w:r>
        <w:rPr>
          <w:rFonts w:ascii="Arial" w:eastAsia="Arial" w:hAnsi="Arial" w:cs="Arial"/>
          <w:color w:val="000000"/>
          <w:sz w:val="20"/>
        </w:rPr>
        <w:t xml:space="preserve">Dean similarly testified at his deposition. While it is unclear how many days or weeks Dean spent effectively studying after beginning pharmacological treatment, by any measure Dean's period of preparation time in late July 2007 did not span the six to eight weeks allegedly afforded, as a matter of school policy, to medical students who had also failed two prior attempts at the Step 1 exam. Given this [**23]  policy, a juror could reasonably infer that the abbreviated study period encompassed within Dean's leave would not have been effective. </w:t>
      </w:r>
      <w:r>
        <w:rPr>
          <w:rFonts w:ascii="Arial" w:eastAsia="Arial" w:hAnsi="Arial" w:cs="Arial"/>
          <w:i/>
          <w:color w:val="000000"/>
          <w:sz w:val="20"/>
        </w:rPr>
        <w:t xml:space="preserve">See </w:t>
      </w:r>
      <w:bookmarkStart w:id="2570" w:name="Bookmark_I5H8GK1T2D6NPK0040000400"/>
      <w:bookmarkEnd w:id="2570"/>
      <w:r>
        <w:rPr>
          <w:rFonts w:ascii="Arial" w:eastAsia="Arial" w:hAnsi="Arial" w:cs="Arial"/>
          <w:i/>
          <w:color w:val="000000"/>
          <w:sz w:val="20"/>
        </w:rPr>
        <w:t>Barnett</w:t>
      </w:r>
      <w:r>
        <w:rPr>
          <w:rFonts w:ascii="Arial" w:eastAsia="Arial" w:hAnsi="Arial" w:cs="Arial"/>
          <w:color w:val="000000"/>
          <w:sz w:val="20"/>
        </w:rPr>
        <w:t>, 535 U.S. at 400 (</w:t>
      </w:r>
      <w:bookmarkStart w:id="2571" w:name="Bookmark_LNHNREFclscc11_9"/>
      <w:bookmarkEnd w:id="2571"/>
      <w:r>
        <w:rPr>
          <w:rFonts w:ascii="Arial" w:eastAsia="Arial" w:hAnsi="Arial" w:cs="Arial"/>
          <w:color w:val="000000"/>
          <w:sz w:val="20"/>
        </w:rPr>
        <w:t xml:space="preserve">"An </w:t>
      </w:r>
      <w:r>
        <w:rPr>
          <w:rFonts w:ascii="Arial" w:eastAsia="Arial" w:hAnsi="Arial" w:cs="Arial"/>
          <w:i/>
          <w:color w:val="000000"/>
          <w:sz w:val="20"/>
        </w:rPr>
        <w:t>ineffective</w:t>
      </w:r>
      <w:r>
        <w:rPr>
          <w:rFonts w:ascii="Arial" w:eastAsia="Arial" w:hAnsi="Arial" w:cs="Arial"/>
          <w:color w:val="000000"/>
          <w:sz w:val="20"/>
        </w:rPr>
        <w:t xml:space="preserve"> 'modification' or 'adjustment' will not </w:t>
      </w:r>
      <w:r>
        <w:rPr>
          <w:rFonts w:ascii="Arial" w:eastAsia="Arial" w:hAnsi="Arial" w:cs="Arial"/>
          <w:i/>
          <w:color w:val="000000"/>
          <w:sz w:val="20"/>
        </w:rPr>
        <w:t>accommodate</w:t>
      </w:r>
      <w:r>
        <w:rPr>
          <w:rFonts w:ascii="Arial" w:eastAsia="Arial" w:hAnsi="Arial" w:cs="Arial"/>
          <w:color w:val="000000"/>
          <w:sz w:val="20"/>
        </w:rPr>
        <w:t xml:space="preserve"> a disabled individual's limitations."). We therefore cannot conclude that Defendants afforded Dean a plainly reasonable accommodation.</w:t>
      </w:r>
    </w:p>
    <w:p w14:paraId="7085D115" w14:textId="77777777" w:rsidR="002D0E71" w:rsidRDefault="00000000">
      <w:pPr>
        <w:pStyle w:val="Normal17"/>
        <w:widowControl w:val="0"/>
        <w:spacing w:before="200" w:line="260" w:lineRule="atLeast"/>
        <w:jc w:val="both"/>
      </w:pPr>
      <w:bookmarkStart w:id="2572" w:name="Bookmark_para_33_10"/>
      <w:bookmarkStart w:id="2573" w:name="Bookmark_I5H8GK1T2N1PXJ0020000400"/>
      <w:bookmarkEnd w:id="2572"/>
      <w:bookmarkEnd w:id="2573"/>
      <w:r>
        <w:rPr>
          <w:rFonts w:ascii="Arial" w:eastAsia="Arial" w:hAnsi="Arial" w:cs="Arial"/>
          <w:color w:val="000000"/>
          <w:sz w:val="20"/>
        </w:rPr>
        <w:t xml:space="preserve">As </w:t>
      </w:r>
      <w:bookmarkStart w:id="2574" w:name="Bookmark_LNHNREFclscc12_9"/>
      <w:bookmarkEnd w:id="2574"/>
      <w:r>
        <w:rPr>
          <w:rFonts w:ascii="Arial" w:eastAsia="Arial" w:hAnsi="Arial" w:cs="Arial"/>
          <w:color w:val="000000"/>
          <w:sz w:val="20"/>
        </w:rPr>
        <w:t xml:space="preserve">we may affirm a grant of summary judgment on any basis that finds "sufficient support in the record, including grounds not relied on by the district court," </w:t>
      </w:r>
      <w:r>
        <w:rPr>
          <w:rFonts w:ascii="Arial" w:eastAsia="Arial" w:hAnsi="Arial" w:cs="Arial"/>
          <w:i/>
          <w:color w:val="000000"/>
          <w:sz w:val="20"/>
        </w:rPr>
        <w:t xml:space="preserve">see </w:t>
      </w:r>
      <w:bookmarkStart w:id="2575" w:name="Bookmark_I5H8GK1T2N1PXJ0010000400"/>
      <w:bookmarkEnd w:id="2575"/>
      <w:r>
        <w:rPr>
          <w:rFonts w:ascii="Arial" w:eastAsia="Arial" w:hAnsi="Arial" w:cs="Arial"/>
          <w:i/>
          <w:color w:val="000000"/>
          <w:sz w:val="20"/>
        </w:rPr>
        <w:t>Lotes Co., Ltd. v. Hon Hai Precision Indus. Co.</w:t>
      </w:r>
      <w:r>
        <w:rPr>
          <w:rFonts w:ascii="Arial" w:eastAsia="Arial" w:hAnsi="Arial" w:cs="Arial"/>
          <w:color w:val="000000"/>
          <w:sz w:val="20"/>
        </w:rPr>
        <w:t xml:space="preserve">, 753 F.3d 395, 413 (2d Cir. 2014) (quoting </w:t>
      </w:r>
      <w:bookmarkStart w:id="2576" w:name="Bookmark_I5H8GK1T2N1PXJ0030000400"/>
      <w:bookmarkEnd w:id="2576"/>
      <w:r>
        <w:rPr>
          <w:rFonts w:ascii="Arial" w:eastAsia="Arial" w:hAnsi="Arial" w:cs="Arial"/>
          <w:i/>
          <w:color w:val="000000"/>
          <w:sz w:val="20"/>
        </w:rPr>
        <w:t>Bruh v. Bessemer Venture Partners III L.P.</w:t>
      </w:r>
      <w:r>
        <w:rPr>
          <w:rFonts w:ascii="Arial" w:eastAsia="Arial" w:hAnsi="Arial" w:cs="Arial"/>
          <w:color w:val="000000"/>
          <w:sz w:val="20"/>
        </w:rPr>
        <w:t xml:space="preserve">, 464 F.3d 202, 205 (2d Cir. 2006)), we further consider, under the applicable burden-shifting framework elaborated below, whether Dean's proposed accommodation would have been reasonable, </w:t>
      </w:r>
      <w:r>
        <w:rPr>
          <w:rFonts w:ascii="Arial" w:eastAsia="Arial" w:hAnsi="Arial" w:cs="Arial"/>
          <w:i/>
          <w:color w:val="000000"/>
          <w:sz w:val="20"/>
        </w:rPr>
        <w:t xml:space="preserve">see </w:t>
      </w:r>
      <w:bookmarkStart w:id="2577" w:name="Bookmark_I5H8GK1T2N1PXJ0050000400"/>
      <w:bookmarkEnd w:id="2577"/>
      <w:r>
        <w:rPr>
          <w:rFonts w:ascii="Arial" w:eastAsia="Arial" w:hAnsi="Arial" w:cs="Arial"/>
          <w:i/>
          <w:color w:val="000000"/>
          <w:sz w:val="20"/>
        </w:rPr>
        <w:t>Noll</w:t>
      </w:r>
      <w:r>
        <w:rPr>
          <w:rFonts w:ascii="Arial" w:eastAsia="Arial" w:hAnsi="Arial" w:cs="Arial"/>
          <w:color w:val="000000"/>
          <w:sz w:val="20"/>
        </w:rPr>
        <w:t>, 787 F.3d at 94.</w:t>
      </w:r>
    </w:p>
    <w:p w14:paraId="58B2F8D4" w14:textId="77777777" w:rsidR="002D0E71" w:rsidRDefault="00000000">
      <w:pPr>
        <w:pStyle w:val="Normal17"/>
        <w:widowControl w:val="0"/>
        <w:spacing w:before="200" w:line="260" w:lineRule="atLeast"/>
        <w:jc w:val="both"/>
      </w:pPr>
      <w:bookmarkStart w:id="2578" w:name="Bookmark_para_34_10"/>
      <w:bookmarkStart w:id="2579" w:name="Bookmark_I5H8GK1T2SF84H0030000400"/>
      <w:bookmarkEnd w:id="2578"/>
      <w:bookmarkEnd w:id="2579"/>
      <w:r>
        <w:rPr>
          <w:rFonts w:ascii="Arial" w:eastAsia="Arial" w:hAnsi="Arial" w:cs="Arial"/>
          <w:color w:val="000000"/>
          <w:sz w:val="20"/>
        </w:rPr>
        <w:t xml:space="preserve">We have not previously addressed the allocation of the burdens of production and persuasion with respect to establishing the third prong of a prima  [*190]  facie violation of the ADA or Rehabilitation Act—here the purported denial of a reasonable accommodation—in the education context. </w:t>
      </w:r>
      <w:bookmarkStart w:id="2580" w:name="Bookmark_I5H8GK1T2HM6HT0040000400"/>
      <w:bookmarkEnd w:id="2580"/>
      <w:r>
        <w:rPr>
          <w:rFonts w:ascii="Arial" w:eastAsia="Arial" w:hAnsi="Arial" w:cs="Arial"/>
          <w:color w:val="000000"/>
          <w:sz w:val="20"/>
        </w:rPr>
        <w:t xml:space="preserve">However, </w:t>
      </w:r>
      <w:bookmarkStart w:id="2581" w:name="Bookmark_LNHNREFclscc13_8"/>
      <w:bookmarkEnd w:id="2581"/>
      <w:r>
        <w:rPr>
          <w:rFonts w:ascii="Arial" w:eastAsia="Arial" w:hAnsi="Arial" w:cs="Arial"/>
          <w:color w:val="000000"/>
          <w:sz w:val="20"/>
        </w:rPr>
        <w:t xml:space="preserve">in employment-related claims based on a failure to accommodate, the plaintiff bears the initial burdens of both production and persuasion as to the existence of an accommodation that would allow the plaintiff to perform the essential functions [**24]  of the position in question, </w:t>
      </w:r>
      <w:bookmarkStart w:id="2582" w:name="Bookmark_I5H8GK1T2SF84H0020000400"/>
      <w:bookmarkEnd w:id="2582"/>
      <w:r>
        <w:rPr>
          <w:rFonts w:ascii="Arial" w:eastAsia="Arial" w:hAnsi="Arial" w:cs="Arial"/>
          <w:i/>
          <w:color w:val="000000"/>
          <w:sz w:val="20"/>
        </w:rPr>
        <w:t>McBride v. BIC Consumer Prods. Mfg. Co.</w:t>
      </w:r>
      <w:r>
        <w:rPr>
          <w:rFonts w:ascii="Arial" w:eastAsia="Arial" w:hAnsi="Arial" w:cs="Arial"/>
          <w:color w:val="000000"/>
          <w:sz w:val="20"/>
        </w:rPr>
        <w:t xml:space="preserve">, 583 F.3d 92, 97 (2d Cir. 2009), as well as a "light burden of production" as to the facial reasonableness of the accommodation, </w:t>
      </w:r>
      <w:bookmarkStart w:id="2583" w:name="Bookmark_I5H8GK1T2SF84H0040000400"/>
      <w:bookmarkEnd w:id="2583"/>
      <w:r>
        <w:rPr>
          <w:rFonts w:ascii="Arial" w:eastAsia="Arial" w:hAnsi="Arial" w:cs="Arial"/>
          <w:i/>
          <w:color w:val="000000"/>
          <w:sz w:val="20"/>
        </w:rPr>
        <w:t>id.</w:t>
      </w:r>
      <w:r>
        <w:rPr>
          <w:rFonts w:ascii="Arial" w:eastAsia="Arial" w:hAnsi="Arial" w:cs="Arial"/>
          <w:color w:val="000000"/>
          <w:sz w:val="20"/>
        </w:rPr>
        <w:t xml:space="preserve"> 97 n.3; </w:t>
      </w:r>
      <w:r>
        <w:rPr>
          <w:rFonts w:ascii="Arial" w:eastAsia="Arial" w:hAnsi="Arial" w:cs="Arial"/>
          <w:i/>
          <w:color w:val="000000"/>
          <w:sz w:val="20"/>
        </w:rPr>
        <w:t xml:space="preserve">see </w:t>
      </w:r>
      <w:bookmarkStart w:id="2584" w:name="Bookmark_I5H8GK1T2HM6HT0010000400"/>
      <w:bookmarkEnd w:id="2584"/>
      <w:r>
        <w:rPr>
          <w:rFonts w:ascii="Arial" w:eastAsia="Arial" w:hAnsi="Arial" w:cs="Arial"/>
          <w:i/>
          <w:color w:val="000000"/>
          <w:sz w:val="20"/>
        </w:rPr>
        <w:t>Borkowski v. Valley Cent. Sch. Dist.</w:t>
      </w:r>
      <w:r>
        <w:rPr>
          <w:rFonts w:ascii="Arial" w:eastAsia="Arial" w:hAnsi="Arial" w:cs="Arial"/>
          <w:color w:val="000000"/>
          <w:sz w:val="20"/>
        </w:rPr>
        <w:t xml:space="preserve">, 63 F.3d 131, 138 (2d Cir. 1995) (plaintiff satisfies "burden of production" by showing "plausible accommodation"). </w:t>
      </w:r>
      <w:bookmarkStart w:id="2585" w:name="Bookmark_I5H8GK1T2SF84J0010000400"/>
      <w:bookmarkEnd w:id="2585"/>
      <w:r>
        <w:rPr>
          <w:rFonts w:ascii="Arial" w:eastAsia="Arial" w:hAnsi="Arial" w:cs="Arial"/>
          <w:color w:val="000000"/>
          <w:sz w:val="20"/>
        </w:rPr>
        <w:t xml:space="preserve">The burden of persuasion then shifts to the defendant to rebut the reasonableness of the proposed accommodation. </w:t>
      </w:r>
      <w:bookmarkStart w:id="2586" w:name="Bookmark_I5H8GK1T2SF84J0010000400_2"/>
      <w:bookmarkStart w:id="2587" w:name="Bookmark_I5H8GK1T2HM6HT0040000400_2"/>
      <w:bookmarkStart w:id="2588" w:name="Bookmark_I5H8GK1T2HM6HT0030000400"/>
      <w:bookmarkEnd w:id="2586"/>
      <w:bookmarkEnd w:id="2587"/>
      <w:bookmarkEnd w:id="2588"/>
      <w:r>
        <w:rPr>
          <w:rFonts w:ascii="Arial" w:eastAsia="Arial" w:hAnsi="Arial" w:cs="Arial"/>
          <w:i/>
          <w:color w:val="000000"/>
          <w:sz w:val="20"/>
        </w:rPr>
        <w:t>McBride</w:t>
      </w:r>
      <w:r>
        <w:rPr>
          <w:rFonts w:ascii="Arial" w:eastAsia="Arial" w:hAnsi="Arial" w:cs="Arial"/>
          <w:color w:val="000000"/>
          <w:sz w:val="20"/>
        </w:rPr>
        <w:t xml:space="preserve">, 583 F.3d at 97 n.3. This burden of non-persuasion is in essence equivalent to the "burden of showing, as an affirmative defense, that the proposed accommodation would cause [the employer] to suffer an undue hardship." </w:t>
      </w:r>
      <w:bookmarkStart w:id="2589" w:name="Bookmark_I5H8GK1T2HM6HT0050000400"/>
      <w:bookmarkEnd w:id="2589"/>
      <w:r>
        <w:rPr>
          <w:rFonts w:ascii="Arial" w:eastAsia="Arial" w:hAnsi="Arial" w:cs="Arial"/>
          <w:i/>
          <w:color w:val="000000"/>
          <w:sz w:val="20"/>
        </w:rPr>
        <w:t>Borkowski</w:t>
      </w:r>
      <w:r>
        <w:rPr>
          <w:rFonts w:ascii="Arial" w:eastAsia="Arial" w:hAnsi="Arial" w:cs="Arial"/>
          <w:color w:val="000000"/>
          <w:sz w:val="20"/>
        </w:rPr>
        <w:t xml:space="preserve">, 63 F.3d at 138; </w:t>
      </w:r>
      <w:r>
        <w:rPr>
          <w:rFonts w:ascii="Arial" w:eastAsia="Arial" w:hAnsi="Arial" w:cs="Arial"/>
          <w:i/>
          <w:color w:val="000000"/>
          <w:sz w:val="20"/>
        </w:rPr>
        <w:t xml:space="preserve">see </w:t>
      </w:r>
      <w:bookmarkStart w:id="2590" w:name="Bookmark_I5H8GK1T2SF84J0020000400"/>
      <w:bookmarkEnd w:id="2590"/>
      <w:r>
        <w:rPr>
          <w:rFonts w:ascii="Arial" w:eastAsia="Arial" w:hAnsi="Arial" w:cs="Arial"/>
          <w:i/>
          <w:color w:val="000000"/>
          <w:sz w:val="20"/>
        </w:rPr>
        <w:t>Barnett</w:t>
      </w:r>
      <w:r>
        <w:rPr>
          <w:rFonts w:ascii="Arial" w:eastAsia="Arial" w:hAnsi="Arial" w:cs="Arial"/>
          <w:color w:val="000000"/>
          <w:sz w:val="20"/>
        </w:rPr>
        <w:t xml:space="preserve">, 535 U.S. at 402 (finding summary judgment in favor of defendant appropriately granted where a plaintiff fails to present evidence from which a jury may infer that an accommodation "seems reasonable on its face, </w:t>
      </w:r>
      <w:r>
        <w:rPr>
          <w:rFonts w:ascii="Arial" w:eastAsia="Arial" w:hAnsi="Arial" w:cs="Arial"/>
          <w:i/>
          <w:color w:val="000000"/>
          <w:sz w:val="20"/>
        </w:rPr>
        <w:t>i.e.</w:t>
      </w:r>
      <w:r>
        <w:rPr>
          <w:rFonts w:ascii="Arial" w:eastAsia="Arial" w:hAnsi="Arial" w:cs="Arial"/>
          <w:color w:val="000000"/>
          <w:sz w:val="20"/>
        </w:rPr>
        <w:t>, ordinarily or in the run of cases," or where defendant "demonstrates undue hardship in the particular circumstances" of the case).</w:t>
      </w:r>
    </w:p>
    <w:p w14:paraId="6500D3ED" w14:textId="77777777" w:rsidR="002D0E71" w:rsidRDefault="00000000">
      <w:pPr>
        <w:pStyle w:val="Normal17"/>
        <w:widowControl w:val="0"/>
        <w:spacing w:before="200" w:line="260" w:lineRule="atLeast"/>
        <w:jc w:val="both"/>
      </w:pPr>
      <w:bookmarkStart w:id="2591" w:name="Bookmark_para_35_10"/>
      <w:bookmarkEnd w:id="2591"/>
      <w:r>
        <w:rPr>
          <w:rFonts w:ascii="Arial" w:eastAsia="Arial" w:hAnsi="Arial" w:cs="Arial"/>
          <w:color w:val="000000"/>
          <w:sz w:val="20"/>
        </w:rPr>
        <w:t>Similarly,</w:t>
      </w:r>
      <w:bookmarkStart w:id="2592" w:name="Bookmark_LNHNREFclscc14_6"/>
      <w:bookmarkEnd w:id="2592"/>
      <w:r>
        <w:rPr>
          <w:rFonts w:ascii="Arial" w:eastAsia="Arial" w:hAnsi="Arial" w:cs="Arial"/>
          <w:color w:val="000000"/>
          <w:sz w:val="20"/>
        </w:rPr>
        <w:t xml:space="preserve"> in the education context, a plaintiff alleging a failure to accommodate a disability bears the burdens of both production and persuasion as to the existence of some accommodation that would allow the plaintiff to meet the essential requirements of the service, program, or activity at issue. </w:t>
      </w:r>
      <w:bookmarkStart w:id="2593" w:name="Bookmark_I5H8GK1T2SF84J0050000400"/>
      <w:bookmarkEnd w:id="2593"/>
      <w:r>
        <w:rPr>
          <w:rFonts w:ascii="Arial" w:eastAsia="Arial" w:hAnsi="Arial" w:cs="Arial"/>
          <w:color w:val="000000"/>
          <w:sz w:val="20"/>
        </w:rPr>
        <w:t xml:space="preserve">Once the plaintiff has met [**25]  the light burden of producing evidence as to the facial reasonableness or plausibility of the accommodation, the burden falls to the defendant educational-institution to persuade the fact-finder that the proposed accommodation is unreasonable. That burden may be met by establishing that the requested accommodation would (a) impose undue hardship on the operation of the defendant's service, program, or activity, or (b) require a fundamental or substantial modification to the nature of its academic program or standards. </w:t>
      </w:r>
      <w:r>
        <w:rPr>
          <w:rFonts w:ascii="Arial" w:eastAsia="Arial" w:hAnsi="Arial" w:cs="Arial"/>
          <w:i/>
          <w:color w:val="000000"/>
          <w:sz w:val="20"/>
        </w:rPr>
        <w:t xml:space="preserve">See, e.g., </w:t>
      </w:r>
      <w:bookmarkStart w:id="2594" w:name="Bookmark_I5H8GK1T2SF84J0040000400"/>
      <w:bookmarkEnd w:id="2594"/>
      <w:r>
        <w:rPr>
          <w:rFonts w:ascii="Arial" w:eastAsia="Arial" w:hAnsi="Arial" w:cs="Arial"/>
          <w:i/>
          <w:color w:val="000000"/>
          <w:sz w:val="20"/>
        </w:rPr>
        <w:t>Powell</w:t>
      </w:r>
      <w:r>
        <w:rPr>
          <w:rFonts w:ascii="Arial" w:eastAsia="Arial" w:hAnsi="Arial" w:cs="Arial"/>
          <w:color w:val="000000"/>
          <w:sz w:val="20"/>
        </w:rPr>
        <w:t xml:space="preserve">, 364 F.3d at 88 (allowing a student in medical school to continue in program without passing Step 1 "would have changed the nature and substance of [the] program"); </w:t>
      </w:r>
      <w:bookmarkStart w:id="2595" w:name="Bookmark_I5H8GK1T28T4DC0010000400"/>
      <w:bookmarkEnd w:id="2595"/>
      <w:r>
        <w:rPr>
          <w:rFonts w:ascii="Arial" w:eastAsia="Arial" w:hAnsi="Arial" w:cs="Arial"/>
          <w:i/>
          <w:color w:val="000000"/>
          <w:sz w:val="20"/>
        </w:rPr>
        <w:t>Zukle v. Regents of Univ. of Cal.</w:t>
      </w:r>
      <w:r>
        <w:rPr>
          <w:rFonts w:ascii="Arial" w:eastAsia="Arial" w:hAnsi="Arial" w:cs="Arial"/>
          <w:color w:val="000000"/>
          <w:sz w:val="20"/>
        </w:rPr>
        <w:t xml:space="preserve">, 166 F.3d 1041, 1049-51 (9th Cir. 1999) (rearranging medical clerkship rotations, reducing clinical hours, and otherwise decelerating schedule would lower medical school's standards); </w:t>
      </w:r>
      <w:bookmarkStart w:id="2596" w:name="Bookmark_I5H8GK1T28T4DC0030000400"/>
      <w:bookmarkEnd w:id="2596"/>
      <w:r>
        <w:rPr>
          <w:rFonts w:ascii="Arial" w:eastAsia="Arial" w:hAnsi="Arial" w:cs="Arial"/>
          <w:i/>
          <w:color w:val="000000"/>
          <w:sz w:val="20"/>
        </w:rPr>
        <w:t>McGuinness v. Univ. of N.M. Sch. of Med.</w:t>
      </w:r>
      <w:r>
        <w:rPr>
          <w:rFonts w:ascii="Arial" w:eastAsia="Arial" w:hAnsi="Arial" w:cs="Arial"/>
          <w:color w:val="000000"/>
          <w:sz w:val="20"/>
        </w:rPr>
        <w:t xml:space="preserve">, 170 F.3d 974, 979 (10th Cir. 1998) (permitting student with marginal grades to advance in M.D. program as an exception to policy requiring repetition of coursework was a substantial rather than reasonable accommodation); </w:t>
      </w:r>
      <w:bookmarkStart w:id="2597" w:name="Bookmark_I5H8GK1T28T4DC0050000400"/>
      <w:bookmarkEnd w:id="2597"/>
      <w:r>
        <w:rPr>
          <w:rFonts w:ascii="Arial" w:eastAsia="Arial" w:hAnsi="Arial" w:cs="Arial"/>
          <w:i/>
          <w:color w:val="000000"/>
          <w:sz w:val="20"/>
        </w:rPr>
        <w:t>Kaltenberger v. Ohio Coll. of Podiatric Med.</w:t>
      </w:r>
      <w:r>
        <w:rPr>
          <w:rFonts w:ascii="Arial" w:eastAsia="Arial" w:hAnsi="Arial" w:cs="Arial"/>
          <w:color w:val="000000"/>
          <w:sz w:val="20"/>
        </w:rPr>
        <w:t xml:space="preserve">, 162 F.3d 432, 436-37 (6th Cir. 1998) (allowing student to attend abbreviated remedial summer program instead of retaking failed examination would diminish podiatric training standards); </w:t>
      </w:r>
      <w:bookmarkStart w:id="2598" w:name="Bookmark_I5H8GK1T2N1PXK0020000400"/>
      <w:bookmarkEnd w:id="2598"/>
      <w:r>
        <w:rPr>
          <w:rFonts w:ascii="Arial" w:eastAsia="Arial" w:hAnsi="Arial" w:cs="Arial"/>
          <w:i/>
          <w:color w:val="000000"/>
          <w:sz w:val="20"/>
        </w:rPr>
        <w:t>Wynne v. Tufts Univ. Sch. of Med.</w:t>
      </w:r>
      <w:r>
        <w:rPr>
          <w:rFonts w:ascii="Arial" w:eastAsia="Arial" w:hAnsi="Arial" w:cs="Arial"/>
          <w:color w:val="000000"/>
          <w:sz w:val="20"/>
        </w:rPr>
        <w:t>, 976 F.2d 791, 794-95 (1st Cir. 1992) (providing biochemistry test in [**26]  an alternative format would lessen academic standards and devalue university's credentials as an institution).</w:t>
      </w:r>
    </w:p>
    <w:p w14:paraId="6BCF0F0D" w14:textId="77777777" w:rsidR="002D0E71" w:rsidRDefault="00000000">
      <w:pPr>
        <w:pStyle w:val="Normal17"/>
        <w:widowControl w:val="0"/>
        <w:spacing w:before="200" w:line="260" w:lineRule="atLeast"/>
        <w:jc w:val="both"/>
      </w:pPr>
      <w:bookmarkStart w:id="2599" w:name="Bookmark_para_36_10"/>
      <w:bookmarkEnd w:id="2599"/>
      <w:r>
        <w:rPr>
          <w:rFonts w:ascii="Arial" w:eastAsia="Arial" w:hAnsi="Arial" w:cs="Arial"/>
          <w:color w:val="000000"/>
          <w:sz w:val="20"/>
        </w:rPr>
        <w:t>Under this framework, Dean has made out a prima facie case of discrimination under the ADA and the Rehabilitation Act. As noted above, Defendants did not contest that Dean established the first two prongs of the inquiry—whether he is a qualified individual with a disability and whether UBMED is a covered entity. In  [*191]  showing that he requested a three-month leave to seek medical treatment and study for the Step 1 retake, a trier of fact could find that Dean met his initial burdens of production and persuasion as to the existence of an accommodation. Further, the affidavit of Dr. Hoover and Dean's deposition testimony satisfied Dean's light burden to produce evidence with respect to the facial reasonableness of the accommodation. That students are ordinarily afforded six to eight weeks of study time prior to each attempt at Step 1 of the USMLE suggests that Dean's leave request was a plausible modification of UBMED's policies.</w:t>
      </w:r>
    </w:p>
    <w:p w14:paraId="01814B68" w14:textId="77777777" w:rsidR="002D0E71" w:rsidRDefault="00000000">
      <w:pPr>
        <w:pStyle w:val="Normal17"/>
        <w:widowControl w:val="0"/>
        <w:spacing w:before="200" w:line="260" w:lineRule="atLeast"/>
        <w:jc w:val="both"/>
      </w:pPr>
      <w:bookmarkStart w:id="2600" w:name="Bookmark_para_37_10"/>
      <w:bookmarkStart w:id="2601" w:name="Bookmark_I5H8GK1T2N1PXK0050000400"/>
      <w:bookmarkEnd w:id="2600"/>
      <w:bookmarkEnd w:id="2601"/>
      <w:r>
        <w:rPr>
          <w:rFonts w:ascii="Arial" w:eastAsia="Arial" w:hAnsi="Arial" w:cs="Arial"/>
          <w:color w:val="000000"/>
          <w:sz w:val="20"/>
        </w:rPr>
        <w:t xml:space="preserve">Thus, the non-persuasion burden falls to Defendants. In order to obtain summary judgment, it was incumbent upon Defendants to submit a factual record establishing [**27]  that in rejecting Dean's requested scheduling modification they diligently assessed whether the alteration would allow Dean the opportunity to continue in the M.D. program without imposing undue financial and administrative burdens on UBMED or requiring a fundamental alteration to the academic caliber of its offerings. </w:t>
      </w:r>
      <w:bookmarkStart w:id="2602" w:name="Bookmark_I5H8GK1T2D6NPM0020000400"/>
      <w:bookmarkEnd w:id="2602"/>
      <w:r>
        <w:rPr>
          <w:rFonts w:ascii="Arial" w:eastAsia="Arial" w:hAnsi="Arial" w:cs="Arial"/>
          <w:i/>
          <w:color w:val="000000"/>
          <w:sz w:val="20"/>
        </w:rPr>
        <w:t xml:space="preserve">See </w:t>
      </w:r>
      <w:bookmarkStart w:id="2603" w:name="Bookmark_I5H8GK1T2N1PXK0040000400"/>
      <w:bookmarkEnd w:id="2603"/>
      <w:r>
        <w:rPr>
          <w:rFonts w:ascii="Arial" w:eastAsia="Arial" w:hAnsi="Arial" w:cs="Arial"/>
          <w:i/>
          <w:color w:val="000000"/>
          <w:sz w:val="20"/>
        </w:rPr>
        <w:t>Powell</w:t>
      </w:r>
      <w:r>
        <w:rPr>
          <w:rFonts w:ascii="Arial" w:eastAsia="Arial" w:hAnsi="Arial" w:cs="Arial"/>
          <w:color w:val="000000"/>
          <w:sz w:val="20"/>
        </w:rPr>
        <w:t xml:space="preserve">, 364 F.3d at 88. </w:t>
      </w:r>
      <w:bookmarkStart w:id="2604" w:name="Bookmark_I5H8GK1T2D6NPM0020000400_2"/>
      <w:bookmarkStart w:id="2605" w:name="Bookmark_I5H8GK1T2D6NPM0040000400"/>
      <w:bookmarkEnd w:id="2604"/>
      <w:bookmarkEnd w:id="2605"/>
      <w:r>
        <w:rPr>
          <w:rFonts w:ascii="Arial" w:eastAsia="Arial" w:hAnsi="Arial" w:cs="Arial"/>
          <w:color w:val="000000"/>
          <w:sz w:val="20"/>
        </w:rPr>
        <w:t xml:space="preserve">Where, as here, the record is devoid of evidence indicating whether Defendants evaluated these considerations in determining the reasonableness of the accommodation sought, we decline to extend the deference we ordinarily accord to the professional, academic judgments of educational institutions. </w:t>
      </w:r>
      <w:r>
        <w:rPr>
          <w:rFonts w:ascii="Arial" w:eastAsia="Arial" w:hAnsi="Arial" w:cs="Arial"/>
          <w:i/>
          <w:color w:val="000000"/>
          <w:sz w:val="20"/>
        </w:rPr>
        <w:t>See id.</w:t>
      </w:r>
      <w:r>
        <w:rPr>
          <w:rFonts w:ascii="Arial" w:eastAsia="Arial" w:hAnsi="Arial" w:cs="Arial"/>
          <w:color w:val="000000"/>
          <w:sz w:val="20"/>
        </w:rPr>
        <w:t xml:space="preserve"> (noting that</w:t>
      </w:r>
      <w:bookmarkStart w:id="2606" w:name="Bookmark_LNHNREFclscc15_5"/>
      <w:bookmarkEnd w:id="2606"/>
      <w:r>
        <w:rPr>
          <w:rFonts w:ascii="Arial" w:eastAsia="Arial" w:hAnsi="Arial" w:cs="Arial"/>
          <w:color w:val="000000"/>
          <w:sz w:val="20"/>
        </w:rPr>
        <w:t xml:space="preserve"> in evaluating "the substance of a genuinely academic decision, courts should accord the faculty's professional judgment great deference" (citing </w:t>
      </w:r>
      <w:bookmarkStart w:id="2607" w:name="Bookmark_I5H8GK1T2D6NPM0010000400"/>
      <w:bookmarkEnd w:id="2607"/>
      <w:r>
        <w:rPr>
          <w:rFonts w:ascii="Arial" w:eastAsia="Arial" w:hAnsi="Arial" w:cs="Arial"/>
          <w:i/>
          <w:color w:val="000000"/>
          <w:sz w:val="20"/>
        </w:rPr>
        <w:t>Regents of Univ. of Mich. v. Ewing</w:t>
      </w:r>
      <w:r>
        <w:rPr>
          <w:rFonts w:ascii="Arial" w:eastAsia="Arial" w:hAnsi="Arial" w:cs="Arial"/>
          <w:color w:val="000000"/>
          <w:sz w:val="20"/>
        </w:rPr>
        <w:t xml:space="preserve">, 474 U.S. 214, 225, 106 S. Ct. 507, 88 L. Ed. 2d 523 (1985)). </w:t>
      </w:r>
      <w:bookmarkStart w:id="2608" w:name="Bookmark_I5H8GK1T2D6NPM0040000400_2"/>
      <w:bookmarkEnd w:id="2608"/>
      <w:r>
        <w:rPr>
          <w:rFonts w:ascii="Arial" w:eastAsia="Arial" w:hAnsi="Arial" w:cs="Arial"/>
          <w:color w:val="000000"/>
          <w:sz w:val="20"/>
        </w:rPr>
        <w:t xml:space="preserve">To do otherwise might "allow academic decisions to disguise truly discriminatory requirements." </w:t>
      </w:r>
      <w:bookmarkStart w:id="2609" w:name="Bookmark_I5H8GK1T2D6NPM0030000400"/>
      <w:bookmarkEnd w:id="2609"/>
      <w:r>
        <w:rPr>
          <w:rFonts w:ascii="Arial" w:eastAsia="Arial" w:hAnsi="Arial" w:cs="Arial"/>
          <w:i/>
          <w:color w:val="000000"/>
          <w:sz w:val="20"/>
        </w:rPr>
        <w:t>Zukle</w:t>
      </w:r>
      <w:r>
        <w:rPr>
          <w:rFonts w:ascii="Arial" w:eastAsia="Arial" w:hAnsi="Arial" w:cs="Arial"/>
          <w:color w:val="000000"/>
          <w:sz w:val="20"/>
        </w:rPr>
        <w:t>, 166 F.3d at 1048. We do not mean to suggest that Defendants have obscured the basis for their decision to cloak discriminatory intent. Rather Defendants' failure to adduce evidence as to the basis for denying Dean's requested modification to the exam schedule precludes any conclusion on summary judgment as to the unreasonableness [**28]  of that accommodation.</w:t>
      </w:r>
    </w:p>
    <w:p w14:paraId="583674A0" w14:textId="77777777" w:rsidR="002D0E71" w:rsidRDefault="00000000">
      <w:pPr>
        <w:pStyle w:val="Normal17"/>
        <w:widowControl w:val="0"/>
        <w:spacing w:before="200" w:line="260" w:lineRule="atLeast"/>
        <w:jc w:val="both"/>
      </w:pPr>
      <w:bookmarkStart w:id="2610" w:name="Bookmark_para_38_9"/>
      <w:bookmarkEnd w:id="2610"/>
      <w:r>
        <w:rPr>
          <w:rFonts w:ascii="Arial" w:eastAsia="Arial" w:hAnsi="Arial" w:cs="Arial"/>
          <w:color w:val="000000"/>
          <w:sz w:val="20"/>
        </w:rPr>
        <w:t>We therefore set aside the district court's grant of summary judgment to Defendants on Dean's ADA and Rehabilitation Act claims.</w:t>
      </w:r>
    </w:p>
    <w:p w14:paraId="3C24FF89" w14:textId="77777777" w:rsidR="002D0E71" w:rsidRDefault="00000000">
      <w:pPr>
        <w:pStyle w:val="Normal17"/>
        <w:widowControl w:val="0"/>
        <w:spacing w:before="240" w:line="260" w:lineRule="atLeast"/>
      </w:pPr>
      <w:r>
        <w:br/>
      </w:r>
      <w:r>
        <w:rPr>
          <w:rFonts w:ascii="Arial" w:eastAsia="Arial" w:hAnsi="Arial" w:cs="Arial"/>
          <w:b/>
          <w:color w:val="000000"/>
          <w:sz w:val="20"/>
        </w:rPr>
        <w:t>III. Procedural Due Process</w:t>
      </w:r>
    </w:p>
    <w:p w14:paraId="726BEECD" w14:textId="77777777" w:rsidR="002D0E71" w:rsidRDefault="00000000">
      <w:pPr>
        <w:pStyle w:val="Normal17"/>
        <w:widowControl w:val="0"/>
        <w:spacing w:before="200" w:line="260" w:lineRule="atLeast"/>
        <w:jc w:val="both"/>
      </w:pPr>
      <w:bookmarkStart w:id="2611" w:name="Bookmark_para_39_9"/>
      <w:bookmarkStart w:id="2612" w:name="Bookmark_I5H8GK1T2D6NPN0010000400"/>
      <w:bookmarkStart w:id="2613" w:name="Bookmark_I5H8GK1T2D6NPN0030000400"/>
      <w:bookmarkStart w:id="2614" w:name="Bookmark_I5H8GK1T2D6NPN0050000400"/>
      <w:bookmarkStart w:id="2615" w:name="Bookmark_LNHNREFclscc16_5"/>
      <w:bookmarkEnd w:id="2611"/>
      <w:bookmarkEnd w:id="2612"/>
      <w:bookmarkEnd w:id="2613"/>
      <w:bookmarkEnd w:id="2614"/>
      <w:bookmarkEnd w:id="2615"/>
      <w:r>
        <w:rPr>
          <w:rFonts w:ascii="Arial" w:eastAsia="Arial" w:hAnsi="Arial" w:cs="Arial"/>
          <w:color w:val="000000"/>
          <w:sz w:val="20"/>
        </w:rPr>
        <w:t xml:space="preserve">In the context of an academic dismissal a student is afforded the procedural process required by the Fourteenth Amendment where (1) the school has "fully informed [the student] of the faculty's dissatisfaction with [the student's] progress and the danger that this posed to timely graduation and continued enrollment," and (2) "[t]he ultimate decision to dismiss [the student] was careful and deliberate." </w:t>
      </w:r>
      <w:bookmarkStart w:id="2616" w:name="Bookmark_I5H8GK1T2D6NPM0050000400"/>
      <w:bookmarkEnd w:id="2616"/>
      <w:r>
        <w:rPr>
          <w:rFonts w:ascii="Arial" w:eastAsia="Arial" w:hAnsi="Arial" w:cs="Arial"/>
          <w:i/>
          <w:color w:val="000000"/>
          <w:sz w:val="20"/>
        </w:rPr>
        <w:t>Bd. of Curators of Univ. of Mo. v. Horowitz</w:t>
      </w:r>
      <w:r>
        <w:rPr>
          <w:rFonts w:ascii="Arial" w:eastAsia="Arial" w:hAnsi="Arial" w:cs="Arial"/>
          <w:color w:val="000000"/>
          <w:sz w:val="20"/>
        </w:rPr>
        <w:t xml:space="preserve">, 435 U.S. 78, 85, 98 S. Ct. 948, 55 L. Ed. 2d 124 (1978). </w:t>
      </w:r>
      <w:bookmarkStart w:id="2617" w:name="Bookmark_I5H8GK1T2SF84K0020000400"/>
      <w:bookmarkEnd w:id="2617"/>
      <w:r>
        <w:rPr>
          <w:rFonts w:ascii="Arial" w:eastAsia="Arial" w:hAnsi="Arial" w:cs="Arial"/>
          <w:color w:val="000000"/>
          <w:sz w:val="20"/>
        </w:rPr>
        <w:t xml:space="preserve">This standard reflects the need for "far less stringent procedural requirements," </w:t>
      </w:r>
      <w:bookmarkStart w:id="2618" w:name="Bookmark_I5H8GK1T2D6NPN0020000400"/>
      <w:bookmarkEnd w:id="2618"/>
      <w:r>
        <w:rPr>
          <w:rFonts w:ascii="Arial" w:eastAsia="Arial" w:hAnsi="Arial" w:cs="Arial"/>
          <w:i/>
          <w:color w:val="000000"/>
          <w:sz w:val="20"/>
        </w:rPr>
        <w:t>id.</w:t>
      </w:r>
      <w:r>
        <w:rPr>
          <w:rFonts w:ascii="Arial" w:eastAsia="Arial" w:hAnsi="Arial" w:cs="Arial"/>
          <w:color w:val="000000"/>
          <w:sz w:val="20"/>
        </w:rPr>
        <w:t xml:space="preserve"> at 86, than those called for in disciplinary dismissal. </w:t>
      </w:r>
      <w:bookmarkStart w:id="2619" w:name="Bookmark_I5H8GK1T2SF84K0040000400"/>
      <w:bookmarkEnd w:id="2619"/>
      <w:r>
        <w:rPr>
          <w:rFonts w:ascii="Arial" w:eastAsia="Arial" w:hAnsi="Arial" w:cs="Arial"/>
          <w:i/>
          <w:color w:val="000000"/>
          <w:sz w:val="20"/>
        </w:rPr>
        <w:t xml:space="preserve">See </w:t>
      </w:r>
      <w:bookmarkStart w:id="2620" w:name="Bookmark_I5H8GK1T2D6NPN0040000400"/>
      <w:bookmarkEnd w:id="2620"/>
      <w:r>
        <w:rPr>
          <w:rFonts w:ascii="Arial" w:eastAsia="Arial" w:hAnsi="Arial" w:cs="Arial"/>
          <w:i/>
          <w:color w:val="000000"/>
          <w:sz w:val="20"/>
        </w:rPr>
        <w:t>Goss v. Lopez</w:t>
      </w:r>
      <w:r>
        <w:rPr>
          <w:rFonts w:ascii="Arial" w:eastAsia="Arial" w:hAnsi="Arial" w:cs="Arial"/>
          <w:color w:val="000000"/>
          <w:sz w:val="20"/>
        </w:rPr>
        <w:t xml:space="preserve">, 419 U.S. 565, 581, 95 S. Ct. 729, 42 L. Ed. 2d 725 (1975) (requiring school to furnish student facing suspension for misconduct: formal notice, an explanation of the evidence, and a chance to present a defense-though not a formal hearing). </w:t>
      </w:r>
      <w:bookmarkStart w:id="2621" w:name="Bookmark_I5H8GK1T2SF84K0040000400_2"/>
      <w:bookmarkStart w:id="2622" w:name="Bookmark_I5H8GK1T2SF84K0020000400_2"/>
      <w:bookmarkEnd w:id="2621"/>
      <w:bookmarkEnd w:id="2622"/>
      <w:r>
        <w:rPr>
          <w:rFonts w:ascii="Arial" w:eastAsia="Arial" w:hAnsi="Arial" w:cs="Arial"/>
          <w:color w:val="000000"/>
          <w:sz w:val="20"/>
        </w:rPr>
        <w:t xml:space="preserve">Given the "more subjective and evaluative" nature of the judgment school officials exercise in deciding whether to terminate a student for academic cause, such dismissals are "not readily adapted to the procedural tools of judicial or administrative decisionmaking." </w:t>
      </w:r>
      <w:bookmarkStart w:id="2623" w:name="Bookmark_I5H8GK1T2SF84K0010000400"/>
      <w:bookmarkEnd w:id="2623"/>
      <w:r>
        <w:rPr>
          <w:rFonts w:ascii="Arial" w:eastAsia="Arial" w:hAnsi="Arial" w:cs="Arial"/>
          <w:i/>
          <w:color w:val="000000"/>
          <w:sz w:val="20"/>
        </w:rPr>
        <w:t>Horowitz</w:t>
      </w:r>
      <w:r>
        <w:rPr>
          <w:rFonts w:ascii="Arial" w:eastAsia="Arial" w:hAnsi="Arial" w:cs="Arial"/>
          <w:color w:val="000000"/>
          <w:sz w:val="20"/>
        </w:rPr>
        <w:t xml:space="preserve">, 435 U.S. at90. "A graduate or professional school is, after [**29]  all, the best judge of its students' academic performance and their ability to  [*192]  master the required curriculum." </w:t>
      </w:r>
      <w:bookmarkStart w:id="2624" w:name="Bookmark_I5H8GK1T2SF84K0030000400"/>
      <w:bookmarkEnd w:id="2624"/>
      <w:r>
        <w:rPr>
          <w:rFonts w:ascii="Arial" w:eastAsia="Arial" w:hAnsi="Arial" w:cs="Arial"/>
          <w:i/>
          <w:color w:val="000000"/>
          <w:sz w:val="20"/>
        </w:rPr>
        <w:t>Id.</w:t>
      </w:r>
      <w:r>
        <w:rPr>
          <w:rFonts w:ascii="Arial" w:eastAsia="Arial" w:hAnsi="Arial" w:cs="Arial"/>
          <w:color w:val="000000"/>
          <w:sz w:val="20"/>
        </w:rPr>
        <w:t xml:space="preserve"> at 85 n.2.</w:t>
      </w:r>
    </w:p>
    <w:p w14:paraId="31B52BFB" w14:textId="77777777" w:rsidR="002D0E71" w:rsidRDefault="00000000">
      <w:pPr>
        <w:pStyle w:val="Normal17"/>
        <w:widowControl w:val="0"/>
        <w:spacing w:before="200" w:line="260" w:lineRule="atLeast"/>
        <w:jc w:val="both"/>
      </w:pPr>
      <w:bookmarkStart w:id="2625" w:name="Bookmark_para_40_9"/>
      <w:bookmarkStart w:id="2626" w:name="Bookmark_I5H8GK1T2HM6HV0030000400"/>
      <w:bookmarkEnd w:id="2625"/>
      <w:bookmarkEnd w:id="2626"/>
      <w:r>
        <w:rPr>
          <w:rFonts w:ascii="Arial" w:eastAsia="Arial" w:hAnsi="Arial" w:cs="Arial"/>
          <w:color w:val="000000"/>
          <w:sz w:val="20"/>
        </w:rPr>
        <w:t>Dean argues that UBMED failed to supply the procedural process owed to him under the circumstances of his dismissal from the M.D. program.</w:t>
      </w:r>
      <w:r>
        <w:rPr>
          <w:rFonts w:ascii="Arial" w:eastAsia="Arial" w:hAnsi="Arial" w:cs="Arial"/>
          <w:vertAlign w:val="superscript"/>
        </w:rPr>
        <w:footnoteReference w:customMarkFollows="1" w:id="83"/>
        <w:t>4</w:t>
      </w:r>
      <w:r>
        <w:rPr>
          <w:rFonts w:ascii="Arial" w:eastAsia="Arial" w:hAnsi="Arial" w:cs="Arial"/>
          <w:color w:val="000000"/>
          <w:sz w:val="20"/>
        </w:rPr>
        <w:t xml:space="preserve"> Further, he contends that his claim should not be analyzed under the framework for academic dismissals supplied by </w:t>
      </w:r>
      <w:r>
        <w:rPr>
          <w:rFonts w:ascii="Arial" w:eastAsia="Arial" w:hAnsi="Arial" w:cs="Arial"/>
          <w:i/>
          <w:color w:val="000000"/>
          <w:sz w:val="20"/>
        </w:rPr>
        <w:t>Horowitz</w:t>
      </w:r>
      <w:r>
        <w:rPr>
          <w:rFonts w:ascii="Arial" w:eastAsia="Arial" w:hAnsi="Arial" w:cs="Arial"/>
          <w:color w:val="000000"/>
          <w:sz w:val="20"/>
        </w:rPr>
        <w:t xml:space="preserve"> and instead invites this Court to fashion an alternative standard. </w:t>
      </w:r>
      <w:bookmarkStart w:id="2629" w:name="Bookmark_I5PX5KJVRMN000VWWV3001D0"/>
      <w:bookmarkStart w:id="2630" w:name="Bookmark_I5H8GK1T2HM6HV0010000400"/>
      <w:bookmarkStart w:id="2631" w:name="Bookmark_I5H8GK1T2HM6HV0030000400_2"/>
      <w:bookmarkEnd w:id="2629"/>
      <w:bookmarkEnd w:id="2630"/>
      <w:bookmarkEnd w:id="2631"/>
      <w:r>
        <w:rPr>
          <w:rFonts w:ascii="Arial" w:eastAsia="Arial" w:hAnsi="Arial" w:cs="Arial"/>
          <w:color w:val="000000"/>
          <w:sz w:val="20"/>
        </w:rPr>
        <w:t>Such distinction is warranted, according to Dean, because UBMED's decision did not reflect an academic determination but instead was (1) motivated by animus and (2) undertaken automatically without exercise of professional judgment. We disagree. Under</w:t>
      </w:r>
      <w:bookmarkStart w:id="2632" w:name="Bookmark_I5H8GK1T2SF84K0050000400"/>
      <w:bookmarkEnd w:id="2632"/>
      <w:r>
        <w:rPr>
          <w:rFonts w:ascii="Arial" w:eastAsia="Arial" w:hAnsi="Arial" w:cs="Arial"/>
          <w:color w:val="000000"/>
          <w:sz w:val="20"/>
        </w:rPr>
        <w:t xml:space="preserve"> </w:t>
      </w:r>
      <w:r>
        <w:rPr>
          <w:rFonts w:ascii="Arial" w:eastAsia="Arial" w:hAnsi="Arial" w:cs="Arial"/>
          <w:i/>
          <w:color w:val="000000"/>
          <w:sz w:val="20"/>
        </w:rPr>
        <w:t>Horowitz</w:t>
      </w:r>
      <w:r>
        <w:rPr>
          <w:rFonts w:ascii="Arial" w:eastAsia="Arial" w:hAnsi="Arial" w:cs="Arial"/>
          <w:color w:val="000000"/>
          <w:sz w:val="20"/>
        </w:rPr>
        <w:t>, the appropriate standard to apply here, a trier of fact could find that Dean received both the requisite notice of potential dismissal and a "careful and deliberate" ultimate decision.</w:t>
      </w:r>
    </w:p>
    <w:p w14:paraId="0E64F941" w14:textId="77777777" w:rsidR="002D0E71" w:rsidRDefault="00000000">
      <w:pPr>
        <w:pStyle w:val="Normal17"/>
        <w:widowControl w:val="0"/>
        <w:spacing w:before="200" w:line="260" w:lineRule="atLeast"/>
        <w:jc w:val="both"/>
      </w:pPr>
      <w:bookmarkStart w:id="2633" w:name="Bookmark_para_41_8"/>
      <w:bookmarkStart w:id="2634" w:name="Bookmark_I5H8GK1T2HM6HV0050000400"/>
      <w:bookmarkEnd w:id="2633"/>
      <w:bookmarkEnd w:id="2634"/>
      <w:r>
        <w:rPr>
          <w:rFonts w:ascii="Arial" w:eastAsia="Arial" w:hAnsi="Arial" w:cs="Arial"/>
          <w:color w:val="000000"/>
          <w:sz w:val="20"/>
        </w:rPr>
        <w:t xml:space="preserve">As an initial matter, we reject Dean's contention that this case requires application of a due process standard different from that articulated in </w:t>
      </w:r>
      <w:r>
        <w:rPr>
          <w:rFonts w:ascii="Arial" w:eastAsia="Arial" w:hAnsi="Arial" w:cs="Arial"/>
          <w:i/>
          <w:color w:val="000000"/>
          <w:sz w:val="20"/>
        </w:rPr>
        <w:t>Horowitz.</w:t>
      </w:r>
      <w:r>
        <w:rPr>
          <w:rFonts w:ascii="Arial" w:eastAsia="Arial" w:hAnsi="Arial" w:cs="Arial"/>
          <w:color w:val="000000"/>
          <w:sz w:val="20"/>
        </w:rPr>
        <w:t xml:space="preserve"> Dean's allegation [**30]  that Defendants' decision was motivated by ill will or bad faith is entirely conclusory with no support in the record to establish an inference of animus toward Dean. </w:t>
      </w:r>
      <w:r>
        <w:rPr>
          <w:rFonts w:ascii="Arial" w:eastAsia="Arial" w:hAnsi="Arial" w:cs="Arial"/>
          <w:i/>
          <w:color w:val="000000"/>
          <w:sz w:val="20"/>
        </w:rPr>
        <w:t xml:space="preserve">See </w:t>
      </w:r>
      <w:bookmarkStart w:id="2635" w:name="Bookmark_I5H8GK1T2HM6HV0040000400"/>
      <w:bookmarkEnd w:id="2635"/>
      <w:r>
        <w:rPr>
          <w:rFonts w:ascii="Arial" w:eastAsia="Arial" w:hAnsi="Arial" w:cs="Arial"/>
          <w:i/>
          <w:color w:val="000000"/>
          <w:sz w:val="20"/>
        </w:rPr>
        <w:t>Clements v. Cty. of Nassau</w:t>
      </w:r>
      <w:r>
        <w:rPr>
          <w:rFonts w:ascii="Arial" w:eastAsia="Arial" w:hAnsi="Arial" w:cs="Arial"/>
          <w:color w:val="000000"/>
          <w:sz w:val="20"/>
        </w:rPr>
        <w:t>, 835 F.2d 1000, 1005 (2d Cir. 1987) ("</w:t>
      </w:r>
      <w:bookmarkStart w:id="2636" w:name="Bookmark_LNHNREFclscc17_5"/>
      <w:bookmarkEnd w:id="2636"/>
      <w:r>
        <w:rPr>
          <w:rFonts w:ascii="Arial" w:eastAsia="Arial" w:hAnsi="Arial" w:cs="Arial"/>
          <w:color w:val="000000"/>
          <w:sz w:val="20"/>
        </w:rPr>
        <w:t xml:space="preserve">[S]ummary judgment is usually unwarranted when state of mind is at issue. </w:t>
      </w:r>
      <w:bookmarkStart w:id="2637" w:name="Bookmark_I5H8GK1T28T4DD0020000400"/>
      <w:bookmarkEnd w:id="2637"/>
      <w:r>
        <w:rPr>
          <w:rFonts w:ascii="Arial" w:eastAsia="Arial" w:hAnsi="Arial" w:cs="Arial"/>
          <w:color w:val="000000"/>
          <w:sz w:val="20"/>
        </w:rPr>
        <w:t xml:space="preserve">The state of mind exception, however, is appropriate only where solid circumstantial evidence exists to prove plaintiff's case."(internal citation omitted)). </w:t>
      </w:r>
      <w:bookmarkStart w:id="2638" w:name="Bookmark_I5H8GK1T28T4DD0020000400_2"/>
      <w:bookmarkEnd w:id="2638"/>
      <w:r>
        <w:rPr>
          <w:rFonts w:ascii="Arial" w:eastAsia="Arial" w:hAnsi="Arial" w:cs="Arial"/>
          <w:color w:val="000000"/>
          <w:sz w:val="20"/>
        </w:rPr>
        <w:t xml:space="preserve">Moreover, the decision to dismiss Dean plainly resulted from the exercise of professional judgment. It is true that the district court described Dean's ultimate dismissal as "more ministerial than evaluative," </w:t>
      </w:r>
      <w:bookmarkStart w:id="2639" w:name="Bookmark_I5H8GK1T28T4DD0010000400"/>
      <w:bookmarkEnd w:id="2639"/>
      <w:r>
        <w:rPr>
          <w:rFonts w:ascii="Arial" w:eastAsia="Arial" w:hAnsi="Arial" w:cs="Arial"/>
          <w:i/>
          <w:color w:val="000000"/>
          <w:sz w:val="20"/>
        </w:rPr>
        <w:t>Dean</w:t>
      </w:r>
      <w:r>
        <w:rPr>
          <w:rFonts w:ascii="Arial" w:eastAsia="Arial" w:hAnsi="Arial" w:cs="Arial"/>
          <w:color w:val="000000"/>
          <w:sz w:val="20"/>
        </w:rPr>
        <w:t>, 2014 U.S. Dist. LEXIS 44578, 2014 WL 1316186 at *9, but this finding does not compel the conclusion that the decision did not result from reasoned deliberation. Indeed, Dean does not dispute that Defendants exercised academic judgment in setting a deadline to sit for the Step 1 exam but argues that they should not have taken a final decision given the inherent possibility that he might require more medical leave. But that Defendants' final decision may have been premature goes to the substance of Dean's procedural due process claim and does not remove this case from the ambit of academic dismissals.</w:t>
      </w:r>
    </w:p>
    <w:p w14:paraId="52BAE783" w14:textId="77777777" w:rsidR="002D0E71" w:rsidRDefault="00000000">
      <w:pPr>
        <w:pStyle w:val="Normal17"/>
        <w:widowControl w:val="0"/>
        <w:spacing w:before="200" w:line="260" w:lineRule="atLeast"/>
        <w:jc w:val="both"/>
      </w:pPr>
      <w:bookmarkStart w:id="2640" w:name="Bookmark_para_42_8"/>
      <w:bookmarkEnd w:id="2640"/>
      <w:r>
        <w:rPr>
          <w:rFonts w:ascii="Arial" w:eastAsia="Arial" w:hAnsi="Arial" w:cs="Arial"/>
          <w:color w:val="000000"/>
          <w:sz w:val="20"/>
        </w:rPr>
        <w:t xml:space="preserve">Next Dean argues that even under </w:t>
      </w:r>
      <w:r>
        <w:rPr>
          <w:rFonts w:ascii="Arial" w:eastAsia="Arial" w:hAnsi="Arial" w:cs="Arial"/>
          <w:i/>
          <w:color w:val="000000"/>
          <w:sz w:val="20"/>
        </w:rPr>
        <w:t>Horowitz [**31] </w:t>
      </w:r>
      <w:r>
        <w:rPr>
          <w:rFonts w:ascii="Arial" w:eastAsia="Arial" w:hAnsi="Arial" w:cs="Arial"/>
          <w:color w:val="000000"/>
          <w:sz w:val="20"/>
        </w:rPr>
        <w:t xml:space="preserve"> Defendants failed to afford him the process due as (1) he was not warned of potential administrative dismissal, in part, because the ASP did not contain a provision specific to his situation; (2) Defendants' June 7, 2007 decision denying additional leave violated his right to a continued "give and take"; and (3) the ASP contained no effective right of appeal. None of these arguments is availing.</w:t>
      </w:r>
    </w:p>
    <w:p w14:paraId="67506F91" w14:textId="77777777" w:rsidR="002D0E71" w:rsidRDefault="00000000">
      <w:pPr>
        <w:pStyle w:val="Normal17"/>
        <w:widowControl w:val="0"/>
        <w:spacing w:before="200" w:line="260" w:lineRule="atLeast"/>
        <w:jc w:val="both"/>
      </w:pPr>
      <w:bookmarkStart w:id="2641" w:name="Bookmark_para_43_8"/>
      <w:bookmarkStart w:id="2642" w:name="Bookmark_I5H8GK1T28T4DD0040000400"/>
      <w:bookmarkEnd w:id="2641"/>
      <w:bookmarkEnd w:id="2642"/>
      <w:r>
        <w:rPr>
          <w:rFonts w:ascii="Arial" w:eastAsia="Arial" w:hAnsi="Arial" w:cs="Arial"/>
          <w:color w:val="000000"/>
          <w:sz w:val="20"/>
        </w:rPr>
        <w:t xml:space="preserve">By failing to address the allegedly insufficient warning of dismissal in his opening brief, Dean has waived this argument. </w:t>
      </w:r>
      <w:r>
        <w:rPr>
          <w:rFonts w:ascii="Arial" w:eastAsia="Arial" w:hAnsi="Arial" w:cs="Arial"/>
          <w:i/>
          <w:color w:val="000000"/>
          <w:sz w:val="20"/>
        </w:rPr>
        <w:t xml:space="preserve">See </w:t>
      </w:r>
      <w:bookmarkStart w:id="2643" w:name="Bookmark_I5H8GK1T28T4DD0030000400"/>
      <w:bookmarkEnd w:id="2643"/>
      <w:r>
        <w:rPr>
          <w:rFonts w:ascii="Arial" w:eastAsia="Arial" w:hAnsi="Arial" w:cs="Arial"/>
          <w:i/>
          <w:color w:val="000000"/>
          <w:sz w:val="20"/>
        </w:rPr>
        <w:t>McCarthy v. S.E.C.</w:t>
      </w:r>
      <w:r>
        <w:rPr>
          <w:rFonts w:ascii="Arial" w:eastAsia="Arial" w:hAnsi="Arial" w:cs="Arial"/>
          <w:color w:val="000000"/>
          <w:sz w:val="20"/>
        </w:rPr>
        <w:t>, 406 F.3d 179, 186 (2d Cir. 2005) ("</w:t>
      </w:r>
      <w:bookmarkStart w:id="2644" w:name="Bookmark_LNHNREFclscc18_5"/>
      <w:bookmarkEnd w:id="2644"/>
      <w:r>
        <w:rPr>
          <w:rFonts w:ascii="Arial" w:eastAsia="Arial" w:hAnsi="Arial" w:cs="Arial"/>
          <w:color w:val="000000"/>
          <w:sz w:val="20"/>
        </w:rPr>
        <w:t xml:space="preserve">[A]rguments not raised in an appellant's opening brief, but only in his reply brief, are not properly before an appellate court . . . ."); </w:t>
      </w:r>
      <w:bookmarkStart w:id="2645" w:name="Bookmark_I5H8GK1T28T4DD0050000400"/>
      <w:bookmarkEnd w:id="2645"/>
      <w:r>
        <w:rPr>
          <w:rFonts w:ascii="Arial" w:eastAsia="Arial" w:hAnsi="Arial" w:cs="Arial"/>
          <w:i/>
          <w:color w:val="000000"/>
          <w:sz w:val="20"/>
        </w:rPr>
        <w:t>Knipe v. Skinner</w:t>
      </w:r>
      <w:r>
        <w:rPr>
          <w:rFonts w:ascii="Arial" w:eastAsia="Arial" w:hAnsi="Arial" w:cs="Arial"/>
          <w:color w:val="000000"/>
          <w:sz w:val="20"/>
        </w:rPr>
        <w:t>, 999 F.2d 708, 711 (2d Cir. 1993) ("It is true that the reply brief does reply' to arguments made by appellees in their answering brief. The fact that appellees felt compelled to address the merits out of caution does not, however, broaden the appellants' Statement of Issues.").</w:t>
      </w:r>
    </w:p>
    <w:p w14:paraId="13D50BDC" w14:textId="77777777" w:rsidR="002D0E71" w:rsidRDefault="00000000">
      <w:pPr>
        <w:pStyle w:val="Normal17"/>
        <w:widowControl w:val="0"/>
        <w:spacing w:before="200" w:line="260" w:lineRule="atLeast"/>
        <w:jc w:val="both"/>
      </w:pPr>
      <w:bookmarkStart w:id="2646" w:name="Bookmark_para_44_6"/>
      <w:bookmarkEnd w:id="2646"/>
      <w:r>
        <w:rPr>
          <w:rFonts w:ascii="Arial" w:eastAsia="Arial" w:hAnsi="Arial" w:cs="Arial"/>
          <w:color w:val="000000"/>
          <w:sz w:val="20"/>
        </w:rPr>
        <w:t xml:space="preserve">Even were we to reach the merits of this issue, we would likely reject Dean's argument.  [*193]  While the ASP may not have spelled out the precise mechanism for dismissal, Dr. Cain's letter of June 7, 2007, informed Dean that he was "required to take the USMLE Step 1 exam on or before July 28, 2007," and [**32]  that once Dean "fulfilled this obligation" his return to the medical school was also conditioned on the outcome of additional obligations. </w:t>
      </w:r>
      <w:bookmarkStart w:id="2647" w:name="Bookmark_I5H8GK1T2HM6HW0030000400"/>
      <w:bookmarkEnd w:id="2647"/>
      <w:r>
        <w:rPr>
          <w:rFonts w:ascii="Arial" w:eastAsia="Arial" w:hAnsi="Arial" w:cs="Arial"/>
          <w:color w:val="000000"/>
          <w:sz w:val="20"/>
        </w:rPr>
        <w:t xml:space="preserve">App'x at 313. As Dean was thereby made aware that he faced termination from UBMED if he did not sit and pass Step 1 by this extended deadline, he received the requisite notice of the school's concern with his performance and the corresponding risk of dismissal. </w:t>
      </w:r>
      <w:r>
        <w:rPr>
          <w:rFonts w:ascii="Arial" w:eastAsia="Arial" w:hAnsi="Arial" w:cs="Arial"/>
          <w:i/>
          <w:color w:val="000000"/>
          <w:sz w:val="20"/>
        </w:rPr>
        <w:t xml:space="preserve">See </w:t>
      </w:r>
      <w:bookmarkStart w:id="2648" w:name="Bookmark_I5H8GK1T2HM6HW0020000400"/>
      <w:bookmarkEnd w:id="2648"/>
      <w:r>
        <w:rPr>
          <w:rFonts w:ascii="Arial" w:eastAsia="Arial" w:hAnsi="Arial" w:cs="Arial"/>
          <w:i/>
          <w:color w:val="000000"/>
          <w:sz w:val="20"/>
        </w:rPr>
        <w:t>Horowitz</w:t>
      </w:r>
      <w:r>
        <w:rPr>
          <w:rFonts w:ascii="Arial" w:eastAsia="Arial" w:hAnsi="Arial" w:cs="Arial"/>
          <w:color w:val="000000"/>
          <w:sz w:val="20"/>
        </w:rPr>
        <w:t>, 435 U.S. at 85.</w:t>
      </w:r>
    </w:p>
    <w:p w14:paraId="6F34A5E6" w14:textId="77777777" w:rsidR="002D0E71" w:rsidRDefault="00000000">
      <w:pPr>
        <w:pStyle w:val="Normal17"/>
        <w:widowControl w:val="0"/>
        <w:spacing w:before="200" w:line="260" w:lineRule="atLeast"/>
        <w:jc w:val="both"/>
      </w:pPr>
      <w:bookmarkStart w:id="2649" w:name="Bookmark_para_45_5"/>
      <w:bookmarkStart w:id="2650" w:name="Bookmark_I5H8GK1T2HM6HW0050000400"/>
      <w:bookmarkEnd w:id="2649"/>
      <w:bookmarkEnd w:id="2650"/>
      <w:r>
        <w:rPr>
          <w:rFonts w:ascii="Arial" w:eastAsia="Arial" w:hAnsi="Arial" w:cs="Arial"/>
          <w:color w:val="000000"/>
          <w:sz w:val="20"/>
        </w:rPr>
        <w:t xml:space="preserve">Nor was Dean entitled to additional process after the June 7, 2007 letter announcing that no additional leave would be granted. </w:t>
      </w:r>
      <w:r>
        <w:rPr>
          <w:rFonts w:ascii="Arial" w:eastAsia="Arial" w:hAnsi="Arial" w:cs="Arial"/>
          <w:i/>
          <w:color w:val="000000"/>
          <w:sz w:val="20"/>
        </w:rPr>
        <w:t>Horowitz</w:t>
      </w:r>
      <w:r>
        <w:rPr>
          <w:rFonts w:ascii="Arial" w:eastAsia="Arial" w:hAnsi="Arial" w:cs="Arial"/>
          <w:color w:val="000000"/>
          <w:sz w:val="20"/>
        </w:rPr>
        <w:t xml:space="preserve"> explicitly declined to apply the "give-and-take" standard to academic dismissals. </w:t>
      </w:r>
      <w:bookmarkStart w:id="2651" w:name="Bookmark_I5H8GK1T2HM6HW0040000400"/>
      <w:bookmarkEnd w:id="2651"/>
      <w:r>
        <w:rPr>
          <w:rFonts w:ascii="Arial" w:eastAsia="Arial" w:hAnsi="Arial" w:cs="Arial"/>
          <w:i/>
          <w:color w:val="000000"/>
          <w:sz w:val="20"/>
        </w:rPr>
        <w:t>Id.</w:t>
      </w:r>
      <w:r>
        <w:rPr>
          <w:rFonts w:ascii="Arial" w:eastAsia="Arial" w:hAnsi="Arial" w:cs="Arial"/>
          <w:color w:val="000000"/>
          <w:sz w:val="20"/>
        </w:rPr>
        <w:t xml:space="preserve"> at 86. While Defendants might well have reconsidered whether to dismiss Dean after he failed to sit the Step 1 exam by the deadline, he was entitled only to a decision rendered with due care and deliberation, not to a particular process of continued notice and consideration. Here, the record demonstrates that in considering Dean's several requests for leave, reviewing the medical documentation he submitted, and in subsequently setting (and postponing) the deadline for Dean's third attempt at the Step 1 exam, Defendants made a "careful and deliberate" decision that Dean be dismissed [**33]  should he fail to comply with UBMED's requirement that he complete Step 1 of the USMLE by July 28, 2007.</w:t>
      </w:r>
    </w:p>
    <w:p w14:paraId="51CD647C" w14:textId="77777777" w:rsidR="002D0E71" w:rsidRDefault="00000000">
      <w:pPr>
        <w:pStyle w:val="Normal17"/>
        <w:widowControl w:val="0"/>
        <w:spacing w:before="200" w:line="260" w:lineRule="atLeast"/>
        <w:jc w:val="both"/>
      </w:pPr>
      <w:bookmarkStart w:id="2652" w:name="Bookmark_para_46_4"/>
      <w:bookmarkEnd w:id="2652"/>
      <w:r>
        <w:rPr>
          <w:rFonts w:ascii="Arial" w:eastAsia="Arial" w:hAnsi="Arial" w:cs="Arial"/>
          <w:color w:val="000000"/>
          <w:sz w:val="20"/>
        </w:rPr>
        <w:t>Further, through the opportunity to appeal his termination and to seek reinstatement Dean was provided more process than required for an academic dismissal. Dean contends that he had no meaningful opportunity to appeal since the ASP contains no explicit process to appeal a failure to sit for the Step 1 exam and that any appeal would have been futile because it presumably would be taken to Dr. Cain. But UBMED offered Dean no less than what the ASP provides for any other student appeal, and the ASP makes clear that the dean of UBMED renders the final decision in all appeals. In any event, Dean cannot complain that a process to which he had no entitlement was not conducted in the manner he would have preferred had he availed himself of it. Accordingly, the district court did not err in granting summary judgment to Defendants on this claim.</w:t>
      </w:r>
    </w:p>
    <w:p w14:paraId="4F94D3AB" w14:textId="77777777" w:rsidR="002D0E71" w:rsidRDefault="00000000">
      <w:pPr>
        <w:pStyle w:val="Normal17"/>
        <w:widowControl w:val="0"/>
        <w:spacing w:before="240" w:line="260" w:lineRule="atLeast"/>
      </w:pPr>
      <w:r>
        <w:br/>
      </w:r>
      <w:r>
        <w:rPr>
          <w:rFonts w:ascii="Arial" w:eastAsia="Arial" w:hAnsi="Arial" w:cs="Arial"/>
          <w:b/>
          <w:color w:val="000000"/>
          <w:sz w:val="20"/>
        </w:rPr>
        <w:t>IV. Eleventh Amendment Immunity</w:t>
      </w:r>
    </w:p>
    <w:p w14:paraId="1B89332C" w14:textId="77777777" w:rsidR="002D0E71" w:rsidRDefault="00000000">
      <w:pPr>
        <w:pStyle w:val="Normal17"/>
        <w:widowControl w:val="0"/>
        <w:spacing w:before="200" w:line="260" w:lineRule="atLeast"/>
        <w:jc w:val="both"/>
      </w:pPr>
      <w:bookmarkStart w:id="2653" w:name="Bookmark_para_47_4"/>
      <w:bookmarkStart w:id="2654" w:name="Bookmark_I5H8GK1T2HM6HX0020000400"/>
      <w:bookmarkStart w:id="2655" w:name="Bookmark_LNHNREFclscc19_3"/>
      <w:bookmarkEnd w:id="2653"/>
      <w:bookmarkEnd w:id="2654"/>
      <w:bookmarkEnd w:id="2655"/>
      <w:r>
        <w:rPr>
          <w:rFonts w:ascii="Arial" w:eastAsia="Arial" w:hAnsi="Arial" w:cs="Arial"/>
          <w:color w:val="000000"/>
          <w:sz w:val="20"/>
        </w:rPr>
        <w:t xml:space="preserve">The Eleventh Amendment bars a damages action in federal court against a state and its officials when acting in their official capacity unless the state has waived its sovereign immunity or Congress has abrogated it. </w:t>
      </w:r>
      <w:bookmarkStart w:id="2656" w:name="Bookmark_I5H8GK1T2HM6HX0010000400"/>
      <w:bookmarkEnd w:id="2656"/>
      <w:r>
        <w:rPr>
          <w:rFonts w:ascii="Arial" w:eastAsia="Arial" w:hAnsi="Arial" w:cs="Arial"/>
          <w:i/>
          <w:color w:val="000000"/>
          <w:sz w:val="20"/>
        </w:rPr>
        <w:t>Fulton v. Goord</w:t>
      </w:r>
      <w:r>
        <w:rPr>
          <w:rFonts w:ascii="Arial" w:eastAsia="Arial" w:hAnsi="Arial" w:cs="Arial"/>
          <w:color w:val="000000"/>
          <w:sz w:val="20"/>
        </w:rPr>
        <w:t xml:space="preserve">, 591 F.3d 37, 45 (2009). </w:t>
      </w:r>
      <w:bookmarkStart w:id="2657" w:name="Bookmark_I5H8GK1T2HM6HX0040000400"/>
      <w:bookmarkEnd w:id="2657"/>
      <w:r>
        <w:rPr>
          <w:rFonts w:ascii="Arial" w:eastAsia="Arial" w:hAnsi="Arial" w:cs="Arial"/>
          <w:color w:val="000000"/>
          <w:sz w:val="20"/>
        </w:rPr>
        <w:t xml:space="preserve">Because the district court found Dean [**34]  failed to establish a prima facie case of discrimination, it did not have occasion to address whether the Eleventh Amendment prohibits Dean's money damages claims against UBMED, SUNY, and the individual defendants in their official capacities. As is our usual practice, we leave it to the district court to determine in the first instance whether Defendants are entitled to immunity under the Eleventh Amendment as to the ADA and Rehabilitation Act claims. </w:t>
      </w:r>
      <w:bookmarkStart w:id="2658" w:name="Bookmark_I5H8GK1T2HM6HX0040000400_2"/>
      <w:bookmarkEnd w:id="2658"/>
      <w:r>
        <w:rPr>
          <w:rFonts w:ascii="Arial" w:eastAsia="Arial" w:hAnsi="Arial" w:cs="Arial"/>
          <w:i/>
          <w:color w:val="000000"/>
          <w:sz w:val="20"/>
        </w:rPr>
        <w:t xml:space="preserve">See </w:t>
      </w:r>
      <w:bookmarkStart w:id="2659" w:name="Bookmark_I5H8GK1T2HM6HX0030000400"/>
      <w:bookmarkEnd w:id="2659"/>
      <w:r>
        <w:rPr>
          <w:rFonts w:ascii="Arial" w:eastAsia="Arial" w:hAnsi="Arial" w:cs="Arial"/>
          <w:i/>
          <w:color w:val="000000"/>
          <w:sz w:val="20"/>
        </w:rPr>
        <w:t>Dardana Ltd. v. Yuganskneftegaz</w:t>
      </w:r>
      <w:r>
        <w:rPr>
          <w:rFonts w:ascii="Arial" w:eastAsia="Arial" w:hAnsi="Arial" w:cs="Arial"/>
          <w:color w:val="000000"/>
          <w:sz w:val="20"/>
        </w:rPr>
        <w:t>, 317 F.3d 202, 208 (2d Cir. 2003).</w:t>
      </w:r>
    </w:p>
    <w:p w14:paraId="797CCF9C" w14:textId="77777777" w:rsidR="002D0E71" w:rsidRDefault="00000000">
      <w:pPr>
        <w:pStyle w:val="Normal17"/>
        <w:widowControl w:val="0"/>
        <w:spacing w:before="200" w:line="260" w:lineRule="atLeast"/>
        <w:jc w:val="both"/>
      </w:pPr>
      <w:bookmarkStart w:id="2660" w:name="Bookmark_para_48_4"/>
      <w:bookmarkStart w:id="2661" w:name="Bookmark_I5H8GK1T2D6NPS0010000400"/>
      <w:bookmarkStart w:id="2662" w:name="Bookmark_I5H8GK1T2D6NPS0030000400"/>
      <w:bookmarkEnd w:id="2660"/>
      <w:bookmarkEnd w:id="2661"/>
      <w:bookmarkEnd w:id="2662"/>
      <w:r>
        <w:rPr>
          <w:rFonts w:ascii="Arial" w:eastAsia="Arial" w:hAnsi="Arial" w:cs="Arial"/>
          <w:color w:val="000000"/>
          <w:sz w:val="20"/>
        </w:rPr>
        <w:t xml:space="preserve">However, we note a growing fracture among the district courts in this Circuit in their approach to determining whether Congress validly abrogated state sovereign immunity under Title II of the ADA. In reciting its understanding of the  [*194]  relevant standard, the district court, citing </w:t>
      </w:r>
      <w:r>
        <w:rPr>
          <w:rFonts w:ascii="Arial" w:eastAsia="Arial" w:hAnsi="Arial" w:cs="Arial"/>
          <w:i/>
          <w:color w:val="000000"/>
          <w:sz w:val="20"/>
        </w:rPr>
        <w:t>Powell</w:t>
      </w:r>
      <w:r>
        <w:rPr>
          <w:rFonts w:ascii="Arial" w:eastAsia="Arial" w:hAnsi="Arial" w:cs="Arial"/>
          <w:color w:val="000000"/>
          <w:sz w:val="20"/>
        </w:rPr>
        <w:t xml:space="preserve">, stated that to recover money damages a plaintiff must show a violation of Title II "motivated by either discriminatory animus or ill will stemming from plaintiff's disability." </w:t>
      </w:r>
      <w:bookmarkStart w:id="2663" w:name="Bookmark_I5H8GK1T2HM6HX0050000400"/>
      <w:bookmarkEnd w:id="2663"/>
      <w:r>
        <w:rPr>
          <w:rFonts w:ascii="Arial" w:eastAsia="Arial" w:hAnsi="Arial" w:cs="Arial"/>
          <w:i/>
          <w:color w:val="000000"/>
          <w:sz w:val="20"/>
        </w:rPr>
        <w:t>Dean</w:t>
      </w:r>
      <w:r>
        <w:rPr>
          <w:rFonts w:ascii="Arial" w:eastAsia="Arial" w:hAnsi="Arial" w:cs="Arial"/>
          <w:color w:val="000000"/>
          <w:sz w:val="20"/>
        </w:rPr>
        <w:t xml:space="preserve">, 2014 U.S. Dist. LEXIS 44578, 2014 WL 1316186, at *6. </w:t>
      </w:r>
      <w:bookmarkStart w:id="2664" w:name="Bookmark_I5H8GK1T28T4DF0020000400"/>
      <w:bookmarkEnd w:id="2664"/>
      <w:r>
        <w:rPr>
          <w:rFonts w:ascii="Arial" w:eastAsia="Arial" w:hAnsi="Arial" w:cs="Arial"/>
          <w:i/>
          <w:color w:val="000000"/>
          <w:sz w:val="20"/>
        </w:rPr>
        <w:t>Powell</w:t>
      </w:r>
      <w:r>
        <w:rPr>
          <w:rFonts w:ascii="Arial" w:eastAsia="Arial" w:hAnsi="Arial" w:cs="Arial"/>
          <w:color w:val="000000"/>
          <w:sz w:val="20"/>
        </w:rPr>
        <w:t xml:space="preserve"> in turn draws this standard from </w:t>
      </w:r>
      <w:bookmarkStart w:id="2665" w:name="Bookmark_I5H8GK1T2D6NPS0020000400"/>
      <w:bookmarkEnd w:id="2665"/>
      <w:r>
        <w:rPr>
          <w:rFonts w:ascii="Arial" w:eastAsia="Arial" w:hAnsi="Arial" w:cs="Arial"/>
          <w:i/>
          <w:color w:val="000000"/>
          <w:sz w:val="20"/>
        </w:rPr>
        <w:t>Garcia v. S.U.N.Y. Health Sciences Center of Brooklyn</w:t>
      </w:r>
      <w:r>
        <w:rPr>
          <w:rFonts w:ascii="Arial" w:eastAsia="Arial" w:hAnsi="Arial" w:cs="Arial"/>
          <w:color w:val="000000"/>
          <w:sz w:val="20"/>
        </w:rPr>
        <w:t xml:space="preserve">, 280 F.3d 98 (2d Cir. 2001), which held that in enacting Title II Congress exceeded its authority under Section 5 of the Fourteenth Amendment, "but that Title II suits could be limited to circumstances in which it had not," </w:t>
      </w:r>
      <w:bookmarkStart w:id="2666" w:name="Bookmark_I5H8GK1T2D6NPS0040000400"/>
      <w:bookmarkEnd w:id="2666"/>
      <w:r>
        <w:rPr>
          <w:rFonts w:ascii="Arial" w:eastAsia="Arial" w:hAnsi="Arial" w:cs="Arial"/>
          <w:i/>
          <w:color w:val="000000"/>
          <w:sz w:val="20"/>
        </w:rPr>
        <w:t>Bolmer v. Oliveira</w:t>
      </w:r>
      <w:r>
        <w:rPr>
          <w:rFonts w:ascii="Arial" w:eastAsia="Arial" w:hAnsi="Arial" w:cs="Arial"/>
          <w:color w:val="000000"/>
          <w:sz w:val="20"/>
        </w:rPr>
        <w:t xml:space="preserve">, 594 F.3d 134, 146 (2d Cir. 2010). </w:t>
      </w:r>
      <w:bookmarkStart w:id="2667" w:name="Bookmark_I5PX5KJVWFT000VWWV3001D1"/>
      <w:bookmarkStart w:id="2668" w:name="Bookmark_I5H8GK1T2SF84P0010000400"/>
      <w:bookmarkEnd w:id="2667"/>
      <w:bookmarkEnd w:id="2668"/>
      <w:r>
        <w:rPr>
          <w:rFonts w:ascii="Arial" w:eastAsia="Arial" w:hAnsi="Arial" w:cs="Arial"/>
          <w:color w:val="000000"/>
          <w:sz w:val="20"/>
        </w:rPr>
        <w:t xml:space="preserve">Title II monetary claims against a state therefore require a showing of discriminatory animus or ill will [**35]  to limit such suits to disparate treatment that violates the Equal Protection Clause of the Fourteenth Amendment or falls within the range of conduct Congress could otherwise prohibit pursuant to its prophylactic authority. </w:t>
      </w:r>
      <w:bookmarkStart w:id="2669" w:name="Bookmark_I5H8GK1T2SF84P0010000400_2"/>
      <w:bookmarkStart w:id="2670" w:name="Bookmark_I5H8GK1T28T4DF0020000400_2"/>
      <w:bookmarkStart w:id="2671" w:name="Bookmark_I5H8GK1T28T4DF0010000400"/>
      <w:bookmarkEnd w:id="2669"/>
      <w:bookmarkEnd w:id="2670"/>
      <w:bookmarkEnd w:id="2671"/>
      <w:r>
        <w:rPr>
          <w:rFonts w:ascii="Arial" w:eastAsia="Arial" w:hAnsi="Arial" w:cs="Arial"/>
          <w:i/>
          <w:color w:val="000000"/>
          <w:sz w:val="20"/>
        </w:rPr>
        <w:t>Id.</w:t>
      </w:r>
      <w:r>
        <w:rPr>
          <w:rFonts w:ascii="Arial" w:eastAsia="Arial" w:hAnsi="Arial" w:cs="Arial"/>
          <w:color w:val="000000"/>
          <w:sz w:val="20"/>
        </w:rPr>
        <w:t xml:space="preserve"> at 146; </w:t>
      </w:r>
      <w:bookmarkStart w:id="2672" w:name="Bookmark_I5H8GK1T28T4DF0030000400"/>
      <w:bookmarkEnd w:id="2672"/>
      <w:r>
        <w:rPr>
          <w:rFonts w:ascii="Arial" w:eastAsia="Arial" w:hAnsi="Arial" w:cs="Arial"/>
          <w:i/>
          <w:color w:val="000000"/>
          <w:sz w:val="20"/>
        </w:rPr>
        <w:t>Garcia</w:t>
      </w:r>
      <w:r>
        <w:rPr>
          <w:rFonts w:ascii="Arial" w:eastAsia="Arial" w:hAnsi="Arial" w:cs="Arial"/>
          <w:color w:val="000000"/>
          <w:sz w:val="20"/>
        </w:rPr>
        <w:t>, 280 F.3d at 111-12. Subsequent Supreme Court precedent concerning the constitutionality of Congress's abrogation of Eleventh Amendment immunity under Title II calls</w:t>
      </w:r>
      <w:bookmarkStart w:id="2673" w:name="Bookmark_I5H8GK1T28T4DF0050000400"/>
      <w:bookmarkEnd w:id="2673"/>
      <w:r>
        <w:rPr>
          <w:rFonts w:ascii="Arial" w:eastAsia="Arial" w:hAnsi="Arial" w:cs="Arial"/>
          <w:color w:val="000000"/>
          <w:sz w:val="20"/>
        </w:rPr>
        <w:t xml:space="preserve"> </w:t>
      </w:r>
      <w:r>
        <w:rPr>
          <w:rFonts w:ascii="Arial" w:eastAsia="Arial" w:hAnsi="Arial" w:cs="Arial"/>
          <w:i/>
          <w:color w:val="000000"/>
          <w:sz w:val="20"/>
        </w:rPr>
        <w:t>Garcia'</w:t>
      </w:r>
      <w:r>
        <w:rPr>
          <w:rFonts w:ascii="Arial" w:eastAsia="Arial" w:hAnsi="Arial" w:cs="Arial"/>
          <w:color w:val="000000"/>
          <w:sz w:val="20"/>
        </w:rPr>
        <w:t>s validity into question.</w:t>
      </w:r>
    </w:p>
    <w:p w14:paraId="44358F74" w14:textId="77777777" w:rsidR="002D0E71" w:rsidRDefault="00000000">
      <w:pPr>
        <w:pStyle w:val="Normal17"/>
        <w:widowControl w:val="0"/>
        <w:spacing w:before="200" w:line="260" w:lineRule="atLeast"/>
        <w:jc w:val="both"/>
      </w:pPr>
      <w:bookmarkStart w:id="2674" w:name="Bookmark_para_49_4"/>
      <w:bookmarkStart w:id="2675" w:name="Bookmark_I5H8GK1T2SF84P0030000400"/>
      <w:bookmarkStart w:id="2676" w:name="Bookmark_I5H8GK1T2HM6HY0040000400"/>
      <w:bookmarkEnd w:id="2674"/>
      <w:bookmarkEnd w:id="2675"/>
      <w:bookmarkEnd w:id="2676"/>
      <w:r>
        <w:rPr>
          <w:rFonts w:ascii="Arial" w:eastAsia="Arial" w:hAnsi="Arial" w:cs="Arial"/>
          <w:color w:val="000000"/>
          <w:sz w:val="20"/>
        </w:rPr>
        <w:t xml:space="preserve">Of particular relevance here, </w:t>
      </w:r>
      <w:bookmarkStart w:id="2677" w:name="Bookmark_LNHNREFclscc20_3"/>
      <w:bookmarkStart w:id="2678" w:name="Bookmark_I5H8GK1T2SF84P0020000400"/>
      <w:bookmarkEnd w:id="2677"/>
      <w:bookmarkEnd w:id="2678"/>
      <w:r>
        <w:rPr>
          <w:rFonts w:ascii="Arial" w:eastAsia="Arial" w:hAnsi="Arial" w:cs="Arial"/>
          <w:i/>
          <w:color w:val="000000"/>
          <w:sz w:val="20"/>
        </w:rPr>
        <w:t>United States v. Georgia</w:t>
      </w:r>
      <w:r>
        <w:rPr>
          <w:rFonts w:ascii="Arial" w:eastAsia="Arial" w:hAnsi="Arial" w:cs="Arial"/>
          <w:color w:val="000000"/>
          <w:sz w:val="20"/>
        </w:rPr>
        <w:t xml:space="preserve">, 546 U.S. 151, 126 S. Ct. 877, 163 L. Ed. 2d 650 (2006), reaffirmed that "insofar as Title II creates a private cause of action for damages against the States for conduct that actually violates the Fourteenth Amendment, Title II validly abrogates state sovereign immunity," </w:t>
      </w:r>
      <w:bookmarkStart w:id="2679" w:name="Bookmark_I5H8GK1T2SF84P0040000400"/>
      <w:bookmarkEnd w:id="2679"/>
      <w:r>
        <w:rPr>
          <w:rFonts w:ascii="Arial" w:eastAsia="Arial" w:hAnsi="Arial" w:cs="Arial"/>
          <w:i/>
          <w:color w:val="000000"/>
          <w:sz w:val="20"/>
        </w:rPr>
        <w:t>id.</w:t>
      </w:r>
      <w:r>
        <w:rPr>
          <w:rFonts w:ascii="Arial" w:eastAsia="Arial" w:hAnsi="Arial" w:cs="Arial"/>
          <w:color w:val="000000"/>
          <w:sz w:val="20"/>
        </w:rPr>
        <w:t xml:space="preserve"> at 159 (emphasis omitted).</w:t>
      </w:r>
      <w:r>
        <w:rPr>
          <w:rFonts w:ascii="Arial" w:eastAsia="Arial" w:hAnsi="Arial" w:cs="Arial"/>
          <w:vertAlign w:val="superscript"/>
        </w:rPr>
        <w:footnoteReference w:customMarkFollows="1" w:id="84"/>
        <w:t>5</w:t>
      </w:r>
      <w:r>
        <w:rPr>
          <w:rFonts w:ascii="Arial" w:eastAsia="Arial" w:hAnsi="Arial" w:cs="Arial"/>
          <w:color w:val="000000"/>
          <w:sz w:val="20"/>
        </w:rPr>
        <w:t xml:space="preserve"> Given the possibility that the petitioner's amended complaint in </w:t>
      </w:r>
      <w:r>
        <w:rPr>
          <w:rFonts w:ascii="Arial" w:eastAsia="Arial" w:hAnsi="Arial" w:cs="Arial"/>
          <w:i/>
          <w:color w:val="000000"/>
          <w:sz w:val="20"/>
        </w:rPr>
        <w:t>Georgia</w:t>
      </w:r>
      <w:r>
        <w:rPr>
          <w:rFonts w:ascii="Arial" w:eastAsia="Arial" w:hAnsi="Arial" w:cs="Arial"/>
          <w:color w:val="000000"/>
          <w:sz w:val="20"/>
        </w:rPr>
        <w:t xml:space="preserve"> might assert Title II claims not independently premised on conduct that violated the Fourteenth Amendment, as well as disagreement among the justices as to the scope of Congress's prophylactic authority, the Court remanded for the lower court to determine,</w:t>
      </w:r>
    </w:p>
    <w:p w14:paraId="55CD31AD" w14:textId="77777777" w:rsidR="002D0E71" w:rsidRDefault="00000000">
      <w:pPr>
        <w:pStyle w:val="Normal17"/>
        <w:widowControl w:val="0"/>
        <w:spacing w:before="200" w:line="260" w:lineRule="atLeast"/>
        <w:ind w:left="400"/>
        <w:jc w:val="both"/>
      </w:pPr>
      <w:bookmarkStart w:id="2683" w:name="Bookmark_para_50_4"/>
      <w:bookmarkStart w:id="2684" w:name="Bookmark_I5H8GK1T2SF84P0030000400_2"/>
      <w:bookmarkEnd w:id="2683"/>
      <w:bookmarkEnd w:id="2684"/>
      <w:r>
        <w:rPr>
          <w:rFonts w:ascii="Arial" w:eastAsia="Arial" w:hAnsi="Arial" w:cs="Arial"/>
          <w:color w:val="000000"/>
          <w:sz w:val="20"/>
        </w:rPr>
        <w:t>on a claim-by-claim basis, (1) which aspects of the State's alleged conduct violated Title II; (2) to what extent such misconduct also violated the Fourteenth Amendment; and (3) insofar as such misconduct violated Title II but did not violate the Fourteenth Amendment, whether Congress's purported abrogation of sovereign immunity as to that [**36]  class of conduct is nevertheless valid.</w:t>
      </w:r>
    </w:p>
    <w:p w14:paraId="3BF7A033" w14:textId="77777777" w:rsidR="002D0E71" w:rsidRDefault="00000000">
      <w:pPr>
        <w:pStyle w:val="Normal17"/>
        <w:widowControl w:val="0"/>
        <w:spacing w:before="200" w:line="260" w:lineRule="atLeast"/>
        <w:jc w:val="both"/>
      </w:pPr>
      <w:bookmarkStart w:id="2685" w:name="Bookmark_I5H8GK1T2SF84P0030000400_3"/>
      <w:bookmarkStart w:id="2686" w:name="Bookmark_I5H8GK1T2HM6HY0020000400"/>
      <w:bookmarkStart w:id="2687" w:name="Bookmark_I5H8GK1T2N1PXN0030000400"/>
      <w:bookmarkStart w:id="2688" w:name="Bookmark_I5PX5KJXB8N000VWWV3002XW"/>
      <w:bookmarkStart w:id="2689" w:name="Bookmark_I5PX5KJWG23000VWWV3001D5"/>
      <w:bookmarkStart w:id="2690" w:name="Bookmark_I5PX5KJX2MC000VWWV3001D9"/>
      <w:bookmarkStart w:id="2691" w:name="Bookmark_I5PX5KJWT03000VWWV3002XR"/>
      <w:bookmarkStart w:id="2692" w:name="Bookmark_I5H8GK1T2N1PXN0050000400"/>
      <w:bookmarkStart w:id="2693" w:name="Bookmark_I5PX5KJY6H7000VWWV30043F"/>
      <w:bookmarkStart w:id="2694" w:name="Bookmark_I5PX5KJXXVY000VWWV3001DF"/>
      <w:bookmarkStart w:id="2695" w:name="Bookmark_I5PX5KJXKXY000VWWV3002XY"/>
      <w:bookmarkStart w:id="2696" w:name="Bookmark_I5H8GK1T2N1PXP0030000400"/>
      <w:bookmarkEnd w:id="2685"/>
      <w:bookmarkEnd w:id="2686"/>
      <w:bookmarkEnd w:id="2687"/>
      <w:bookmarkEnd w:id="2688"/>
      <w:bookmarkEnd w:id="2689"/>
      <w:bookmarkEnd w:id="2690"/>
      <w:bookmarkEnd w:id="2691"/>
      <w:bookmarkEnd w:id="2692"/>
      <w:bookmarkEnd w:id="2693"/>
      <w:bookmarkEnd w:id="2694"/>
      <w:bookmarkEnd w:id="2695"/>
      <w:bookmarkEnd w:id="2696"/>
      <w:r>
        <w:rPr>
          <w:rFonts w:ascii="Arial" w:eastAsia="Arial" w:hAnsi="Arial" w:cs="Arial"/>
          <w:i/>
          <w:color w:val="000000"/>
          <w:sz w:val="20"/>
        </w:rPr>
        <w:t>Id.</w:t>
      </w:r>
      <w:r>
        <w:rPr>
          <w:rFonts w:ascii="Arial" w:eastAsia="Arial" w:hAnsi="Arial" w:cs="Arial"/>
          <w:color w:val="000000"/>
          <w:sz w:val="20"/>
        </w:rPr>
        <w:t xml:space="preserve"> Thus, </w:t>
      </w:r>
      <w:r>
        <w:rPr>
          <w:rFonts w:ascii="Arial" w:eastAsia="Arial" w:hAnsi="Arial" w:cs="Arial"/>
          <w:i/>
          <w:color w:val="000000"/>
          <w:sz w:val="20"/>
        </w:rPr>
        <w:t>Georgia</w:t>
      </w:r>
      <w:r>
        <w:rPr>
          <w:rFonts w:ascii="Arial" w:eastAsia="Arial" w:hAnsi="Arial" w:cs="Arial"/>
          <w:color w:val="000000"/>
          <w:sz w:val="20"/>
        </w:rPr>
        <w:t xml:space="preserve"> explicitly left open the question of whether Congress may validly abrogate sovereign immunity with respect to a particular class of misconduct that violates Title II but does not violate the Fourteenth Amendment. </w:t>
      </w:r>
      <w:bookmarkStart w:id="2697" w:name="Bookmark_I5H8GK1T2N1PXP0030000400_2"/>
      <w:bookmarkStart w:id="2698" w:name="Bookmark_I5H8GK1T2N1PXN0050000400_2"/>
      <w:bookmarkStart w:id="2699" w:name="Bookmark_I5H8GK1T2N1PXN0030000400_2"/>
      <w:bookmarkStart w:id="2700" w:name="Bookmark_I5H8GK1T2HM6HY0020000400_2"/>
      <w:bookmarkEnd w:id="2697"/>
      <w:bookmarkEnd w:id="2698"/>
      <w:bookmarkEnd w:id="2699"/>
      <w:bookmarkEnd w:id="2700"/>
      <w:r>
        <w:rPr>
          <w:rFonts w:ascii="Arial" w:eastAsia="Arial" w:hAnsi="Arial" w:cs="Arial"/>
          <w:color w:val="000000"/>
          <w:sz w:val="20"/>
        </w:rPr>
        <w:t xml:space="preserve">Continued uncertainty as to the vitality of </w:t>
      </w:r>
      <w:r>
        <w:rPr>
          <w:rFonts w:ascii="Arial" w:eastAsia="Arial" w:hAnsi="Arial" w:cs="Arial"/>
          <w:i/>
          <w:color w:val="000000"/>
          <w:sz w:val="20"/>
        </w:rPr>
        <w:t>Garcia</w:t>
      </w:r>
      <w:r>
        <w:rPr>
          <w:rFonts w:ascii="Arial" w:eastAsia="Arial" w:hAnsi="Arial" w:cs="Arial"/>
          <w:color w:val="000000"/>
          <w:sz w:val="20"/>
        </w:rPr>
        <w:t xml:space="preserve"> has led to a divergence in the approaches adopted by district courts in this Circuit in their assessment of Congress's abrogation of sovereign immunity under Title II.</w:t>
      </w:r>
      <w:r>
        <w:rPr>
          <w:rFonts w:ascii="Arial" w:eastAsia="Arial" w:hAnsi="Arial" w:cs="Arial"/>
          <w:vertAlign w:val="superscript"/>
        </w:rPr>
        <w:footnoteReference w:customMarkFollows="1" w:id="85"/>
        <w:t>6</w:t>
      </w:r>
      <w:r>
        <w:rPr>
          <w:rFonts w:ascii="Arial" w:eastAsia="Arial" w:hAnsi="Arial" w:cs="Arial"/>
          <w:color w:val="000000"/>
          <w:sz w:val="20"/>
        </w:rPr>
        <w:t xml:space="preserve"> Some district courts apply </w:t>
      </w:r>
      <w:r>
        <w:rPr>
          <w:rFonts w:ascii="Arial" w:eastAsia="Arial" w:hAnsi="Arial" w:cs="Arial"/>
          <w:i/>
          <w:color w:val="000000"/>
          <w:sz w:val="20"/>
        </w:rPr>
        <w:t>Garcia.</w:t>
      </w:r>
      <w:r>
        <w:rPr>
          <w:rFonts w:ascii="Arial" w:eastAsia="Arial" w:hAnsi="Arial" w:cs="Arial"/>
          <w:vertAlign w:val="superscript"/>
        </w:rPr>
        <w:footnoteReference w:customMarkFollows="1" w:id="86"/>
        <w:t>7</w:t>
      </w:r>
      <w:r>
        <w:rPr>
          <w:rFonts w:ascii="Arial" w:eastAsia="Arial" w:hAnsi="Arial" w:cs="Arial"/>
          <w:color w:val="000000"/>
          <w:sz w:val="20"/>
        </w:rPr>
        <w:t xml:space="preserve"> Others, adopting the approach in  [*195]  </w:t>
      </w:r>
      <w:r>
        <w:rPr>
          <w:rFonts w:ascii="Arial" w:eastAsia="Arial" w:hAnsi="Arial" w:cs="Arial"/>
          <w:i/>
          <w:color w:val="000000"/>
          <w:sz w:val="20"/>
        </w:rPr>
        <w:t>Georgia</w:t>
      </w:r>
      <w:r>
        <w:rPr>
          <w:rFonts w:ascii="Arial" w:eastAsia="Arial" w:hAnsi="Arial" w:cs="Arial"/>
          <w:color w:val="000000"/>
          <w:sz w:val="20"/>
        </w:rPr>
        <w:t>, determine whether Congress's purported abrogation of immunity for conduct that violates Title II but not the Fourteenth Amendment is nevertheless valid.</w:t>
      </w:r>
      <w:r>
        <w:rPr>
          <w:rFonts w:ascii="Arial" w:eastAsia="Arial" w:hAnsi="Arial" w:cs="Arial"/>
          <w:vertAlign w:val="superscript"/>
        </w:rPr>
        <w:footnoteReference w:customMarkFollows="1" w:id="87"/>
        <w:t>8</w:t>
      </w:r>
      <w:r>
        <w:rPr>
          <w:rFonts w:ascii="Arial" w:eastAsia="Arial" w:hAnsi="Arial" w:cs="Arial"/>
          <w:color w:val="000000"/>
          <w:sz w:val="20"/>
        </w:rPr>
        <w:t xml:space="preserve"> We express no position as to the question of whether Congress has validly abrogated sovereign immunity in the context of discrimination in access to public education on the basis of disability.</w:t>
      </w:r>
      <w:r>
        <w:rPr>
          <w:rFonts w:ascii="Arial" w:eastAsia="Arial" w:hAnsi="Arial" w:cs="Arial"/>
          <w:vertAlign w:val="superscript"/>
        </w:rPr>
        <w:footnoteReference w:customMarkFollows="1" w:id="88"/>
        <w:t>9</w:t>
      </w:r>
      <w:r>
        <w:rPr>
          <w:rFonts w:ascii="Arial" w:eastAsia="Arial" w:hAnsi="Arial" w:cs="Arial"/>
          <w:color w:val="000000"/>
          <w:sz w:val="20"/>
        </w:rPr>
        <w:t xml:space="preserve"> However, if the district court reaches this issue on remand, it should, at a minimum, evaluate whether the approach erected in </w:t>
      </w:r>
      <w:r>
        <w:rPr>
          <w:rFonts w:ascii="Arial" w:eastAsia="Arial" w:hAnsi="Arial" w:cs="Arial"/>
          <w:i/>
          <w:color w:val="000000"/>
          <w:sz w:val="20"/>
        </w:rPr>
        <w:t>Georgia</w:t>
      </w:r>
      <w:r>
        <w:rPr>
          <w:rFonts w:ascii="Arial" w:eastAsia="Arial" w:hAnsi="Arial" w:cs="Arial"/>
          <w:color w:val="000000"/>
          <w:sz w:val="20"/>
        </w:rPr>
        <w:t xml:space="preserve"> applies. </w:t>
      </w:r>
      <w:r>
        <w:rPr>
          <w:rFonts w:ascii="Arial" w:eastAsia="Arial" w:hAnsi="Arial" w:cs="Arial"/>
          <w:i/>
          <w:color w:val="000000"/>
          <w:sz w:val="20"/>
        </w:rPr>
        <w:t>See</w:t>
      </w:r>
      <w:r>
        <w:rPr>
          <w:rFonts w:ascii="Arial" w:eastAsia="Arial" w:hAnsi="Arial" w:cs="Arial"/>
          <w:color w:val="000000"/>
          <w:sz w:val="20"/>
        </w:rPr>
        <w:t xml:space="preserve"> </w:t>
      </w:r>
      <w:bookmarkStart w:id="2725" w:name="Bookmark_I5H8GK1T2HM6HY0010000400"/>
      <w:bookmarkEnd w:id="2725"/>
      <w:r>
        <w:rPr>
          <w:rFonts w:ascii="Arial" w:eastAsia="Arial" w:hAnsi="Arial" w:cs="Arial"/>
          <w:color w:val="000000"/>
          <w:sz w:val="20"/>
        </w:rPr>
        <w:t>546 U.S. at 158-59.</w:t>
      </w:r>
    </w:p>
    <w:p w14:paraId="25C9A304" w14:textId="77777777" w:rsidR="002D0E71" w:rsidRDefault="00000000">
      <w:pPr>
        <w:pStyle w:val="Normal17"/>
        <w:widowControl w:val="0"/>
        <w:spacing w:before="240" w:line="260" w:lineRule="atLeast"/>
      </w:pPr>
      <w:r>
        <w:br/>
      </w:r>
      <w:r>
        <w:rPr>
          <w:rFonts w:ascii="Arial" w:eastAsia="Arial" w:hAnsi="Arial" w:cs="Arial"/>
          <w:b/>
          <w:color w:val="000000"/>
          <w:sz w:val="20"/>
        </w:rPr>
        <w:t>CONCLUSION</w:t>
      </w:r>
    </w:p>
    <w:p w14:paraId="437F85CD" w14:textId="77777777" w:rsidR="002D0E71" w:rsidRDefault="00000000">
      <w:pPr>
        <w:pStyle w:val="Normal17"/>
        <w:widowControl w:val="0"/>
        <w:spacing w:before="200" w:line="260" w:lineRule="atLeast"/>
        <w:jc w:val="both"/>
      </w:pPr>
      <w:bookmarkStart w:id="2726" w:name="Bookmark_para_51_4"/>
      <w:bookmarkEnd w:id="2726"/>
      <w:r>
        <w:rPr>
          <w:rFonts w:ascii="Arial" w:eastAsia="Arial" w:hAnsi="Arial" w:cs="Arial"/>
          <w:color w:val="000000"/>
          <w:sz w:val="20"/>
        </w:rPr>
        <w:t>For the foregoing reasons, the judgment of the district court is affirmed in part, vacated in part, and remanded for further proceedings consistent with this opinion.</w:t>
      </w:r>
    </w:p>
    <w:p w14:paraId="0E3CEFE7" w14:textId="77777777" w:rsidR="002D0E71" w:rsidRDefault="002D0E71">
      <w:pPr>
        <w:pStyle w:val="Normal17"/>
      </w:pPr>
    </w:p>
    <w:p w14:paraId="52CC3002" w14:textId="054E6A75" w:rsidR="002D0E71" w:rsidRDefault="00000000">
      <w:pPr>
        <w:pStyle w:val="Normal17"/>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96128" behindDoc="0" locked="0" layoutInCell="1" allowOverlap="1" wp14:anchorId="1CDDD274" wp14:editId="2F5FB278">
                <wp:simplePos x="0" y="0"/>
                <wp:positionH relativeFrom="column">
                  <wp:posOffset>0</wp:posOffset>
                </wp:positionH>
                <wp:positionV relativeFrom="paragraph">
                  <wp:posOffset>127000</wp:posOffset>
                </wp:positionV>
                <wp:extent cx="6502400" cy="0"/>
                <wp:effectExtent l="9525" t="12700" r="12700" b="6350"/>
                <wp:wrapNone/>
                <wp:docPr id="775188616"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C3E328" id="Line 3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E5A9450" w14:textId="77777777" w:rsidR="002D0E71" w:rsidRDefault="002D0E71">
      <w:pPr>
        <w:pStyle w:val="Normal18"/>
        <w:sectPr w:rsidR="002D0E71">
          <w:headerReference w:type="even" r:id="rId114"/>
          <w:headerReference w:type="default" r:id="rId115"/>
          <w:footerReference w:type="even" r:id="rId116"/>
          <w:footerReference w:type="default" r:id="rId117"/>
          <w:headerReference w:type="first" r:id="rId118"/>
          <w:footerReference w:type="first" r:id="rId119"/>
          <w:pgSz w:w="12240" w:h="15840"/>
          <w:pgMar w:top="840" w:right="1000" w:bottom="840" w:left="1000" w:header="400" w:footer="400" w:gutter="0"/>
          <w:cols w:space="720"/>
          <w:titlePg/>
        </w:sectPr>
      </w:pPr>
    </w:p>
    <w:p w14:paraId="73F8CE39" w14:textId="77777777" w:rsidR="002D0E71" w:rsidRDefault="002D0E71">
      <w:pPr>
        <w:pStyle w:val="Normal18"/>
      </w:pPr>
    </w:p>
    <w:p w14:paraId="2B0C6901" w14:textId="77777777" w:rsidR="002D0E71" w:rsidRDefault="00000000">
      <w:pPr>
        <w:pStyle w:val="Heading117"/>
        <w:keepNext w:val="0"/>
        <w:widowControl w:val="0"/>
        <w:spacing w:after="200" w:line="340" w:lineRule="atLeast"/>
        <w:jc w:val="center"/>
      </w:pPr>
      <w:r>
        <w:rPr>
          <w:rFonts w:eastAsia="Arial"/>
          <w:color w:val="000000"/>
          <w:sz w:val="28"/>
        </w:rPr>
        <w:t>Perez v. Doctors Hosp. at Renaissance, Ltd.</w:t>
      </w:r>
    </w:p>
    <w:p w14:paraId="16250E6D" w14:textId="77777777" w:rsidR="002D0E71" w:rsidRDefault="00000000">
      <w:pPr>
        <w:pStyle w:val="Normal18"/>
        <w:widowControl w:val="0"/>
        <w:spacing w:before="120" w:line="260" w:lineRule="atLeast"/>
        <w:jc w:val="center"/>
      </w:pPr>
      <w:r>
        <w:rPr>
          <w:rFonts w:ascii="Arial" w:eastAsia="Arial" w:hAnsi="Arial" w:cs="Arial"/>
          <w:color w:val="000000"/>
          <w:sz w:val="20"/>
        </w:rPr>
        <w:t>United States Court of Appeals for the Fifth Circuit</w:t>
      </w:r>
    </w:p>
    <w:p w14:paraId="26A734E1" w14:textId="77777777" w:rsidR="002D0E71" w:rsidRDefault="00000000">
      <w:pPr>
        <w:pStyle w:val="Normal18"/>
        <w:widowControl w:val="0"/>
        <w:spacing w:before="120" w:line="260" w:lineRule="atLeast"/>
        <w:jc w:val="center"/>
      </w:pPr>
      <w:r>
        <w:rPr>
          <w:rFonts w:ascii="Arial" w:eastAsia="Arial" w:hAnsi="Arial" w:cs="Arial"/>
          <w:color w:val="000000"/>
          <w:sz w:val="20"/>
        </w:rPr>
        <w:t>August 28, 2015, Filed</w:t>
      </w:r>
    </w:p>
    <w:p w14:paraId="77A467F0" w14:textId="77777777" w:rsidR="002D0E71" w:rsidRDefault="00000000">
      <w:pPr>
        <w:pStyle w:val="Normal18"/>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14-41349</w:t>
      </w:r>
    </w:p>
    <w:p w14:paraId="793457F9" w14:textId="77777777" w:rsidR="002D0E71" w:rsidRDefault="002D0E71">
      <w:pPr>
        <w:pStyle w:val="Normal18"/>
        <w:widowControl w:val="0"/>
        <w:spacing w:line="240" w:lineRule="atLeast"/>
        <w:jc w:val="both"/>
      </w:pPr>
      <w:bookmarkStart w:id="2727" w:name="Bookmark_19"/>
      <w:bookmarkEnd w:id="2727"/>
    </w:p>
    <w:p w14:paraId="681FD9F9" w14:textId="77777777" w:rsidR="002D0E71" w:rsidRDefault="00000000">
      <w:pPr>
        <w:pStyle w:val="Normal18"/>
        <w:widowControl w:val="0"/>
        <w:spacing w:before="200" w:line="240" w:lineRule="atLeast"/>
      </w:pPr>
      <w:bookmarkStart w:id="2728" w:name="Reporter_17"/>
      <w:bookmarkEnd w:id="2728"/>
      <w:r>
        <w:rPr>
          <w:rFonts w:ascii="Arial" w:eastAsia="Arial" w:hAnsi="Arial" w:cs="Arial"/>
          <w:b/>
          <w:color w:val="000000"/>
          <w:sz w:val="18"/>
        </w:rPr>
        <w:t>Reporter</w:t>
      </w:r>
    </w:p>
    <w:p w14:paraId="28FA22AA" w14:textId="77777777" w:rsidR="002D0E71" w:rsidRDefault="00000000">
      <w:pPr>
        <w:pStyle w:val="Normal18"/>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624 Fed. Appx. 180 *; 2015 U.S. App. LEXIS 15351 **</w:t>
      </w:r>
    </w:p>
    <w:p w14:paraId="1F109B3E" w14:textId="77777777" w:rsidR="002D0E71" w:rsidRDefault="00000000">
      <w:pPr>
        <w:pStyle w:val="Normal18"/>
        <w:widowControl w:val="0"/>
        <w:spacing w:before="120" w:line="260" w:lineRule="atLeast"/>
      </w:pPr>
      <w:r>
        <w:rPr>
          <w:rFonts w:ascii="Arial" w:eastAsia="Arial" w:hAnsi="Arial" w:cs="Arial"/>
          <w:color w:val="000000"/>
          <w:sz w:val="20"/>
        </w:rPr>
        <w:t>ROLANDO PEREZ; MIRIAM PEREZ, Plaintiffs - Appellants v. DOCTORS HOSPITAL AT RENAISSANCE, LIMITED, Defendant - Appellee</w:t>
      </w:r>
    </w:p>
    <w:p w14:paraId="5B2057F0" w14:textId="77777777" w:rsidR="002D0E71" w:rsidRDefault="00000000">
      <w:pPr>
        <w:pStyle w:val="Normal18"/>
        <w:widowControl w:val="0"/>
        <w:spacing w:before="240" w:line="260" w:lineRule="atLeast"/>
        <w:jc w:val="both"/>
      </w:pPr>
      <w:bookmarkStart w:id="2729" w:name="Notice_4"/>
      <w:bookmarkEnd w:id="2729"/>
      <w:r>
        <w:rPr>
          <w:rFonts w:ascii="Arial" w:eastAsia="Arial" w:hAnsi="Arial" w:cs="Arial"/>
          <w:b/>
          <w:color w:val="000000"/>
          <w:sz w:val="20"/>
        </w:rPr>
        <w:t>Notice:</w:t>
      </w:r>
      <w:r>
        <w:rPr>
          <w:rFonts w:ascii="Arial" w:eastAsia="Arial" w:hAnsi="Arial" w:cs="Arial"/>
          <w:color w:val="000000"/>
          <w:sz w:val="20"/>
        </w:rPr>
        <w:t> </w:t>
      </w:r>
      <w:bookmarkStart w:id="2730" w:name="Bookmark_para_1_17"/>
      <w:bookmarkEnd w:id="2730"/>
      <w:r>
        <w:rPr>
          <w:rFonts w:ascii="Arial" w:eastAsia="Arial" w:hAnsi="Arial" w:cs="Arial"/>
          <w:color w:val="000000"/>
          <w:sz w:val="20"/>
        </w:rPr>
        <w:t>PLEASE REFER TO FEDERAL RULES OF APPELLATE PROCEDURE RULE 32.1 GOVERNING THE CITATION TO UNPUBLISHED OPINIONS.</w:t>
      </w:r>
    </w:p>
    <w:p w14:paraId="02DA77CB" w14:textId="77777777" w:rsidR="002D0E71" w:rsidRDefault="00000000">
      <w:pPr>
        <w:pStyle w:val="Normal18"/>
        <w:widowControl w:val="0"/>
        <w:spacing w:before="240" w:line="260" w:lineRule="atLeast"/>
      </w:pPr>
      <w:bookmarkStart w:id="2731" w:name="Subsequent_History_6"/>
      <w:bookmarkEnd w:id="2731"/>
      <w:r>
        <w:rPr>
          <w:rFonts w:ascii="Arial" w:eastAsia="Arial" w:hAnsi="Arial" w:cs="Arial"/>
          <w:b/>
          <w:color w:val="000000"/>
          <w:sz w:val="20"/>
        </w:rPr>
        <w:t>Subsequent History:</w:t>
      </w:r>
      <w:r>
        <w:rPr>
          <w:rFonts w:ascii="Arial" w:eastAsia="Arial" w:hAnsi="Arial" w:cs="Arial"/>
          <w:color w:val="000000"/>
          <w:sz w:val="20"/>
        </w:rPr>
        <w:t> Later proceeding at, On remand at Perez v. Doctors Hosp. at Renaissance, 2015 U.S. Dist. LEXIS 180581 (S.D. Tex., Sept. 18, 2015)</w:t>
      </w:r>
    </w:p>
    <w:p w14:paraId="123265EA" w14:textId="77777777" w:rsidR="002D0E71" w:rsidRDefault="00000000">
      <w:pPr>
        <w:pStyle w:val="Normal18"/>
        <w:widowControl w:val="0"/>
        <w:spacing w:before="120" w:line="260" w:lineRule="atLeast"/>
      </w:pPr>
      <w:r>
        <w:rPr>
          <w:rFonts w:ascii="Arial" w:eastAsia="Arial" w:hAnsi="Arial" w:cs="Arial"/>
          <w:color w:val="000000"/>
          <w:sz w:val="20"/>
        </w:rPr>
        <w:t>Later proceeding at, On remand at Perez v. Doctors Hosp. at Renaissance, Ltd., 2015 U.S. Dist. LEXIS 180583 (S.D. Tex., Sept. 18, 2015)</w:t>
      </w:r>
    </w:p>
    <w:p w14:paraId="327C7A35" w14:textId="77777777" w:rsidR="002D0E71" w:rsidRDefault="00000000">
      <w:pPr>
        <w:pStyle w:val="Normal18"/>
        <w:widowControl w:val="0"/>
        <w:spacing w:before="240" w:line="260" w:lineRule="atLeast"/>
        <w:jc w:val="both"/>
      </w:pPr>
      <w:bookmarkStart w:id="2732" w:name="Prior_History_17"/>
      <w:bookmarkEnd w:id="2732"/>
      <w:r>
        <w:rPr>
          <w:rFonts w:ascii="Arial" w:eastAsia="Arial" w:hAnsi="Arial" w:cs="Arial"/>
          <w:b/>
          <w:color w:val="000000"/>
          <w:sz w:val="20"/>
        </w:rPr>
        <w:t>Prior History:</w:t>
      </w:r>
      <w:r>
        <w:rPr>
          <w:rFonts w:ascii="Arial" w:eastAsia="Arial" w:hAnsi="Arial" w:cs="Arial"/>
          <w:color w:val="000000"/>
          <w:sz w:val="20"/>
        </w:rPr>
        <w:t> </w:t>
      </w:r>
      <w:bookmarkStart w:id="2733" w:name="Bookmark_para_2_17"/>
      <w:bookmarkEnd w:id="2733"/>
      <w:r>
        <w:rPr>
          <w:rFonts w:ascii="Arial" w:eastAsia="Arial" w:hAnsi="Arial" w:cs="Arial"/>
          <w:color w:val="000000"/>
          <w:sz w:val="20"/>
        </w:rPr>
        <w:t> [**1] Appeal from the United States District Court for the Southern District of Texas. USDC No. 7:13-CV-124.</w:t>
      </w:r>
    </w:p>
    <w:p w14:paraId="6C691692" w14:textId="77777777" w:rsidR="002D0E71" w:rsidRDefault="00000000">
      <w:pPr>
        <w:pStyle w:val="Normal18"/>
        <w:widowControl w:val="0"/>
        <w:spacing w:before="240" w:line="260" w:lineRule="atLeast"/>
      </w:pPr>
      <w:bookmarkStart w:id="2734" w:name="Counsel_17"/>
      <w:bookmarkEnd w:id="2734"/>
      <w:r>
        <w:rPr>
          <w:rFonts w:ascii="Arial" w:eastAsia="Arial" w:hAnsi="Arial" w:cs="Arial"/>
          <w:b/>
          <w:color w:val="000000"/>
          <w:sz w:val="20"/>
        </w:rPr>
        <w:t>Counsel:</w:t>
      </w:r>
      <w:r>
        <w:rPr>
          <w:rFonts w:ascii="Arial" w:eastAsia="Arial" w:hAnsi="Arial" w:cs="Arial"/>
          <w:color w:val="000000"/>
          <w:sz w:val="20"/>
        </w:rPr>
        <w:t> For Rolando Perez, Miriam Perez, Plaintiffs - Appellants: Efren Carlos Olivares, South Texas Civil Rights Project, Alamo, TX; Wayne Krause Yang, Esq., Texas Civil Rights Project, Austin, TX; Ralph I. Miller, Esq., Weil, Gotshal &amp; Manges, L.L.P., Washington, DC.</w:t>
      </w:r>
    </w:p>
    <w:p w14:paraId="1693DEA5" w14:textId="77777777" w:rsidR="002D0E71" w:rsidRDefault="00000000">
      <w:pPr>
        <w:pStyle w:val="Normal18"/>
        <w:widowControl w:val="0"/>
        <w:spacing w:before="120" w:line="260" w:lineRule="atLeast"/>
      </w:pPr>
      <w:r>
        <w:rPr>
          <w:rFonts w:ascii="Arial" w:eastAsia="Arial" w:hAnsi="Arial" w:cs="Arial"/>
          <w:color w:val="000000"/>
          <w:sz w:val="20"/>
        </w:rPr>
        <w:t>For Doctors Hospital at Renaissance, Limited, Defendant - Appellee: Raymond L. Thomas, Ricardo Pumarejo Jr., Kittleman Thomas, P.L.L.C., McAllen, TX.</w:t>
      </w:r>
    </w:p>
    <w:p w14:paraId="41D1204E" w14:textId="77777777" w:rsidR="002D0E71" w:rsidRDefault="00000000">
      <w:pPr>
        <w:pStyle w:val="Normal18"/>
        <w:widowControl w:val="0"/>
        <w:spacing w:before="240" w:line="260" w:lineRule="atLeast"/>
      </w:pPr>
      <w:bookmarkStart w:id="2735" w:name="Judges_17"/>
      <w:bookmarkEnd w:id="2735"/>
      <w:r>
        <w:rPr>
          <w:rFonts w:ascii="Arial" w:eastAsia="Arial" w:hAnsi="Arial" w:cs="Arial"/>
          <w:b/>
          <w:color w:val="000000"/>
          <w:sz w:val="20"/>
        </w:rPr>
        <w:t>Judges:</w:t>
      </w:r>
      <w:r>
        <w:rPr>
          <w:rFonts w:ascii="Arial" w:eastAsia="Arial" w:hAnsi="Arial" w:cs="Arial"/>
          <w:color w:val="000000"/>
          <w:sz w:val="20"/>
        </w:rPr>
        <w:t> Before WIENER, CLEMENT and SOUTHWICK, Circuit Judges.</w:t>
      </w:r>
    </w:p>
    <w:p w14:paraId="0ED12B4D" w14:textId="77777777" w:rsidR="002D0E71" w:rsidRDefault="00000000">
      <w:pPr>
        <w:pStyle w:val="Normal18"/>
        <w:keepNext/>
        <w:widowControl w:val="0"/>
        <w:spacing w:before="240" w:line="340" w:lineRule="atLeast"/>
      </w:pPr>
      <w:bookmarkStart w:id="2736" w:name="Opinion_17"/>
      <w:bookmarkEnd w:id="2736"/>
      <w:r>
        <w:rPr>
          <w:rFonts w:ascii="Arial" w:eastAsia="Arial" w:hAnsi="Arial" w:cs="Arial"/>
          <w:b/>
          <w:color w:val="000000"/>
          <w:sz w:val="28"/>
        </w:rPr>
        <w:t>Opinion</w:t>
      </w:r>
    </w:p>
    <w:p w14:paraId="0976F015" w14:textId="3BDDCE7C" w:rsidR="002D0E71" w:rsidRDefault="002939DF">
      <w:pPr>
        <w:pStyle w:val="Normal18"/>
        <w:spacing w:line="60" w:lineRule="exact"/>
      </w:pPr>
      <w:r>
        <w:rPr>
          <w:noProof/>
        </w:rPr>
        <mc:AlternateContent>
          <mc:Choice Requires="wps">
            <w:drawing>
              <wp:anchor distT="0" distB="0" distL="114300" distR="114300" simplePos="0" relativeHeight="251697152" behindDoc="0" locked="0" layoutInCell="1" allowOverlap="1" wp14:anchorId="04DF7FFD" wp14:editId="1F77394C">
                <wp:simplePos x="0" y="0"/>
                <wp:positionH relativeFrom="column">
                  <wp:posOffset>0</wp:posOffset>
                </wp:positionH>
                <wp:positionV relativeFrom="paragraph">
                  <wp:posOffset>25400</wp:posOffset>
                </wp:positionV>
                <wp:extent cx="3187700" cy="0"/>
                <wp:effectExtent l="19050" t="15875" r="12700" b="12700"/>
                <wp:wrapTopAndBottom/>
                <wp:docPr id="425764235"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CD457" id="Line 39"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2E51791" w14:textId="77777777" w:rsidR="002D0E71" w:rsidRDefault="002D0E71">
      <w:pPr>
        <w:pStyle w:val="Normal18"/>
      </w:pPr>
    </w:p>
    <w:p w14:paraId="19C5E986" w14:textId="77777777" w:rsidR="002D0E71" w:rsidRDefault="00000000">
      <w:pPr>
        <w:pStyle w:val="Normal18"/>
        <w:widowControl w:val="0"/>
        <w:spacing w:before="200" w:line="260" w:lineRule="atLeast"/>
        <w:jc w:val="both"/>
      </w:pPr>
      <w:bookmarkStart w:id="2737" w:name="Bookmark_para_3_17"/>
      <w:bookmarkEnd w:id="2737"/>
      <w:r>
        <w:rPr>
          <w:rFonts w:ascii="Arial" w:eastAsia="Arial" w:hAnsi="Arial" w:cs="Arial"/>
          <w:color w:val="000000"/>
          <w:sz w:val="20"/>
        </w:rPr>
        <w:t> [*181]  PER CURIAM:</w:t>
      </w:r>
      <w:r>
        <w:rPr>
          <w:rFonts w:ascii="Arial" w:eastAsia="Arial" w:hAnsi="Arial" w:cs="Arial"/>
          <w:vertAlign w:val="superscript"/>
        </w:rPr>
        <w:footnoteReference w:customMarkFollows="1" w:id="89"/>
        <w:t>*</w:t>
      </w:r>
    </w:p>
    <w:p w14:paraId="589C76F8" w14:textId="77777777" w:rsidR="002D0E71" w:rsidRDefault="00000000">
      <w:pPr>
        <w:pStyle w:val="Normal18"/>
        <w:widowControl w:val="0"/>
        <w:spacing w:before="200" w:line="260" w:lineRule="atLeast"/>
        <w:jc w:val="both"/>
      </w:pPr>
      <w:bookmarkStart w:id="2739" w:name="Bookmark_para_4_17"/>
      <w:bookmarkEnd w:id="2739"/>
      <w:r>
        <w:rPr>
          <w:rFonts w:ascii="Arial" w:eastAsia="Arial" w:hAnsi="Arial" w:cs="Arial"/>
          <w:color w:val="000000"/>
          <w:sz w:val="20"/>
        </w:rPr>
        <w:t>Plaintiffs Rolando and Miriam Perez brought claims against defendant Doctors  [*182]  Hospital at Renaissance, Limited, pursuant to Title III of the Americans with Disabilities Act, Section 504 of the Rehabilitation Act, and Chapter 121 of the Texas Human Resources Code. The district court granted summary judgment to DHR on all claims. We REVERSE the judgment and REMAND for further proceedings.</w:t>
      </w:r>
    </w:p>
    <w:p w14:paraId="058CF844" w14:textId="77777777" w:rsidR="002D0E71" w:rsidRDefault="00000000">
      <w:pPr>
        <w:pStyle w:val="Normal18"/>
        <w:widowControl w:val="0"/>
        <w:spacing w:before="120" w:line="260" w:lineRule="atLeast"/>
      </w:pPr>
      <w:r>
        <w:rPr>
          <w:rFonts w:ascii="Arial" w:eastAsia="Arial" w:hAnsi="Arial" w:cs="Arial"/>
          <w:color w:val="000000"/>
          <w:sz w:val="20"/>
        </w:rPr>
        <w:t>FACTUAL AND PROCEDURAL BACKGROUND</w:t>
      </w:r>
    </w:p>
    <w:p w14:paraId="0C1CF8F6" w14:textId="77777777" w:rsidR="002D0E71" w:rsidRDefault="00000000">
      <w:pPr>
        <w:pStyle w:val="Normal18"/>
        <w:widowControl w:val="0"/>
        <w:spacing w:before="200" w:line="260" w:lineRule="atLeast"/>
        <w:jc w:val="both"/>
      </w:pPr>
      <w:bookmarkStart w:id="2740" w:name="Bookmark_para_5_17"/>
      <w:bookmarkEnd w:id="2740"/>
      <w:r>
        <w:rPr>
          <w:rFonts w:ascii="Arial" w:eastAsia="Arial" w:hAnsi="Arial" w:cs="Arial"/>
          <w:color w:val="000000"/>
          <w:sz w:val="20"/>
        </w:rPr>
        <w:t>On January 16, 2011, the plaintiffs took their four-month-old daughter to the emergency [**2]  room at Doctors Hospital at Renaissance ("DHR"), located in Edinburg, Texas. Their daughter was diagnosed with a brain tumor that required monthly treatment at DHR. Mrs. Perez is completely deaf and communicates exclusively in American Sign Language ("ASL"). Her ability to read and write is limited. Mr. Perez is completely deaf in his right ear and cannot hear well in his left ear. His primary language is ASL and he reads and writes in English only with difficulty. DHR has known the plaintiffs required auxiliary services during their hospital visits since at least January 2011.</w:t>
      </w:r>
    </w:p>
    <w:p w14:paraId="4E87A7F1" w14:textId="77777777" w:rsidR="002D0E71" w:rsidRDefault="00000000">
      <w:pPr>
        <w:pStyle w:val="Normal18"/>
        <w:widowControl w:val="0"/>
        <w:spacing w:before="200" w:line="260" w:lineRule="atLeast"/>
        <w:jc w:val="both"/>
      </w:pPr>
      <w:bookmarkStart w:id="2741" w:name="Bookmark_para_6_17"/>
      <w:bookmarkEnd w:id="2741"/>
      <w:r>
        <w:rPr>
          <w:rFonts w:ascii="Arial" w:eastAsia="Arial" w:hAnsi="Arial" w:cs="Arial"/>
          <w:color w:val="000000"/>
          <w:sz w:val="20"/>
        </w:rPr>
        <w:t>The plaintiffs allege that throughout 2011 and part of 2012, DHR repeatedly failed to provide them an interpreter. On the occasions DHR did provide them an interpreter, the plaintiffs allege they would sometimes have to wait "upwards of a full day" for the interpreter to arrive. The plaintiffs' daughter's first round of chemotherapy ended in January 2013. The plaintiffs do not allege that there were any problems with DHR's provision of auxiliary services for the time period of 2013 through early 2014. In April 2014, the plaintiffs' daughter was diagnosed a second time with cancer and ordered to undergo chemotherapy [**3]  over an 80-week period. The plaintiffs allege that after this second diagnosis they again experienced problems with DHR's auxiliary services. They allege that an interpreter was not always provided. Furthermore, the video remote imaging ("VRI") machines, which DHR began to offer to the plaintiffs in late 2013, did not always function properly. They also allege that DHR's medical staff was, at times, unable to operate the machines and that some nurses did not understand or know about VRI.</w:t>
      </w:r>
    </w:p>
    <w:p w14:paraId="4542B9B1" w14:textId="77777777" w:rsidR="002D0E71" w:rsidRDefault="00000000">
      <w:pPr>
        <w:pStyle w:val="Normal18"/>
        <w:widowControl w:val="0"/>
        <w:spacing w:before="200" w:line="260" w:lineRule="atLeast"/>
        <w:jc w:val="both"/>
      </w:pPr>
      <w:bookmarkStart w:id="2742" w:name="Bookmark_para_7_16"/>
      <w:bookmarkEnd w:id="2742"/>
      <w:r>
        <w:rPr>
          <w:rFonts w:ascii="Arial" w:eastAsia="Arial" w:hAnsi="Arial" w:cs="Arial"/>
          <w:color w:val="000000"/>
          <w:sz w:val="20"/>
        </w:rPr>
        <w:t>The plaintiffs filed suit against DHR in March 2013. In June 2014, DHR moved for partial summary judgment on the plaintiffs' federal claims. In July, the district court held a hearing on the motion and granted summary judgment to DHR on the plaintiffs' Americans with Disabilities Act ("ADA") and Rehabilitation Act ("RA") claims. In August, DHR moved for summary judgment on the plaintiffs' state-law claims, which the district court granted. The plaintiffs timely appealed.</w:t>
      </w:r>
    </w:p>
    <w:p w14:paraId="2BDA9FC8" w14:textId="77777777" w:rsidR="002D0E71" w:rsidRDefault="00000000">
      <w:pPr>
        <w:pStyle w:val="Normal18"/>
        <w:widowControl w:val="0"/>
        <w:spacing w:before="120" w:line="260" w:lineRule="atLeast"/>
      </w:pPr>
      <w:r>
        <w:rPr>
          <w:rFonts w:ascii="Arial" w:eastAsia="Arial" w:hAnsi="Arial" w:cs="Arial"/>
          <w:color w:val="000000"/>
          <w:sz w:val="20"/>
        </w:rPr>
        <w:t>DISCUSSION</w:t>
      </w:r>
    </w:p>
    <w:p w14:paraId="7D308562" w14:textId="77777777" w:rsidR="002D0E71" w:rsidRDefault="00000000">
      <w:pPr>
        <w:pStyle w:val="Normal18"/>
        <w:widowControl w:val="0"/>
        <w:spacing w:before="200" w:line="260" w:lineRule="atLeast"/>
        <w:jc w:val="both"/>
      </w:pPr>
      <w:bookmarkStart w:id="2743" w:name="Bookmark_para_8_16"/>
      <w:bookmarkStart w:id="2744" w:name="Bookmark_I5H0TDV22HM5X50020000400"/>
      <w:bookmarkStart w:id="2745" w:name="Bookmark_LNHNREFclscc1_14"/>
      <w:bookmarkEnd w:id="2743"/>
      <w:bookmarkEnd w:id="2744"/>
      <w:bookmarkEnd w:id="2745"/>
      <w:r>
        <w:rPr>
          <w:rFonts w:ascii="Arial" w:eastAsia="Arial" w:hAnsi="Arial" w:cs="Arial"/>
          <w:color w:val="000000"/>
          <w:sz w:val="20"/>
        </w:rPr>
        <w:t xml:space="preserve">"We review a district court's ruling on a motion for summary judgment </w:t>
      </w:r>
      <w:r>
        <w:rPr>
          <w:rFonts w:ascii="Arial" w:eastAsia="Arial" w:hAnsi="Arial" w:cs="Arial"/>
          <w:i/>
          <w:color w:val="000000"/>
          <w:sz w:val="20"/>
        </w:rPr>
        <w:t>de novo</w:t>
      </w:r>
      <w:r>
        <w:rPr>
          <w:rFonts w:ascii="Arial" w:eastAsia="Arial" w:hAnsi="Arial" w:cs="Arial"/>
          <w:color w:val="000000"/>
          <w:sz w:val="20"/>
        </w:rPr>
        <w:t xml:space="preserve"> and apply the same legal standards as the district court." </w:t>
      </w:r>
      <w:bookmarkStart w:id="2746" w:name="Bookmark_I5H0TDV22HM5X50010000400"/>
      <w:bookmarkEnd w:id="2746"/>
      <w:r>
        <w:rPr>
          <w:rFonts w:ascii="Arial" w:eastAsia="Arial" w:hAnsi="Arial" w:cs="Arial"/>
          <w:i/>
          <w:color w:val="000000"/>
          <w:sz w:val="20"/>
        </w:rPr>
        <w:t>Bellard v. Gautreaux</w:t>
      </w:r>
      <w:r>
        <w:rPr>
          <w:rFonts w:ascii="Arial" w:eastAsia="Arial" w:hAnsi="Arial" w:cs="Arial"/>
          <w:color w:val="000000"/>
          <w:sz w:val="20"/>
        </w:rPr>
        <w:t xml:space="preserve">, 675 F.3d 454, 460 (5th Cir. 2012). </w:t>
      </w:r>
      <w:bookmarkStart w:id="2747" w:name="Bookmark_LNHNREFclscc2_14"/>
      <w:bookmarkEnd w:id="2747"/>
      <w:r>
        <w:rPr>
          <w:rFonts w:ascii="Arial" w:eastAsia="Arial" w:hAnsi="Arial" w:cs="Arial"/>
          <w:color w:val="000000"/>
          <w:sz w:val="20"/>
        </w:rPr>
        <w:t>Summary judgment is proper when the "movant shows that there is no genuine dispute as [**4]  to any material fact and the movant is entitled to judgment as a matter of law."</w:t>
      </w:r>
      <w:r>
        <w:rPr>
          <w:rFonts w:ascii="Arial" w:eastAsia="Arial" w:hAnsi="Arial" w:cs="Arial"/>
          <w:smallCaps/>
          <w:color w:val="000000"/>
          <w:sz w:val="20"/>
        </w:rPr>
        <w:t>Fed. R. Civ. P.</w:t>
      </w:r>
      <w:r>
        <w:rPr>
          <w:rFonts w:ascii="Arial" w:eastAsia="Arial" w:hAnsi="Arial" w:cs="Arial"/>
          <w:color w:val="000000"/>
          <w:sz w:val="20"/>
        </w:rPr>
        <w:t xml:space="preserve"> 56(a).</w:t>
      </w:r>
    </w:p>
    <w:p w14:paraId="4979F69D" w14:textId="77777777" w:rsidR="002D0E71" w:rsidRDefault="00000000">
      <w:pPr>
        <w:pStyle w:val="Normal18"/>
        <w:widowControl w:val="0"/>
        <w:spacing w:before="240" w:line="260" w:lineRule="atLeast"/>
      </w:pPr>
      <w:r>
        <w:br/>
      </w:r>
      <w:r>
        <w:rPr>
          <w:rFonts w:ascii="Arial" w:eastAsia="Arial" w:hAnsi="Arial" w:cs="Arial"/>
          <w:i/>
          <w:color w:val="000000"/>
          <w:sz w:val="20"/>
        </w:rPr>
        <w:t>I. Title III of the Americans with Disabilities Act</w:t>
      </w:r>
    </w:p>
    <w:p w14:paraId="66F6C22B" w14:textId="77777777" w:rsidR="002D0E71" w:rsidRDefault="00000000">
      <w:pPr>
        <w:pStyle w:val="Normal18"/>
        <w:widowControl w:val="0"/>
        <w:spacing w:before="200" w:line="260" w:lineRule="atLeast"/>
        <w:jc w:val="both"/>
      </w:pPr>
      <w:bookmarkStart w:id="2748" w:name="Bookmark_para_9_16"/>
      <w:bookmarkEnd w:id="2748"/>
      <w:r>
        <w:rPr>
          <w:rFonts w:ascii="Arial" w:eastAsia="Arial" w:hAnsi="Arial" w:cs="Arial"/>
          <w:color w:val="000000"/>
          <w:sz w:val="20"/>
        </w:rPr>
        <w:t xml:space="preserve">Title III of the ADA provides: </w:t>
      </w:r>
      <w:bookmarkStart w:id="2749" w:name="Bookmark_LNHNREFclscc3_14"/>
      <w:bookmarkEnd w:id="2749"/>
      <w:r>
        <w:rPr>
          <w:rFonts w:ascii="Arial" w:eastAsia="Arial" w:hAnsi="Arial" w:cs="Arial"/>
          <w:color w:val="000000"/>
          <w:sz w:val="20"/>
        </w:rPr>
        <w:t xml:space="preserve">"No individual shall be discriminated against on the basis of disability in the full and equal enjoyment of the goods, services, facilities,  [*183]  privileges, advantages, or accommodations of any place of public accommodation by any person who owns . . . or operates a place of public accommodation." 42 U.S.C. § 12182(a). </w:t>
      </w:r>
      <w:bookmarkStart w:id="2750" w:name="Bookmark_I5H0TDV22HM5X50040000400"/>
      <w:bookmarkStart w:id="2751" w:name="Bookmark_LNHNREFclscc4_14"/>
      <w:bookmarkEnd w:id="2750"/>
      <w:bookmarkEnd w:id="2751"/>
      <w:r>
        <w:rPr>
          <w:rFonts w:ascii="Arial" w:eastAsia="Arial" w:hAnsi="Arial" w:cs="Arial"/>
          <w:color w:val="000000"/>
          <w:sz w:val="20"/>
        </w:rPr>
        <w:t xml:space="preserve">A hospital is a public accommodation under Title III of the ADA. </w:t>
      </w:r>
      <w:r>
        <w:rPr>
          <w:rFonts w:ascii="Arial" w:eastAsia="Arial" w:hAnsi="Arial" w:cs="Arial"/>
          <w:i/>
          <w:color w:val="000000"/>
          <w:sz w:val="20"/>
        </w:rPr>
        <w:t>See id.</w:t>
      </w:r>
      <w:r>
        <w:rPr>
          <w:rFonts w:ascii="Arial" w:eastAsia="Arial" w:hAnsi="Arial" w:cs="Arial"/>
          <w:color w:val="000000"/>
          <w:sz w:val="20"/>
        </w:rPr>
        <w:t xml:space="preserve"> § 12181(7)(F). </w:t>
      </w:r>
      <w:bookmarkStart w:id="2752" w:name="Bookmark_LNHNREFclscc5_14"/>
      <w:bookmarkEnd w:id="2752"/>
      <w:r>
        <w:rPr>
          <w:rFonts w:ascii="Arial" w:eastAsia="Arial" w:hAnsi="Arial" w:cs="Arial"/>
          <w:color w:val="000000"/>
          <w:sz w:val="20"/>
        </w:rPr>
        <w:t xml:space="preserve">Damages are not available for a Title III ADA claim brought by a private party, but a private party may seek injunctive relief. </w:t>
      </w:r>
      <w:r>
        <w:rPr>
          <w:rFonts w:ascii="Arial" w:eastAsia="Arial" w:hAnsi="Arial" w:cs="Arial"/>
          <w:i/>
          <w:color w:val="000000"/>
          <w:sz w:val="20"/>
        </w:rPr>
        <w:t>See id.</w:t>
      </w:r>
      <w:r>
        <w:rPr>
          <w:rFonts w:ascii="Arial" w:eastAsia="Arial" w:hAnsi="Arial" w:cs="Arial"/>
          <w:color w:val="000000"/>
          <w:sz w:val="20"/>
        </w:rPr>
        <w:t xml:space="preserve"> § 12188(a); </w:t>
      </w:r>
      <w:bookmarkStart w:id="2753" w:name="Bookmark_I5H0TDV22HM5X50030000400"/>
      <w:bookmarkEnd w:id="2753"/>
      <w:r>
        <w:rPr>
          <w:rFonts w:ascii="Arial" w:eastAsia="Arial" w:hAnsi="Arial" w:cs="Arial"/>
          <w:i/>
          <w:color w:val="000000"/>
          <w:sz w:val="20"/>
        </w:rPr>
        <w:t>Plumley v. Landmark Chevrolet, Inc.</w:t>
      </w:r>
      <w:r>
        <w:rPr>
          <w:rFonts w:ascii="Arial" w:eastAsia="Arial" w:hAnsi="Arial" w:cs="Arial"/>
          <w:color w:val="000000"/>
          <w:sz w:val="20"/>
        </w:rPr>
        <w:t>, 122 F.3d 308, 312 (5th Cir. 1997).</w:t>
      </w:r>
    </w:p>
    <w:p w14:paraId="2383E35C" w14:textId="77777777" w:rsidR="002D0E71" w:rsidRDefault="00000000">
      <w:pPr>
        <w:pStyle w:val="Normal18"/>
        <w:widowControl w:val="0"/>
        <w:spacing w:before="200" w:line="260" w:lineRule="atLeast"/>
        <w:jc w:val="both"/>
      </w:pPr>
      <w:bookmarkStart w:id="2754" w:name="Bookmark_para_10_16"/>
      <w:bookmarkStart w:id="2755" w:name="Bookmark_I5H0TDV22HM5X60010000400"/>
      <w:bookmarkStart w:id="2756" w:name="Bookmark_I5H0TDV22HM5X60050000400"/>
      <w:bookmarkStart w:id="2757" w:name="Bookmark_LNHNREFclscc6_13"/>
      <w:bookmarkEnd w:id="2754"/>
      <w:bookmarkEnd w:id="2755"/>
      <w:bookmarkEnd w:id="2756"/>
      <w:bookmarkEnd w:id="2757"/>
      <w:r>
        <w:rPr>
          <w:rFonts w:ascii="Arial" w:eastAsia="Arial" w:hAnsi="Arial" w:cs="Arial"/>
          <w:color w:val="000000"/>
          <w:sz w:val="20"/>
        </w:rPr>
        <w:t xml:space="preserve">Standing to seek injunctive relief requires plaintiffs to show that they suffer or will suffer an injury-in-fact, and therefore would benefit from the court's granting of such equitable relief. </w:t>
      </w:r>
      <w:r>
        <w:rPr>
          <w:rFonts w:ascii="Arial" w:eastAsia="Arial" w:hAnsi="Arial" w:cs="Arial"/>
          <w:i/>
          <w:color w:val="000000"/>
          <w:sz w:val="20"/>
        </w:rPr>
        <w:t>Id.</w:t>
      </w:r>
      <w:r>
        <w:rPr>
          <w:rFonts w:ascii="Arial" w:eastAsia="Arial" w:hAnsi="Arial" w:cs="Arial"/>
          <w:color w:val="000000"/>
          <w:sz w:val="20"/>
        </w:rPr>
        <w:t xml:space="preserve"> Plaintiffs must demonstrate that they face a palpable present or future harm, not harm that is "conjectural or hypothetical." </w:t>
      </w:r>
      <w:bookmarkStart w:id="2758" w:name="Bookmark_I5H0TDV22HM5X50050000400"/>
      <w:bookmarkEnd w:id="2758"/>
      <w:r>
        <w:rPr>
          <w:rFonts w:ascii="Arial" w:eastAsia="Arial" w:hAnsi="Arial" w:cs="Arial"/>
          <w:i/>
          <w:color w:val="000000"/>
          <w:sz w:val="20"/>
        </w:rPr>
        <w:t>Armstrong v. Turner Indus., Inc.</w:t>
      </w:r>
      <w:r>
        <w:rPr>
          <w:rFonts w:ascii="Arial" w:eastAsia="Arial" w:hAnsi="Arial" w:cs="Arial"/>
          <w:color w:val="000000"/>
          <w:sz w:val="20"/>
        </w:rPr>
        <w:t xml:space="preserve">, 141 F.3d 554, 563 n.23 (5th Cir. 1998) (quoting </w:t>
      </w:r>
      <w:bookmarkStart w:id="2759" w:name="Bookmark_I5H0TDV22HM5X60020000400"/>
      <w:bookmarkEnd w:id="2759"/>
      <w:r>
        <w:rPr>
          <w:rFonts w:ascii="Arial" w:eastAsia="Arial" w:hAnsi="Arial" w:cs="Arial"/>
          <w:i/>
          <w:color w:val="000000"/>
          <w:sz w:val="20"/>
        </w:rPr>
        <w:t>City of Los Angeles v. Lyons</w:t>
      </w:r>
      <w:r>
        <w:rPr>
          <w:rFonts w:ascii="Arial" w:eastAsia="Arial" w:hAnsi="Arial" w:cs="Arial"/>
          <w:color w:val="000000"/>
          <w:sz w:val="20"/>
        </w:rPr>
        <w:t xml:space="preserve">, 461 U.S. 95, 102, 103 S. Ct. 1660, 75 L. Ed. 2d 675 (1983)). </w:t>
      </w:r>
      <w:bookmarkStart w:id="2760" w:name="Bookmark_I5H0TDV22N1RJD0040000400"/>
      <w:bookmarkEnd w:id="2760"/>
      <w:r>
        <w:rPr>
          <w:rFonts w:ascii="Arial" w:eastAsia="Arial" w:hAnsi="Arial" w:cs="Arial"/>
          <w:color w:val="000000"/>
          <w:sz w:val="20"/>
        </w:rPr>
        <w:t xml:space="preserve">Allegations of "past wrongs" alone do not "amount to that real and immediate threat of injury necessary to make out a case or controversy." </w:t>
      </w:r>
      <w:bookmarkStart w:id="2761" w:name="Bookmark_I5H0TDV22HM5X60040000400"/>
      <w:bookmarkEnd w:id="2761"/>
      <w:r>
        <w:rPr>
          <w:rFonts w:ascii="Arial" w:eastAsia="Arial" w:hAnsi="Arial" w:cs="Arial"/>
          <w:i/>
          <w:color w:val="000000"/>
          <w:sz w:val="20"/>
        </w:rPr>
        <w:t>Id.</w:t>
      </w:r>
      <w:r>
        <w:rPr>
          <w:rFonts w:ascii="Arial" w:eastAsia="Arial" w:hAnsi="Arial" w:cs="Arial"/>
          <w:color w:val="000000"/>
          <w:sz w:val="20"/>
        </w:rPr>
        <w:t xml:space="preserve"> at 563 (quoting </w:t>
      </w:r>
      <w:bookmarkStart w:id="2762" w:name="Bookmark_I5H0TDV22N1RJD0010000400"/>
      <w:bookmarkEnd w:id="2762"/>
      <w:r>
        <w:rPr>
          <w:rFonts w:ascii="Arial" w:eastAsia="Arial" w:hAnsi="Arial" w:cs="Arial"/>
          <w:i/>
          <w:color w:val="000000"/>
          <w:sz w:val="20"/>
        </w:rPr>
        <w:t>Lyons</w:t>
      </w:r>
      <w:r>
        <w:rPr>
          <w:rFonts w:ascii="Arial" w:eastAsia="Arial" w:hAnsi="Arial" w:cs="Arial"/>
          <w:color w:val="000000"/>
          <w:sz w:val="20"/>
        </w:rPr>
        <w:t xml:space="preserve">, 461 U.S. at 103) (alteration omitted). [**5]  </w:t>
      </w:r>
      <w:bookmarkStart w:id="2763" w:name="Bookmark_I5H0TDV22N1RJD0040000400_2"/>
      <w:bookmarkEnd w:id="2763"/>
      <w:r>
        <w:rPr>
          <w:rFonts w:ascii="Arial" w:eastAsia="Arial" w:hAnsi="Arial" w:cs="Arial"/>
          <w:color w:val="000000"/>
          <w:sz w:val="20"/>
        </w:rPr>
        <w:t xml:space="preserve">Past wrongs can be considered, however, as evidence of an actual threat of repeated injury. </w:t>
      </w:r>
      <w:bookmarkStart w:id="2764" w:name="Bookmark_I5H0TDV22N1RJD0030000400"/>
      <w:bookmarkEnd w:id="2764"/>
      <w:r>
        <w:rPr>
          <w:rFonts w:ascii="Arial" w:eastAsia="Arial" w:hAnsi="Arial" w:cs="Arial"/>
          <w:i/>
          <w:color w:val="000000"/>
          <w:sz w:val="20"/>
        </w:rPr>
        <w:t>Henschen v. City of Houston</w:t>
      </w:r>
      <w:r>
        <w:rPr>
          <w:rFonts w:ascii="Arial" w:eastAsia="Arial" w:hAnsi="Arial" w:cs="Arial"/>
          <w:color w:val="000000"/>
          <w:sz w:val="20"/>
        </w:rPr>
        <w:t xml:space="preserve">, 959 F.2d 584, 588 (5th Cir. 1992) (citing </w:t>
      </w:r>
      <w:bookmarkStart w:id="2765" w:name="Bookmark_I5H0TDV22N1RJD0050000400"/>
      <w:bookmarkEnd w:id="2765"/>
      <w:r>
        <w:rPr>
          <w:rFonts w:ascii="Arial" w:eastAsia="Arial" w:hAnsi="Arial" w:cs="Arial"/>
          <w:i/>
          <w:color w:val="000000"/>
          <w:sz w:val="20"/>
        </w:rPr>
        <w:t>O'Shea v. Littleton</w:t>
      </w:r>
      <w:r>
        <w:rPr>
          <w:rFonts w:ascii="Arial" w:eastAsia="Arial" w:hAnsi="Arial" w:cs="Arial"/>
          <w:color w:val="000000"/>
          <w:sz w:val="20"/>
        </w:rPr>
        <w:t>, 414 U.S. 488, 496, 94 S. Ct. 669, 38 L. Ed. 2d 674 (1974)).</w:t>
      </w:r>
    </w:p>
    <w:p w14:paraId="15B5FDF1" w14:textId="77777777" w:rsidR="002D0E71" w:rsidRDefault="00000000">
      <w:pPr>
        <w:pStyle w:val="Normal18"/>
        <w:widowControl w:val="0"/>
        <w:spacing w:before="200" w:line="260" w:lineRule="atLeast"/>
        <w:jc w:val="both"/>
      </w:pPr>
      <w:bookmarkStart w:id="2766" w:name="Bookmark_para_11_16"/>
      <w:bookmarkEnd w:id="2766"/>
      <w:r>
        <w:rPr>
          <w:rFonts w:ascii="Arial" w:eastAsia="Arial" w:hAnsi="Arial" w:cs="Arial"/>
          <w:color w:val="000000"/>
          <w:sz w:val="20"/>
        </w:rPr>
        <w:t>At the summary judgment hearing on the plaintiffs' ADA claim, the district court found that "Mr. Perez had no complaint about the accommodations that were being made to [him] and his family by the Hospital after December of 2011." Therefore, the court stated, it "seemed to be clear from the evidence" that there was no "real and immediate threat of future harm." On the same day as the hearing, the court issued a one-page order granting summary judgment to DHR. The court referred to the reasons it stated in open court at the motion's hearing as explanation for its judgment. In the transcript from the hearing, the district court did not explicitly refer to standing. It is clear, though, that the court dismissed based on the lack of a real and immediate threat of future harm. That issue is part of the analysis for standing. Furthermore, both DHR's motion for summary judgment and the plaintiffs' response focused on standing as to the ADA claim.</w:t>
      </w:r>
    </w:p>
    <w:p w14:paraId="01DBBEE7" w14:textId="77777777" w:rsidR="002D0E71" w:rsidRDefault="00000000">
      <w:pPr>
        <w:pStyle w:val="Normal18"/>
        <w:widowControl w:val="0"/>
        <w:spacing w:before="200" w:line="260" w:lineRule="atLeast"/>
        <w:jc w:val="both"/>
      </w:pPr>
      <w:bookmarkStart w:id="2767" w:name="Bookmark_para_12_15"/>
      <w:bookmarkEnd w:id="2767"/>
      <w:r>
        <w:rPr>
          <w:rFonts w:ascii="Arial" w:eastAsia="Arial" w:hAnsi="Arial" w:cs="Arial"/>
          <w:color w:val="000000"/>
          <w:sz w:val="20"/>
        </w:rPr>
        <w:t>The plaintiffs argue on appeal that there were genuine disputes of material fact as to whether there is a real threat of future harm. They refer [**6]  to "overwhelming evidence of DHR's repeated and recent failures to provide effective communication through auxiliary aids or reasonably accommodate the Perez family's hearing disabilities." Included in the evidence is Mr. Perez's affidavit. He swore that during his family's visits to DHR in the three-month period prior to the court's summary judgment ruling, they encountered: (1) VRI machines that did not always work properly; (2) a nurse who did not know how to use the VRI machine; and (3) two nurses who "did not know what 'VRI' was." Mr. Perez also stated that he always "prefer[s] an in-person interpreter, but DHR does not always have one available, even after we have requested it."</w:t>
      </w:r>
    </w:p>
    <w:p w14:paraId="663747CE" w14:textId="77777777" w:rsidR="002D0E71" w:rsidRDefault="00000000">
      <w:pPr>
        <w:pStyle w:val="Normal18"/>
        <w:widowControl w:val="0"/>
        <w:spacing w:before="200" w:line="260" w:lineRule="atLeast"/>
        <w:jc w:val="both"/>
      </w:pPr>
      <w:bookmarkStart w:id="2768" w:name="Bookmark_para_13_15"/>
      <w:bookmarkEnd w:id="2768"/>
      <w:r>
        <w:rPr>
          <w:rFonts w:ascii="Arial" w:eastAsia="Arial" w:hAnsi="Arial" w:cs="Arial"/>
          <w:color w:val="000000"/>
          <w:sz w:val="20"/>
        </w:rPr>
        <w:t>Also introduced were Mr. Perez's handwritten notes describing the family's visits to DHR. The notes indicate that an interpreter was requested and not provided as late as April 2012. Moreover, Norma Teran, DHR's executive vice president for nursing, testified in her June 2014 deposition that DHR's ADA compliance policy for the hearing impaired was in need of revision. Teran also testified that she was unable to find any training sessions that had taken place at DHR related to addressing  [*184]  the needs of the hearing [**7]  impaired.</w:t>
      </w:r>
    </w:p>
    <w:p w14:paraId="71CAAA43" w14:textId="77777777" w:rsidR="002D0E71" w:rsidRDefault="00000000">
      <w:pPr>
        <w:pStyle w:val="Normal18"/>
        <w:widowControl w:val="0"/>
        <w:spacing w:before="200" w:line="260" w:lineRule="atLeast"/>
        <w:jc w:val="both"/>
      </w:pPr>
      <w:bookmarkStart w:id="2769" w:name="Bookmark_para_14_15"/>
      <w:bookmarkEnd w:id="2769"/>
      <w:r>
        <w:rPr>
          <w:rFonts w:ascii="Arial" w:eastAsia="Arial" w:hAnsi="Arial" w:cs="Arial"/>
          <w:color w:val="000000"/>
          <w:sz w:val="20"/>
        </w:rPr>
        <w:t>DHR acknowledges that Mr. Perez asserts in his affidavit that the plaintiffs have recently experienced problems. DHR contends, though, that Mr. Perez does not state that DHR refused to provide a VRI machine or interpreter when requested, that DHR was unable to get the VRI machine to work on any occasion, or that the nurse unfamiliar with how to use the VRI machine did not ultimately figure out how to use it or enlist the aid of someone familiar with the machine. DHR argues that "in light of the Perezes visiting DHR numerous times in the last three years without incident, the Perezes' minor VRI complications are insufficient to create an inference that they face a substantial risk of future harm."</w:t>
      </w:r>
    </w:p>
    <w:p w14:paraId="06F2C9EC" w14:textId="77777777" w:rsidR="002D0E71" w:rsidRDefault="00000000">
      <w:pPr>
        <w:pStyle w:val="Normal18"/>
        <w:widowControl w:val="0"/>
        <w:spacing w:before="200" w:line="260" w:lineRule="atLeast"/>
        <w:jc w:val="both"/>
      </w:pPr>
      <w:bookmarkStart w:id="2770" w:name="Bookmark_para_15_15"/>
      <w:bookmarkStart w:id="2771" w:name="Bookmark_I5H0TDV22N1RJF0030000400"/>
      <w:bookmarkStart w:id="2772" w:name="Bookmark_LNHNREFclscc7_12"/>
      <w:bookmarkEnd w:id="2770"/>
      <w:bookmarkEnd w:id="2771"/>
      <w:bookmarkEnd w:id="2772"/>
      <w:r>
        <w:rPr>
          <w:rFonts w:ascii="Arial" w:eastAsia="Arial" w:hAnsi="Arial" w:cs="Arial"/>
          <w:color w:val="000000"/>
          <w:sz w:val="20"/>
        </w:rPr>
        <w:t xml:space="preserve">In analyzing the propriety of summary judgment, "we consider all the facts contained in the summary judgment record and the inferences to be drawn therefrom in the light most favorable to the non-moving party." </w:t>
      </w:r>
      <w:bookmarkStart w:id="2773" w:name="Bookmark_I5H0TDV22N1RJF0020000400"/>
      <w:bookmarkEnd w:id="2773"/>
      <w:r>
        <w:rPr>
          <w:rFonts w:ascii="Arial" w:eastAsia="Arial" w:hAnsi="Arial" w:cs="Arial"/>
          <w:i/>
          <w:color w:val="000000"/>
          <w:sz w:val="20"/>
        </w:rPr>
        <w:t>Duarte v. City of Lewisville</w:t>
      </w:r>
      <w:r>
        <w:rPr>
          <w:rFonts w:ascii="Arial" w:eastAsia="Arial" w:hAnsi="Arial" w:cs="Arial"/>
          <w:color w:val="000000"/>
          <w:sz w:val="20"/>
        </w:rPr>
        <w:t>, 759 F.3d 514, 517 (5th Cir. 2014) (citation and internal quotation marks omitted). We conclude that the district court erred in holding there was no genuine dispute of material fact as to whether the plaintiffs faced a real and immediate threat of future harm. Mr. Perez's affidavit is evidence that the plaintiffs [**8]  have experienced recent problems with DHR's provision of auxiliary services. Furthermore, the evidence of DHR's failure to revise its ADA compliance policy, which it admits needs revision, and its lack of training on addressing the needs of the hearing impaired, creates a possible inference that the plaintiffs' problems with the provision of auxiliary services will continue in the future.</w:t>
      </w:r>
    </w:p>
    <w:p w14:paraId="2B3926B2" w14:textId="77777777" w:rsidR="002D0E71" w:rsidRDefault="00000000">
      <w:pPr>
        <w:pStyle w:val="Normal18"/>
        <w:widowControl w:val="0"/>
        <w:spacing w:before="200" w:line="260" w:lineRule="atLeast"/>
        <w:jc w:val="both"/>
      </w:pPr>
      <w:bookmarkStart w:id="2774" w:name="Bookmark_para_16_15"/>
      <w:bookmarkEnd w:id="2774"/>
      <w:r>
        <w:rPr>
          <w:rFonts w:ascii="Arial" w:eastAsia="Arial" w:hAnsi="Arial" w:cs="Arial"/>
          <w:color w:val="000000"/>
          <w:sz w:val="20"/>
        </w:rPr>
        <w:t>Because we conclude there is a genuine dispute of material fact on the question whether the plaintiffs have standing to bring their ADA claim, we reverse the district court's grant of summary judgment on that claim.</w:t>
      </w:r>
      <w:r>
        <w:rPr>
          <w:rFonts w:ascii="Arial" w:eastAsia="Arial" w:hAnsi="Arial" w:cs="Arial"/>
          <w:vertAlign w:val="superscript"/>
        </w:rPr>
        <w:footnoteReference w:customMarkFollows="1" w:id="90"/>
        <w:t>1</w:t>
      </w:r>
    </w:p>
    <w:p w14:paraId="4A8E4AD6" w14:textId="77777777" w:rsidR="002D0E71" w:rsidRDefault="00000000">
      <w:pPr>
        <w:pStyle w:val="Normal18"/>
        <w:widowControl w:val="0"/>
        <w:spacing w:before="240" w:line="260" w:lineRule="atLeast"/>
      </w:pPr>
      <w:r>
        <w:br/>
      </w:r>
      <w:r>
        <w:rPr>
          <w:rFonts w:ascii="Arial" w:eastAsia="Arial" w:hAnsi="Arial" w:cs="Arial"/>
          <w:i/>
          <w:color w:val="000000"/>
          <w:sz w:val="20"/>
        </w:rPr>
        <w:t>II. Section 504 of the Rehabilitation Act</w:t>
      </w:r>
    </w:p>
    <w:p w14:paraId="4FD9DB38" w14:textId="77777777" w:rsidR="002D0E71" w:rsidRDefault="00000000">
      <w:pPr>
        <w:pStyle w:val="Normal18"/>
        <w:widowControl w:val="0"/>
        <w:spacing w:before="200" w:line="260" w:lineRule="atLeast"/>
        <w:jc w:val="both"/>
      </w:pPr>
      <w:bookmarkStart w:id="2778" w:name="Bookmark_para_17_14"/>
      <w:bookmarkStart w:id="2779" w:name="Bookmark_I0MVJKWT4M3000VXMXW0054R"/>
      <w:bookmarkStart w:id="2780" w:name="Bookmark_I5H0TDV22HM5X70020000400"/>
      <w:bookmarkStart w:id="2781" w:name="Bookmark_LNHNREFclscc8_12"/>
      <w:bookmarkEnd w:id="2778"/>
      <w:bookmarkEnd w:id="2779"/>
      <w:bookmarkEnd w:id="2780"/>
      <w:bookmarkEnd w:id="2781"/>
      <w:r>
        <w:rPr>
          <w:rFonts w:ascii="Arial" w:eastAsia="Arial" w:hAnsi="Arial" w:cs="Arial"/>
          <w:color w:val="000000"/>
          <w:sz w:val="20"/>
        </w:rPr>
        <w:t xml:space="preserve">The RA protects the disabled who seek to participate in a program or activity receiving federal funds from discrimination: [**9]  no otherwise qualified individual "shall, solely by reason of her or his disability, be excluded from the participation in, be denied the benefits of, or be subjected to discrimination under any program or activity receiving Federal financial assistance." 29 U.S.C. § 794(a). </w:t>
      </w:r>
      <w:bookmarkStart w:id="2782" w:name="Bookmark_LNHNREFclscc9_11"/>
      <w:bookmarkEnd w:id="2782"/>
      <w:r>
        <w:rPr>
          <w:rFonts w:ascii="Arial" w:eastAsia="Arial" w:hAnsi="Arial" w:cs="Arial"/>
          <w:color w:val="000000"/>
          <w:sz w:val="20"/>
        </w:rPr>
        <w:t xml:space="preserve">To receive compensatory damages under the RA, a plaintiff must offer proof of intentional discrimination. </w:t>
      </w:r>
      <w:bookmarkStart w:id="2783" w:name="Bookmark_I5H0TDV22HM5X70010000400"/>
      <w:bookmarkEnd w:id="2783"/>
      <w:r>
        <w:rPr>
          <w:rFonts w:ascii="Arial" w:eastAsia="Arial" w:hAnsi="Arial" w:cs="Arial"/>
          <w:i/>
          <w:color w:val="000000"/>
          <w:sz w:val="20"/>
        </w:rPr>
        <w:t>Delano-Pyle v. Victoria County</w:t>
      </w:r>
      <w:r>
        <w:rPr>
          <w:rFonts w:ascii="Arial" w:eastAsia="Arial" w:hAnsi="Arial" w:cs="Arial"/>
          <w:color w:val="000000"/>
          <w:sz w:val="20"/>
        </w:rPr>
        <w:t>, 302 F.3d 567, 574 (5th Cir. 2002).</w:t>
      </w:r>
    </w:p>
    <w:p w14:paraId="73BBC743" w14:textId="77777777" w:rsidR="002D0E71" w:rsidRDefault="00000000">
      <w:pPr>
        <w:pStyle w:val="Normal18"/>
        <w:widowControl w:val="0"/>
        <w:spacing w:before="200" w:line="260" w:lineRule="atLeast"/>
        <w:jc w:val="both"/>
      </w:pPr>
      <w:bookmarkStart w:id="2784" w:name="Bookmark_para_18_14"/>
      <w:bookmarkStart w:id="2785" w:name="Bookmark_I0MVJKWTD8C000VXMXW0047M"/>
      <w:bookmarkStart w:id="2786" w:name="Bookmark_I5H0TDV22HM5X70040000400"/>
      <w:bookmarkStart w:id="2787" w:name="Bookmark_I5H0TDV228T52M0010000400"/>
      <w:bookmarkEnd w:id="2784"/>
      <w:bookmarkEnd w:id="2785"/>
      <w:bookmarkEnd w:id="2786"/>
      <w:bookmarkEnd w:id="2787"/>
      <w:r>
        <w:rPr>
          <w:rFonts w:ascii="Arial" w:eastAsia="Arial" w:hAnsi="Arial" w:cs="Arial"/>
          <w:color w:val="000000"/>
          <w:sz w:val="20"/>
        </w:rPr>
        <w:t>We did not define what we meant by intent in</w:t>
      </w:r>
      <w:bookmarkStart w:id="2788" w:name="Bookmark_I5H0TDV22HM5X70030000400"/>
      <w:bookmarkEnd w:id="2788"/>
      <w:r>
        <w:rPr>
          <w:rFonts w:ascii="Arial" w:eastAsia="Arial" w:hAnsi="Arial" w:cs="Arial"/>
          <w:color w:val="000000"/>
          <w:sz w:val="20"/>
        </w:rPr>
        <w:t xml:space="preserve"> </w:t>
      </w:r>
      <w:r>
        <w:rPr>
          <w:rFonts w:ascii="Arial" w:eastAsia="Arial" w:hAnsi="Arial" w:cs="Arial"/>
          <w:i/>
          <w:color w:val="000000"/>
          <w:sz w:val="20"/>
        </w:rPr>
        <w:t>Delano-Pyle</w:t>
      </w:r>
      <w:r>
        <w:rPr>
          <w:rFonts w:ascii="Arial" w:eastAsia="Arial" w:hAnsi="Arial" w:cs="Arial"/>
          <w:color w:val="000000"/>
          <w:sz w:val="20"/>
        </w:rPr>
        <w:t xml:space="preserve">. Some circuits have held that deliberate indifference suffices. </w:t>
      </w:r>
      <w:r>
        <w:rPr>
          <w:rFonts w:ascii="Arial" w:eastAsia="Arial" w:hAnsi="Arial" w:cs="Arial"/>
          <w:i/>
          <w:color w:val="000000"/>
          <w:sz w:val="20"/>
        </w:rPr>
        <w:t xml:space="preserve">See </w:t>
      </w:r>
      <w:bookmarkStart w:id="2789" w:name="Bookmark_I5H0TDV22HM5X70050000400"/>
      <w:bookmarkEnd w:id="2789"/>
      <w:r>
        <w:rPr>
          <w:rFonts w:ascii="Arial" w:eastAsia="Arial" w:hAnsi="Arial" w:cs="Arial"/>
          <w:i/>
          <w:color w:val="000000"/>
          <w:sz w:val="20"/>
        </w:rPr>
        <w:t>Liese v. Indian River Cty. Hosp. Dist.</w:t>
      </w:r>
      <w:r>
        <w:rPr>
          <w:rFonts w:ascii="Arial" w:eastAsia="Arial" w:hAnsi="Arial" w:cs="Arial"/>
          <w:color w:val="000000"/>
          <w:sz w:val="20"/>
        </w:rPr>
        <w:t xml:space="preserve">, 701 F.3d 334, 345 (11th Cir. 2012). </w:t>
      </w:r>
      <w:bookmarkStart w:id="2790" w:name="Bookmark_I5H0TDV228T52M0030000400"/>
      <w:bookmarkEnd w:id="2790"/>
      <w:r>
        <w:rPr>
          <w:rFonts w:ascii="Arial" w:eastAsia="Arial" w:hAnsi="Arial" w:cs="Arial"/>
          <w:color w:val="000000"/>
          <w:sz w:val="20"/>
        </w:rPr>
        <w:t xml:space="preserve">The parties have not briefed the issue in any depth, and we decline to make new law on the nature of intent at this time. We conclude that on the present record, there is enough to show a dispute of material fact on whether DHR intentionally, i.e. purposefully, discriminated. Intent is usually shown only by inferences. </w:t>
      </w:r>
      <w:r>
        <w:rPr>
          <w:rFonts w:ascii="Arial" w:eastAsia="Arial" w:hAnsi="Arial" w:cs="Arial"/>
          <w:i/>
          <w:color w:val="000000"/>
          <w:sz w:val="20"/>
        </w:rPr>
        <w:t xml:space="preserve">See </w:t>
      </w:r>
      <w:bookmarkStart w:id="2791" w:name="Bookmark_I5H0TDV228T52M0020000400"/>
      <w:bookmarkEnd w:id="2791"/>
      <w:r>
        <w:rPr>
          <w:rFonts w:ascii="Arial" w:eastAsia="Arial" w:hAnsi="Arial" w:cs="Arial"/>
          <w:i/>
          <w:color w:val="000000"/>
          <w:sz w:val="20"/>
        </w:rPr>
        <w:t>Crawford v. Formosa Plastics Corp., La.</w:t>
      </w:r>
      <w:r>
        <w:rPr>
          <w:rFonts w:ascii="Arial" w:eastAsia="Arial" w:hAnsi="Arial" w:cs="Arial"/>
          <w:color w:val="000000"/>
          <w:sz w:val="20"/>
        </w:rPr>
        <w:t xml:space="preserve">, 234 F.3d 899, 902 (5th Cir. 2000). Inferences are for a fact-finder and we are not that.  [*185]  </w:t>
      </w:r>
      <w:r>
        <w:rPr>
          <w:rFonts w:ascii="Arial" w:eastAsia="Arial" w:hAnsi="Arial" w:cs="Arial"/>
          <w:i/>
          <w:color w:val="000000"/>
          <w:sz w:val="20"/>
        </w:rPr>
        <w:t>See id.</w:t>
      </w:r>
      <w:r>
        <w:rPr>
          <w:rFonts w:ascii="Arial" w:eastAsia="Arial" w:hAnsi="Arial" w:cs="Arial"/>
          <w:color w:val="000000"/>
          <w:sz w:val="20"/>
        </w:rPr>
        <w:t xml:space="preserve"> Still, we conclude that actual intent </w:t>
      </w:r>
      <w:r>
        <w:rPr>
          <w:rFonts w:ascii="Arial" w:eastAsia="Arial" w:hAnsi="Arial" w:cs="Arial"/>
          <w:i/>
          <w:color w:val="000000"/>
          <w:sz w:val="20"/>
        </w:rPr>
        <w:t>could</w:t>
      </w:r>
      <w:r>
        <w:rPr>
          <w:rFonts w:ascii="Arial" w:eastAsia="Arial" w:hAnsi="Arial" w:cs="Arial"/>
          <w:color w:val="000000"/>
          <w:sz w:val="20"/>
        </w:rPr>
        <w:t xml:space="preserve"> be inferred from the evidence before us.</w:t>
      </w:r>
    </w:p>
    <w:p w14:paraId="05D83FF7" w14:textId="77777777" w:rsidR="002D0E71" w:rsidRDefault="00000000">
      <w:pPr>
        <w:pStyle w:val="Normal18"/>
        <w:widowControl w:val="0"/>
        <w:spacing w:before="200" w:line="260" w:lineRule="atLeast"/>
        <w:jc w:val="both"/>
      </w:pPr>
      <w:bookmarkStart w:id="2792" w:name="Bookmark_para_19_14"/>
      <w:bookmarkEnd w:id="2792"/>
      <w:r>
        <w:rPr>
          <w:rFonts w:ascii="Arial" w:eastAsia="Arial" w:hAnsi="Arial" w:cs="Arial"/>
          <w:color w:val="000000"/>
          <w:sz w:val="20"/>
        </w:rPr>
        <w:t>At the summary judgment hearing, the district court stated that there was no evidence of intentional discrimination. The court held the DHR "did whatever [it] could to provide effective communication." The plaintiffs argue that the district [**10]  court failed to view the facts in the light most favorable to them as the non-movants. They rely on Mr. Perez's handwritten notes on his daughter's medical records that document at least 18 dates on which an interpreter was not provided. Also, in Mr. Perez's deposition, he testified that when he asked one nurse for an interpreter, she told him one would be provided "[o]nly when the doctor shows up or if there's any questions you need help or concerns, then you can ask." Mrs. Perez also testified in her deposition that when she requested an interpreter, sometimes the "nurses would say no. They would say that the boss said no." Furthermore, Teran testified that DHR's policies as to the hearing impaired were "certainly" in need of revision, and had not been revised since May 2012, and that DHR did not provide any training on addressing the needs of the hearing impaired.</w:t>
      </w:r>
    </w:p>
    <w:p w14:paraId="541AAC7D" w14:textId="77777777" w:rsidR="002D0E71" w:rsidRDefault="00000000">
      <w:pPr>
        <w:pStyle w:val="Normal18"/>
        <w:widowControl w:val="0"/>
        <w:spacing w:before="200" w:line="260" w:lineRule="atLeast"/>
        <w:jc w:val="both"/>
      </w:pPr>
      <w:bookmarkStart w:id="2793" w:name="Bookmark_para_20_12"/>
      <w:bookmarkStart w:id="2794" w:name="Bookmark_I5H0TDV228T52M0050000400"/>
      <w:bookmarkStart w:id="2795" w:name="Bookmark_I0MVJKWT8F7000VXMXW0047K"/>
      <w:bookmarkStart w:id="2796" w:name="Bookmark_I5H0TDV22HM5X80040000400"/>
      <w:bookmarkEnd w:id="2793"/>
      <w:bookmarkEnd w:id="2794"/>
      <w:bookmarkEnd w:id="2795"/>
      <w:bookmarkEnd w:id="2796"/>
      <w:r>
        <w:rPr>
          <w:rFonts w:ascii="Arial" w:eastAsia="Arial" w:hAnsi="Arial" w:cs="Arial"/>
          <w:color w:val="000000"/>
          <w:sz w:val="20"/>
        </w:rPr>
        <w:t xml:space="preserve">Our review of the evidence is through the summary judgment lens. </w:t>
      </w:r>
      <w:bookmarkStart w:id="2797" w:name="Bookmark_LNHNREFclscc10_11"/>
      <w:bookmarkEnd w:id="2797"/>
      <w:r>
        <w:rPr>
          <w:rFonts w:ascii="Arial" w:eastAsia="Arial" w:hAnsi="Arial" w:cs="Arial"/>
          <w:color w:val="000000"/>
          <w:sz w:val="20"/>
        </w:rPr>
        <w:t xml:space="preserve">"The evidence of the non-movant is to be believed, and all justifiable inferences are to be drawn in his favor." </w:t>
      </w:r>
      <w:bookmarkStart w:id="2798" w:name="Bookmark_I5H0TDV228T52M0040000400"/>
      <w:bookmarkEnd w:id="2798"/>
      <w:r>
        <w:rPr>
          <w:rFonts w:ascii="Arial" w:eastAsia="Arial" w:hAnsi="Arial" w:cs="Arial"/>
          <w:i/>
          <w:color w:val="000000"/>
          <w:sz w:val="20"/>
        </w:rPr>
        <w:t>Coastal Agric. Supply, Inc. v. JP Morgan Chase Bank, N.A.</w:t>
      </w:r>
      <w:r>
        <w:rPr>
          <w:rFonts w:ascii="Arial" w:eastAsia="Arial" w:hAnsi="Arial" w:cs="Arial"/>
          <w:color w:val="000000"/>
          <w:sz w:val="20"/>
        </w:rPr>
        <w:t xml:space="preserve">, 759 F.3d 498, 505 (5th Cir. 2014) (quoting </w:t>
      </w:r>
      <w:bookmarkStart w:id="2799" w:name="Bookmark_I5H0TDV22HM5X80010000400"/>
      <w:bookmarkEnd w:id="2799"/>
      <w:r>
        <w:rPr>
          <w:rFonts w:ascii="Arial" w:eastAsia="Arial" w:hAnsi="Arial" w:cs="Arial"/>
          <w:i/>
          <w:color w:val="000000"/>
          <w:sz w:val="20"/>
        </w:rPr>
        <w:t>Anderson v. Liberty Lobby, Inc.</w:t>
      </w:r>
      <w:r>
        <w:rPr>
          <w:rFonts w:ascii="Arial" w:eastAsia="Arial" w:hAnsi="Arial" w:cs="Arial"/>
          <w:color w:val="000000"/>
          <w:sz w:val="20"/>
        </w:rPr>
        <w:t xml:space="preserve">, 477 U.S. 242, 255, 106 S. Ct. 2505, 91 L. Ed. 2d 202 (1986)) (internal quotation marks omitted). In examining the evidence, we are guided by a case in which a plaintiff driver, who was severely hearing [**11]  impaired, was involved in a car accident. </w:t>
      </w:r>
      <w:r>
        <w:rPr>
          <w:rFonts w:ascii="Arial" w:eastAsia="Arial" w:hAnsi="Arial" w:cs="Arial"/>
          <w:i/>
          <w:color w:val="000000"/>
          <w:sz w:val="20"/>
        </w:rPr>
        <w:t xml:space="preserve">See </w:t>
      </w:r>
      <w:bookmarkStart w:id="2800" w:name="Bookmark_I5H0TDV22HM5X80030000400"/>
      <w:bookmarkEnd w:id="2800"/>
      <w:r>
        <w:rPr>
          <w:rFonts w:ascii="Arial" w:eastAsia="Arial" w:hAnsi="Arial" w:cs="Arial"/>
          <w:i/>
          <w:color w:val="000000"/>
          <w:sz w:val="20"/>
        </w:rPr>
        <w:t>Delano-Pyle</w:t>
      </w:r>
      <w:r>
        <w:rPr>
          <w:rFonts w:ascii="Arial" w:eastAsia="Arial" w:hAnsi="Arial" w:cs="Arial"/>
          <w:color w:val="000000"/>
          <w:sz w:val="20"/>
        </w:rPr>
        <w:t xml:space="preserve">, 302 F.3d at 570. </w:t>
      </w:r>
      <w:bookmarkStart w:id="2801" w:name="Bookmark_I5H0TDV22N1RJG0010000400"/>
      <w:bookmarkEnd w:id="2801"/>
      <w:r>
        <w:rPr>
          <w:rFonts w:ascii="Arial" w:eastAsia="Arial" w:hAnsi="Arial" w:cs="Arial"/>
          <w:color w:val="000000"/>
          <w:sz w:val="20"/>
        </w:rPr>
        <w:t xml:space="preserve">When a police officer arrived, the driver informed him of his hearing disability. </w:t>
      </w:r>
      <w:r>
        <w:rPr>
          <w:rFonts w:ascii="Arial" w:eastAsia="Arial" w:hAnsi="Arial" w:cs="Arial"/>
          <w:i/>
          <w:color w:val="000000"/>
          <w:sz w:val="20"/>
        </w:rPr>
        <w:t>Id.</w:t>
      </w:r>
      <w:r>
        <w:rPr>
          <w:rFonts w:ascii="Arial" w:eastAsia="Arial" w:hAnsi="Arial" w:cs="Arial"/>
          <w:color w:val="000000"/>
          <w:sz w:val="20"/>
        </w:rPr>
        <w:t xml:space="preserve"> The officer nonetheless performed several sobriety tests on the driver without asking which form of communication would be effective. </w:t>
      </w:r>
      <w:bookmarkStart w:id="2802" w:name="Bookmark_I5H0TDV22N1RJG0030000400"/>
      <w:bookmarkEnd w:id="2802"/>
      <w:r>
        <w:rPr>
          <w:rFonts w:ascii="Arial" w:eastAsia="Arial" w:hAnsi="Arial" w:cs="Arial"/>
          <w:i/>
          <w:color w:val="000000"/>
          <w:sz w:val="20"/>
        </w:rPr>
        <w:t>Id.</w:t>
      </w:r>
      <w:r>
        <w:rPr>
          <w:rFonts w:ascii="Arial" w:eastAsia="Arial" w:hAnsi="Arial" w:cs="Arial"/>
          <w:color w:val="000000"/>
          <w:sz w:val="20"/>
        </w:rPr>
        <w:t xml:space="preserve"> The driver sued for violations of the ADA, the RA, and Chapter 121 of the Texas Human Resources Code. </w:t>
      </w:r>
      <w:bookmarkStart w:id="2803" w:name="Bookmark_I5H0TDV22HM5X80050000400"/>
      <w:bookmarkEnd w:id="2803"/>
      <w:r>
        <w:rPr>
          <w:rFonts w:ascii="Arial" w:eastAsia="Arial" w:hAnsi="Arial" w:cs="Arial"/>
          <w:i/>
          <w:color w:val="000000"/>
          <w:sz w:val="20"/>
        </w:rPr>
        <w:t>Id.</w:t>
      </w:r>
      <w:r>
        <w:rPr>
          <w:rFonts w:ascii="Arial" w:eastAsia="Arial" w:hAnsi="Arial" w:cs="Arial"/>
          <w:color w:val="000000"/>
          <w:sz w:val="20"/>
        </w:rPr>
        <w:t xml:space="preserve"> at 571. </w:t>
      </w:r>
      <w:bookmarkStart w:id="2804" w:name="Bookmark_I5H0TDV22N1RJG0030000400_2"/>
      <w:bookmarkStart w:id="2805" w:name="Bookmark_I5H0TDV22N1RJG0050000400"/>
      <w:bookmarkEnd w:id="2804"/>
      <w:bookmarkEnd w:id="2805"/>
      <w:r>
        <w:rPr>
          <w:rFonts w:ascii="Arial" w:eastAsia="Arial" w:hAnsi="Arial" w:cs="Arial"/>
          <w:color w:val="000000"/>
          <w:sz w:val="20"/>
        </w:rPr>
        <w:t xml:space="preserve">A jury found the county liable, and the county appealed. </w:t>
      </w:r>
      <w:r>
        <w:rPr>
          <w:rFonts w:ascii="Arial" w:eastAsia="Arial" w:hAnsi="Arial" w:cs="Arial"/>
          <w:i/>
          <w:color w:val="000000"/>
          <w:sz w:val="20"/>
        </w:rPr>
        <w:t>Id.</w:t>
      </w:r>
      <w:r>
        <w:rPr>
          <w:rFonts w:ascii="Arial" w:eastAsia="Arial" w:hAnsi="Arial" w:cs="Arial"/>
          <w:color w:val="000000"/>
          <w:sz w:val="20"/>
        </w:rPr>
        <w:t xml:space="preserve"> On appeal, on plain error review, we held that "[t]he facts addressed at trial support the jury's finding of intentional discrimination." </w:t>
      </w:r>
      <w:bookmarkStart w:id="2806" w:name="Bookmark_I5H0TDV22N1RJG0020000400"/>
      <w:bookmarkEnd w:id="2806"/>
      <w:r>
        <w:rPr>
          <w:rFonts w:ascii="Arial" w:eastAsia="Arial" w:hAnsi="Arial" w:cs="Arial"/>
          <w:i/>
          <w:color w:val="000000"/>
          <w:sz w:val="20"/>
        </w:rPr>
        <w:t>Id.</w:t>
      </w:r>
      <w:r>
        <w:rPr>
          <w:rFonts w:ascii="Arial" w:eastAsia="Arial" w:hAnsi="Arial" w:cs="Arial"/>
          <w:color w:val="000000"/>
          <w:sz w:val="20"/>
        </w:rPr>
        <w:t xml:space="preserve"> at 573, 575. </w:t>
      </w:r>
      <w:bookmarkStart w:id="2807" w:name="Bookmark_I5H0TDV22N1RJG0050000400_2"/>
      <w:bookmarkEnd w:id="2807"/>
      <w:r>
        <w:rPr>
          <w:rFonts w:ascii="Arial" w:eastAsia="Arial" w:hAnsi="Arial" w:cs="Arial"/>
          <w:color w:val="000000"/>
          <w:sz w:val="20"/>
        </w:rPr>
        <w:t xml:space="preserve">We deemed it important that "no matter how many times [the officer] repeated himself and no matter how loudly he spoke, [the driver] could not understand most of what he was saying," yet the officer did not "try[] a more effective form of communication." </w:t>
      </w:r>
      <w:bookmarkStart w:id="2808" w:name="Bookmark_I5H0TDV22N1RJG0040000400"/>
      <w:bookmarkEnd w:id="2808"/>
      <w:r>
        <w:rPr>
          <w:rFonts w:ascii="Arial" w:eastAsia="Arial" w:hAnsi="Arial" w:cs="Arial"/>
          <w:i/>
          <w:color w:val="000000"/>
          <w:sz w:val="20"/>
        </w:rPr>
        <w:t>Id.</w:t>
      </w:r>
      <w:r>
        <w:rPr>
          <w:rFonts w:ascii="Arial" w:eastAsia="Arial" w:hAnsi="Arial" w:cs="Arial"/>
          <w:color w:val="000000"/>
          <w:sz w:val="20"/>
        </w:rPr>
        <w:t xml:space="preserve"> at 575.</w:t>
      </w:r>
    </w:p>
    <w:p w14:paraId="1E58155F" w14:textId="77777777" w:rsidR="002D0E71" w:rsidRDefault="00000000">
      <w:pPr>
        <w:pStyle w:val="Normal18"/>
        <w:widowControl w:val="0"/>
        <w:spacing w:before="200" w:line="260" w:lineRule="atLeast"/>
        <w:jc w:val="both"/>
      </w:pPr>
      <w:bookmarkStart w:id="2809" w:name="Bookmark_para_21_12"/>
      <w:bookmarkEnd w:id="2809"/>
      <w:r>
        <w:rPr>
          <w:rFonts w:ascii="Arial" w:eastAsia="Arial" w:hAnsi="Arial" w:cs="Arial"/>
          <w:color w:val="000000"/>
          <w:sz w:val="20"/>
        </w:rPr>
        <w:t xml:space="preserve">We acknowledge the alleged RA violation here and in </w:t>
      </w:r>
      <w:r>
        <w:rPr>
          <w:rFonts w:ascii="Arial" w:eastAsia="Arial" w:hAnsi="Arial" w:cs="Arial"/>
          <w:i/>
          <w:color w:val="000000"/>
          <w:sz w:val="20"/>
        </w:rPr>
        <w:t>Delano-Pyle</w:t>
      </w:r>
      <w:r>
        <w:rPr>
          <w:rFonts w:ascii="Arial" w:eastAsia="Arial" w:hAnsi="Arial" w:cs="Arial"/>
          <w:color w:val="000000"/>
          <w:sz w:val="20"/>
        </w:rPr>
        <w:t xml:space="preserve"> occurred in different contexts. Still, the evidence in each case could be seen as suggesting that the defendant's agents ignored clear indications that they were dealing with a hearing-impaired person with special communication needs.</w:t>
      </w:r>
    </w:p>
    <w:p w14:paraId="3438AECF" w14:textId="77777777" w:rsidR="002D0E71" w:rsidRDefault="00000000">
      <w:pPr>
        <w:pStyle w:val="Normal18"/>
        <w:widowControl w:val="0"/>
        <w:spacing w:before="200" w:line="260" w:lineRule="atLeast"/>
        <w:jc w:val="both"/>
      </w:pPr>
      <w:bookmarkStart w:id="2810" w:name="Bookmark_para_22_12"/>
      <w:bookmarkEnd w:id="2810"/>
      <w:r>
        <w:rPr>
          <w:rFonts w:ascii="Arial" w:eastAsia="Arial" w:hAnsi="Arial" w:cs="Arial"/>
          <w:color w:val="000000"/>
          <w:sz w:val="20"/>
        </w:rPr>
        <w:t xml:space="preserve">The summary judgment evidence is sufficient to create a genuine dispute [**12]  as to whether DHR intentionally discriminated against the plaintiffs. </w:t>
      </w:r>
      <w:bookmarkStart w:id="2811" w:name="Bookmark_I0MVJKWTKC7000VXMXW0043F"/>
      <w:bookmarkStart w:id="2812" w:name="Bookmark_I5H0TDV228T52P0020000400"/>
      <w:bookmarkEnd w:id="2811"/>
      <w:bookmarkEnd w:id="2812"/>
      <w:r>
        <w:rPr>
          <w:rFonts w:ascii="Arial" w:eastAsia="Arial" w:hAnsi="Arial" w:cs="Arial"/>
          <w:color w:val="000000"/>
          <w:sz w:val="20"/>
        </w:rPr>
        <w:t>There is evidence indicating that on several occasions, an interpreter was requested but not provided. There is also evidence indicating that one of the forms of communication that DHR was utilizing, the VRI machines, was often ineffective. In</w:t>
      </w:r>
      <w:bookmarkStart w:id="2813" w:name="Bookmark_I5H0TDV228T52P0010000400"/>
      <w:bookmarkEnd w:id="2813"/>
      <w:r>
        <w:rPr>
          <w:rFonts w:ascii="Arial" w:eastAsia="Arial" w:hAnsi="Arial" w:cs="Arial"/>
          <w:color w:val="000000"/>
          <w:sz w:val="20"/>
        </w:rPr>
        <w:t xml:space="preserve"> </w:t>
      </w:r>
      <w:r>
        <w:rPr>
          <w:rFonts w:ascii="Arial" w:eastAsia="Arial" w:hAnsi="Arial" w:cs="Arial"/>
          <w:i/>
          <w:color w:val="000000"/>
          <w:sz w:val="20"/>
        </w:rPr>
        <w:t>Delano-Pyle</w:t>
      </w:r>
      <w:r>
        <w:rPr>
          <w:rFonts w:ascii="Arial" w:eastAsia="Arial" w:hAnsi="Arial" w:cs="Arial"/>
          <w:color w:val="000000"/>
          <w:sz w:val="20"/>
        </w:rPr>
        <w:t>, the plaintiff did not show he ever requested an interpreter or auxiliary aid, yet we concluded that the failure to provide an effective form of communication was evidence of intentional discrimination. Here, some evidence indicates that the plaintiffs made repeated requests for auxiliary aids, yet DHR failed on several occasions to provide  [*186]  effective aids and in some instances refused to provide an interpreter after one had been requested.</w:t>
      </w:r>
    </w:p>
    <w:p w14:paraId="7D97181B" w14:textId="77777777" w:rsidR="002D0E71" w:rsidRDefault="00000000">
      <w:pPr>
        <w:pStyle w:val="Normal18"/>
        <w:widowControl w:val="0"/>
        <w:spacing w:before="200" w:line="260" w:lineRule="atLeast"/>
        <w:jc w:val="both"/>
      </w:pPr>
      <w:bookmarkStart w:id="2814" w:name="Bookmark_para_23_12"/>
      <w:bookmarkEnd w:id="2814"/>
      <w:r>
        <w:rPr>
          <w:rFonts w:ascii="Arial" w:eastAsia="Arial" w:hAnsi="Arial" w:cs="Arial"/>
          <w:color w:val="000000"/>
          <w:sz w:val="20"/>
        </w:rPr>
        <w:t>We conclude that, even without applying a deliberate indifference standard, there is a genuine dispute of material fact as to whether DHR intentionally discriminated against the plaintiffs. Accordingly, the district court's dismissal of the plaintiffs' RA claim was error. On remand, the district court may, if necessary to resolve the case, make the initial effort to define intent under this statutory scheme.</w:t>
      </w:r>
    </w:p>
    <w:p w14:paraId="2884CD01" w14:textId="77777777" w:rsidR="002D0E71" w:rsidRDefault="00000000">
      <w:pPr>
        <w:pStyle w:val="Normal18"/>
        <w:widowControl w:val="0"/>
        <w:spacing w:before="240" w:line="260" w:lineRule="atLeast"/>
      </w:pPr>
      <w:r>
        <w:br/>
      </w:r>
      <w:r>
        <w:rPr>
          <w:rFonts w:ascii="Arial" w:eastAsia="Arial" w:hAnsi="Arial" w:cs="Arial"/>
          <w:i/>
          <w:color w:val="000000"/>
          <w:sz w:val="20"/>
        </w:rPr>
        <w:t>III. Chapter 121 of [**13]  the Texas Human Resources Code</w:t>
      </w:r>
    </w:p>
    <w:p w14:paraId="09B96952" w14:textId="77777777" w:rsidR="002D0E71" w:rsidRDefault="00000000">
      <w:pPr>
        <w:pStyle w:val="Normal18"/>
        <w:widowControl w:val="0"/>
        <w:spacing w:before="200" w:line="260" w:lineRule="atLeast"/>
        <w:jc w:val="both"/>
      </w:pPr>
      <w:bookmarkStart w:id="2815" w:name="Bookmark_para_24_12"/>
      <w:bookmarkEnd w:id="2815"/>
      <w:r>
        <w:rPr>
          <w:rFonts w:ascii="Arial" w:eastAsia="Arial" w:hAnsi="Arial" w:cs="Arial"/>
          <w:color w:val="000000"/>
          <w:sz w:val="20"/>
        </w:rPr>
        <w:t>The district court granted DHR's second motion for summary judgment after noting in its order that the parties did not dispute that Chapter 121 is analogous to the RA. The court found there was no "genuine issue of material fact on whether the steps taken by DHR to provide auxiliary aids and services to Plaintiffs demonstrate an intent to discriminate against Plaintiffs because of their disability." Because we hold that the plaintiffs have demonstrated that a factual dispute exists on the question of intentional discrimination, we reverse the district court's grant of summary judgment to DHR on the plaintiffs' Chapter 121 claims.</w:t>
      </w:r>
    </w:p>
    <w:p w14:paraId="290A2CFB" w14:textId="77777777" w:rsidR="002D0E71" w:rsidRDefault="00000000">
      <w:pPr>
        <w:pStyle w:val="Normal18"/>
        <w:widowControl w:val="0"/>
        <w:spacing w:before="240" w:line="260" w:lineRule="atLeast"/>
      </w:pPr>
      <w:r>
        <w:br/>
      </w:r>
      <w:r>
        <w:rPr>
          <w:rFonts w:ascii="Arial" w:eastAsia="Arial" w:hAnsi="Arial" w:cs="Arial"/>
          <w:i/>
          <w:color w:val="000000"/>
          <w:sz w:val="20"/>
        </w:rPr>
        <w:t>IV. Declaratory Relief</w:t>
      </w:r>
    </w:p>
    <w:p w14:paraId="066C69E3" w14:textId="77777777" w:rsidR="002D0E71" w:rsidRDefault="00000000">
      <w:pPr>
        <w:pStyle w:val="Normal18"/>
        <w:widowControl w:val="0"/>
        <w:spacing w:before="200" w:line="260" w:lineRule="atLeast"/>
        <w:jc w:val="both"/>
      </w:pPr>
      <w:bookmarkStart w:id="2816" w:name="Bookmark_para_25_12"/>
      <w:bookmarkEnd w:id="2816"/>
      <w:r>
        <w:rPr>
          <w:rFonts w:ascii="Arial" w:eastAsia="Arial" w:hAnsi="Arial" w:cs="Arial"/>
          <w:color w:val="000000"/>
          <w:sz w:val="20"/>
        </w:rPr>
        <w:t>The plaintiffs argue that it was error for the district court to dismiss their claims because they specifically requested declaratory relief in their complaint. DHR responds that the plaintiffs only requested declaratory relief on their ADA claim, and that declaratory relief is not available when there is no risk of future harm. The district court did not address the issue of declaratory relief in either of its summary judgment orders or at the summary judgment hearing. We leave the question of declaratory [**14]  relief for the district court to consider in the first instance on remand.</w:t>
      </w:r>
    </w:p>
    <w:p w14:paraId="0826CEA2" w14:textId="77777777" w:rsidR="002D0E71" w:rsidRDefault="00000000">
      <w:pPr>
        <w:pStyle w:val="Normal18"/>
        <w:widowControl w:val="0"/>
        <w:spacing w:before="200" w:line="260" w:lineRule="atLeast"/>
        <w:jc w:val="both"/>
      </w:pPr>
      <w:bookmarkStart w:id="2817" w:name="Bookmark_para_26_12"/>
      <w:bookmarkEnd w:id="2817"/>
      <w:r>
        <w:rPr>
          <w:rFonts w:ascii="Arial" w:eastAsia="Arial" w:hAnsi="Arial" w:cs="Arial"/>
          <w:color w:val="000000"/>
          <w:sz w:val="20"/>
        </w:rPr>
        <w:t>* * *</w:t>
      </w:r>
    </w:p>
    <w:p w14:paraId="53D1D3EC" w14:textId="77777777" w:rsidR="002D0E71" w:rsidRDefault="00000000">
      <w:pPr>
        <w:pStyle w:val="Normal18"/>
        <w:widowControl w:val="0"/>
        <w:spacing w:before="200" w:line="260" w:lineRule="atLeast"/>
        <w:jc w:val="both"/>
      </w:pPr>
      <w:bookmarkStart w:id="2818" w:name="Bookmark_para_27_12"/>
      <w:bookmarkEnd w:id="2818"/>
      <w:r>
        <w:rPr>
          <w:rFonts w:ascii="Arial" w:eastAsia="Arial" w:hAnsi="Arial" w:cs="Arial"/>
          <w:color w:val="000000"/>
          <w:sz w:val="20"/>
        </w:rPr>
        <w:t>We REVERSE the district court's dismissal of the plaintiffs' claims and REMAND for further proceedings consistent with this opinion.</w:t>
      </w:r>
    </w:p>
    <w:p w14:paraId="33BBF1FB" w14:textId="77777777" w:rsidR="002D0E71" w:rsidRDefault="002D0E71">
      <w:pPr>
        <w:pStyle w:val="Normal18"/>
      </w:pPr>
    </w:p>
    <w:p w14:paraId="4C3EFD94" w14:textId="7711689B" w:rsidR="002D0E71" w:rsidRDefault="00000000">
      <w:pPr>
        <w:pStyle w:val="Normal18"/>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698176" behindDoc="0" locked="0" layoutInCell="1" allowOverlap="1" wp14:anchorId="0D3DCA34" wp14:editId="6C042BCE">
                <wp:simplePos x="0" y="0"/>
                <wp:positionH relativeFrom="column">
                  <wp:posOffset>0</wp:posOffset>
                </wp:positionH>
                <wp:positionV relativeFrom="paragraph">
                  <wp:posOffset>127000</wp:posOffset>
                </wp:positionV>
                <wp:extent cx="6502400" cy="0"/>
                <wp:effectExtent l="9525" t="12700" r="12700" b="6350"/>
                <wp:wrapNone/>
                <wp:docPr id="743746860"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E07360" id="Line 4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792F6FA" w14:textId="77777777" w:rsidR="002D0E71" w:rsidRDefault="002D0E71">
      <w:pPr>
        <w:pStyle w:val="Normal19"/>
        <w:sectPr w:rsidR="002D0E71">
          <w:headerReference w:type="even" r:id="rId120"/>
          <w:headerReference w:type="default" r:id="rId121"/>
          <w:footerReference w:type="even" r:id="rId122"/>
          <w:footerReference w:type="default" r:id="rId123"/>
          <w:headerReference w:type="first" r:id="rId124"/>
          <w:footerReference w:type="first" r:id="rId125"/>
          <w:pgSz w:w="12240" w:h="15840"/>
          <w:pgMar w:top="840" w:right="1000" w:bottom="840" w:left="1000" w:header="400" w:footer="400" w:gutter="0"/>
          <w:cols w:space="720"/>
          <w:titlePg/>
        </w:sectPr>
      </w:pPr>
    </w:p>
    <w:p w14:paraId="4C1990FD" w14:textId="77777777" w:rsidR="002D0E71" w:rsidRDefault="002D0E71">
      <w:pPr>
        <w:pStyle w:val="Normal19"/>
      </w:pPr>
    </w:p>
    <w:p w14:paraId="0BDC0E48" w14:textId="77777777" w:rsidR="002D0E71" w:rsidRDefault="00000000">
      <w:pPr>
        <w:pStyle w:val="Heading118"/>
        <w:keepNext w:val="0"/>
        <w:widowControl w:val="0"/>
        <w:spacing w:after="200" w:line="340" w:lineRule="atLeast"/>
        <w:jc w:val="center"/>
      </w:pPr>
      <w:r>
        <w:rPr>
          <w:rFonts w:eastAsia="Arial"/>
          <w:color w:val="000000"/>
          <w:sz w:val="28"/>
        </w:rPr>
        <w:t>Anderson v. City of Blue Ash</w:t>
      </w:r>
    </w:p>
    <w:p w14:paraId="141CA7DE" w14:textId="77777777" w:rsidR="002D0E71" w:rsidRDefault="00000000">
      <w:pPr>
        <w:pStyle w:val="Normal19"/>
        <w:widowControl w:val="0"/>
        <w:spacing w:before="120" w:line="260" w:lineRule="atLeast"/>
        <w:jc w:val="center"/>
      </w:pPr>
      <w:r>
        <w:rPr>
          <w:rFonts w:ascii="Arial" w:eastAsia="Arial" w:hAnsi="Arial" w:cs="Arial"/>
          <w:color w:val="000000"/>
          <w:sz w:val="20"/>
        </w:rPr>
        <w:t>United States Court of Appeals for the Sixth Circuit</w:t>
      </w:r>
    </w:p>
    <w:p w14:paraId="2A609C9B" w14:textId="77777777" w:rsidR="002D0E71" w:rsidRDefault="00000000">
      <w:pPr>
        <w:pStyle w:val="Normal19"/>
        <w:widowControl w:val="0"/>
        <w:spacing w:before="120" w:line="260" w:lineRule="atLeast"/>
        <w:jc w:val="center"/>
      </w:pPr>
      <w:r>
        <w:rPr>
          <w:rFonts w:ascii="Arial" w:eastAsia="Arial" w:hAnsi="Arial" w:cs="Arial"/>
          <w:color w:val="000000"/>
          <w:sz w:val="20"/>
        </w:rPr>
        <w:t>March 5, 2015, Argued; August 14, 2015, Decided; August 14, 2015, Filed</w:t>
      </w:r>
    </w:p>
    <w:p w14:paraId="5764BF8C" w14:textId="77777777" w:rsidR="002D0E71" w:rsidRDefault="00000000">
      <w:pPr>
        <w:pStyle w:val="Normal19"/>
        <w:widowControl w:val="0"/>
        <w:spacing w:before="120" w:line="260" w:lineRule="atLeast"/>
        <w:jc w:val="center"/>
      </w:pPr>
      <w:r>
        <w:rPr>
          <w:rFonts w:ascii="Arial" w:eastAsia="Arial" w:hAnsi="Arial" w:cs="Arial"/>
          <w:color w:val="000000"/>
          <w:sz w:val="20"/>
        </w:rPr>
        <w:t>File Name: 15a0191p.06</w:t>
      </w:r>
    </w:p>
    <w:p w14:paraId="4F154483" w14:textId="77777777" w:rsidR="002D0E71" w:rsidRDefault="00000000">
      <w:pPr>
        <w:pStyle w:val="Normal19"/>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14-3754</w:t>
      </w:r>
    </w:p>
    <w:p w14:paraId="7DF22995" w14:textId="77777777" w:rsidR="002D0E71" w:rsidRDefault="002D0E71">
      <w:pPr>
        <w:pStyle w:val="Normal19"/>
        <w:widowControl w:val="0"/>
        <w:spacing w:line="240" w:lineRule="atLeast"/>
        <w:jc w:val="both"/>
      </w:pPr>
      <w:bookmarkStart w:id="2819" w:name="Bookmark_20"/>
      <w:bookmarkEnd w:id="2819"/>
    </w:p>
    <w:p w14:paraId="4E322AB8" w14:textId="77777777" w:rsidR="002D0E71" w:rsidRDefault="00000000">
      <w:pPr>
        <w:pStyle w:val="Normal19"/>
        <w:widowControl w:val="0"/>
        <w:spacing w:before="200" w:line="240" w:lineRule="atLeast"/>
      </w:pPr>
      <w:bookmarkStart w:id="2820" w:name="Reporter_18"/>
      <w:bookmarkEnd w:id="2820"/>
      <w:r>
        <w:rPr>
          <w:rFonts w:ascii="Arial" w:eastAsia="Arial" w:hAnsi="Arial" w:cs="Arial"/>
          <w:b/>
          <w:color w:val="000000"/>
          <w:sz w:val="18"/>
        </w:rPr>
        <w:t>Reporter</w:t>
      </w:r>
    </w:p>
    <w:p w14:paraId="759DBCC4" w14:textId="77777777" w:rsidR="002D0E71" w:rsidRDefault="00000000">
      <w:pPr>
        <w:pStyle w:val="Normal19"/>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798 F.3d 338 *; 2015 U.S. App. LEXIS 14293 **; 2015 FED App. 0191P (6th Cir.) ***</w:t>
      </w:r>
    </w:p>
    <w:p w14:paraId="3F5FA8EF" w14:textId="77777777" w:rsidR="002D0E71" w:rsidRDefault="00000000">
      <w:pPr>
        <w:pStyle w:val="Normal19"/>
        <w:widowControl w:val="0"/>
        <w:spacing w:before="120" w:line="260" w:lineRule="atLeast"/>
      </w:pPr>
      <w:r>
        <w:rPr>
          <w:rFonts w:ascii="Arial" w:eastAsia="Arial" w:hAnsi="Arial" w:cs="Arial"/>
          <w:color w:val="000000"/>
          <w:sz w:val="20"/>
        </w:rPr>
        <w:t>INGRID ANDERSON, individually and parent on behalf of C.A.; HOUSING OPPORTUNITIES MADE EQUAL, INC., Plaintiffs-Appellants, v. CITY OF BLUE ASH, Defendant-Appellee.</w:t>
      </w:r>
    </w:p>
    <w:p w14:paraId="53E0AADF" w14:textId="77777777" w:rsidR="002D0E71" w:rsidRDefault="00000000">
      <w:pPr>
        <w:pStyle w:val="Normal19"/>
        <w:widowControl w:val="0"/>
        <w:spacing w:before="240" w:line="260" w:lineRule="atLeast"/>
      </w:pPr>
      <w:bookmarkStart w:id="2821" w:name="Subsequent_History_7"/>
      <w:bookmarkEnd w:id="2821"/>
      <w:r>
        <w:rPr>
          <w:rFonts w:ascii="Arial" w:eastAsia="Arial" w:hAnsi="Arial" w:cs="Arial"/>
          <w:b/>
          <w:color w:val="000000"/>
          <w:sz w:val="20"/>
        </w:rPr>
        <w:t>Subsequent History:</w:t>
      </w:r>
      <w:r>
        <w:rPr>
          <w:rFonts w:ascii="Arial" w:eastAsia="Arial" w:hAnsi="Arial" w:cs="Arial"/>
          <w:color w:val="000000"/>
          <w:sz w:val="20"/>
        </w:rPr>
        <w:t> Rehearing denied by, Rehearing, en banc, denied by Anderson v. City of Blue Ash, 2015 U.S. App. LEXIS 17357 (6th Cir., Sept. 21, 2015)</w:t>
      </w:r>
    </w:p>
    <w:p w14:paraId="6D0802E1" w14:textId="77777777" w:rsidR="002D0E71" w:rsidRDefault="00000000">
      <w:pPr>
        <w:pStyle w:val="Normal19"/>
        <w:widowControl w:val="0"/>
        <w:spacing w:before="240" w:line="260" w:lineRule="atLeast"/>
        <w:jc w:val="both"/>
      </w:pPr>
      <w:bookmarkStart w:id="2822" w:name="Prior_History_18"/>
      <w:bookmarkEnd w:id="2822"/>
      <w:r>
        <w:rPr>
          <w:rFonts w:ascii="Arial" w:eastAsia="Arial" w:hAnsi="Arial" w:cs="Arial"/>
          <w:b/>
          <w:color w:val="000000"/>
          <w:sz w:val="20"/>
        </w:rPr>
        <w:t>Prior History:</w:t>
      </w:r>
      <w:r>
        <w:rPr>
          <w:rFonts w:ascii="Arial" w:eastAsia="Arial" w:hAnsi="Arial" w:cs="Arial"/>
          <w:color w:val="000000"/>
          <w:sz w:val="20"/>
        </w:rPr>
        <w:t> </w:t>
      </w:r>
      <w:bookmarkStart w:id="2823" w:name="Bookmark_para_1_18"/>
      <w:bookmarkEnd w:id="2823"/>
      <w:r>
        <w:rPr>
          <w:rFonts w:ascii="Arial" w:eastAsia="Arial" w:hAnsi="Arial" w:cs="Arial"/>
          <w:color w:val="000000"/>
          <w:sz w:val="20"/>
        </w:rPr>
        <w:t> [**1] Appeal from the United States District Court for the Southern District of Ohio at Cincinnati. No. 1:14-cv-00151—Timothy S. Black, District Judge.</w:t>
      </w:r>
    </w:p>
    <w:p w14:paraId="676351B8" w14:textId="77777777" w:rsidR="002D0E71" w:rsidRDefault="00000000">
      <w:pPr>
        <w:pStyle w:val="Normal19"/>
        <w:widowControl w:val="0"/>
        <w:spacing w:before="120" w:line="260" w:lineRule="atLeast"/>
      </w:pPr>
      <w:r>
        <w:rPr>
          <w:rFonts w:ascii="Arial" w:eastAsia="Arial" w:hAnsi="Arial" w:cs="Arial"/>
          <w:color w:val="000000"/>
          <w:sz w:val="20"/>
        </w:rPr>
        <w:t>Anderson v. City of Blue Ash, 2014 U.S. Dist. LEXIS 91630 (S.D. Ohio, July 7, 2014)</w:t>
      </w:r>
    </w:p>
    <w:p w14:paraId="6842F3E8" w14:textId="77777777" w:rsidR="002D0E71" w:rsidRDefault="00000000">
      <w:pPr>
        <w:pStyle w:val="Normal19"/>
        <w:widowControl w:val="0"/>
        <w:spacing w:before="240" w:line="260" w:lineRule="atLeast"/>
      </w:pPr>
      <w:bookmarkStart w:id="2824" w:name="Counsel_18"/>
      <w:bookmarkEnd w:id="2824"/>
      <w:r>
        <w:rPr>
          <w:rFonts w:ascii="Arial" w:eastAsia="Arial" w:hAnsi="Arial" w:cs="Arial"/>
          <w:b/>
          <w:color w:val="000000"/>
          <w:sz w:val="20"/>
        </w:rPr>
        <w:t>Counsel:</w:t>
      </w:r>
      <w:r>
        <w:rPr>
          <w:rFonts w:ascii="Arial" w:eastAsia="Arial" w:hAnsi="Arial" w:cs="Arial"/>
          <w:color w:val="000000"/>
          <w:sz w:val="20"/>
        </w:rPr>
        <w:t> ARGUED: Kathleen A. Farro, MANLEY BURKE, LPA, Cincinnati, Ohio, for Appellants.</w:t>
      </w:r>
    </w:p>
    <w:p w14:paraId="6B93F2FB" w14:textId="77777777" w:rsidR="002D0E71" w:rsidRDefault="00000000">
      <w:pPr>
        <w:pStyle w:val="Normal19"/>
        <w:widowControl w:val="0"/>
        <w:spacing w:before="120" w:line="260" w:lineRule="atLeast"/>
      </w:pPr>
      <w:r>
        <w:rPr>
          <w:rFonts w:ascii="Arial" w:eastAsia="Arial" w:hAnsi="Arial" w:cs="Arial"/>
          <w:color w:val="000000"/>
          <w:sz w:val="20"/>
        </w:rPr>
        <w:t>Mark A. Vander Laan, DINSMORE &amp; SHOHL, LLP, Cincinnati, Ohio, for Appellee.</w:t>
      </w:r>
    </w:p>
    <w:p w14:paraId="25DD7003" w14:textId="77777777" w:rsidR="002D0E71" w:rsidRDefault="00000000">
      <w:pPr>
        <w:pStyle w:val="Normal19"/>
        <w:widowControl w:val="0"/>
        <w:spacing w:before="120" w:line="260" w:lineRule="atLeast"/>
      </w:pPr>
      <w:r>
        <w:rPr>
          <w:rFonts w:ascii="Arial" w:eastAsia="Arial" w:hAnsi="Arial" w:cs="Arial"/>
          <w:color w:val="000000"/>
          <w:sz w:val="20"/>
        </w:rPr>
        <w:t>ON BRIEF: Kathleen A. Farro, Timothy M. Burke, MANLEY BURKE, LPA, Cincinnati, Ohio, for Appellants.</w:t>
      </w:r>
    </w:p>
    <w:p w14:paraId="3B1EDB10" w14:textId="77777777" w:rsidR="002D0E71" w:rsidRDefault="00000000">
      <w:pPr>
        <w:pStyle w:val="Normal19"/>
        <w:widowControl w:val="0"/>
        <w:spacing w:before="120" w:line="260" w:lineRule="atLeast"/>
      </w:pPr>
      <w:r>
        <w:rPr>
          <w:rFonts w:ascii="Arial" w:eastAsia="Arial" w:hAnsi="Arial" w:cs="Arial"/>
          <w:color w:val="000000"/>
          <w:sz w:val="20"/>
        </w:rPr>
        <w:t>Mark A. Vander Laan, Bryan E. Pacheco, DINSMORE &amp; SHOHL, LLP, Cincinnati, Ohio, for Appellee.</w:t>
      </w:r>
    </w:p>
    <w:p w14:paraId="29C6C297" w14:textId="77777777" w:rsidR="002D0E71" w:rsidRDefault="00000000">
      <w:pPr>
        <w:pStyle w:val="Normal19"/>
        <w:widowControl w:val="0"/>
        <w:spacing w:before="120" w:line="260" w:lineRule="atLeast"/>
      </w:pPr>
      <w:r>
        <w:rPr>
          <w:rFonts w:ascii="Arial" w:eastAsia="Arial" w:hAnsi="Arial" w:cs="Arial"/>
          <w:color w:val="000000"/>
          <w:sz w:val="20"/>
        </w:rPr>
        <w:t>Kevin J. Truitt, OHIO DISABILITY RIGHTS LAW AND POLICY CENTER, INC., Columbus, Ohio, for Amicus Curiae.</w:t>
      </w:r>
    </w:p>
    <w:p w14:paraId="4923E329" w14:textId="77777777" w:rsidR="002D0E71" w:rsidRDefault="00000000">
      <w:pPr>
        <w:pStyle w:val="Normal19"/>
        <w:widowControl w:val="0"/>
        <w:spacing w:before="240" w:line="260" w:lineRule="atLeast"/>
      </w:pPr>
      <w:bookmarkStart w:id="2825" w:name="Judges_18"/>
      <w:bookmarkEnd w:id="2825"/>
      <w:r>
        <w:rPr>
          <w:rFonts w:ascii="Arial" w:eastAsia="Arial" w:hAnsi="Arial" w:cs="Arial"/>
          <w:b/>
          <w:color w:val="000000"/>
          <w:sz w:val="20"/>
        </w:rPr>
        <w:t>Judges:</w:t>
      </w:r>
      <w:r>
        <w:rPr>
          <w:rFonts w:ascii="Arial" w:eastAsia="Arial" w:hAnsi="Arial" w:cs="Arial"/>
          <w:color w:val="000000"/>
          <w:sz w:val="20"/>
        </w:rPr>
        <w:t> Before:COLE, Chief Judge; MOORE and CLAY, Circuit Judges.</w:t>
      </w:r>
    </w:p>
    <w:p w14:paraId="00CE809A" w14:textId="77777777" w:rsidR="002D0E71" w:rsidRDefault="00000000">
      <w:pPr>
        <w:pStyle w:val="Normal19"/>
        <w:widowControl w:val="0"/>
        <w:spacing w:before="240" w:line="260" w:lineRule="atLeast"/>
      </w:pPr>
      <w:bookmarkStart w:id="2826" w:name="Opinion_by_12"/>
      <w:bookmarkEnd w:id="2826"/>
      <w:r>
        <w:rPr>
          <w:rFonts w:ascii="Arial" w:eastAsia="Arial" w:hAnsi="Arial" w:cs="Arial"/>
          <w:b/>
          <w:color w:val="000000"/>
          <w:sz w:val="20"/>
        </w:rPr>
        <w:t>Opinion by:</w:t>
      </w:r>
      <w:r>
        <w:rPr>
          <w:rFonts w:ascii="Arial" w:eastAsia="Arial" w:hAnsi="Arial" w:cs="Arial"/>
          <w:color w:val="000000"/>
          <w:sz w:val="20"/>
        </w:rPr>
        <w:t> COLE</w:t>
      </w:r>
    </w:p>
    <w:p w14:paraId="0D284C38" w14:textId="77777777" w:rsidR="002D0E71" w:rsidRDefault="00000000">
      <w:pPr>
        <w:pStyle w:val="Normal19"/>
        <w:keepNext/>
        <w:widowControl w:val="0"/>
        <w:spacing w:before="240" w:line="340" w:lineRule="atLeast"/>
      </w:pPr>
      <w:bookmarkStart w:id="2827" w:name="Opinion_18"/>
      <w:bookmarkEnd w:id="2827"/>
      <w:r>
        <w:rPr>
          <w:rFonts w:ascii="Arial" w:eastAsia="Arial" w:hAnsi="Arial" w:cs="Arial"/>
          <w:b/>
          <w:color w:val="000000"/>
          <w:sz w:val="28"/>
        </w:rPr>
        <w:t>Opinion</w:t>
      </w:r>
    </w:p>
    <w:p w14:paraId="5E00C3A1" w14:textId="19BF8530" w:rsidR="002D0E71" w:rsidRDefault="002939DF">
      <w:pPr>
        <w:pStyle w:val="Normal19"/>
        <w:spacing w:line="60" w:lineRule="exact"/>
      </w:pPr>
      <w:r>
        <w:rPr>
          <w:noProof/>
        </w:rPr>
        <mc:AlternateContent>
          <mc:Choice Requires="wps">
            <w:drawing>
              <wp:anchor distT="0" distB="0" distL="114300" distR="114300" simplePos="0" relativeHeight="251699200" behindDoc="0" locked="0" layoutInCell="1" allowOverlap="1" wp14:anchorId="1682F6B3" wp14:editId="613DC51B">
                <wp:simplePos x="0" y="0"/>
                <wp:positionH relativeFrom="column">
                  <wp:posOffset>0</wp:posOffset>
                </wp:positionH>
                <wp:positionV relativeFrom="paragraph">
                  <wp:posOffset>25400</wp:posOffset>
                </wp:positionV>
                <wp:extent cx="3187700" cy="0"/>
                <wp:effectExtent l="19050" t="15875" r="12700" b="12700"/>
                <wp:wrapTopAndBottom/>
                <wp:docPr id="321433636"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9BFB6E" id="Line 41"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5E5DE12C" w14:textId="77777777" w:rsidR="002D0E71" w:rsidRDefault="002D0E71">
      <w:pPr>
        <w:pStyle w:val="Normal19"/>
      </w:pPr>
    </w:p>
    <w:p w14:paraId="529449DF" w14:textId="77777777" w:rsidR="002D0E71" w:rsidRDefault="00000000">
      <w:pPr>
        <w:pStyle w:val="Normal19"/>
        <w:widowControl w:val="0"/>
        <w:spacing w:before="200" w:line="260" w:lineRule="atLeast"/>
        <w:jc w:val="both"/>
      </w:pPr>
      <w:bookmarkStart w:id="2828" w:name="Bookmark_para_2_18"/>
      <w:bookmarkEnd w:id="2828"/>
      <w:r>
        <w:rPr>
          <w:rFonts w:ascii="Arial" w:eastAsia="Arial" w:hAnsi="Arial" w:cs="Arial"/>
          <w:color w:val="000000"/>
          <w:sz w:val="20"/>
        </w:rPr>
        <w:t xml:space="preserve"> [*345]  [***2]   COLE, Chief Judge. This appeal is the latest chapter in an ongoing dispute between Ingrid Anderson  [*346]  and the City of Blue Ash, Ohio, over whether Anderson can keep a miniature horse at her house as a service animal for her disabled minor daughter, C.A. C.A. suffers from a number of disabilities that affect her ability to walk and balance independently, and the horse enables her to play and get exercise in her backyard without assistance from an adult. Since Anderson first acquired a horse in 2010, she has struggled with the City for [**2]  permission to keep it at her house. In 2013, the City passed a municipal ordinance banning horses from residential property and then criminally prosecuted Anderson for violating it. Anderson's defense was that the Americans with Disabilities Act ("ADA"), 42 U.S.C. 12101, </w:t>
      </w:r>
      <w:r>
        <w:rPr>
          <w:rFonts w:ascii="Arial" w:eastAsia="Arial" w:hAnsi="Arial" w:cs="Arial"/>
          <w:i/>
          <w:color w:val="000000"/>
          <w:sz w:val="20"/>
        </w:rPr>
        <w:t>et seq.</w:t>
      </w:r>
      <w:r>
        <w:rPr>
          <w:rFonts w:ascii="Arial" w:eastAsia="Arial" w:hAnsi="Arial" w:cs="Arial"/>
          <w:color w:val="000000"/>
          <w:sz w:val="20"/>
        </w:rPr>
        <w:t xml:space="preserve">, and the Fair Housing Amendments Act ("FHAA"), 42 U.S.C. § 3601, </w:t>
      </w:r>
      <w:r>
        <w:rPr>
          <w:rFonts w:ascii="Arial" w:eastAsia="Arial" w:hAnsi="Arial" w:cs="Arial"/>
          <w:i/>
          <w:color w:val="000000"/>
          <w:sz w:val="20"/>
        </w:rPr>
        <w:t>et seq.</w:t>
      </w:r>
      <w:r>
        <w:rPr>
          <w:rFonts w:ascii="Arial" w:eastAsia="Arial" w:hAnsi="Arial" w:cs="Arial"/>
          <w:color w:val="000000"/>
          <w:sz w:val="20"/>
        </w:rPr>
        <w:t>, both entitle her to keep the horse at her house as a service animal for C.A. Rejecting those arguments, the Hamilton County Municipal Court found Anderson guilty.</w:t>
      </w:r>
    </w:p>
    <w:p w14:paraId="1DE2D7A4" w14:textId="77777777" w:rsidR="002D0E71" w:rsidRDefault="00000000">
      <w:pPr>
        <w:pStyle w:val="Normal19"/>
        <w:widowControl w:val="0"/>
        <w:spacing w:before="200" w:line="260" w:lineRule="atLeast"/>
        <w:jc w:val="both"/>
      </w:pPr>
      <w:bookmarkStart w:id="2829" w:name="Bookmark_para_3_18"/>
      <w:bookmarkEnd w:id="2829"/>
      <w:r>
        <w:rPr>
          <w:rFonts w:ascii="Arial" w:eastAsia="Arial" w:hAnsi="Arial" w:cs="Arial"/>
          <w:color w:val="000000"/>
          <w:sz w:val="20"/>
        </w:rPr>
        <w:t>Anderson brought this action against the City in federal district court, again arguing that the ADA and FHAA entitle her to keep her horse as a service animal for C.A. She also claims that the City intentionally discriminated against her because of C.A.'s disabilities, in violation of both the ADA and the FHAA, and that the City's ordinance has had a disparate impact on C.A. and other disabled individuals, in violation of the FHAA. The district court granted summary judgment to the City, finding that Anderson's claims were barred by claim and issue preclusion stemming from her Municipal Court conviction.</w:t>
      </w:r>
    </w:p>
    <w:p w14:paraId="22776A13" w14:textId="77777777" w:rsidR="002D0E71" w:rsidRDefault="00000000">
      <w:pPr>
        <w:pStyle w:val="Normal19"/>
        <w:widowControl w:val="0"/>
        <w:spacing w:before="200" w:line="260" w:lineRule="atLeast"/>
        <w:jc w:val="both"/>
      </w:pPr>
      <w:bookmarkStart w:id="2830" w:name="Bookmark_para_4_18"/>
      <w:bookmarkEnd w:id="2830"/>
      <w:r>
        <w:rPr>
          <w:rFonts w:ascii="Arial" w:eastAsia="Arial" w:hAnsi="Arial" w:cs="Arial"/>
          <w:color w:val="000000"/>
          <w:sz w:val="20"/>
        </w:rPr>
        <w:t>Because the fact-finding procedures available in a criminal proceeding in municipal court differ substantially from those available in [**3]  a civil proceeding, Anderson's conviction has no preclusive effect on this lawsuit. Furthermore, while there is no evidence that the City's actions were motivated by discriminatory intent against C.A. or had a disparate impact on disabled individuals, there are significant factual disputes regarding whether the ADA or FHAA require the City to permit Anderson to keep her miniature horse at her house. We therefore reverse the district court's grant of summary judgment to the City on those claims.</w:t>
      </w:r>
    </w:p>
    <w:p w14:paraId="5A2D16EB" w14:textId="77777777" w:rsidR="002D0E71" w:rsidRDefault="00000000">
      <w:pPr>
        <w:pStyle w:val="Normal19"/>
        <w:widowControl w:val="0"/>
        <w:spacing w:before="240" w:line="260" w:lineRule="atLeast"/>
      </w:pPr>
      <w:r>
        <w:br/>
      </w:r>
      <w:r>
        <w:rPr>
          <w:rFonts w:ascii="Arial" w:eastAsia="Arial" w:hAnsi="Arial" w:cs="Arial"/>
          <w:color w:val="000000"/>
          <w:sz w:val="20"/>
        </w:rPr>
        <w:t> [***3] </w:t>
      </w:r>
      <w:r>
        <w:rPr>
          <w:rFonts w:ascii="Arial" w:eastAsia="Arial" w:hAnsi="Arial" w:cs="Arial"/>
          <w:b/>
          <w:color w:val="000000"/>
          <w:sz w:val="20"/>
        </w:rPr>
        <w:t>I. BACKGROUND</w:t>
      </w:r>
    </w:p>
    <w:p w14:paraId="0ED5222C" w14:textId="77777777" w:rsidR="002D0E71" w:rsidRDefault="00000000">
      <w:pPr>
        <w:pStyle w:val="Normal19"/>
        <w:widowControl w:val="0"/>
        <w:spacing w:before="240" w:line="260" w:lineRule="atLeast"/>
      </w:pPr>
      <w:r>
        <w:br/>
      </w:r>
      <w:r>
        <w:rPr>
          <w:rFonts w:ascii="Arial" w:eastAsia="Arial" w:hAnsi="Arial" w:cs="Arial"/>
          <w:b/>
          <w:color w:val="000000"/>
          <w:sz w:val="20"/>
        </w:rPr>
        <w:t>A. Factual Background</w:t>
      </w:r>
    </w:p>
    <w:p w14:paraId="218C9B92" w14:textId="77777777" w:rsidR="002D0E71" w:rsidRDefault="00000000">
      <w:pPr>
        <w:pStyle w:val="Normal19"/>
        <w:widowControl w:val="0"/>
        <w:spacing w:before="200" w:line="260" w:lineRule="atLeast"/>
        <w:jc w:val="both"/>
      </w:pPr>
      <w:bookmarkStart w:id="2831" w:name="Bookmark_para_5_18"/>
      <w:bookmarkEnd w:id="2831"/>
      <w:r>
        <w:rPr>
          <w:rFonts w:ascii="Arial" w:eastAsia="Arial" w:hAnsi="Arial" w:cs="Arial"/>
          <w:color w:val="000000"/>
          <w:sz w:val="20"/>
        </w:rPr>
        <w:t>Ingrid Anderson lives in the City of Blue Ash, Ohio, with her disabled minor daughter, C.A. C.A. has a variety of disabilities, including autism, seizures, chronic lung disease, gastroesophageal reflux, feeding and vision problems, severe allergies, attention deficit hyperactivity disorder, developmental delay, autonomic dysfunction, and tachycardia, among others. Her disabilities make it difficult for C.A. to maintain her balance independently, particularly when she must change directions or navigate uneven surfaces. Consequently, C.A. cannot effectively use her backyard for recreation and exercise without assistance.</w:t>
      </w:r>
    </w:p>
    <w:p w14:paraId="2A39029D" w14:textId="77777777" w:rsidR="002D0E71" w:rsidRDefault="00000000">
      <w:pPr>
        <w:pStyle w:val="Normal19"/>
        <w:widowControl w:val="0"/>
        <w:spacing w:before="200" w:line="260" w:lineRule="atLeast"/>
        <w:jc w:val="both"/>
      </w:pPr>
      <w:bookmarkStart w:id="2832" w:name="Bookmark_para_6_18"/>
      <w:bookmarkEnd w:id="2832"/>
      <w:r>
        <w:rPr>
          <w:rFonts w:ascii="Arial" w:eastAsia="Arial" w:hAnsi="Arial" w:cs="Arial"/>
          <w:color w:val="000000"/>
          <w:sz w:val="20"/>
        </w:rPr>
        <w:t xml:space="preserve">While the traditional service animal is a [**4]  dog, miniature horses are often used to provide assistance to individuals with disabilities. </w:t>
      </w:r>
      <w:r>
        <w:rPr>
          <w:rFonts w:ascii="Arial" w:eastAsia="Arial" w:hAnsi="Arial" w:cs="Arial"/>
          <w:i/>
          <w:color w:val="000000"/>
          <w:sz w:val="20"/>
        </w:rPr>
        <w:t>See generally</w:t>
      </w:r>
      <w:r>
        <w:rPr>
          <w:rFonts w:ascii="Arial" w:eastAsia="Arial" w:hAnsi="Arial" w:cs="Arial"/>
          <w:color w:val="000000"/>
          <w:sz w:val="20"/>
        </w:rPr>
        <w:t xml:space="preserve"> 28 C.F.R. § 35 app. A (2011) (specifically discussing miniature horses as service animals). Miniature horses can be trained to provide many of the services commonly associated with service dogs, such as guiding individuals with impaired vision. Like dogs, miniature horses can also be housebroken, and individuals with disabilities have taken them on trains and commercial flights. Miniature horses may be preferable to service dogs for "large stature individuals" and "individuals with allergies, or for those whose religious beliefs preclude the use of dogs." </w:t>
      </w:r>
      <w:r>
        <w:rPr>
          <w:rFonts w:ascii="Arial" w:eastAsia="Arial" w:hAnsi="Arial" w:cs="Arial"/>
          <w:i/>
          <w:color w:val="000000"/>
          <w:sz w:val="20"/>
        </w:rPr>
        <w:t>Id.</w:t>
      </w:r>
      <w:r>
        <w:rPr>
          <w:rFonts w:ascii="Arial" w:eastAsia="Arial" w:hAnsi="Arial" w:cs="Arial"/>
          <w:color w:val="000000"/>
          <w:sz w:val="20"/>
        </w:rPr>
        <w:t xml:space="preserve"> Additionally, because they are  [*347]  stronger than most dogs, miniature horses may be preferable for "providing stability and balance for individuals with disabilities that impair the ability to walk, and supplying leverage that enables a person with a mobility disability to get up after a fall." </w:t>
      </w:r>
      <w:r>
        <w:rPr>
          <w:rFonts w:ascii="Arial" w:eastAsia="Arial" w:hAnsi="Arial" w:cs="Arial"/>
          <w:i/>
          <w:color w:val="000000"/>
          <w:sz w:val="20"/>
        </w:rPr>
        <w:t>Id.</w:t>
      </w:r>
      <w:r>
        <w:rPr>
          <w:rFonts w:ascii="Arial" w:eastAsia="Arial" w:hAnsi="Arial" w:cs="Arial"/>
          <w:color w:val="000000"/>
          <w:sz w:val="20"/>
        </w:rPr>
        <w:t xml:space="preserve"> Miniature horses also have significantly longer lifespans than dogs, and are able to provide service for more than twenty-five years while dogs can only provide service for approximately seven. This allows a disabled minor to have a single miniature [**5]  horse throughout his or her childhood, without having to periodically replace aging service dogs. Therapy with miniature horses is sometimes referred to as "equine" or "hippotherapy."</w:t>
      </w:r>
    </w:p>
    <w:p w14:paraId="6825FAF4" w14:textId="77777777" w:rsidR="002D0E71" w:rsidRDefault="00000000">
      <w:pPr>
        <w:pStyle w:val="Normal19"/>
        <w:widowControl w:val="0"/>
        <w:spacing w:before="200" w:line="260" w:lineRule="atLeast"/>
        <w:jc w:val="both"/>
      </w:pPr>
      <w:bookmarkStart w:id="2833" w:name="Bookmark_para_7_17"/>
      <w:bookmarkEnd w:id="2833"/>
      <w:r>
        <w:rPr>
          <w:rFonts w:ascii="Arial" w:eastAsia="Arial" w:hAnsi="Arial" w:cs="Arial"/>
          <w:color w:val="000000"/>
          <w:sz w:val="20"/>
        </w:rPr>
        <w:t>In 2010, C.A. began working with miniature horses as a form of therapy at the Hamilton County Parks facility and in the backyard of her house. By gripping the mane of her horse, C.A. is able to move about outside for recreation and exercise. Dr. Ronald Levin—the physician who  [***4]  recommended that C.A. work with miniature horses as a form of therapy—described some of the benefits C.A. receives from working with a miniature horse in her backyard:</w:t>
      </w:r>
    </w:p>
    <w:p w14:paraId="14194C25" w14:textId="77777777" w:rsidR="002D0E71" w:rsidRDefault="00000000">
      <w:pPr>
        <w:pStyle w:val="Normal19"/>
        <w:widowControl w:val="0"/>
        <w:spacing w:line="260" w:lineRule="atLeast"/>
        <w:ind w:left="400"/>
        <w:jc w:val="both"/>
      </w:pPr>
      <w:bookmarkStart w:id="2834" w:name="Bookmark_para_8_17"/>
      <w:bookmarkEnd w:id="2834"/>
      <w:r>
        <w:rPr>
          <w:rFonts w:ascii="Arial" w:eastAsia="Arial" w:hAnsi="Arial" w:cs="Arial"/>
          <w:color w:val="000000"/>
          <w:sz w:val="20"/>
        </w:rPr>
        <w:t>Hippotherapy is beneficial for [C.A.] as it incorporates several avenues of traditional therapy including physical, occupational, speech and language. Specifically, this may address [C.A.'s] physical development through learning more about balance and control. Hippotherapy addresses many aspects of gross and fine motor skills that can be applied in everyday life. Cognitively [C.A.] may benefit from learning and practicing communication skills, as well as increase her social skills, self-esteem and independence.</w:t>
      </w:r>
    </w:p>
    <w:p w14:paraId="298AD154" w14:textId="77777777" w:rsidR="002D0E71" w:rsidRDefault="00000000">
      <w:pPr>
        <w:pStyle w:val="Normal19"/>
        <w:widowControl w:val="0"/>
        <w:spacing w:before="200" w:line="260" w:lineRule="atLeast"/>
        <w:jc w:val="both"/>
      </w:pPr>
      <w:r>
        <w:rPr>
          <w:rFonts w:ascii="Arial" w:eastAsia="Arial" w:hAnsi="Arial" w:cs="Arial"/>
          <w:color w:val="000000"/>
          <w:sz w:val="20"/>
        </w:rPr>
        <w:t>(Levin Letter, November 3, 2010, R. 10-5, PageID 717.) C.A. [**6]  fatigues easily: Dr. Levin stated that "just a drive across town to receive therapy can wipe her out leaving no energy to enjoy this therapeutic and recreational activity." (</w:t>
      </w:r>
      <w:r>
        <w:rPr>
          <w:rFonts w:ascii="Arial" w:eastAsia="Arial" w:hAnsi="Arial" w:cs="Arial"/>
          <w:i/>
          <w:color w:val="000000"/>
          <w:sz w:val="20"/>
        </w:rPr>
        <w:t>Id.</w:t>
      </w:r>
      <w:r>
        <w:rPr>
          <w:rFonts w:ascii="Arial" w:eastAsia="Arial" w:hAnsi="Arial" w:cs="Arial"/>
          <w:color w:val="000000"/>
          <w:sz w:val="20"/>
        </w:rPr>
        <w:t>) As a result, Anderson began keeping a miniature horse at her Prospect Avenue residence in the City so that C.A. could benefit from this therapy at home.</w:t>
      </w:r>
    </w:p>
    <w:p w14:paraId="4D8D4B99" w14:textId="77777777" w:rsidR="002D0E71" w:rsidRDefault="00000000">
      <w:pPr>
        <w:pStyle w:val="Normal19"/>
        <w:widowControl w:val="0"/>
        <w:spacing w:before="200" w:line="260" w:lineRule="atLeast"/>
        <w:jc w:val="both"/>
      </w:pPr>
      <w:bookmarkStart w:id="2835" w:name="Bookmark_para_9_17"/>
      <w:bookmarkEnd w:id="2835"/>
      <w:r>
        <w:rPr>
          <w:rFonts w:ascii="Arial" w:eastAsia="Arial" w:hAnsi="Arial" w:cs="Arial"/>
          <w:color w:val="000000"/>
          <w:sz w:val="20"/>
        </w:rPr>
        <w:t>In August 2010, Daniel Johnson, the City's Community Development Director and Zoning Administrator, began receiving complaints from Anderson's neighbors about the miniature horse at her house. Anderson's neighbors complained about excessive waste from the horse and other animals kept on the property. At least one complaint questioned whether C.A. was actually using the horse for therapeutic purposes, and noted that the condition of Anderson's property was devaluing the neighborhood because of "health issues" and an "extremely offensive . . . smell of horse manure that emanates from the piles in [her] backyard" so severe that the complaining neighbor's children could not play outside. (Email Complaint, August 12, 2010, R. 8-1, PageID 123-24.)</w:t>
      </w:r>
    </w:p>
    <w:p w14:paraId="4099FC62" w14:textId="77777777" w:rsidR="002D0E71" w:rsidRDefault="00000000">
      <w:pPr>
        <w:pStyle w:val="Normal19"/>
        <w:widowControl w:val="0"/>
        <w:spacing w:before="200" w:line="260" w:lineRule="atLeast"/>
        <w:jc w:val="both"/>
      </w:pPr>
      <w:bookmarkStart w:id="2836" w:name="Bookmark_para_10_17"/>
      <w:bookmarkEnd w:id="2836"/>
      <w:r>
        <w:rPr>
          <w:rFonts w:ascii="Arial" w:eastAsia="Arial" w:hAnsi="Arial" w:cs="Arial"/>
          <w:color w:val="000000"/>
          <w:sz w:val="20"/>
        </w:rPr>
        <w:t>Johnson ordered Anderson to remove the horse from her property. Anderson appealed that order, first to the Blue Ash Board [**7]  of Zoning Appeals ("BZA"), which affirmed, and then to the Blue Ash City Council. The Council ultimately decided not to enforce Johnson's order, citing a letter it received from Dr. Levin in which he supported "the housing of a miniature horse for in-home therapy support for [C.A.]" (Levin Letter, November 3, 2010, R. 10-5, PageID 717.) By "in-home therapy" Dr. Levin was not suggesting that the therapy take place indoors, but outdoors "at the home" so that the therapy "can be utilized in a schedule that is more conducive to [C.A.]" (</w:t>
      </w:r>
      <w:r>
        <w:rPr>
          <w:rFonts w:ascii="Arial" w:eastAsia="Arial" w:hAnsi="Arial" w:cs="Arial"/>
          <w:i/>
          <w:color w:val="000000"/>
          <w:sz w:val="20"/>
        </w:rPr>
        <w:t>Id.</w:t>
      </w:r>
      <w:r>
        <w:rPr>
          <w:rFonts w:ascii="Arial" w:eastAsia="Arial" w:hAnsi="Arial" w:cs="Arial"/>
          <w:color w:val="000000"/>
          <w:sz w:val="20"/>
        </w:rPr>
        <w:t>)</w:t>
      </w:r>
    </w:p>
    <w:p w14:paraId="6E74003C" w14:textId="77777777" w:rsidR="002D0E71" w:rsidRDefault="00000000">
      <w:pPr>
        <w:pStyle w:val="Normal19"/>
        <w:widowControl w:val="0"/>
        <w:spacing w:before="200" w:line="260" w:lineRule="atLeast"/>
        <w:jc w:val="both"/>
      </w:pPr>
      <w:bookmarkStart w:id="2837" w:name="Bookmark_para_11_17"/>
      <w:bookmarkEnd w:id="2837"/>
      <w:r>
        <w:rPr>
          <w:rFonts w:ascii="Arial" w:eastAsia="Arial" w:hAnsi="Arial" w:cs="Arial"/>
          <w:color w:val="000000"/>
          <w:sz w:val="20"/>
        </w:rPr>
        <w:t> [***5]  Anderson began keeping a second miniature horse at her house in 2011. Johnson ordered Anderson to remove the second  [*348]  horse, but Anderson refused. Instead, she submitted a letter from Dr. Derek Fletcher—another physician recommending that C.A. work with miniature horses as a form of therapy—supporting "the housing of two miniature horses" for C.A.'s therapy. (Fletcher Letter, August 16, 2011, R. 8-1, PageID 138.) Unpersuaded by Dr. Fletcher's letter, Johnson again ordered Anderson to remove the second horse in February 2012.</w:t>
      </w:r>
    </w:p>
    <w:p w14:paraId="7339E652" w14:textId="77777777" w:rsidR="002D0E71" w:rsidRDefault="00000000">
      <w:pPr>
        <w:pStyle w:val="Normal19"/>
        <w:widowControl w:val="0"/>
        <w:spacing w:before="200" w:line="260" w:lineRule="atLeast"/>
        <w:jc w:val="both"/>
      </w:pPr>
      <w:bookmarkStart w:id="2838" w:name="Bookmark_para_12_16"/>
      <w:bookmarkEnd w:id="2838"/>
      <w:r>
        <w:rPr>
          <w:rFonts w:ascii="Arial" w:eastAsia="Arial" w:hAnsi="Arial" w:cs="Arial"/>
          <w:color w:val="000000"/>
          <w:sz w:val="20"/>
        </w:rPr>
        <w:t>In early 2012, the Hamilton County Public Health Department received a complaint concerning five dogs, "horses, goats, chickens [**8]  and pigs living within [Anderson's] home and causing unsanitary conditions within." (Stone Report, March 5, 2012, R. 8-1, PageID 139.) Johnson ordered Anderson to remove the other farm animals from her property in February 2012. A subsequent investigation by a health inspector revealed excessive animal waste on Anderson's property, though it was cleaned up by the time she removed the pig from her house in mid-March 2012.</w:t>
      </w:r>
    </w:p>
    <w:p w14:paraId="0F45C09E" w14:textId="77777777" w:rsidR="002D0E71" w:rsidRDefault="00000000">
      <w:pPr>
        <w:pStyle w:val="Normal19"/>
        <w:widowControl w:val="0"/>
        <w:spacing w:before="200" w:line="260" w:lineRule="atLeast"/>
        <w:jc w:val="both"/>
      </w:pPr>
      <w:bookmarkStart w:id="2839" w:name="Bookmark_para_13_16"/>
      <w:bookmarkEnd w:id="2839"/>
      <w:r>
        <w:rPr>
          <w:rFonts w:ascii="Arial" w:eastAsia="Arial" w:hAnsi="Arial" w:cs="Arial"/>
          <w:color w:val="000000"/>
          <w:sz w:val="20"/>
        </w:rPr>
        <w:t>Anderson appealed the removal order to the BZA, arguing that the ADA entitled her to keep both miniature horses at her house. In April 2012, the BZA held an evidentiary hearing before issuing a written opinion affirming the order that Anderson remove one of her two horses.</w:t>
      </w:r>
    </w:p>
    <w:p w14:paraId="01FB2560" w14:textId="77777777" w:rsidR="002D0E71" w:rsidRDefault="00000000">
      <w:pPr>
        <w:pStyle w:val="Normal19"/>
        <w:widowControl w:val="0"/>
        <w:spacing w:before="200" w:line="260" w:lineRule="atLeast"/>
        <w:jc w:val="both"/>
      </w:pPr>
      <w:bookmarkStart w:id="2840" w:name="Bookmark_para_14_16"/>
      <w:bookmarkEnd w:id="2840"/>
      <w:r>
        <w:rPr>
          <w:rFonts w:ascii="Arial" w:eastAsia="Arial" w:hAnsi="Arial" w:cs="Arial"/>
          <w:color w:val="000000"/>
          <w:sz w:val="20"/>
        </w:rPr>
        <w:t>Anderson appealed the BZA decision to the Blue Ash City Council, again arguing that the ADA entitled her to keep both miniature horses at her house. After analyzing the ADA's requirements and C.A.'s circumstances, the Council issued a written decision finding that the horses "are clearly not service animals, either under the applicable federal statutory guidelines or the case law analyzing the issue." (Council Decision, September 13, 2012, R. 8-1, PageID 136.) The Council affirmed the BZA's decision [**9]  that one of Anderson's horses must be removed. Anderson did not appeal the Council's decision. Around this time, the City received at least two complaints from individuals living in Anderson's neighborhood, each describing unsanitary conditions at her house and questioning whether the horses were actually being used for C.A.'s therapy.</w:t>
      </w:r>
    </w:p>
    <w:p w14:paraId="1AD57B4A" w14:textId="77777777" w:rsidR="002D0E71" w:rsidRDefault="00000000">
      <w:pPr>
        <w:pStyle w:val="Normal19"/>
        <w:widowControl w:val="0"/>
        <w:spacing w:before="200" w:line="260" w:lineRule="atLeast"/>
        <w:jc w:val="both"/>
      </w:pPr>
      <w:bookmarkStart w:id="2841" w:name="Bookmark_para_15_16"/>
      <w:bookmarkEnd w:id="2841"/>
      <w:r>
        <w:rPr>
          <w:rFonts w:ascii="Arial" w:eastAsia="Arial" w:hAnsi="Arial" w:cs="Arial"/>
          <w:color w:val="000000"/>
          <w:sz w:val="20"/>
        </w:rPr>
        <w:t>In August 2012, after the Council's decision, Anderson and C.A. replaced their two miniature horses with Ellie, the miniature horse at issue in this appeal, and moved to their current residence on Myrtle Avenue. After completing several classes on how to train miniature horses  [***6]  for therapy, Anderson trained Ellie to assist C.A. in navigating her backyard, including by steadying C.A. while she is walking and helping her to stand after a fall.</w:t>
      </w:r>
    </w:p>
    <w:p w14:paraId="0AE78E32" w14:textId="77777777" w:rsidR="002D0E71" w:rsidRDefault="00000000">
      <w:pPr>
        <w:pStyle w:val="Normal19"/>
        <w:widowControl w:val="0"/>
        <w:spacing w:before="200" w:line="260" w:lineRule="atLeast"/>
        <w:jc w:val="both"/>
      </w:pPr>
      <w:bookmarkStart w:id="2842" w:name="Bookmark_para_16_16"/>
      <w:bookmarkEnd w:id="2842"/>
      <w:r>
        <w:rPr>
          <w:rFonts w:ascii="Arial" w:eastAsia="Arial" w:hAnsi="Arial" w:cs="Arial"/>
          <w:color w:val="000000"/>
          <w:sz w:val="20"/>
        </w:rPr>
        <w:t>On January 10, 2013, the Council passed Ordinance No. 2013-1, amending the City's municipal code "to prohibit keeping of farm animals at residences within the city." (Ordinance No. 2013-1, R. 2, PageID 49.) The ordinance specifically applied to horses, excepting those "[a]nimals which are otherwise specifically permitted elsewhere in the Municipal Code or permitted by Hamilton County, Ohio State, or Federal law." (</w:t>
      </w:r>
      <w:r>
        <w:rPr>
          <w:rFonts w:ascii="Arial" w:eastAsia="Arial" w:hAnsi="Arial" w:cs="Arial"/>
          <w:i/>
          <w:color w:val="000000"/>
          <w:sz w:val="20"/>
        </w:rPr>
        <w:t>Id.</w:t>
      </w:r>
      <w:r>
        <w:rPr>
          <w:rFonts w:ascii="Arial" w:eastAsia="Arial" w:hAnsi="Arial" w:cs="Arial"/>
          <w:color w:val="000000"/>
          <w:sz w:val="20"/>
        </w:rPr>
        <w:t>) On January [**10]  31, 2013, Johnson sent a letter to Anderson informing her that the new ordinance would come into effect on February 20, 2013, and that she would be cited for violating it if the miniature horse was still present on her property on or after that date.</w:t>
      </w:r>
    </w:p>
    <w:p w14:paraId="7046C324" w14:textId="77777777" w:rsidR="002D0E71" w:rsidRDefault="00000000">
      <w:pPr>
        <w:pStyle w:val="Normal19"/>
        <w:widowControl w:val="0"/>
        <w:spacing w:before="200" w:line="260" w:lineRule="atLeast"/>
        <w:jc w:val="both"/>
      </w:pPr>
      <w:bookmarkStart w:id="2843" w:name="Bookmark_para_17_15"/>
      <w:bookmarkEnd w:id="2843"/>
      <w:r>
        <w:rPr>
          <w:rFonts w:ascii="Arial" w:eastAsia="Arial" w:hAnsi="Arial" w:cs="Arial"/>
          <w:color w:val="000000"/>
          <w:sz w:val="20"/>
        </w:rPr>
        <w:t>In responding to an anonymous complaint on February 21, 2013, a police officer observed a miniature horse in Anderson's backyard. The officer asked Anderson to remove the horse from her property, and, initially, she complied. But while investigating a later complaint, an officer observed the horse at Anderson's residence on July 8 and again on July 16. On each occasion he cited Anderson for  [*349]  violating Ordinance 2013-1. Each citation was punishable by a $150 fine.</w:t>
      </w:r>
    </w:p>
    <w:p w14:paraId="65B93802" w14:textId="77777777" w:rsidR="002D0E71" w:rsidRDefault="00000000">
      <w:pPr>
        <w:pStyle w:val="Normal19"/>
        <w:widowControl w:val="0"/>
        <w:spacing w:before="200" w:line="260" w:lineRule="atLeast"/>
        <w:jc w:val="both"/>
      </w:pPr>
      <w:bookmarkStart w:id="2844" w:name="Bookmark_para_18_15"/>
      <w:bookmarkEnd w:id="2844"/>
      <w:r>
        <w:rPr>
          <w:rFonts w:ascii="Arial" w:eastAsia="Arial" w:hAnsi="Arial" w:cs="Arial"/>
          <w:color w:val="000000"/>
          <w:sz w:val="20"/>
        </w:rPr>
        <w:t>In the summer of 2013, Housing Opportunities Made Equal, Inc. ("HOME"), a non-profit, fair-housing-assistance organization in the Cincinnati area began providing services to Anderson. HOME advises clients of their rights to fair housing and helps them file fair housing claims. HOME advised Anderson of her rights under the FHAA and the ADA and "assist[ed] her with filing a Fair Housing Act violation" against the City. (Municipal Transcript, R. 8-4, PageID 273.) One of HOME's compliance managers, [**11]  Brandon Craig, contacted several City officials, including Johnson and the prosecutor handling Anderson's citations, informing them of Anderson's rights related to service animals and, specifically, miniature horses under the FHAA and the ADA.</w:t>
      </w:r>
    </w:p>
    <w:p w14:paraId="0DA68F5A" w14:textId="77777777" w:rsidR="002D0E71" w:rsidRDefault="00000000">
      <w:pPr>
        <w:pStyle w:val="Normal19"/>
        <w:widowControl w:val="0"/>
        <w:spacing w:before="200" w:line="260" w:lineRule="atLeast"/>
        <w:jc w:val="both"/>
      </w:pPr>
      <w:bookmarkStart w:id="2845" w:name="Bookmark_para_19_15"/>
      <w:bookmarkEnd w:id="2845"/>
      <w:r>
        <w:rPr>
          <w:rFonts w:ascii="Arial" w:eastAsia="Arial" w:hAnsi="Arial" w:cs="Arial"/>
          <w:color w:val="000000"/>
          <w:sz w:val="20"/>
        </w:rPr>
        <w:t>Anderson responded to the two citations by email on July 24, 2013. She specifically asserted that both the FHAA and the United States Department of Housing and Urban Development ("HUD") guidelines on assistance animals (interpreting the FHAA and the ADA)  [***7]  entitled her to a "reasonable accommodation to keep the miniature horse for [C.A.]." (Anderson Email, July 24, 2013, R. 10-5, PageID 711.)</w:t>
      </w:r>
    </w:p>
    <w:p w14:paraId="49D63561" w14:textId="77777777" w:rsidR="002D0E71" w:rsidRDefault="00000000">
      <w:pPr>
        <w:pStyle w:val="Normal19"/>
        <w:widowControl w:val="0"/>
        <w:spacing w:before="200" w:line="260" w:lineRule="atLeast"/>
        <w:jc w:val="both"/>
      </w:pPr>
      <w:bookmarkStart w:id="2846" w:name="Bookmark_para_20_13"/>
      <w:bookmarkEnd w:id="2846"/>
      <w:r>
        <w:rPr>
          <w:rFonts w:ascii="Arial" w:eastAsia="Arial" w:hAnsi="Arial" w:cs="Arial"/>
          <w:color w:val="000000"/>
          <w:sz w:val="20"/>
        </w:rPr>
        <w:t>Anderson was tried on both citations in the Hamilton County Municipal Court on October 22, 2013. She did not deny that she kept the miniature horse, Ellie, at her house, but based her defense entirely on her position that the ADA and FHAA entitled her to keep the horse for C.A.'s therapy. Anderson was represented by counsel and presented several exhibits that purportedly described her rights under the ADA and the FHAA, including applicable HUD guidelines and ADA regulations on service animals. Anderson moved to dismiss the citations at the close of the prosecution's [**12]  case, arguing that because the miniature horse is a service animal under the ADA, Ordinance 2013-1 could not apply to her. The motion was denied. During closing arguments, the prosecutor argued that the horse was not a service animal under the ADA. Anderson's counsel responded by arguing that the miniature horse was a service animal under federal law, and urged the Municipal Court to review the exhibits describing the relevant ADA and FHAA regulations.</w:t>
      </w:r>
    </w:p>
    <w:p w14:paraId="39CAA13B" w14:textId="77777777" w:rsidR="002D0E71" w:rsidRDefault="00000000">
      <w:pPr>
        <w:pStyle w:val="Normal19"/>
        <w:widowControl w:val="0"/>
        <w:spacing w:before="200" w:line="260" w:lineRule="atLeast"/>
        <w:jc w:val="both"/>
      </w:pPr>
      <w:bookmarkStart w:id="2847" w:name="Bookmark_para_21_13"/>
      <w:bookmarkEnd w:id="2847"/>
      <w:r>
        <w:rPr>
          <w:rFonts w:ascii="Arial" w:eastAsia="Arial" w:hAnsi="Arial" w:cs="Arial"/>
          <w:color w:val="000000"/>
          <w:sz w:val="20"/>
        </w:rPr>
        <w:t>On November 13, 2013, the Municipal Court found Anderson guilty on both citations. The court did not issue a written opinion, noting simply that it had reviewed all of the exhibits and conducted additional research. The court did not impose a fine for either conviction, and Anderson did not appeal.</w:t>
      </w:r>
    </w:p>
    <w:p w14:paraId="2D9829DA" w14:textId="77777777" w:rsidR="002D0E71" w:rsidRDefault="00000000">
      <w:pPr>
        <w:pStyle w:val="Normal19"/>
        <w:widowControl w:val="0"/>
        <w:spacing w:before="200" w:line="260" w:lineRule="atLeast"/>
        <w:jc w:val="both"/>
      </w:pPr>
      <w:bookmarkStart w:id="2848" w:name="Bookmark_para_22_13"/>
      <w:bookmarkEnd w:id="2848"/>
      <w:r>
        <w:rPr>
          <w:rFonts w:ascii="Arial" w:eastAsia="Arial" w:hAnsi="Arial" w:cs="Arial"/>
          <w:color w:val="000000"/>
          <w:sz w:val="20"/>
        </w:rPr>
        <w:t>In March 2014, after the onset of this litigation, Anderson asked her neighbors to sign letters supporting her efforts to keep Ellie at her house. In these letters, Anderson stated that she had secured a service to remove animal waste from her yard. Most of her neighbors, together with a few others from the community, signed letters in support.</w:t>
      </w:r>
    </w:p>
    <w:p w14:paraId="418A6CBB" w14:textId="77777777" w:rsidR="002D0E71" w:rsidRDefault="00000000">
      <w:pPr>
        <w:pStyle w:val="Normal19"/>
        <w:widowControl w:val="0"/>
        <w:spacing w:before="240" w:line="260" w:lineRule="atLeast"/>
      </w:pPr>
      <w:r>
        <w:br/>
      </w:r>
      <w:r>
        <w:rPr>
          <w:rFonts w:ascii="Arial" w:eastAsia="Arial" w:hAnsi="Arial" w:cs="Arial"/>
          <w:b/>
          <w:color w:val="000000"/>
          <w:sz w:val="20"/>
        </w:rPr>
        <w:t>B. Procedural Background</w:t>
      </w:r>
    </w:p>
    <w:p w14:paraId="767A2848" w14:textId="77777777" w:rsidR="002D0E71" w:rsidRDefault="00000000">
      <w:pPr>
        <w:pStyle w:val="Normal19"/>
        <w:widowControl w:val="0"/>
        <w:spacing w:before="200" w:line="260" w:lineRule="atLeast"/>
        <w:jc w:val="both"/>
      </w:pPr>
      <w:bookmarkStart w:id="2849" w:name="Bookmark_para_23_13"/>
      <w:bookmarkEnd w:id="2849"/>
      <w:r>
        <w:rPr>
          <w:rFonts w:ascii="Arial" w:eastAsia="Arial" w:hAnsi="Arial" w:cs="Arial"/>
          <w:color w:val="000000"/>
          <w:sz w:val="20"/>
        </w:rPr>
        <w:t>On February 18, 2014, Anderson, individually and on behalf of C.A., and HOME [**13]  filed this suit against the City. They alleged that the City's refusal to permit Anderson to keep the horse at her residence violated her rights under the ADA and the FHAA. Anderson, C.A., and HOME also alleged that the City enacted and enforced Ordinance 2013-1 because of discriminatory animus against C.A., in violation of both the ADA and the FHAA, and that the  [***8]  ordinance has had a disparate impact on C.A. and other disabled individuals in violation of the FHAA. They sought declaratory and injunctive relief, along  [*350]  with compensatory damages, attorney's fees, and costs.</w:t>
      </w:r>
    </w:p>
    <w:p w14:paraId="47685701" w14:textId="77777777" w:rsidR="002D0E71" w:rsidRDefault="00000000">
      <w:pPr>
        <w:pStyle w:val="Normal19"/>
        <w:widowControl w:val="0"/>
        <w:spacing w:before="200" w:line="260" w:lineRule="atLeast"/>
        <w:jc w:val="both"/>
      </w:pPr>
      <w:bookmarkStart w:id="2850" w:name="Bookmark_para_24_13"/>
      <w:bookmarkEnd w:id="2850"/>
      <w:r>
        <w:rPr>
          <w:rFonts w:ascii="Arial" w:eastAsia="Arial" w:hAnsi="Arial" w:cs="Arial"/>
          <w:color w:val="000000"/>
          <w:sz w:val="20"/>
        </w:rPr>
        <w:t>The City moved for summary judgment, arguing that claim and issue preclusion bar this lawsuit because of Anderson's criminal convictions for violating Ordinance 2013-1 and her administrative proceedings before the Blue Ash City Council in 2012. The City also disputed the merits of the ADA and FHAA claims, contending that neither statute entitles Anderson to keep Ellie at Anderson's house. The district court granted summary judgment to the City, finding that Anderson's convictions on the two citations barred this lawsuit based on claim and issue preclusion. The district court also found for the City on the merits of the [**14]  ADA and FHAA claims. The plaintiffs appealed.</w:t>
      </w:r>
    </w:p>
    <w:p w14:paraId="08DE9D27" w14:textId="77777777" w:rsidR="002D0E71" w:rsidRDefault="00000000">
      <w:pPr>
        <w:pStyle w:val="Normal19"/>
        <w:widowControl w:val="0"/>
        <w:spacing w:before="240" w:line="260" w:lineRule="atLeast"/>
      </w:pPr>
      <w:r>
        <w:br/>
      </w:r>
      <w:r>
        <w:rPr>
          <w:rFonts w:ascii="Arial" w:eastAsia="Arial" w:hAnsi="Arial" w:cs="Arial"/>
          <w:b/>
          <w:color w:val="000000"/>
          <w:sz w:val="20"/>
        </w:rPr>
        <w:t>II. ANALYSIS</w:t>
      </w:r>
    </w:p>
    <w:p w14:paraId="5F3FA833" w14:textId="77777777" w:rsidR="002D0E71" w:rsidRDefault="00000000">
      <w:pPr>
        <w:pStyle w:val="Normal19"/>
        <w:widowControl w:val="0"/>
        <w:spacing w:before="240" w:line="260" w:lineRule="atLeast"/>
      </w:pPr>
      <w:r>
        <w:br/>
      </w:r>
      <w:r>
        <w:rPr>
          <w:rFonts w:ascii="Arial" w:eastAsia="Arial" w:hAnsi="Arial" w:cs="Arial"/>
          <w:b/>
          <w:color w:val="000000"/>
          <w:sz w:val="20"/>
        </w:rPr>
        <w:t>A. Standard of Review</w:t>
      </w:r>
    </w:p>
    <w:p w14:paraId="28248DDC" w14:textId="77777777" w:rsidR="002D0E71" w:rsidRDefault="00000000">
      <w:pPr>
        <w:pStyle w:val="Normal19"/>
        <w:widowControl w:val="0"/>
        <w:spacing w:before="200" w:line="260" w:lineRule="atLeast"/>
        <w:jc w:val="both"/>
      </w:pPr>
      <w:bookmarkStart w:id="2851" w:name="Bookmark_para_25_13"/>
      <w:bookmarkStart w:id="2852" w:name="Bookmark_I5GW5WK12HM63X0020000400"/>
      <w:bookmarkStart w:id="2853" w:name="Bookmark_I5GW5WK12HM63X0040000400"/>
      <w:bookmarkStart w:id="2854" w:name="Bookmark_LNHNREFclscc1_15"/>
      <w:bookmarkEnd w:id="2851"/>
      <w:bookmarkEnd w:id="2852"/>
      <w:bookmarkEnd w:id="2853"/>
      <w:bookmarkEnd w:id="2854"/>
      <w:r>
        <w:rPr>
          <w:rFonts w:ascii="Arial" w:eastAsia="Arial" w:hAnsi="Arial" w:cs="Arial"/>
          <w:color w:val="000000"/>
          <w:sz w:val="20"/>
        </w:rPr>
        <w:t xml:space="preserve">We review the district court's grant of summary judgment de novo. </w:t>
      </w:r>
      <w:bookmarkStart w:id="2855" w:name="Bookmark_I5GW5WK12HM63X0010000400"/>
      <w:bookmarkEnd w:id="2855"/>
      <w:r>
        <w:rPr>
          <w:rFonts w:ascii="Arial" w:eastAsia="Arial" w:hAnsi="Arial" w:cs="Arial"/>
          <w:i/>
          <w:color w:val="000000"/>
          <w:sz w:val="20"/>
        </w:rPr>
        <w:t>Guyan Int'l, Inc. v. Prof'l Benefits Adm'rs, Inc.</w:t>
      </w:r>
      <w:r>
        <w:rPr>
          <w:rFonts w:ascii="Arial" w:eastAsia="Arial" w:hAnsi="Arial" w:cs="Arial"/>
          <w:color w:val="000000"/>
          <w:sz w:val="20"/>
        </w:rPr>
        <w:t xml:space="preserve">, 689 F.3d 793, 797 (6th Cir. 2012). </w:t>
      </w:r>
      <w:bookmarkStart w:id="2856" w:name="Bookmark_LNHNREFclscc2_15"/>
      <w:bookmarkEnd w:id="2856"/>
      <w:r>
        <w:rPr>
          <w:rFonts w:ascii="Arial" w:eastAsia="Arial" w:hAnsi="Arial" w:cs="Arial"/>
          <w:color w:val="000000"/>
          <w:sz w:val="20"/>
        </w:rPr>
        <w:t xml:space="preserve">"We also review de novo a district court's application of res judicata." </w:t>
      </w:r>
      <w:bookmarkStart w:id="2857" w:name="Bookmark_I5GW5WK12HM63X0030000400"/>
      <w:bookmarkEnd w:id="2857"/>
      <w:r>
        <w:rPr>
          <w:rFonts w:ascii="Arial" w:eastAsia="Arial" w:hAnsi="Arial" w:cs="Arial"/>
          <w:i/>
          <w:color w:val="000000"/>
          <w:sz w:val="20"/>
        </w:rPr>
        <w:t>Ohio ex rel. Boggs v. City of Cleveland</w:t>
      </w:r>
      <w:r>
        <w:rPr>
          <w:rFonts w:ascii="Arial" w:eastAsia="Arial" w:hAnsi="Arial" w:cs="Arial"/>
          <w:color w:val="000000"/>
          <w:sz w:val="20"/>
        </w:rPr>
        <w:t xml:space="preserve">, 655 F.3d 516, 519 (6th Cir. 2011) (citation and internal quotation marks omitted). </w:t>
      </w:r>
      <w:bookmarkStart w:id="2858" w:name="Bookmark_I5GW5WK128T5030010000400"/>
      <w:bookmarkStart w:id="2859" w:name="Bookmark_LNHNREFclscc3_15"/>
      <w:bookmarkEnd w:id="2858"/>
      <w:bookmarkEnd w:id="2859"/>
      <w:r>
        <w:rPr>
          <w:rFonts w:ascii="Arial" w:eastAsia="Arial" w:hAnsi="Arial" w:cs="Arial"/>
          <w:color w:val="000000"/>
          <w:sz w:val="20"/>
        </w:rPr>
        <w:t xml:space="preserve">Summary judgment is proper if there are no genuine disputes of material fact and the moving party is entitled to judgment as a matter of law. Fed. R. Civ. P. 56(a). </w:t>
      </w:r>
      <w:bookmarkStart w:id="2860" w:name="Bookmark_I5GW5WK128T5030010000400_2"/>
      <w:bookmarkStart w:id="2861" w:name="Bookmark_LNHNREFclscc4_15"/>
      <w:bookmarkEnd w:id="2860"/>
      <w:bookmarkEnd w:id="2861"/>
      <w:r>
        <w:rPr>
          <w:rFonts w:ascii="Arial" w:eastAsia="Arial" w:hAnsi="Arial" w:cs="Arial"/>
          <w:color w:val="000000"/>
          <w:sz w:val="20"/>
        </w:rPr>
        <w:t xml:space="preserve">In determining whether the City met its burden on summary judgment, we view the evidence in the light most favorable to the plaintiffs and draw all reasonable inferences in their favor. </w:t>
      </w:r>
      <w:r>
        <w:rPr>
          <w:rFonts w:ascii="Arial" w:eastAsia="Arial" w:hAnsi="Arial" w:cs="Arial"/>
          <w:i/>
          <w:color w:val="000000"/>
          <w:sz w:val="20"/>
        </w:rPr>
        <w:t xml:space="preserve">See </w:t>
      </w:r>
      <w:bookmarkStart w:id="2862" w:name="Bookmark_I5GW5WK12HM63X0050000400"/>
      <w:bookmarkEnd w:id="2862"/>
      <w:r>
        <w:rPr>
          <w:rFonts w:ascii="Arial" w:eastAsia="Arial" w:hAnsi="Arial" w:cs="Arial"/>
          <w:i/>
          <w:color w:val="000000"/>
          <w:sz w:val="20"/>
        </w:rPr>
        <w:t>Anderson v. Liberty Lobby, Inc.</w:t>
      </w:r>
      <w:r>
        <w:rPr>
          <w:rFonts w:ascii="Arial" w:eastAsia="Arial" w:hAnsi="Arial" w:cs="Arial"/>
          <w:color w:val="000000"/>
          <w:sz w:val="20"/>
        </w:rPr>
        <w:t>, 477 U.S. 242, 255, 106 S. Ct. 2505, 91 L. Ed. 2d 202 (1986).</w:t>
      </w:r>
    </w:p>
    <w:p w14:paraId="1D6308E4" w14:textId="77777777" w:rsidR="002D0E71" w:rsidRDefault="00000000">
      <w:pPr>
        <w:pStyle w:val="Normal19"/>
        <w:widowControl w:val="0"/>
        <w:spacing w:before="240" w:line="260" w:lineRule="atLeast"/>
      </w:pPr>
      <w:r>
        <w:br/>
      </w:r>
      <w:r>
        <w:rPr>
          <w:rFonts w:ascii="Arial" w:eastAsia="Arial" w:hAnsi="Arial" w:cs="Arial"/>
          <w:b/>
          <w:color w:val="000000"/>
          <w:sz w:val="20"/>
        </w:rPr>
        <w:t>B. Claim and Issue Preclusion</w:t>
      </w:r>
    </w:p>
    <w:p w14:paraId="7B58CFBE" w14:textId="77777777" w:rsidR="002D0E71" w:rsidRDefault="00000000">
      <w:pPr>
        <w:pStyle w:val="Normal19"/>
        <w:widowControl w:val="0"/>
        <w:spacing w:before="200" w:line="260" w:lineRule="atLeast"/>
        <w:jc w:val="both"/>
      </w:pPr>
      <w:bookmarkStart w:id="2863" w:name="Bookmark_para_26_13"/>
      <w:bookmarkStart w:id="2864" w:name="Bookmark_I5GW5WK128T5030030000400"/>
      <w:bookmarkStart w:id="2865" w:name="Bookmark_LNHNREFclscc5_15"/>
      <w:bookmarkEnd w:id="2863"/>
      <w:bookmarkEnd w:id="2864"/>
      <w:bookmarkEnd w:id="2865"/>
      <w:r>
        <w:rPr>
          <w:rFonts w:ascii="Arial" w:eastAsia="Arial" w:hAnsi="Arial" w:cs="Arial"/>
          <w:color w:val="000000"/>
          <w:sz w:val="20"/>
        </w:rPr>
        <w:t xml:space="preserve">Claim and issue preclusion generally prevent parties from raising an argument that they already fully litigated in an earlier legal proceeding. "State-court judgments are given the same preclusive effect under the doctrines of res judicata and collateral estoppel as they would receive in courts of the rendering state." </w:t>
      </w:r>
      <w:bookmarkStart w:id="2866" w:name="Bookmark_I5GW5WK128T5030020000400"/>
      <w:bookmarkEnd w:id="2866"/>
      <w:r>
        <w:rPr>
          <w:rFonts w:ascii="Arial" w:eastAsia="Arial" w:hAnsi="Arial" w:cs="Arial"/>
          <w:i/>
          <w:color w:val="000000"/>
          <w:sz w:val="20"/>
        </w:rPr>
        <w:t>Boggs</w:t>
      </w:r>
      <w:r>
        <w:rPr>
          <w:rFonts w:ascii="Arial" w:eastAsia="Arial" w:hAnsi="Arial" w:cs="Arial"/>
          <w:color w:val="000000"/>
          <w:sz w:val="20"/>
        </w:rPr>
        <w:t xml:space="preserve">, 655 F.3d at 519 (citation and internal quotation marks omitted). "In other words, '[i]f an individual is precluded from litigating a suit in state court by  [***9]  the traditional principles of res judicata, he is similarly precluded from litigating the suit in federal court.'" [**15]  </w:t>
      </w:r>
      <w:r>
        <w:rPr>
          <w:rFonts w:ascii="Arial" w:eastAsia="Arial" w:hAnsi="Arial" w:cs="Arial"/>
          <w:i/>
          <w:color w:val="000000"/>
          <w:sz w:val="20"/>
        </w:rPr>
        <w:t>Id.</w:t>
      </w:r>
      <w:r>
        <w:rPr>
          <w:rFonts w:ascii="Arial" w:eastAsia="Arial" w:hAnsi="Arial" w:cs="Arial"/>
          <w:color w:val="000000"/>
          <w:sz w:val="20"/>
        </w:rPr>
        <w:t xml:space="preserve"> (alteration original). "We look to the state's law to assess the preclusive effect it would attach to that judgment." </w:t>
      </w:r>
      <w:r>
        <w:rPr>
          <w:rFonts w:ascii="Arial" w:eastAsia="Arial" w:hAnsi="Arial" w:cs="Arial"/>
          <w:i/>
          <w:color w:val="000000"/>
          <w:sz w:val="20"/>
        </w:rPr>
        <w:t>Id.</w:t>
      </w:r>
      <w:r>
        <w:rPr>
          <w:rFonts w:ascii="Arial" w:eastAsia="Arial" w:hAnsi="Arial" w:cs="Arial"/>
          <w:color w:val="000000"/>
          <w:sz w:val="20"/>
        </w:rPr>
        <w:t xml:space="preserve"> (citation and internal quotation marks omitted).</w:t>
      </w:r>
    </w:p>
    <w:p w14:paraId="19269FB7" w14:textId="77777777" w:rsidR="002D0E71" w:rsidRDefault="00000000">
      <w:pPr>
        <w:pStyle w:val="Normal19"/>
        <w:widowControl w:val="0"/>
        <w:spacing w:before="200" w:line="260" w:lineRule="atLeast"/>
        <w:jc w:val="both"/>
      </w:pPr>
      <w:bookmarkStart w:id="2867" w:name="Bookmark_para_27_13"/>
      <w:bookmarkStart w:id="2868" w:name="Bookmark_I5GW5WK128T5030050000400"/>
      <w:bookmarkStart w:id="2869" w:name="Bookmark_LNHNREFclscc6_14"/>
      <w:bookmarkEnd w:id="2867"/>
      <w:bookmarkEnd w:id="2868"/>
      <w:bookmarkEnd w:id="2869"/>
      <w:r>
        <w:rPr>
          <w:rFonts w:ascii="Arial" w:eastAsia="Arial" w:hAnsi="Arial" w:cs="Arial"/>
          <w:color w:val="000000"/>
          <w:sz w:val="20"/>
        </w:rPr>
        <w:t xml:space="preserve">Under Ohio law, "[t]he doctrine of res judicata encompasses the two related concepts of claim preclusion, also known as res judicata or estoppel by judgment, and issue preclusion, also known as collateral estoppel." </w:t>
      </w:r>
      <w:bookmarkStart w:id="2870" w:name="Bookmark_I5GW5WK128T5030040000400"/>
      <w:bookmarkEnd w:id="2870"/>
      <w:r>
        <w:rPr>
          <w:rFonts w:ascii="Arial" w:eastAsia="Arial" w:hAnsi="Arial" w:cs="Arial"/>
          <w:i/>
          <w:color w:val="000000"/>
          <w:sz w:val="20"/>
        </w:rPr>
        <w:t>O'Nesti v. DeBartolo Realty Corp.</w:t>
      </w:r>
      <w:r>
        <w:rPr>
          <w:rFonts w:ascii="Arial" w:eastAsia="Arial" w:hAnsi="Arial" w:cs="Arial"/>
          <w:color w:val="000000"/>
          <w:sz w:val="20"/>
        </w:rPr>
        <w:t xml:space="preserve">, 113 Ohio St. 3d 59, 2007 Ohio 1102, 862 N.E.2d 803, 806 (Ohio 2007). "Claim preclusion prevents subsequent actions, by the same parties or their privies, based upon any claim arising out of a transaction that was the subject matter of a previous action." </w:t>
      </w:r>
      <w:r>
        <w:rPr>
          <w:rFonts w:ascii="Arial" w:eastAsia="Arial" w:hAnsi="Arial" w:cs="Arial"/>
          <w:i/>
          <w:color w:val="000000"/>
          <w:sz w:val="20"/>
        </w:rPr>
        <w:t>Id.</w:t>
      </w:r>
      <w:r>
        <w:rPr>
          <w:rFonts w:ascii="Arial" w:eastAsia="Arial" w:hAnsi="Arial" w:cs="Arial"/>
          <w:color w:val="000000"/>
          <w:sz w:val="20"/>
        </w:rPr>
        <w:t xml:space="preserve"> The doctrine also bars any subsequent action whose claims "could have been litigated in the previous suit." </w:t>
      </w:r>
      <w:r>
        <w:rPr>
          <w:rFonts w:ascii="Arial" w:eastAsia="Arial" w:hAnsi="Arial" w:cs="Arial"/>
          <w:i/>
          <w:color w:val="000000"/>
          <w:sz w:val="20"/>
        </w:rPr>
        <w:t>Id.</w:t>
      </w:r>
      <w:r>
        <w:rPr>
          <w:rFonts w:ascii="Arial" w:eastAsia="Arial" w:hAnsi="Arial" w:cs="Arial"/>
          <w:color w:val="000000"/>
          <w:sz w:val="20"/>
        </w:rPr>
        <w:t xml:space="preserve"> "Issue preclusion, on the other hand, serves to prevent relitigation of any fact or point that was determined by a court of competent jurisdiction in a previous action between the same parties or their privies," and "applies even if the causes of action differ." </w:t>
      </w:r>
      <w:r>
        <w:rPr>
          <w:rFonts w:ascii="Arial" w:eastAsia="Arial" w:hAnsi="Arial" w:cs="Arial"/>
          <w:i/>
          <w:color w:val="000000"/>
          <w:sz w:val="20"/>
        </w:rPr>
        <w:t>Id.</w:t>
      </w:r>
    </w:p>
    <w:p w14:paraId="79C9F456" w14:textId="77777777" w:rsidR="002D0E71" w:rsidRDefault="00000000">
      <w:pPr>
        <w:pStyle w:val="Normal19"/>
        <w:widowControl w:val="0"/>
        <w:spacing w:before="200" w:line="260" w:lineRule="atLeast"/>
        <w:jc w:val="both"/>
      </w:pPr>
      <w:bookmarkStart w:id="2871" w:name="Bookmark_para_28_12"/>
      <w:bookmarkStart w:id="2872" w:name="Bookmark_I5GW5WK12N1RWJ0020000400"/>
      <w:bookmarkEnd w:id="2871"/>
      <w:bookmarkEnd w:id="2872"/>
      <w:r>
        <w:rPr>
          <w:rFonts w:ascii="Arial" w:eastAsia="Arial" w:hAnsi="Arial" w:cs="Arial"/>
          <w:color w:val="000000"/>
          <w:sz w:val="20"/>
        </w:rPr>
        <w:t xml:space="preserve">The City contends that both claim preclusion and issue preclusion bar the plaintiffs' lawsuit because of (1) Anderson's administrative appeal to the Blue Ash City Council in 2012, and (2) her convictions for violating Ordinance 2013-1. </w:t>
      </w:r>
      <w:bookmarkStart w:id="2873" w:name="Bookmark_I3F5JBHG8S9000G4WWW004MV"/>
      <w:bookmarkStart w:id="2874" w:name="Bookmark_I5GW5WK12N1RWJ0040000400"/>
      <w:bookmarkEnd w:id="2873"/>
      <w:bookmarkEnd w:id="2874"/>
      <w:r>
        <w:rPr>
          <w:rFonts w:ascii="Arial" w:eastAsia="Arial" w:hAnsi="Arial" w:cs="Arial"/>
          <w:color w:val="000000"/>
          <w:sz w:val="20"/>
        </w:rPr>
        <w:t xml:space="preserve"> [*351]  First, we [**16]  address the administrative appeal. It is true that </w:t>
      </w:r>
      <w:bookmarkStart w:id="2875" w:name="Bookmark_LNHNREFclscc7_13"/>
      <w:bookmarkEnd w:id="2875"/>
      <w:r>
        <w:rPr>
          <w:rFonts w:ascii="Arial" w:eastAsia="Arial" w:hAnsi="Arial" w:cs="Arial"/>
          <w:color w:val="000000"/>
          <w:sz w:val="20"/>
        </w:rPr>
        <w:t xml:space="preserve">"[r]es judicata, whether claim preclusion or issue preclusion, applies to quasi-judicial administrative proceedings" as long as "the parties have had an ample opportunity to litigate the issues involved in the proceeding." </w:t>
      </w:r>
      <w:bookmarkStart w:id="2876" w:name="Bookmark_I5GW5WK12N1RWJ0010000400"/>
      <w:bookmarkEnd w:id="2876"/>
      <w:r>
        <w:rPr>
          <w:rFonts w:ascii="Arial" w:eastAsia="Arial" w:hAnsi="Arial" w:cs="Arial"/>
          <w:i/>
          <w:color w:val="000000"/>
          <w:sz w:val="20"/>
        </w:rPr>
        <w:t>State ex rel. Schachter v. Ohio Pub. Emps. Ret. Bd.</w:t>
      </w:r>
      <w:r>
        <w:rPr>
          <w:rFonts w:ascii="Arial" w:eastAsia="Arial" w:hAnsi="Arial" w:cs="Arial"/>
          <w:color w:val="000000"/>
          <w:sz w:val="20"/>
        </w:rPr>
        <w:t xml:space="preserve">, 121 Ohio St. 3d 526, 2009 Ohio 1704, 905 N.E.2d 1210, 1216 (Ohio 2009) (citation and internal quotation marks omitted). </w:t>
      </w:r>
      <w:bookmarkStart w:id="2877" w:name="Bookmark_I5GW5WK12N1RWJ0040000400_2"/>
      <w:bookmarkEnd w:id="2877"/>
      <w:r>
        <w:rPr>
          <w:rFonts w:ascii="Arial" w:eastAsia="Arial" w:hAnsi="Arial" w:cs="Arial"/>
          <w:color w:val="000000"/>
          <w:sz w:val="20"/>
        </w:rPr>
        <w:t xml:space="preserve">But a prior proceeding triggers res judicata only for claims that could have been decided in that proceeding and issues that were actually determined, </w:t>
      </w:r>
      <w:r>
        <w:rPr>
          <w:rFonts w:ascii="Arial" w:eastAsia="Arial" w:hAnsi="Arial" w:cs="Arial"/>
          <w:i/>
          <w:color w:val="000000"/>
          <w:sz w:val="20"/>
        </w:rPr>
        <w:t xml:space="preserve">see </w:t>
      </w:r>
      <w:bookmarkStart w:id="2878" w:name="Bookmark_I5GW5WK12N1RWJ0030000400"/>
      <w:bookmarkEnd w:id="2878"/>
      <w:r>
        <w:rPr>
          <w:rFonts w:ascii="Arial" w:eastAsia="Arial" w:hAnsi="Arial" w:cs="Arial"/>
          <w:i/>
          <w:color w:val="000000"/>
          <w:sz w:val="20"/>
        </w:rPr>
        <w:t>O'Nesti</w:t>
      </w:r>
      <w:r>
        <w:rPr>
          <w:rFonts w:ascii="Arial" w:eastAsia="Arial" w:hAnsi="Arial" w:cs="Arial"/>
          <w:color w:val="000000"/>
          <w:sz w:val="20"/>
        </w:rPr>
        <w:t>, 862 N.E.2d at 806, and the claims and issues in this case are not the same as those that were or could have been presented to the Blue Ash City Council in 2012.</w:t>
      </w:r>
    </w:p>
    <w:p w14:paraId="53AF84AC" w14:textId="77777777" w:rsidR="002D0E71" w:rsidRDefault="00000000">
      <w:pPr>
        <w:pStyle w:val="Normal19"/>
        <w:widowControl w:val="0"/>
        <w:spacing w:before="200" w:line="260" w:lineRule="atLeast"/>
        <w:jc w:val="both"/>
      </w:pPr>
      <w:bookmarkStart w:id="2879" w:name="Bookmark_para_29_12"/>
      <w:bookmarkStart w:id="2880" w:name="Bookmark_I5GW5WK12HM63Y0010000400"/>
      <w:bookmarkEnd w:id="2879"/>
      <w:bookmarkEnd w:id="2880"/>
      <w:r>
        <w:rPr>
          <w:rFonts w:ascii="Arial" w:eastAsia="Arial" w:hAnsi="Arial" w:cs="Arial"/>
          <w:color w:val="000000"/>
          <w:sz w:val="20"/>
        </w:rPr>
        <w:t xml:space="preserve">The issue before us is whether federal law entitles Anderson to keep Ellie at her house on Myrtle Avenue. Anderson's appeal to the Council dealt with two different miniature horses at a different location, a residence on Prospect Avenue in Blue Ash. These distinctions are significant because the ADA regulations governing miniature horses call for a fact-specific inquiry into the characteristics of the particular animals in question, including their type, size, weight, and training, as well as the adequacy of the facilities where the horses are kept. </w:t>
      </w:r>
      <w:r>
        <w:rPr>
          <w:rFonts w:ascii="Arial" w:eastAsia="Arial" w:hAnsi="Arial" w:cs="Arial"/>
          <w:i/>
          <w:color w:val="000000"/>
          <w:sz w:val="20"/>
        </w:rPr>
        <w:t>See</w:t>
      </w:r>
      <w:r>
        <w:rPr>
          <w:rFonts w:ascii="Arial" w:eastAsia="Arial" w:hAnsi="Arial" w:cs="Arial"/>
          <w:color w:val="000000"/>
          <w:sz w:val="20"/>
        </w:rPr>
        <w:t xml:space="preserve">  [***10]  28 C.F.R. § 35.136(i)(2). The FHAA also calls [**17]  for a "highly fact-specific inquiry." </w:t>
      </w:r>
      <w:bookmarkStart w:id="2881" w:name="Bookmark_I5GW5WK12N1RWJ0050000400"/>
      <w:bookmarkEnd w:id="2881"/>
      <w:r>
        <w:rPr>
          <w:rFonts w:ascii="Arial" w:eastAsia="Arial" w:hAnsi="Arial" w:cs="Arial"/>
          <w:i/>
          <w:color w:val="000000"/>
          <w:sz w:val="20"/>
        </w:rPr>
        <w:t>Hollis v. Chestnut Bend Homeowners Ass'n</w:t>
      </w:r>
      <w:r>
        <w:rPr>
          <w:rFonts w:ascii="Arial" w:eastAsia="Arial" w:hAnsi="Arial" w:cs="Arial"/>
          <w:color w:val="000000"/>
          <w:sz w:val="20"/>
        </w:rPr>
        <w:t>, 760 F.3d 531, 542 (6th Cir. 2014) (citation and internal quotation marks omitted). Thus the question in this case—whether the ADA or FHAA entitle Anderson to keep Ellie at her current residence—was not and could not have been answered in Anderson's appeal to the Blue Ash City Council, and therefore that proceeding has no preclusive effect on this lawsuit.</w:t>
      </w:r>
    </w:p>
    <w:p w14:paraId="0F819706" w14:textId="77777777" w:rsidR="002D0E71" w:rsidRDefault="00000000">
      <w:pPr>
        <w:pStyle w:val="Normal19"/>
        <w:widowControl w:val="0"/>
        <w:spacing w:before="200" w:line="260" w:lineRule="atLeast"/>
        <w:jc w:val="both"/>
      </w:pPr>
      <w:bookmarkStart w:id="2882" w:name="Bookmark_para_30_12"/>
      <w:bookmarkEnd w:id="2882"/>
      <w:r>
        <w:rPr>
          <w:rFonts w:ascii="Arial" w:eastAsia="Arial" w:hAnsi="Arial" w:cs="Arial"/>
          <w:color w:val="000000"/>
          <w:sz w:val="20"/>
        </w:rPr>
        <w:t>Anderson's convictions for violating Ordinance 2013-1, on the other hand, concerned the same horse and the same residence now at issue. While Anderson concedes that she raised both the ADA and FHAA as defenses during that proceeding, Anderson contends that res judicata does not bar her claims because she could not fully litigate them during her criminal trial. Specifically, she argues that she could not raise her ADA or FHAA claims nor seek declaratory, injunctive, or monetary relief as a defendant in a municipal court of limited jurisdiction.</w:t>
      </w:r>
    </w:p>
    <w:p w14:paraId="798B812A" w14:textId="77777777" w:rsidR="002D0E71" w:rsidRDefault="00000000">
      <w:pPr>
        <w:pStyle w:val="Normal19"/>
        <w:widowControl w:val="0"/>
        <w:spacing w:before="200" w:line="260" w:lineRule="atLeast"/>
        <w:jc w:val="both"/>
      </w:pPr>
      <w:bookmarkStart w:id="2883" w:name="Bookmark_para_31_12"/>
      <w:bookmarkStart w:id="2884" w:name="Bookmark_I5GW5WK12HM63Y0030000400"/>
      <w:bookmarkStart w:id="2885" w:name="Bookmark_I5GW5WK12HM63Y0050000400"/>
      <w:bookmarkEnd w:id="2883"/>
      <w:bookmarkEnd w:id="2884"/>
      <w:bookmarkEnd w:id="2885"/>
      <w:r>
        <w:rPr>
          <w:rFonts w:ascii="Arial" w:eastAsia="Arial" w:hAnsi="Arial" w:cs="Arial"/>
          <w:color w:val="000000"/>
          <w:sz w:val="20"/>
        </w:rPr>
        <w:t xml:space="preserve">We have recognized that </w:t>
      </w:r>
      <w:bookmarkStart w:id="2886" w:name="Bookmark_LNHNREFclscc8_13"/>
      <w:bookmarkEnd w:id="2886"/>
      <w:r>
        <w:rPr>
          <w:rFonts w:ascii="Arial" w:eastAsia="Arial" w:hAnsi="Arial" w:cs="Arial"/>
          <w:color w:val="000000"/>
          <w:sz w:val="20"/>
        </w:rPr>
        <w:t xml:space="preserve">"Ohio state courts generally frown upon the use of criminal proceedings to estop parties in subsequent civil proceedings." </w:t>
      </w:r>
      <w:bookmarkStart w:id="2887" w:name="Bookmark_I5GW5WK12HM63Y0020000400"/>
      <w:bookmarkEnd w:id="2887"/>
      <w:r>
        <w:rPr>
          <w:rFonts w:ascii="Arial" w:eastAsia="Arial" w:hAnsi="Arial" w:cs="Arial"/>
          <w:i/>
          <w:color w:val="000000"/>
          <w:sz w:val="20"/>
        </w:rPr>
        <w:t>Boone v. Spurgess</w:t>
      </w:r>
      <w:r>
        <w:rPr>
          <w:rFonts w:ascii="Arial" w:eastAsia="Arial" w:hAnsi="Arial" w:cs="Arial"/>
          <w:color w:val="000000"/>
          <w:sz w:val="20"/>
        </w:rPr>
        <w:t xml:space="preserve">, 385 F.3d 923, 927 n.4 (6th Cir. 2004). The Supreme Court of Ohio has explained that this is because "[t]he qualitative differences between civil and criminal proceedings including the [**18]  differing standards of proof, rules of discovery, and rules of evidence militate against giving criminal judgments preclusive effect in civil or quasi-civil litigation." </w:t>
      </w:r>
      <w:bookmarkStart w:id="2888" w:name="Bookmark_I5GW5WK12HM63Y0040000400"/>
      <w:bookmarkEnd w:id="2888"/>
      <w:r>
        <w:rPr>
          <w:rFonts w:ascii="Arial" w:eastAsia="Arial" w:hAnsi="Arial" w:cs="Arial"/>
          <w:i/>
          <w:color w:val="000000"/>
          <w:sz w:val="20"/>
        </w:rPr>
        <w:t>State ex rel. Ferguson v. Ct. of Claims of Ohio, Victims of Crime Div.</w:t>
      </w:r>
      <w:r>
        <w:rPr>
          <w:rFonts w:ascii="Arial" w:eastAsia="Arial" w:hAnsi="Arial" w:cs="Arial"/>
          <w:color w:val="000000"/>
          <w:sz w:val="20"/>
        </w:rPr>
        <w:t xml:space="preserve">, 98 Ohio St. 3d 399, 2003 Ohio 1631, 786 N.E.2d 43, 48 (Ohio 2003) (per curiam) (internal quotation marks and brackets omitted). </w:t>
      </w:r>
      <w:bookmarkStart w:id="2889" w:name="Bookmark_I5GW5WK12N1RWK0020000400"/>
      <w:bookmarkEnd w:id="2889"/>
      <w:r>
        <w:rPr>
          <w:rFonts w:ascii="Arial" w:eastAsia="Arial" w:hAnsi="Arial" w:cs="Arial"/>
          <w:color w:val="000000"/>
          <w:sz w:val="20"/>
        </w:rPr>
        <w:t>This disfavor is not absolute, however, and the court has recognized that criminal proceedings can sometimes trigger res judicata in a subsequent civil suit:</w:t>
      </w:r>
    </w:p>
    <w:p w14:paraId="77E72D1A" w14:textId="77777777" w:rsidR="002D0E71" w:rsidRDefault="00000000">
      <w:pPr>
        <w:pStyle w:val="Normal19"/>
        <w:widowControl w:val="0"/>
        <w:spacing w:line="260" w:lineRule="atLeast"/>
        <w:ind w:left="400"/>
        <w:jc w:val="both"/>
      </w:pPr>
      <w:bookmarkStart w:id="2890" w:name="Bookmark_para_32_11"/>
      <w:bookmarkStart w:id="2891" w:name="Bookmark_I5GW5WK12N1RWK0020000400_2"/>
      <w:bookmarkEnd w:id="2890"/>
      <w:bookmarkEnd w:id="2891"/>
      <w:r>
        <w:rPr>
          <w:rFonts w:ascii="Arial" w:eastAsia="Arial" w:hAnsi="Arial" w:cs="Arial"/>
          <w:color w:val="000000"/>
          <w:sz w:val="20"/>
        </w:rPr>
        <w:t>The Ohio Supreme Court has explicitly held that a convicted defendant is precluded under the doctrine of res judicata from raising and litigating in any proceeding, except an appeal from that judgment, any defense or any claimed lack of due process that was raised or could have been raised by the defendant at the trial which resulted in that judgment of conviction or on appeal from that judgment.</w:t>
      </w:r>
    </w:p>
    <w:p w14:paraId="7ABA4098" w14:textId="77777777" w:rsidR="002D0E71" w:rsidRDefault="00000000">
      <w:pPr>
        <w:pStyle w:val="Normal19"/>
        <w:widowControl w:val="0"/>
        <w:spacing w:before="200" w:line="260" w:lineRule="atLeast"/>
        <w:jc w:val="both"/>
      </w:pPr>
      <w:bookmarkStart w:id="2892" w:name="Bookmark_I5GW5WK12N1RWK0020000400_3"/>
      <w:bookmarkStart w:id="2893" w:name="Bookmark_I5GW5WK12N1RWK0010000400"/>
      <w:bookmarkEnd w:id="2892"/>
      <w:bookmarkEnd w:id="2893"/>
      <w:r>
        <w:rPr>
          <w:rFonts w:ascii="Arial" w:eastAsia="Arial" w:hAnsi="Arial" w:cs="Arial"/>
          <w:i/>
          <w:color w:val="000000"/>
          <w:sz w:val="20"/>
        </w:rPr>
        <w:t>5455 Clarkins Drive, Inc. v. Poole</w:t>
      </w:r>
      <w:r>
        <w:rPr>
          <w:rFonts w:ascii="Arial" w:eastAsia="Arial" w:hAnsi="Arial" w:cs="Arial"/>
          <w:color w:val="000000"/>
          <w:sz w:val="20"/>
        </w:rPr>
        <w:t>, 384 F. App'x 458, 463 (6th Cir. 2010) (per curiam) (internal quotation marks omitted).</w:t>
      </w:r>
    </w:p>
    <w:p w14:paraId="564CF4B0" w14:textId="77777777" w:rsidR="002D0E71" w:rsidRDefault="00000000">
      <w:pPr>
        <w:pStyle w:val="Normal19"/>
        <w:widowControl w:val="0"/>
        <w:spacing w:before="200" w:line="260" w:lineRule="atLeast"/>
        <w:jc w:val="both"/>
      </w:pPr>
      <w:bookmarkStart w:id="2894" w:name="Bookmark_para_33_11"/>
      <w:bookmarkEnd w:id="2894"/>
      <w:r>
        <w:rPr>
          <w:rFonts w:ascii="Arial" w:eastAsia="Arial" w:hAnsi="Arial" w:cs="Arial"/>
          <w:color w:val="000000"/>
          <w:sz w:val="20"/>
        </w:rPr>
        <w:t xml:space="preserve"> [*352]  </w:t>
      </w:r>
      <w:bookmarkStart w:id="2895" w:name="Bookmark_I5GW5WK12N1RWK0040000400"/>
      <w:bookmarkEnd w:id="2895"/>
      <w:r>
        <w:rPr>
          <w:rFonts w:ascii="Arial" w:eastAsia="Arial" w:hAnsi="Arial" w:cs="Arial"/>
          <w:color w:val="000000"/>
          <w:sz w:val="20"/>
        </w:rPr>
        <w:t xml:space="preserve"> [***11]  </w:t>
      </w:r>
      <w:bookmarkStart w:id="2896" w:name="Bookmark_LNHNREFclscc9_12"/>
      <w:bookmarkEnd w:id="2896"/>
      <w:r>
        <w:rPr>
          <w:rFonts w:ascii="Arial" w:eastAsia="Arial" w:hAnsi="Arial" w:cs="Arial"/>
          <w:color w:val="000000"/>
          <w:sz w:val="20"/>
        </w:rPr>
        <w:t xml:space="preserve">Whether Ohio courts will give preclusive effect to a criminal proceeding in a subsequent civil suit turns on "whether the burdens of proof, discovery rules, evidentiary rules, procedure, or constitutional safeguards effective at the criminal stage could have affected that party's willingness or ability to pursue the argument at issue in a way that no longer obtained [**19]  at the civil stage." </w:t>
      </w:r>
      <w:r>
        <w:rPr>
          <w:rFonts w:ascii="Arial" w:eastAsia="Arial" w:hAnsi="Arial" w:cs="Arial"/>
          <w:i/>
          <w:color w:val="000000"/>
          <w:sz w:val="20"/>
        </w:rPr>
        <w:t>Id.</w:t>
      </w:r>
      <w:r>
        <w:rPr>
          <w:rFonts w:ascii="Arial" w:eastAsia="Arial" w:hAnsi="Arial" w:cs="Arial"/>
          <w:color w:val="000000"/>
          <w:sz w:val="20"/>
        </w:rPr>
        <w:t xml:space="preserve"> Thus, the Supreme Court of Ohio has held that an acquittal at a criminal trial did not bar relitigation of the defendant's innocence in a subsequent wrongful imprisonment action brought by that defendant because of "qualitative differences between civil and criminal proceedings." </w:t>
      </w:r>
      <w:bookmarkStart w:id="2897" w:name="Bookmark_I5GW5WK12N1RWK0030000400"/>
      <w:bookmarkEnd w:id="2897"/>
      <w:r>
        <w:rPr>
          <w:rFonts w:ascii="Arial" w:eastAsia="Arial" w:hAnsi="Arial" w:cs="Arial"/>
          <w:i/>
          <w:color w:val="000000"/>
          <w:sz w:val="20"/>
        </w:rPr>
        <w:t>Walden v. Ohio</w:t>
      </w:r>
      <w:r>
        <w:rPr>
          <w:rFonts w:ascii="Arial" w:eastAsia="Arial" w:hAnsi="Arial" w:cs="Arial"/>
          <w:color w:val="000000"/>
          <w:sz w:val="20"/>
        </w:rPr>
        <w:t xml:space="preserve">, 47 Ohio St. 3d 47, 547 N.E.2d 962, 966 (Ohio 1989). </w:t>
      </w:r>
      <w:bookmarkStart w:id="2898" w:name="Bookmark_I5GW5WK12D6NGT0010000400"/>
      <w:bookmarkEnd w:id="2898"/>
      <w:r>
        <w:rPr>
          <w:rFonts w:ascii="Arial" w:eastAsia="Arial" w:hAnsi="Arial" w:cs="Arial"/>
          <w:color w:val="000000"/>
          <w:sz w:val="20"/>
        </w:rPr>
        <w:t xml:space="preserve">"In a civil proceeding, not only is the burden of proof usually different, it being placed upon plaintiff . . . but also the rules concerning trial procedure, discovery, evidence and constitutional safeguards differ in important aspects." </w:t>
      </w:r>
      <w:r>
        <w:rPr>
          <w:rFonts w:ascii="Arial" w:eastAsia="Arial" w:hAnsi="Arial" w:cs="Arial"/>
          <w:i/>
          <w:color w:val="000000"/>
          <w:sz w:val="20"/>
        </w:rPr>
        <w:t>Id.</w:t>
      </w:r>
      <w:r>
        <w:rPr>
          <w:rFonts w:ascii="Arial" w:eastAsia="Arial" w:hAnsi="Arial" w:cs="Arial"/>
          <w:color w:val="000000"/>
          <w:sz w:val="20"/>
        </w:rPr>
        <w:t xml:space="preserve"> (internal quotation marks omitted). </w:t>
      </w:r>
      <w:bookmarkStart w:id="2899" w:name="Bookmark_I5GW5WK12D6NGT0010000400_2"/>
      <w:bookmarkEnd w:id="2899"/>
      <w:r>
        <w:rPr>
          <w:rFonts w:ascii="Arial" w:eastAsia="Arial" w:hAnsi="Arial" w:cs="Arial"/>
          <w:color w:val="000000"/>
          <w:sz w:val="20"/>
        </w:rPr>
        <w:t xml:space="preserve">By contrast, that court held that a criminal conviction did preclude a subsequent civil action for post-conviction relief where the defendant sought to relitigate the validity of the criminal statute under which he had been convicted, and that legal challenge had been "fully litigated" during his prior criminal proceedings. </w:t>
      </w:r>
      <w:bookmarkStart w:id="2900" w:name="Bookmark_I5GW5WK12N1RWK0050000400"/>
      <w:bookmarkEnd w:id="2900"/>
      <w:r>
        <w:rPr>
          <w:rFonts w:ascii="Arial" w:eastAsia="Arial" w:hAnsi="Arial" w:cs="Arial"/>
          <w:i/>
          <w:color w:val="000000"/>
          <w:sz w:val="20"/>
        </w:rPr>
        <w:t>Ohio v. Szefcyk</w:t>
      </w:r>
      <w:r>
        <w:rPr>
          <w:rFonts w:ascii="Arial" w:eastAsia="Arial" w:hAnsi="Arial" w:cs="Arial"/>
          <w:color w:val="000000"/>
          <w:sz w:val="20"/>
        </w:rPr>
        <w:t>, 77 Ohio St. 3d 93, 1996 Ohio 337, 671 N.E.2d 233, 235 (Ohio 1996).</w:t>
      </w:r>
    </w:p>
    <w:p w14:paraId="6153EC50" w14:textId="77777777" w:rsidR="002D0E71" w:rsidRDefault="00000000">
      <w:pPr>
        <w:pStyle w:val="Normal19"/>
        <w:widowControl w:val="0"/>
        <w:spacing w:before="200" w:line="260" w:lineRule="atLeast"/>
        <w:jc w:val="both"/>
      </w:pPr>
      <w:bookmarkStart w:id="2901" w:name="Bookmark_para_34_11"/>
      <w:bookmarkStart w:id="2902" w:name="Bookmark_I5GW5WK12D6NGT0030000400"/>
      <w:bookmarkEnd w:id="2901"/>
      <w:bookmarkEnd w:id="2902"/>
      <w:r>
        <w:rPr>
          <w:rFonts w:ascii="Arial" w:eastAsia="Arial" w:hAnsi="Arial" w:cs="Arial"/>
          <w:color w:val="000000"/>
          <w:sz w:val="20"/>
        </w:rPr>
        <w:t xml:space="preserve">Other Ohio courts have also recognized that the preclusive effect of a criminal judgment depends on whether qualitative differences between the criminal and civil proceedings affected the criminal defendant's willingness and ability to litigate fully the case or issues. In </w:t>
      </w:r>
      <w:bookmarkStart w:id="2903" w:name="Bookmark_I5GW5WK12D6NGT0020000400"/>
      <w:bookmarkEnd w:id="2903"/>
      <w:r>
        <w:rPr>
          <w:rFonts w:ascii="Arial" w:eastAsia="Arial" w:hAnsi="Arial" w:cs="Arial"/>
          <w:i/>
          <w:color w:val="000000"/>
          <w:sz w:val="20"/>
        </w:rPr>
        <w:t>Independence Excavating, Inc. v. City of Twinsburg</w:t>
      </w:r>
      <w:r>
        <w:rPr>
          <w:rFonts w:ascii="Arial" w:eastAsia="Arial" w:hAnsi="Arial" w:cs="Arial"/>
          <w:color w:val="000000"/>
          <w:sz w:val="20"/>
        </w:rPr>
        <w:t xml:space="preserve">, 2002-Ohio-4526, 2002 WL 2009464, at *8 (Ohio Ct. App. 2002), an intermediate [**20]  appeals court held that a municipal conviction for violating a zoning ordinance precluded a company from later seeking a declaratory judgment that the zoning ordinance conflicted with state law because that issue could have been raised as a defense in the prior criminal proceeding. Acknowledging that "qualitative differences [between criminal and civil proceedings] are often relevant to determining the applicability of res judicata," the court held that "demonstrating a conflict between the city's ordinance and similar state legislation would not be affected by differences in discovery methods, privilege, or self-incrimination safeguards that normally differ between criminal and civil proceedings." </w:t>
      </w:r>
      <w:r>
        <w:rPr>
          <w:rFonts w:ascii="Arial" w:eastAsia="Arial" w:hAnsi="Arial" w:cs="Arial"/>
          <w:i/>
          <w:color w:val="000000"/>
          <w:sz w:val="20"/>
        </w:rPr>
        <w:t>Id.</w:t>
      </w:r>
    </w:p>
    <w:p w14:paraId="6B9D93E0" w14:textId="77777777" w:rsidR="002D0E71" w:rsidRDefault="00000000">
      <w:pPr>
        <w:pStyle w:val="Normal19"/>
        <w:widowControl w:val="0"/>
        <w:spacing w:before="200" w:line="260" w:lineRule="atLeast"/>
        <w:jc w:val="both"/>
      </w:pPr>
      <w:bookmarkStart w:id="2904" w:name="Bookmark_para_35_11"/>
      <w:bookmarkStart w:id="2905" w:name="Bookmark_I5GW5WK12D6NGT0050000400"/>
      <w:bookmarkEnd w:id="2904"/>
      <w:bookmarkEnd w:id="2905"/>
      <w:r>
        <w:rPr>
          <w:rFonts w:ascii="Arial" w:eastAsia="Arial" w:hAnsi="Arial" w:cs="Arial"/>
          <w:color w:val="000000"/>
          <w:sz w:val="20"/>
        </w:rPr>
        <w:t xml:space="preserve">Similarly in </w:t>
      </w:r>
      <w:r>
        <w:rPr>
          <w:rFonts w:ascii="Arial" w:eastAsia="Arial" w:hAnsi="Arial" w:cs="Arial"/>
          <w:i/>
          <w:color w:val="000000"/>
          <w:sz w:val="20"/>
        </w:rPr>
        <w:t>Poole</w:t>
      </w:r>
      <w:r>
        <w:rPr>
          <w:rFonts w:ascii="Arial" w:eastAsia="Arial" w:hAnsi="Arial" w:cs="Arial"/>
          <w:color w:val="000000"/>
          <w:sz w:val="20"/>
        </w:rPr>
        <w:t xml:space="preserve">, </w:t>
      </w:r>
      <w:bookmarkStart w:id="2906" w:name="Bookmark_LNHNREFclscc10_12"/>
      <w:bookmarkEnd w:id="2906"/>
      <w:r>
        <w:rPr>
          <w:rFonts w:ascii="Arial" w:eastAsia="Arial" w:hAnsi="Arial" w:cs="Arial"/>
          <w:color w:val="000000"/>
          <w:sz w:val="20"/>
        </w:rPr>
        <w:t>we distinguished between the preclusive effects Ohio gives to "</w:t>
      </w:r>
      <w:r>
        <w:rPr>
          <w:rFonts w:ascii="Arial" w:eastAsia="Arial" w:hAnsi="Arial" w:cs="Arial"/>
          <w:i/>
          <w:color w:val="000000"/>
          <w:sz w:val="20"/>
        </w:rPr>
        <w:t>factual</w:t>
      </w:r>
      <w:r>
        <w:rPr>
          <w:rFonts w:ascii="Arial" w:eastAsia="Arial" w:hAnsi="Arial" w:cs="Arial"/>
          <w:color w:val="000000"/>
          <w:sz w:val="20"/>
        </w:rPr>
        <w:t xml:space="preserve"> determinations made in an earlier criminal proceeding" and "a </w:t>
      </w:r>
      <w:r>
        <w:rPr>
          <w:rFonts w:ascii="Arial" w:eastAsia="Arial" w:hAnsi="Arial" w:cs="Arial"/>
          <w:i/>
          <w:color w:val="000000"/>
          <w:sz w:val="20"/>
        </w:rPr>
        <w:t>defense</w:t>
      </w:r>
      <w:r>
        <w:rPr>
          <w:rFonts w:ascii="Arial" w:eastAsia="Arial" w:hAnsi="Arial" w:cs="Arial"/>
          <w:color w:val="000000"/>
          <w:sz w:val="20"/>
        </w:rPr>
        <w:t xml:space="preserve"> that could have  [***12]  been made" in that proceeding. </w:t>
      </w:r>
      <w:bookmarkStart w:id="2907" w:name="Bookmark_I5GW5WK12D6NGT0040000400"/>
      <w:bookmarkEnd w:id="2907"/>
      <w:r>
        <w:rPr>
          <w:rFonts w:ascii="Arial" w:eastAsia="Arial" w:hAnsi="Arial" w:cs="Arial"/>
          <w:color w:val="000000"/>
          <w:sz w:val="20"/>
        </w:rPr>
        <w:t>384 F. App'x at 462-63. In holding that an adult cabaret's conviction for violating a zoning ordinance precluded it from raising a First Amendment challenge to that ordinance in a subsequent civil suit, we held that:</w:t>
      </w:r>
    </w:p>
    <w:p w14:paraId="173ED7E9" w14:textId="77777777" w:rsidR="002D0E71" w:rsidRDefault="00000000">
      <w:pPr>
        <w:pStyle w:val="Normal19"/>
        <w:widowControl w:val="0"/>
        <w:spacing w:before="200" w:line="260" w:lineRule="atLeast"/>
        <w:ind w:left="400"/>
        <w:jc w:val="both"/>
      </w:pPr>
      <w:bookmarkStart w:id="2908" w:name="Bookmark_para_36_11"/>
      <w:bookmarkStart w:id="2909" w:name="Bookmark_I5GW5WK12D6NGT0050000400_2"/>
      <w:bookmarkStart w:id="2910" w:name="Bookmark_I5GW5WK12HM6400020000400"/>
      <w:bookmarkEnd w:id="2908"/>
      <w:bookmarkEnd w:id="2909"/>
      <w:bookmarkEnd w:id="2910"/>
      <w:r>
        <w:rPr>
          <w:rFonts w:ascii="Arial" w:eastAsia="Arial" w:hAnsi="Arial" w:cs="Arial"/>
          <w:color w:val="000000"/>
          <w:sz w:val="20"/>
        </w:rPr>
        <w:t xml:space="preserve">During their criminal proceedings, [the adult cabaret owners] indisputably could have raised their First Amendment claims, [**21]  and appear to have had precisely the same opportunity and motivation to pursue them; their willingness and ability to do so were unaffected by the fact that the earlier proceeding happened to be a criminal trial. </w:t>
      </w:r>
      <w:bookmarkStart w:id="2911" w:name="Bookmark_I5GW5WK12HM6400020000400_2"/>
      <w:bookmarkStart w:id="2912" w:name="Bookmark_I3F5JBHJ8WR000G4WWW004N6"/>
      <w:bookmarkStart w:id="2913" w:name="Bookmark_I3F5JBHK549000G4WWW004N9"/>
      <w:bookmarkStart w:id="2914" w:name="Bookmark_I5GW5WK12HM6400040000400"/>
      <w:bookmarkEnd w:id="2911"/>
      <w:bookmarkEnd w:id="2912"/>
      <w:bookmarkEnd w:id="2913"/>
      <w:bookmarkEnd w:id="2914"/>
      <w:r>
        <w:rPr>
          <w:rFonts w:ascii="Arial" w:eastAsia="Arial" w:hAnsi="Arial" w:cs="Arial"/>
          <w:color w:val="000000"/>
          <w:sz w:val="20"/>
        </w:rPr>
        <w:t>Moreover, they have made no argument that, as a practical matter, the differences between criminal and civil procedural or evidentiary rules denied them that opportunity to pursue their claims of facial invalidity.</w:t>
      </w:r>
    </w:p>
    <w:p w14:paraId="60EDCFE6" w14:textId="77777777" w:rsidR="002D0E71" w:rsidRDefault="00000000">
      <w:pPr>
        <w:pStyle w:val="Normal19"/>
        <w:widowControl w:val="0"/>
        <w:spacing w:before="200" w:line="260" w:lineRule="atLeast"/>
        <w:jc w:val="both"/>
      </w:pPr>
      <w:bookmarkStart w:id="2915" w:name="Bookmark_I81S4VH74M30000102K0000C"/>
      <w:bookmarkStart w:id="2916" w:name="Bookmark_I81S4VH7HNM0000102K0000G"/>
      <w:bookmarkStart w:id="2917" w:name="Bookmark_I5GW5WK12HM6400040000400_2"/>
      <w:bookmarkStart w:id="2918" w:name="Bookmark_I5GW5WK12HM6400020000400_3"/>
      <w:bookmarkStart w:id="2919" w:name="Bookmark_I5GW5WK12HM6400010000400"/>
      <w:bookmarkEnd w:id="2915"/>
      <w:bookmarkEnd w:id="2916"/>
      <w:bookmarkEnd w:id="2917"/>
      <w:bookmarkEnd w:id="2918"/>
      <w:bookmarkEnd w:id="2919"/>
      <w:r>
        <w:rPr>
          <w:rFonts w:ascii="Arial" w:eastAsia="Arial" w:hAnsi="Arial" w:cs="Arial"/>
          <w:i/>
          <w:color w:val="000000"/>
          <w:sz w:val="20"/>
        </w:rPr>
        <w:t>Id.</w:t>
      </w:r>
      <w:r>
        <w:rPr>
          <w:rFonts w:ascii="Arial" w:eastAsia="Arial" w:hAnsi="Arial" w:cs="Arial"/>
          <w:color w:val="000000"/>
          <w:sz w:val="20"/>
        </w:rPr>
        <w:t xml:space="preserve"> at 465 (footnote omitted). Thus both </w:t>
      </w:r>
      <w:bookmarkStart w:id="2920" w:name="Bookmark_I5GW5WK12HM6400030000400"/>
      <w:bookmarkEnd w:id="2920"/>
      <w:r>
        <w:rPr>
          <w:rFonts w:ascii="Arial" w:eastAsia="Arial" w:hAnsi="Arial" w:cs="Arial"/>
          <w:i/>
          <w:color w:val="000000"/>
          <w:sz w:val="20"/>
        </w:rPr>
        <w:t>Independence Excavating</w:t>
      </w:r>
      <w:r>
        <w:rPr>
          <w:rFonts w:ascii="Arial" w:eastAsia="Arial" w:hAnsi="Arial" w:cs="Arial"/>
          <w:color w:val="000000"/>
          <w:sz w:val="20"/>
        </w:rPr>
        <w:t xml:space="preserve"> and </w:t>
      </w:r>
      <w:bookmarkStart w:id="2921" w:name="Bookmark_I5GW5WK12HM6400040000400_3"/>
      <w:bookmarkStart w:id="2922" w:name="Bookmark_I5GW5WK12HM6400050000400"/>
      <w:bookmarkEnd w:id="2921"/>
      <w:bookmarkEnd w:id="2922"/>
      <w:r>
        <w:rPr>
          <w:rFonts w:ascii="Arial" w:eastAsia="Arial" w:hAnsi="Arial" w:cs="Arial"/>
          <w:i/>
          <w:color w:val="000000"/>
          <w:sz w:val="20"/>
        </w:rPr>
        <w:t>Poole</w:t>
      </w:r>
      <w:r>
        <w:rPr>
          <w:rFonts w:ascii="Arial" w:eastAsia="Arial" w:hAnsi="Arial" w:cs="Arial"/>
          <w:color w:val="000000"/>
          <w:sz w:val="20"/>
        </w:rPr>
        <w:t xml:space="preserve"> determined  [*353]  the preclusive effects of a criminal proceeding on a subsequent civil action by asking whether the "qualitative differences" between those proceedings affected the litigant's willingness or ability to pursue the claim.</w:t>
      </w:r>
    </w:p>
    <w:p w14:paraId="1E4D849F" w14:textId="77777777" w:rsidR="002D0E71" w:rsidRDefault="00000000">
      <w:pPr>
        <w:pStyle w:val="Normal19"/>
        <w:widowControl w:val="0"/>
        <w:spacing w:before="200" w:line="260" w:lineRule="atLeast"/>
        <w:jc w:val="both"/>
      </w:pPr>
      <w:bookmarkStart w:id="2923" w:name="Bookmark_para_37_11"/>
      <w:bookmarkStart w:id="2924" w:name="Bookmark_I81S4VH6W6J0000102K00009"/>
      <w:bookmarkStart w:id="2925" w:name="Bookmark_I81S4VH70TD0000102K0000B"/>
      <w:bookmarkStart w:id="2926" w:name="Bookmark_I5GW5WK12HM6410030000400"/>
      <w:bookmarkEnd w:id="2923"/>
      <w:bookmarkEnd w:id="2924"/>
      <w:bookmarkEnd w:id="2925"/>
      <w:bookmarkEnd w:id="2926"/>
      <w:r>
        <w:rPr>
          <w:rFonts w:ascii="Arial" w:eastAsia="Arial" w:hAnsi="Arial" w:cs="Arial"/>
          <w:color w:val="000000"/>
          <w:sz w:val="20"/>
        </w:rPr>
        <w:t xml:space="preserve">Taking into account these considerations, we conclude that Anderson's convictions for violating Ordinance 2013-1 have no preclusive effect on her ADA and FHAA claims here because the qualitative differences between the instant civil proceedings and her criminal trial in Municipal Court had different effects on her willingness and ability to litigate fully those issues in the prior proceeding. Unlike the plaintiffs in </w:t>
      </w:r>
      <w:bookmarkStart w:id="2927" w:name="Bookmark_I5GW5WK12HM6410020000400"/>
      <w:bookmarkEnd w:id="2927"/>
      <w:r>
        <w:rPr>
          <w:rFonts w:ascii="Arial" w:eastAsia="Arial" w:hAnsi="Arial" w:cs="Arial"/>
          <w:i/>
          <w:color w:val="000000"/>
          <w:sz w:val="20"/>
        </w:rPr>
        <w:t>Independence Excavating</w:t>
      </w:r>
      <w:r>
        <w:rPr>
          <w:rFonts w:ascii="Arial" w:eastAsia="Arial" w:hAnsi="Arial" w:cs="Arial"/>
          <w:color w:val="000000"/>
          <w:sz w:val="20"/>
        </w:rPr>
        <w:t xml:space="preserve"> and </w:t>
      </w:r>
      <w:bookmarkStart w:id="2928" w:name="Bookmark_I5GW5WK12HM6410040000400"/>
      <w:bookmarkEnd w:id="2928"/>
      <w:r>
        <w:rPr>
          <w:rFonts w:ascii="Arial" w:eastAsia="Arial" w:hAnsi="Arial" w:cs="Arial"/>
          <w:i/>
          <w:color w:val="000000"/>
          <w:sz w:val="20"/>
        </w:rPr>
        <w:t>Poole</w:t>
      </w:r>
      <w:r>
        <w:rPr>
          <w:rFonts w:ascii="Arial" w:eastAsia="Arial" w:hAnsi="Arial" w:cs="Arial"/>
          <w:color w:val="000000"/>
          <w:sz w:val="20"/>
        </w:rPr>
        <w:t>, whose purely legal defenses [**22]  could have been fully litigated during their criminal proceedings, Anderson's ADA and FHAA claims require fact-intensive inquiries that are greatly affected by the differences in the municipal criminal court's fact-finding procedures, particularly the lack of civil discovery. Thus Anderson's ability to pursue her claims was "qualitatively different" than it is here. Additionally, Anderson had less motivation to litigate fully her ADA and FHAA claims in the municipal court, where she was a defendant drawn involuntarily into those proceedings by the City's citations, faced only a small fine, and where the court had no authority to order the City to let her keep her horse at home. Accordingly, Anderson's claims are not precluded by res judicata, and we proceed to address the merits of the ADA and FHAA claims.</w:t>
      </w:r>
    </w:p>
    <w:p w14:paraId="1EE587FA" w14:textId="77777777" w:rsidR="002D0E71" w:rsidRDefault="00000000">
      <w:pPr>
        <w:pStyle w:val="Normal19"/>
        <w:widowControl w:val="0"/>
        <w:spacing w:before="240" w:line="260" w:lineRule="atLeast"/>
      </w:pPr>
      <w:r>
        <w:br/>
      </w:r>
      <w:r>
        <w:rPr>
          <w:rFonts w:ascii="Arial" w:eastAsia="Arial" w:hAnsi="Arial" w:cs="Arial"/>
          <w:color w:val="000000"/>
          <w:sz w:val="20"/>
        </w:rPr>
        <w:t> [***13] </w:t>
      </w:r>
      <w:r>
        <w:rPr>
          <w:rFonts w:ascii="Arial" w:eastAsia="Arial" w:hAnsi="Arial" w:cs="Arial"/>
          <w:b/>
          <w:color w:val="000000"/>
          <w:sz w:val="20"/>
        </w:rPr>
        <w:t>C. ADA Claims</w:t>
      </w:r>
    </w:p>
    <w:p w14:paraId="669E4ED8" w14:textId="77777777" w:rsidR="002D0E71" w:rsidRDefault="00000000">
      <w:pPr>
        <w:pStyle w:val="Normal19"/>
        <w:widowControl w:val="0"/>
        <w:spacing w:before="240" w:line="260" w:lineRule="atLeast"/>
      </w:pPr>
      <w:r>
        <w:br/>
      </w:r>
      <w:r>
        <w:rPr>
          <w:rFonts w:ascii="Arial" w:eastAsia="Arial" w:hAnsi="Arial" w:cs="Arial"/>
          <w:i/>
          <w:color w:val="000000"/>
          <w:sz w:val="20"/>
        </w:rPr>
        <w:t>1. Reasonable Modification</w:t>
      </w:r>
    </w:p>
    <w:p w14:paraId="6243AA2E" w14:textId="77777777" w:rsidR="002D0E71" w:rsidRDefault="00000000">
      <w:pPr>
        <w:pStyle w:val="Normal19"/>
        <w:widowControl w:val="0"/>
        <w:spacing w:before="200" w:line="260" w:lineRule="atLeast"/>
        <w:jc w:val="both"/>
      </w:pPr>
      <w:bookmarkStart w:id="2929" w:name="Bookmark_para_38_10"/>
      <w:bookmarkEnd w:id="2929"/>
      <w:r>
        <w:rPr>
          <w:rFonts w:ascii="Arial" w:eastAsia="Arial" w:hAnsi="Arial" w:cs="Arial"/>
          <w:color w:val="000000"/>
          <w:sz w:val="20"/>
        </w:rPr>
        <w:t xml:space="preserve">Anderson contends that the ADA and its implementing regulations require the City to make a reasonable modification to its "policies, practices, and procedures" to permit her to keep Ellie at her residence. </w:t>
      </w:r>
      <w:bookmarkStart w:id="2930" w:name="Bookmark_LNHNREFclscc11_10"/>
      <w:bookmarkEnd w:id="2930"/>
      <w:r>
        <w:rPr>
          <w:rFonts w:ascii="Arial" w:eastAsia="Arial" w:hAnsi="Arial" w:cs="Arial"/>
          <w:color w:val="000000"/>
          <w:sz w:val="20"/>
        </w:rPr>
        <w:t>The ADA prohibits public entities from discriminating against individuals with disabilities, including by:</w:t>
      </w:r>
    </w:p>
    <w:p w14:paraId="58E48E43" w14:textId="77777777" w:rsidR="002D0E71" w:rsidRDefault="00000000">
      <w:pPr>
        <w:pStyle w:val="Normal19"/>
        <w:widowControl w:val="0"/>
        <w:spacing w:before="200" w:line="260" w:lineRule="atLeast"/>
        <w:ind w:left="400"/>
        <w:jc w:val="both"/>
      </w:pPr>
      <w:bookmarkStart w:id="2931" w:name="Bookmark_para_39_10"/>
      <w:bookmarkEnd w:id="2931"/>
      <w:r>
        <w:rPr>
          <w:rFonts w:ascii="Arial" w:eastAsia="Arial" w:hAnsi="Arial" w:cs="Arial"/>
          <w:color w:val="000000"/>
          <w:sz w:val="20"/>
        </w:rPr>
        <w:t>fail[ing] to make reasonable modifications [**23]  in policies, practices, or procedures, when such modifications are necessary to afford such goods, services, facilities, privileges, advantages, or accommodations to individuals with disabilities, unless the entity can demonstrate that making such modifications would fundamentally alter the nature of such goods, services, facilities, privileges, advantages, or accommodations.</w:t>
      </w:r>
    </w:p>
    <w:p w14:paraId="53327B3A" w14:textId="77777777" w:rsidR="002D0E71" w:rsidRDefault="00000000">
      <w:pPr>
        <w:pStyle w:val="Normal19"/>
        <w:widowControl w:val="0"/>
        <w:spacing w:line="260" w:lineRule="atLeast"/>
        <w:jc w:val="both"/>
      </w:pPr>
      <w:r>
        <w:rPr>
          <w:rFonts w:ascii="Arial" w:eastAsia="Arial" w:hAnsi="Arial" w:cs="Arial"/>
          <w:color w:val="000000"/>
          <w:sz w:val="20"/>
        </w:rPr>
        <w:t xml:space="preserve">42 U.S.C. § 12182(b)(2)(A)(ii). </w:t>
      </w:r>
      <w:bookmarkStart w:id="2932" w:name="Bookmark_LNHNREFclscc12_10"/>
      <w:bookmarkEnd w:id="2932"/>
      <w:r>
        <w:rPr>
          <w:rFonts w:ascii="Arial" w:eastAsia="Arial" w:hAnsi="Arial" w:cs="Arial"/>
          <w:color w:val="000000"/>
          <w:sz w:val="20"/>
        </w:rPr>
        <w:t>Regulations implementing the ADA require a public entity to make "reasonable modifications in policies, practices, or procedures to permit the use of a miniature horse by an individual with a disability if the miniature horse has been individually trained to do work or perform tasks for the benefit of the individual with a disability," provided that the horse and the requested modification also satisfy certain "[a]ssessment factors." 28 C.F.R. § 35.136(i)(1)—(2).</w:t>
      </w:r>
    </w:p>
    <w:p w14:paraId="52AE4692" w14:textId="77777777" w:rsidR="002D0E71" w:rsidRDefault="00000000">
      <w:pPr>
        <w:pStyle w:val="Normal19"/>
        <w:widowControl w:val="0"/>
        <w:spacing w:before="200" w:line="260" w:lineRule="atLeast"/>
        <w:jc w:val="both"/>
      </w:pPr>
      <w:bookmarkStart w:id="2933" w:name="Bookmark_para_40_10"/>
      <w:bookmarkEnd w:id="2933"/>
      <w:r>
        <w:rPr>
          <w:rFonts w:ascii="Arial" w:eastAsia="Arial" w:hAnsi="Arial" w:cs="Arial"/>
          <w:color w:val="000000"/>
          <w:sz w:val="20"/>
        </w:rPr>
        <w:t>It is undisputed that C.A. is "an individual with a disability," but the district court granted summary judgment to the City on Anderson's ADA claim for a reasonable modification because it found that Ellie did not meet the ADA regulations' requirements and because it found that the regulations' "assessment factors" were not satisfied. On appeal, Anderson contends that there are disputed issues [**24]  of fact material to both the ADA regulatory requirements for miniature horses and the related assessment factors that preclude summary judgment in favor of the City.</w:t>
      </w:r>
    </w:p>
    <w:p w14:paraId="02D63B77" w14:textId="77777777" w:rsidR="002D0E71" w:rsidRDefault="00000000">
      <w:pPr>
        <w:pStyle w:val="Normal19"/>
        <w:widowControl w:val="0"/>
        <w:spacing w:before="120" w:line="260" w:lineRule="atLeast"/>
      </w:pPr>
      <w:r>
        <w:rPr>
          <w:rFonts w:ascii="Arial" w:eastAsia="Arial" w:hAnsi="Arial" w:cs="Arial"/>
          <w:color w:val="000000"/>
          <w:sz w:val="20"/>
        </w:rPr>
        <w:t>a. ADA Regulatory Requirements for Miniature Horses</w:t>
      </w:r>
    </w:p>
    <w:p w14:paraId="6FB3F156" w14:textId="77777777" w:rsidR="002D0E71" w:rsidRDefault="00000000">
      <w:pPr>
        <w:pStyle w:val="Normal19"/>
        <w:widowControl w:val="0"/>
        <w:spacing w:before="200" w:line="260" w:lineRule="atLeast"/>
        <w:jc w:val="both"/>
      </w:pPr>
      <w:bookmarkStart w:id="2934" w:name="Bookmark_para_41_9"/>
      <w:bookmarkStart w:id="2935" w:name="Bookmark_I5GW5WK12D6NGV0020000400"/>
      <w:bookmarkStart w:id="2936" w:name="Bookmark_LNHNREFclscc13_9"/>
      <w:bookmarkEnd w:id="2934"/>
      <w:bookmarkEnd w:id="2935"/>
      <w:bookmarkEnd w:id="2936"/>
      <w:r>
        <w:rPr>
          <w:rFonts w:ascii="Arial" w:eastAsia="Arial" w:hAnsi="Arial" w:cs="Arial"/>
          <w:color w:val="000000"/>
          <w:sz w:val="20"/>
        </w:rPr>
        <w:t xml:space="preserve">The ADA regulations do not specify the amount or type of training that a miniature horse must undergo to qualify as  [*354]  a reasonable modification for a disabled individual, nor the amount or type of work or assistance that the horse must provide for his or her benefit. Courts have typically found that to qualify for a reasonable modification, an animal must be specially trained  [***14]  to perform tasks directly related to a disability, contrasted with animals that have received only general training, provide only emotional support, or otherwise perform tasks not directly related to a disability. </w:t>
      </w:r>
      <w:r>
        <w:rPr>
          <w:rFonts w:ascii="Arial" w:eastAsia="Arial" w:hAnsi="Arial" w:cs="Arial"/>
          <w:i/>
          <w:color w:val="000000"/>
          <w:sz w:val="20"/>
        </w:rPr>
        <w:t xml:space="preserve">See, e.g., </w:t>
      </w:r>
      <w:bookmarkStart w:id="2937" w:name="Bookmark_I5GW5WK12D6NGV0010000400"/>
      <w:bookmarkEnd w:id="2937"/>
      <w:r>
        <w:rPr>
          <w:rFonts w:ascii="Arial" w:eastAsia="Arial" w:hAnsi="Arial" w:cs="Arial"/>
          <w:i/>
          <w:color w:val="000000"/>
          <w:sz w:val="20"/>
        </w:rPr>
        <w:t>Lerma v. Cal. Exposition and State Fair Police</w:t>
      </w:r>
      <w:r>
        <w:rPr>
          <w:rFonts w:ascii="Arial" w:eastAsia="Arial" w:hAnsi="Arial" w:cs="Arial"/>
          <w:color w:val="000000"/>
          <w:sz w:val="20"/>
        </w:rPr>
        <w:t xml:space="preserve">, No. 2:12-CV-1363, 2014 U.S. Dist. LEXIS 285, 2014 WL 28810, at *5 (E.D. Cal. Jan. 2, 2014) (finding that a puppy was not a service animal because it only received obedience training and was used only to help the plaintiff "get through the day and feel better, a type of emotional support and comfort, which is exactly the type of aid specifically excluded as work or tasks under" ADA regulations); </w:t>
      </w:r>
      <w:bookmarkStart w:id="2938" w:name="Bookmark_I5GW5WK12D6NGV0030000400"/>
      <w:bookmarkEnd w:id="2938"/>
      <w:r>
        <w:rPr>
          <w:rFonts w:ascii="Arial" w:eastAsia="Arial" w:hAnsi="Arial" w:cs="Arial"/>
          <w:i/>
          <w:color w:val="000000"/>
          <w:sz w:val="20"/>
        </w:rPr>
        <w:t>Rose v. Springfield-Greene Cnty. Health Dep't</w:t>
      </w:r>
      <w:r>
        <w:rPr>
          <w:rFonts w:ascii="Arial" w:eastAsia="Arial" w:hAnsi="Arial" w:cs="Arial"/>
          <w:color w:val="000000"/>
          <w:sz w:val="20"/>
        </w:rPr>
        <w:t>, 668 F. Supp. 2d 1206, 1215 (W.D. Mo. 2009) (finding that a [**25]  monkey was not a service animal because the tasks it performed did not "relate to [plaintiff's] disability" and merely provided comfort to the plaintiff, whose disabilities did not require a monkey to perform day-to-day activities).</w:t>
      </w:r>
    </w:p>
    <w:p w14:paraId="653E576B" w14:textId="77777777" w:rsidR="002D0E71" w:rsidRDefault="00000000">
      <w:pPr>
        <w:pStyle w:val="Normal19"/>
        <w:widowControl w:val="0"/>
        <w:spacing w:before="200" w:line="260" w:lineRule="atLeast"/>
        <w:jc w:val="both"/>
      </w:pPr>
      <w:bookmarkStart w:id="2939" w:name="Bookmark_para_42_9"/>
      <w:bookmarkEnd w:id="2939"/>
      <w:r>
        <w:rPr>
          <w:rFonts w:ascii="Arial" w:eastAsia="Arial" w:hAnsi="Arial" w:cs="Arial"/>
          <w:color w:val="000000"/>
          <w:sz w:val="20"/>
        </w:rPr>
        <w:t xml:space="preserve">On appeal, Anderson contends that her horse meets these requirements because she has individually trained Ellie to assist C.A. by steadying her as she walks so that she can enjoy independent recreation and exercise in her backyard. The City first contends that the horse does not qualify for a reasonable modification under the ADA and its implementing regulations because it does not help C.A. with her daily life activities (such as going to school), C.A. can walk without the horse, and the horse does not help C.A. inside the house. We are not persuaded by, nor do we find any authority to support, the proposition that an animal must be needed in all aspects of daily life or outside the house to qualify for a reasonable modification under the ADA. Many service animals are trained to provide specialized assistance that may be necessary only at certain times or places. </w:t>
      </w:r>
      <w:r>
        <w:rPr>
          <w:rFonts w:ascii="Arial" w:eastAsia="Arial" w:hAnsi="Arial" w:cs="Arial"/>
          <w:i/>
          <w:color w:val="000000"/>
          <w:sz w:val="20"/>
        </w:rPr>
        <w:t>See</w:t>
      </w:r>
      <w:r>
        <w:rPr>
          <w:rFonts w:ascii="Arial" w:eastAsia="Arial" w:hAnsi="Arial" w:cs="Arial"/>
          <w:color w:val="000000"/>
          <w:sz w:val="20"/>
        </w:rPr>
        <w:t xml:space="preserve"> 28 C.F.R. § 35 app. A (discussing tasks commonly performed by service animals). For example, C.A. has [**26]  a seizure-response dog that is specifically trained to assist her if she has a seizure while sleeping. This dog indisputably qualifies as a service animal despite the fact that it does not provide assistance to C.A. with any of her daily activities while she is awake or outside the house. Anderson has produced evidence that Ellie is trained to assist C.A. with beneficial exercise in her backyard, and she is no less qualified for a reasonable modification under the ADA simply because C.A. does not need her horse's assistance for all of her daily activities or when traveling.</w:t>
      </w:r>
    </w:p>
    <w:p w14:paraId="23AC9949" w14:textId="77777777" w:rsidR="002D0E71" w:rsidRDefault="00000000">
      <w:pPr>
        <w:pStyle w:val="Normal19"/>
        <w:widowControl w:val="0"/>
        <w:spacing w:before="200" w:line="260" w:lineRule="atLeast"/>
        <w:jc w:val="both"/>
      </w:pPr>
      <w:bookmarkStart w:id="2940" w:name="Bookmark_para_43_9"/>
      <w:bookmarkEnd w:id="2940"/>
      <w:r>
        <w:rPr>
          <w:rFonts w:ascii="Arial" w:eastAsia="Arial" w:hAnsi="Arial" w:cs="Arial"/>
          <w:color w:val="000000"/>
          <w:sz w:val="20"/>
        </w:rPr>
        <w:t xml:space="preserve"> [***15]  The City also contends that Ellie has not been "individually trained to do work or perform tasks for the benefit of" C.A. because Anderson, the horse's primary instructor, holds no certification in service-animal training. But </w:t>
      </w:r>
      <w:bookmarkStart w:id="2941" w:name="Bookmark_LNHNREFclscc14_7"/>
      <w:bookmarkEnd w:id="2941"/>
      <w:r>
        <w:rPr>
          <w:rFonts w:ascii="Arial" w:eastAsia="Arial" w:hAnsi="Arial" w:cs="Arial"/>
          <w:color w:val="000000"/>
          <w:sz w:val="20"/>
        </w:rPr>
        <w:t xml:space="preserve">the ADA regulations have no certification requirement. Rather, the ADA asks whether the horse has been instructed on how to perform a task that assists an individual with his or her disability, so the instructor's lack of certification at best creates a factual dispute as to whether a horse's training was adequate. Here, Anderson testified that Ellie is trained to assist C.A. to overcome her [**27]  mobility limitations by steadying her as she walks and helping her stand after she falls, tasks specifically listed by the ADA regulations as examples of ways that miniature horses can assist the disabled. </w:t>
      </w:r>
      <w:r>
        <w:rPr>
          <w:rFonts w:ascii="Arial" w:eastAsia="Arial" w:hAnsi="Arial" w:cs="Arial"/>
          <w:i/>
          <w:color w:val="000000"/>
          <w:sz w:val="20"/>
        </w:rPr>
        <w:t>See</w:t>
      </w:r>
      <w:r>
        <w:rPr>
          <w:rFonts w:ascii="Arial" w:eastAsia="Arial" w:hAnsi="Arial" w:cs="Arial"/>
          <w:color w:val="000000"/>
          <w:sz w:val="20"/>
        </w:rPr>
        <w:t xml:space="preserve"> 28 C.F.R. § 35 app. A. Construed in Anderson's favor, this evidence satisfies the ADA regulations' requirement that the miniature horse be "individually trained to do work or perform tasks for the benefit of  [*355]  the individual with a disability." 28 C.F.R. § 35.136(i)(1).</w:t>
      </w:r>
    </w:p>
    <w:p w14:paraId="2F815133" w14:textId="77777777" w:rsidR="002D0E71" w:rsidRDefault="00000000">
      <w:pPr>
        <w:pStyle w:val="Normal19"/>
        <w:widowControl w:val="0"/>
        <w:spacing w:before="120" w:line="260" w:lineRule="atLeast"/>
      </w:pPr>
      <w:r>
        <w:rPr>
          <w:rFonts w:ascii="Arial" w:eastAsia="Arial" w:hAnsi="Arial" w:cs="Arial"/>
          <w:color w:val="000000"/>
          <w:sz w:val="20"/>
        </w:rPr>
        <w:t>b. Assessment Factors</w:t>
      </w:r>
    </w:p>
    <w:p w14:paraId="0F14D68A" w14:textId="77777777" w:rsidR="002D0E71" w:rsidRDefault="00000000">
      <w:pPr>
        <w:pStyle w:val="Normal19"/>
        <w:widowControl w:val="0"/>
        <w:spacing w:before="200" w:line="260" w:lineRule="atLeast"/>
        <w:jc w:val="both"/>
      </w:pPr>
      <w:bookmarkStart w:id="2942" w:name="Bookmark_para_44_7"/>
      <w:bookmarkStart w:id="2943" w:name="Bookmark_LNHNREFclscc15_6"/>
      <w:bookmarkEnd w:id="2942"/>
      <w:bookmarkEnd w:id="2943"/>
      <w:r>
        <w:rPr>
          <w:rFonts w:ascii="Arial" w:eastAsia="Arial" w:hAnsi="Arial" w:cs="Arial"/>
          <w:color w:val="000000"/>
          <w:sz w:val="20"/>
        </w:rPr>
        <w:t>In addition to the requirement that miniature horses be trained to assist an individual with his or her disability, the ADA regulations also provide four "assessment factors" that "shall [be] consider[ed]" when determining "whether reasonable modifications in policies, practices, or procedures can be made to allow a miniature horse into a specific facility":</w:t>
      </w:r>
    </w:p>
    <w:p w14:paraId="2D772AC6" w14:textId="77777777" w:rsidR="002D0E71" w:rsidRDefault="00000000">
      <w:pPr>
        <w:pStyle w:val="Normal19"/>
        <w:widowControl w:val="0"/>
        <w:spacing w:line="260" w:lineRule="atLeast"/>
        <w:ind w:left="400"/>
        <w:jc w:val="both"/>
      </w:pPr>
      <w:bookmarkStart w:id="2944" w:name="Bookmark_para_45_6"/>
      <w:bookmarkEnd w:id="2944"/>
      <w:r>
        <w:rPr>
          <w:rFonts w:ascii="Arial" w:eastAsia="Arial" w:hAnsi="Arial" w:cs="Arial"/>
          <w:color w:val="000000"/>
          <w:sz w:val="20"/>
        </w:rPr>
        <w:t>(i) The type, size, and weight of the miniature horse and whether the facility can accommodate these features;</w:t>
      </w:r>
    </w:p>
    <w:p w14:paraId="4FB0C213" w14:textId="77777777" w:rsidR="002D0E71" w:rsidRDefault="00000000">
      <w:pPr>
        <w:pStyle w:val="Normal19"/>
        <w:widowControl w:val="0"/>
        <w:spacing w:line="260" w:lineRule="atLeast"/>
        <w:ind w:left="400"/>
        <w:jc w:val="both"/>
      </w:pPr>
      <w:bookmarkStart w:id="2945" w:name="Bookmark_para_46_5"/>
      <w:bookmarkEnd w:id="2945"/>
      <w:r>
        <w:rPr>
          <w:rFonts w:ascii="Arial" w:eastAsia="Arial" w:hAnsi="Arial" w:cs="Arial"/>
          <w:color w:val="000000"/>
          <w:sz w:val="20"/>
        </w:rPr>
        <w:t>(ii) Whether the handler has sufficient control of the miniature horse;</w:t>
      </w:r>
    </w:p>
    <w:p w14:paraId="4B122C11" w14:textId="77777777" w:rsidR="002D0E71" w:rsidRDefault="00000000">
      <w:pPr>
        <w:pStyle w:val="Normal19"/>
        <w:widowControl w:val="0"/>
        <w:spacing w:line="260" w:lineRule="atLeast"/>
        <w:ind w:left="400"/>
        <w:jc w:val="both"/>
      </w:pPr>
      <w:bookmarkStart w:id="2946" w:name="Bookmark_para_47_5"/>
      <w:bookmarkEnd w:id="2946"/>
      <w:r>
        <w:rPr>
          <w:rFonts w:ascii="Arial" w:eastAsia="Arial" w:hAnsi="Arial" w:cs="Arial"/>
          <w:color w:val="000000"/>
          <w:sz w:val="20"/>
        </w:rPr>
        <w:t>(iii) Whether the miniature horse is housebroken; and</w:t>
      </w:r>
    </w:p>
    <w:p w14:paraId="133167DD" w14:textId="77777777" w:rsidR="002D0E71" w:rsidRDefault="00000000">
      <w:pPr>
        <w:pStyle w:val="Normal19"/>
        <w:widowControl w:val="0"/>
        <w:spacing w:line="260" w:lineRule="atLeast"/>
        <w:ind w:left="400"/>
        <w:jc w:val="both"/>
      </w:pPr>
      <w:bookmarkStart w:id="2947" w:name="Bookmark_para_48_5"/>
      <w:bookmarkEnd w:id="2947"/>
      <w:r>
        <w:rPr>
          <w:rFonts w:ascii="Arial" w:eastAsia="Arial" w:hAnsi="Arial" w:cs="Arial"/>
          <w:color w:val="000000"/>
          <w:sz w:val="20"/>
        </w:rPr>
        <w:t>(iv) Whether the miniature horse's presence in a specific facility compromises legitimate safety requirements that are necessary for safe operation.</w:t>
      </w:r>
    </w:p>
    <w:p w14:paraId="696A3B09" w14:textId="77777777" w:rsidR="002D0E71" w:rsidRDefault="00000000">
      <w:pPr>
        <w:pStyle w:val="Normal19"/>
        <w:widowControl w:val="0"/>
        <w:spacing w:before="200" w:line="260" w:lineRule="atLeast"/>
        <w:jc w:val="both"/>
      </w:pPr>
      <w:r>
        <w:rPr>
          <w:rFonts w:ascii="Arial" w:eastAsia="Arial" w:hAnsi="Arial" w:cs="Arial"/>
          <w:color w:val="000000"/>
          <w:sz w:val="20"/>
        </w:rPr>
        <w:t>28 C.F.R. § 35.136(i)(2). The district [**28]  court found that these factors weigh against Anderson, noting that her house is on a lot that is smaller than miniature horses typically require, that Ellie is not housebroken, and finding that health complaints lodged against Anderson over the past several years suggest that the horse's presence would compromise the City's "legitimate health and public safety concerns." On appeal, Anderson contends that she has produced evidence that at least creates disputed issues of fact as to each of these factors.</w:t>
      </w:r>
    </w:p>
    <w:p w14:paraId="2B67B97D" w14:textId="77777777" w:rsidR="002D0E71" w:rsidRDefault="00000000">
      <w:pPr>
        <w:pStyle w:val="Normal19"/>
        <w:widowControl w:val="0"/>
        <w:spacing w:before="200" w:line="260" w:lineRule="atLeast"/>
        <w:jc w:val="both"/>
      </w:pPr>
      <w:bookmarkStart w:id="2948" w:name="Bookmark_para_49_5"/>
      <w:bookmarkEnd w:id="2948"/>
      <w:r>
        <w:rPr>
          <w:rFonts w:ascii="Arial" w:eastAsia="Arial" w:hAnsi="Arial" w:cs="Arial"/>
          <w:color w:val="000000"/>
          <w:sz w:val="20"/>
        </w:rPr>
        <w:t xml:space="preserve"> [***16]  With regard to the first factor, the City contends that Anderson's residence is too small to accommodate her horse, pointing out that Anderson has admitted that her yard is significantly smaller than would be ideal for an average miniature horse. However, </w:t>
      </w:r>
      <w:bookmarkStart w:id="2949" w:name="Bookmark_LNHNREFclscc16_6"/>
      <w:bookmarkEnd w:id="2949"/>
      <w:r>
        <w:rPr>
          <w:rFonts w:ascii="Arial" w:eastAsia="Arial" w:hAnsi="Arial" w:cs="Arial"/>
          <w:color w:val="000000"/>
          <w:sz w:val="20"/>
        </w:rPr>
        <w:t xml:space="preserve">this factor calls for consideration of the "type, size, and weight" of the particular miniature horse at issue, not an average member of her species. </w:t>
      </w:r>
      <w:r>
        <w:rPr>
          <w:rFonts w:ascii="Arial" w:eastAsia="Arial" w:hAnsi="Arial" w:cs="Arial"/>
          <w:i/>
          <w:color w:val="000000"/>
          <w:sz w:val="20"/>
        </w:rPr>
        <w:t>See</w:t>
      </w:r>
      <w:r>
        <w:rPr>
          <w:rFonts w:ascii="Arial" w:eastAsia="Arial" w:hAnsi="Arial" w:cs="Arial"/>
          <w:color w:val="000000"/>
          <w:sz w:val="20"/>
        </w:rPr>
        <w:t xml:space="preserve"> 28 C.F.R. § 35.136(i)(2)(i). Anderson has provided evidence that Ellie is uniquely suited for a smaller yard because her rear legs are deformed, thus reducing her need and ability to run. Furthermore, Anderson testified that her backyard includes a shed "of a size and dimension to accommodate three miniature [**29]  horses comfortably, and thus houses Ellie very comfortably and keeps her safe from the elements." (Anderson Aff., R. 10-2, PageID 692.) This evidence is sufficient to show a factual dispute regarding the first assessment factor.</w:t>
      </w:r>
    </w:p>
    <w:p w14:paraId="4543B57E" w14:textId="77777777" w:rsidR="002D0E71" w:rsidRDefault="00000000">
      <w:pPr>
        <w:pStyle w:val="Normal19"/>
        <w:widowControl w:val="0"/>
        <w:spacing w:before="200" w:line="260" w:lineRule="atLeast"/>
        <w:jc w:val="both"/>
      </w:pPr>
      <w:bookmarkStart w:id="2950" w:name="Bookmark_para_50_5"/>
      <w:bookmarkEnd w:id="2950"/>
      <w:r>
        <w:rPr>
          <w:rFonts w:ascii="Arial" w:eastAsia="Arial" w:hAnsi="Arial" w:cs="Arial"/>
          <w:color w:val="000000"/>
          <w:sz w:val="20"/>
        </w:rPr>
        <w:t xml:space="preserve">The City contends that the second and third factors weigh against Anderson and C.A. because they did not have sufficient control over Ellie, and that she was not housebroken. Anderson testified that she has sufficient control over her horse because she has trained Ellie to perform specific tasks for C.A. In response, the City offered a sworn account of an incident in which C.A. attempted to demonstrate how she works with Ellie but was not able to do so, fell, and was stepped over by the horse. Given the conflicting affidavits concerning the extent of Anderson and C.A.'s control over their horse, there is a genuine factual dispute over the second assessment factor that cannot be resolved on summary judgment. Regarding the third factor, Anderson concedes that Ellie is not housebroken. However, this does not automatically relieve the City from its obligation to make a reasonable modification because the assessment factors are not </w:t>
      </w:r>
      <w:r>
        <w:rPr>
          <w:rFonts w:ascii="Arial" w:eastAsia="Arial" w:hAnsi="Arial" w:cs="Arial"/>
          <w:i/>
          <w:color w:val="000000"/>
          <w:sz w:val="20"/>
        </w:rPr>
        <w:t>prerequisites</w:t>
      </w:r>
      <w:r>
        <w:rPr>
          <w:rFonts w:ascii="Arial" w:eastAsia="Arial" w:hAnsi="Arial" w:cs="Arial"/>
          <w:color w:val="000000"/>
          <w:sz w:val="20"/>
        </w:rPr>
        <w:t xml:space="preserve"> for a reasonable [**30]  modification, but are independent </w:t>
      </w:r>
      <w:r>
        <w:rPr>
          <w:rFonts w:ascii="Arial" w:eastAsia="Arial" w:hAnsi="Arial" w:cs="Arial"/>
          <w:i/>
          <w:color w:val="000000"/>
          <w:sz w:val="20"/>
        </w:rPr>
        <w:t>factors</w:t>
      </w:r>
      <w:r>
        <w:rPr>
          <w:rFonts w:ascii="Arial" w:eastAsia="Arial" w:hAnsi="Arial" w:cs="Arial"/>
          <w:color w:val="000000"/>
          <w:sz w:val="20"/>
        </w:rPr>
        <w:t xml:space="preserve"> that shall be considered when evaluating whether a particular modification is reasonable for a particular animal. The City provides no reason why Ellie's lack of control over producing waste indoors is relevant here, where the horse  [*356]  is never indoors and the requested accommodation is for the horse to assist C.A. and live outdoors in Anderson's backyard.</w:t>
      </w:r>
    </w:p>
    <w:p w14:paraId="51968EBF" w14:textId="77777777" w:rsidR="002D0E71" w:rsidRDefault="00000000">
      <w:pPr>
        <w:pStyle w:val="Normal19"/>
        <w:widowControl w:val="0"/>
        <w:spacing w:before="200" w:line="260" w:lineRule="atLeast"/>
        <w:jc w:val="both"/>
      </w:pPr>
      <w:bookmarkStart w:id="2951" w:name="Bookmark_para_51_5"/>
      <w:bookmarkEnd w:id="2951"/>
      <w:r>
        <w:rPr>
          <w:rFonts w:ascii="Arial" w:eastAsia="Arial" w:hAnsi="Arial" w:cs="Arial"/>
          <w:color w:val="000000"/>
          <w:sz w:val="20"/>
        </w:rPr>
        <w:t xml:space="preserve">Finally, the City contends that the fourth factor weighs against Anderson. It points to multiple citizen complaints concerning unsanitary conditions related to a number of animals on Anderson's property. The City concludes from those complaints that the "miniature horse's  [***17]  presence" at her house "compromises legitimate safety requirements" of the City's health code. </w:t>
      </w:r>
      <w:r>
        <w:rPr>
          <w:rFonts w:ascii="Arial" w:eastAsia="Arial" w:hAnsi="Arial" w:cs="Arial"/>
          <w:i/>
          <w:color w:val="000000"/>
          <w:sz w:val="20"/>
        </w:rPr>
        <w:t>See</w:t>
      </w:r>
      <w:r>
        <w:rPr>
          <w:rFonts w:ascii="Arial" w:eastAsia="Arial" w:hAnsi="Arial" w:cs="Arial"/>
          <w:color w:val="000000"/>
          <w:sz w:val="20"/>
        </w:rPr>
        <w:t xml:space="preserve"> 28 C.F.R. § 35.136(i)(2)(iv). Anderson responds that these complaints do not accurately reflect the condition of her residence and that she has now secured a service to regularly remove animal waste from her yard. Additionally, Anderson emphasizes that there are no complaints from her current neighbors, most whom have signed letters in support of her efforts to keep Ellie at her house. Anderson points out that those conditions complained of arose from the [**31]  concurrent presence of multiple farm animals at her house, combined with her previous failure to clean up effectively after them. Indeed, she notes that some of the complaints the City cites concerned only dog waste and were made at times when no horses were present at Anderson's house. Taken together, this evidence shows that there is a factual dispute over whether a single miniature horse at Anderson's residence would threaten the City's "legitimate safety requirements."</w:t>
      </w:r>
    </w:p>
    <w:p w14:paraId="17EF056A" w14:textId="77777777" w:rsidR="002D0E71" w:rsidRDefault="00000000">
      <w:pPr>
        <w:pStyle w:val="Normal19"/>
        <w:widowControl w:val="0"/>
        <w:spacing w:before="200" w:line="260" w:lineRule="atLeast"/>
        <w:jc w:val="both"/>
      </w:pPr>
      <w:bookmarkStart w:id="2952" w:name="Bookmark_para_52_3"/>
      <w:bookmarkStart w:id="2953" w:name="Bookmark_I5GW5WK12N1RWM0010000400"/>
      <w:bookmarkEnd w:id="2952"/>
      <w:bookmarkEnd w:id="2953"/>
      <w:r>
        <w:rPr>
          <w:rFonts w:ascii="Arial" w:eastAsia="Arial" w:hAnsi="Arial" w:cs="Arial"/>
          <w:color w:val="000000"/>
          <w:sz w:val="20"/>
        </w:rPr>
        <w:t xml:space="preserve">Anderson has produced evidence that it would be reasonable for her to keep Ellie at her residence and that all the requirements and assessment factors of the ADA regulations have been satisfied. The City has produced conflicting evidence, such as health complaints, and draws a different conclusion from the record, but </w:t>
      </w:r>
      <w:bookmarkStart w:id="2954" w:name="Bookmark_LNHNREFclscc17_6"/>
      <w:bookmarkEnd w:id="2954"/>
      <w:r>
        <w:rPr>
          <w:rFonts w:ascii="Arial" w:eastAsia="Arial" w:hAnsi="Arial" w:cs="Arial"/>
          <w:color w:val="000000"/>
          <w:sz w:val="20"/>
        </w:rPr>
        <w:t xml:space="preserve">weighing the City's evidence against the plaintiffs' is inappropriate on summary judgment. The Ninth Circuit has observed that </w:t>
      </w:r>
      <w:bookmarkStart w:id="2955" w:name="Bookmark_LNHNREFclscc18_6"/>
      <w:bookmarkEnd w:id="2955"/>
      <w:r>
        <w:rPr>
          <w:rFonts w:ascii="Arial" w:eastAsia="Arial" w:hAnsi="Arial" w:cs="Arial"/>
          <w:color w:val="000000"/>
          <w:sz w:val="20"/>
        </w:rPr>
        <w:t xml:space="preserve">the "determination of what constitutes reasonable modification is highly fact-specific, requiring case-by-case inquiry." </w:t>
      </w:r>
      <w:bookmarkStart w:id="2956" w:name="Bookmark_I5GW5WK12D6NGV0050000400"/>
      <w:bookmarkEnd w:id="2956"/>
      <w:r>
        <w:rPr>
          <w:rFonts w:ascii="Arial" w:eastAsia="Arial" w:hAnsi="Arial" w:cs="Arial"/>
          <w:i/>
          <w:color w:val="000000"/>
          <w:sz w:val="20"/>
        </w:rPr>
        <w:t>Lentini v. Cal. Ctr. for the Arts, Escondido</w:t>
      </w:r>
      <w:r>
        <w:rPr>
          <w:rFonts w:ascii="Arial" w:eastAsia="Arial" w:hAnsi="Arial" w:cs="Arial"/>
          <w:color w:val="000000"/>
          <w:sz w:val="20"/>
        </w:rPr>
        <w:t>, 370 F.3d 837, 844 (9th Cir. 2004) (internal quotation marks omitted). Viewing all facts and drawing all reasonable inferences in Anderson's favor, and given the "highly fact-specific" nature [**32]  of the reasonableness inquiry, we conclude that there are disputed issues of material fact as to the reasonableness of Anderson's requested modification.</w:t>
      </w:r>
    </w:p>
    <w:p w14:paraId="47AF66AF" w14:textId="77777777" w:rsidR="002D0E71" w:rsidRDefault="00000000">
      <w:pPr>
        <w:pStyle w:val="Normal19"/>
        <w:widowControl w:val="0"/>
        <w:spacing w:before="200" w:line="260" w:lineRule="atLeast"/>
        <w:jc w:val="both"/>
      </w:pPr>
      <w:bookmarkStart w:id="2957" w:name="Bookmark_para_53_3"/>
      <w:bookmarkEnd w:id="2957"/>
      <w:r>
        <w:rPr>
          <w:rFonts w:ascii="Arial" w:eastAsia="Arial" w:hAnsi="Arial" w:cs="Arial"/>
          <w:color w:val="000000"/>
          <w:sz w:val="20"/>
        </w:rPr>
        <w:t>Because we find that disputed issues of fact preclude summary judgment in favor of the City on Anderson's ADA claim for a reasonable modification to keep Ellie at her house, we reverse the district court's judgment on that claim.</w:t>
      </w:r>
    </w:p>
    <w:p w14:paraId="2F0323BD" w14:textId="77777777" w:rsidR="002D0E71" w:rsidRDefault="00000000">
      <w:pPr>
        <w:pStyle w:val="Normal19"/>
        <w:widowControl w:val="0"/>
        <w:spacing w:before="240" w:line="260" w:lineRule="atLeast"/>
      </w:pPr>
      <w:r>
        <w:br/>
      </w:r>
      <w:r>
        <w:rPr>
          <w:rFonts w:ascii="Arial" w:eastAsia="Arial" w:hAnsi="Arial" w:cs="Arial"/>
          <w:i/>
          <w:color w:val="000000"/>
          <w:sz w:val="20"/>
        </w:rPr>
        <w:t>2. Intentional Discrimination</w:t>
      </w:r>
    </w:p>
    <w:p w14:paraId="267ECD2C" w14:textId="77777777" w:rsidR="002D0E71" w:rsidRDefault="00000000">
      <w:pPr>
        <w:pStyle w:val="Normal19"/>
        <w:widowControl w:val="0"/>
        <w:spacing w:before="200" w:line="260" w:lineRule="atLeast"/>
        <w:jc w:val="both"/>
      </w:pPr>
      <w:bookmarkStart w:id="2958" w:name="Bookmark_para_54_1"/>
      <w:bookmarkStart w:id="2959" w:name="Bookmark_I5GW5WK12N1RWM0030000400"/>
      <w:bookmarkStart w:id="2960" w:name="Bookmark_I5GW5WK12N1RWM0050000400"/>
      <w:bookmarkEnd w:id="2958"/>
      <w:bookmarkEnd w:id="2959"/>
      <w:bookmarkEnd w:id="2960"/>
      <w:r>
        <w:rPr>
          <w:rFonts w:ascii="Arial" w:eastAsia="Arial" w:hAnsi="Arial" w:cs="Arial"/>
          <w:color w:val="000000"/>
          <w:sz w:val="20"/>
        </w:rPr>
        <w:t xml:space="preserve">The plaintiffs contend that the City intentionally discriminated against Anderson and her daughter when it passed Ordinance 2013-1 in violation of Title II of the ADA. Title II provides  [***18]  that </w:t>
      </w:r>
      <w:bookmarkStart w:id="2961" w:name="Bookmark_LNHNREFclscc19_4"/>
      <w:bookmarkEnd w:id="2961"/>
      <w:r>
        <w:rPr>
          <w:rFonts w:ascii="Arial" w:eastAsia="Arial" w:hAnsi="Arial" w:cs="Arial"/>
          <w:color w:val="000000"/>
          <w:sz w:val="20"/>
        </w:rPr>
        <w:t xml:space="preserve">"no qualified individual with a disability shall, by reason of such disability, be excluded from participation in or be denied the benefits of the services, programs, or activities of a public entity, or be subjected to discrimination by any such entity." 42 U.S.C. § 12132. </w:t>
      </w:r>
      <w:bookmarkStart w:id="2962" w:name="Bookmark_I81S4VH7XTW0000102K0000K"/>
      <w:bookmarkStart w:id="2963" w:name="Bookmark_I81S4VH85YW0000102K0000N"/>
      <w:bookmarkStart w:id="2964" w:name="Bookmark_I5GW5WK12SF8R20040000400"/>
      <w:bookmarkStart w:id="2965" w:name="Bookmark_LNHNREFclscc20_4"/>
      <w:bookmarkEnd w:id="2962"/>
      <w:bookmarkEnd w:id="2963"/>
      <w:bookmarkEnd w:id="2964"/>
      <w:bookmarkEnd w:id="2965"/>
      <w:r>
        <w:rPr>
          <w:rFonts w:ascii="Arial" w:eastAsia="Arial" w:hAnsi="Arial" w:cs="Arial"/>
          <w:color w:val="000000"/>
          <w:sz w:val="20"/>
        </w:rPr>
        <w:t xml:space="preserve">"[T]he phrase 'services, programs, or activities' encompasses virtually everything a public entity does." </w:t>
      </w:r>
      <w:bookmarkStart w:id="2966" w:name="Bookmark_I5GW5WK12N1RWM0020000400"/>
      <w:bookmarkEnd w:id="2966"/>
      <w:r>
        <w:rPr>
          <w:rFonts w:ascii="Arial" w:eastAsia="Arial" w:hAnsi="Arial" w:cs="Arial"/>
          <w:i/>
          <w:color w:val="000000"/>
          <w:sz w:val="20"/>
        </w:rPr>
        <w:t>Tucker v. Tennessee</w:t>
      </w:r>
      <w:r>
        <w:rPr>
          <w:rFonts w:ascii="Arial" w:eastAsia="Arial" w:hAnsi="Arial" w:cs="Arial"/>
          <w:color w:val="000000"/>
          <w:sz w:val="20"/>
        </w:rPr>
        <w:t xml:space="preserve">, 539 F.3d 526, 532 (6th Cir. 2008). </w:t>
      </w:r>
      <w:bookmarkStart w:id="2967" w:name="Bookmark_LNHNREFclscc21_3"/>
      <w:bookmarkEnd w:id="2967"/>
      <w:r>
        <w:rPr>
          <w:rFonts w:ascii="Arial" w:eastAsia="Arial" w:hAnsi="Arial" w:cs="Arial"/>
          <w:color w:val="000000"/>
          <w:sz w:val="20"/>
        </w:rPr>
        <w:t>"We analyze claims of intentional discrimination brought pursuant to the ADA . . . under the familiar burden-shifting analysis established by [</w:t>
      </w:r>
      <w:bookmarkStart w:id="2968" w:name="Bookmark_I5GW5WK12N1RWM0040000400"/>
      <w:bookmarkEnd w:id="2968"/>
      <w:r>
        <w:rPr>
          <w:rFonts w:ascii="Arial" w:eastAsia="Arial" w:hAnsi="Arial" w:cs="Arial"/>
          <w:i/>
          <w:color w:val="000000"/>
          <w:sz w:val="20"/>
        </w:rPr>
        <w:t>McDonnell Douglas Corp. v. Green</w:t>
      </w:r>
      <w:r>
        <w:rPr>
          <w:rFonts w:ascii="Arial" w:eastAsia="Arial" w:hAnsi="Arial" w:cs="Arial"/>
          <w:color w:val="000000"/>
          <w:sz w:val="20"/>
        </w:rPr>
        <w:t xml:space="preserve">, 411 U.S. 792, 93 S. Ct. 1817, 36 L. Ed. 2d 668 (1973)]." </w:t>
      </w:r>
      <w:bookmarkStart w:id="2969" w:name="Bookmark_I5GW5WK12SF8R20010000400"/>
      <w:bookmarkEnd w:id="2969"/>
      <w:r>
        <w:rPr>
          <w:rFonts w:ascii="Arial" w:eastAsia="Arial" w:hAnsi="Arial" w:cs="Arial"/>
          <w:i/>
          <w:color w:val="000000"/>
          <w:sz w:val="20"/>
        </w:rPr>
        <w:t>Turner v. City of Englewood</w:t>
      </w:r>
      <w:r>
        <w:rPr>
          <w:rFonts w:ascii="Arial" w:eastAsia="Arial" w:hAnsi="Arial" w:cs="Arial"/>
          <w:color w:val="000000"/>
          <w:sz w:val="20"/>
        </w:rPr>
        <w:t xml:space="preserve">, 195 F. App'x 346, 353 (6th Cir. 2006). </w:t>
      </w:r>
      <w:bookmarkStart w:id="2970" w:name="Bookmark_I3F5JBHKWHR000G4WWW004ND"/>
      <w:bookmarkStart w:id="2971" w:name="Bookmark_I3F5JBHM7RF000G4WWW004NG"/>
      <w:bookmarkStart w:id="2972" w:name="Bookmark_I5GW5WK12SF8R20040000400_2"/>
      <w:bookmarkEnd w:id="2970"/>
      <w:bookmarkEnd w:id="2971"/>
      <w:bookmarkEnd w:id="2972"/>
      <w:r>
        <w:rPr>
          <w:rFonts w:ascii="Arial" w:eastAsia="Arial" w:hAnsi="Arial" w:cs="Arial"/>
          <w:color w:val="000000"/>
          <w:sz w:val="20"/>
        </w:rPr>
        <w:t xml:space="preserve">"Under </w:t>
      </w:r>
      <w:bookmarkStart w:id="2973" w:name="Bookmark_I5GW5WK12SF8R20030000400"/>
      <w:bookmarkEnd w:id="2973"/>
      <w:r>
        <w:rPr>
          <w:rFonts w:ascii="Arial" w:eastAsia="Arial" w:hAnsi="Arial" w:cs="Arial"/>
          <w:i/>
          <w:color w:val="000000"/>
          <w:sz w:val="20"/>
        </w:rPr>
        <w:t>McDonnell  [*357]  Douglas</w:t>
      </w:r>
      <w:r>
        <w:rPr>
          <w:rFonts w:ascii="Arial" w:eastAsia="Arial" w:hAnsi="Arial" w:cs="Arial"/>
          <w:color w:val="000000"/>
          <w:sz w:val="20"/>
        </w:rPr>
        <w:t xml:space="preserve">, [a] [p]laintiff must first establish a prima facie case of discrimination." [**33]  </w:t>
      </w:r>
      <w:bookmarkStart w:id="2974" w:name="Bookmark_I5GW5WK12SF8R20050000400"/>
      <w:bookmarkEnd w:id="2974"/>
      <w:r>
        <w:rPr>
          <w:rFonts w:ascii="Arial" w:eastAsia="Arial" w:hAnsi="Arial" w:cs="Arial"/>
          <w:i/>
          <w:color w:val="000000"/>
          <w:sz w:val="20"/>
        </w:rPr>
        <w:t>Id.</w:t>
      </w:r>
    </w:p>
    <w:p w14:paraId="6991DDB5" w14:textId="77777777" w:rsidR="002D0E71" w:rsidRDefault="00000000">
      <w:pPr>
        <w:pStyle w:val="Normal19"/>
        <w:widowControl w:val="0"/>
        <w:spacing w:before="200" w:line="260" w:lineRule="atLeast"/>
        <w:jc w:val="both"/>
      </w:pPr>
      <w:bookmarkStart w:id="2975" w:name="Bookmark_para_55_1"/>
      <w:bookmarkStart w:id="2976" w:name="Bookmark_I3F5JBHGN01000G4WWW004MX"/>
      <w:bookmarkStart w:id="2977" w:name="Bookmark_I5GW5WK128T5040030000400"/>
      <w:bookmarkStart w:id="2978" w:name="Bookmark_I5GW5WK128T5040050000400"/>
      <w:bookmarkEnd w:id="2975"/>
      <w:bookmarkEnd w:id="2976"/>
      <w:bookmarkEnd w:id="2977"/>
      <w:bookmarkEnd w:id="2978"/>
      <w:r>
        <w:rPr>
          <w:rFonts w:ascii="Arial" w:eastAsia="Arial" w:hAnsi="Arial" w:cs="Arial"/>
          <w:color w:val="000000"/>
          <w:sz w:val="20"/>
        </w:rPr>
        <w:t>To establish a prima facie case of intentional discrimination under Title II of the ADA, a plaintiff must show that: (1) she has a disability; (2) she is otherwise qualified; and (3) she was being excluded from participation in, denied the benefits of, or subjected to discrimination under the program because</w:t>
      </w:r>
      <w:r>
        <w:rPr>
          <w:rFonts w:ascii="Arial" w:eastAsia="Arial" w:hAnsi="Arial" w:cs="Arial"/>
          <w:vertAlign w:val="superscript"/>
        </w:rPr>
        <w:footnoteReference w:customMarkFollows="1" w:id="91"/>
        <w:t>1</w:t>
      </w:r>
      <w:r>
        <w:rPr>
          <w:rFonts w:ascii="Arial" w:eastAsia="Arial" w:hAnsi="Arial" w:cs="Arial"/>
          <w:color w:val="000000"/>
          <w:sz w:val="20"/>
        </w:rPr>
        <w:t xml:space="preserve"> of her disability. </w:t>
      </w:r>
      <w:bookmarkStart w:id="2990" w:name="Bookmark_I5GW5WK12HM6420010000400"/>
      <w:bookmarkStart w:id="2991" w:name="Bookmark_I5GW5WK128T5040020000400"/>
      <w:bookmarkEnd w:id="2990"/>
      <w:bookmarkEnd w:id="2991"/>
      <w:r>
        <w:rPr>
          <w:rFonts w:ascii="Arial" w:eastAsia="Arial" w:hAnsi="Arial" w:cs="Arial"/>
          <w:i/>
          <w:color w:val="000000"/>
          <w:sz w:val="20"/>
        </w:rPr>
        <w:t>Tucker</w:t>
      </w:r>
      <w:r>
        <w:rPr>
          <w:rFonts w:ascii="Arial" w:eastAsia="Arial" w:hAnsi="Arial" w:cs="Arial"/>
          <w:color w:val="000000"/>
          <w:sz w:val="20"/>
        </w:rPr>
        <w:t xml:space="preserve">, 539 F.3d at 532. In other words, the plaintiff must show that the defendant took action because of the plaintiff's disability, i.e., the "[p]laintiff must present evidence that animus against the protected group was a significant factor in the position taken by the municipal decision-makers themselves or by those to whom the decision-makers were knowingly responsive." </w:t>
      </w:r>
      <w:bookmarkStart w:id="2992" w:name="Bookmark_I5GW5WK128T5040040000400"/>
      <w:bookmarkEnd w:id="2992"/>
      <w:r>
        <w:rPr>
          <w:rFonts w:ascii="Arial" w:eastAsia="Arial" w:hAnsi="Arial" w:cs="Arial"/>
          <w:i/>
          <w:color w:val="000000"/>
          <w:sz w:val="20"/>
        </w:rPr>
        <w:t>Turner</w:t>
      </w:r>
      <w:r>
        <w:rPr>
          <w:rFonts w:ascii="Arial" w:eastAsia="Arial" w:hAnsi="Arial" w:cs="Arial"/>
          <w:color w:val="000000"/>
          <w:sz w:val="20"/>
        </w:rPr>
        <w:t xml:space="preserve">, 195 F. App'x at 353; </w:t>
      </w:r>
      <w:r>
        <w:rPr>
          <w:rFonts w:ascii="Arial" w:eastAsia="Arial" w:hAnsi="Arial" w:cs="Arial"/>
          <w:i/>
          <w:color w:val="000000"/>
          <w:sz w:val="20"/>
        </w:rPr>
        <w:t xml:space="preserve">see also </w:t>
      </w:r>
      <w:bookmarkStart w:id="2993" w:name="Bookmark_I5GW5WK12D6NGW0010000400"/>
      <w:bookmarkEnd w:id="2993"/>
      <w:r>
        <w:rPr>
          <w:rFonts w:ascii="Arial" w:eastAsia="Arial" w:hAnsi="Arial" w:cs="Arial"/>
          <w:i/>
          <w:color w:val="000000"/>
          <w:sz w:val="20"/>
        </w:rPr>
        <w:t>Tucker</w:t>
      </w:r>
      <w:r>
        <w:rPr>
          <w:rFonts w:ascii="Arial" w:eastAsia="Arial" w:hAnsi="Arial" w:cs="Arial"/>
          <w:color w:val="000000"/>
          <w:sz w:val="20"/>
        </w:rPr>
        <w:t xml:space="preserve">, 539 F.3d at 533 (holding that to make out a prima facie case of intentional discrimination under Title II of the ADA, a plaintiff must "establish[] that he or she was </w:t>
      </w:r>
      <w:r>
        <w:rPr>
          <w:rFonts w:ascii="Arial" w:eastAsia="Arial" w:hAnsi="Arial" w:cs="Arial"/>
          <w:i/>
          <w:color w:val="000000"/>
          <w:sz w:val="20"/>
        </w:rPr>
        <w:t>intentionally</w:t>
      </w:r>
      <w:r>
        <w:rPr>
          <w:rFonts w:ascii="Arial" w:eastAsia="Arial" w:hAnsi="Arial" w:cs="Arial"/>
          <w:color w:val="000000"/>
          <w:sz w:val="20"/>
        </w:rPr>
        <w:t xml:space="preserve"> . . . subjected to discrimination . . . </w:t>
      </w:r>
      <w:r>
        <w:rPr>
          <w:rFonts w:ascii="Arial" w:eastAsia="Arial" w:hAnsi="Arial" w:cs="Arial"/>
          <w:i/>
          <w:color w:val="000000"/>
          <w:sz w:val="20"/>
        </w:rPr>
        <w:t>because of</w:t>
      </w:r>
      <w:r>
        <w:rPr>
          <w:rFonts w:ascii="Arial" w:eastAsia="Arial" w:hAnsi="Arial" w:cs="Arial"/>
          <w:color w:val="000000"/>
          <w:sz w:val="20"/>
        </w:rPr>
        <w:t xml:space="preserve"> his or her disability") (emphasis original, internal quotation marks and brackets omitted); </w:t>
      </w:r>
      <w:bookmarkStart w:id="2994" w:name="Bookmark_I5GW5WK12D6NGW0030000400"/>
      <w:bookmarkEnd w:id="2994"/>
      <w:r>
        <w:rPr>
          <w:rFonts w:ascii="Arial" w:eastAsia="Arial" w:hAnsi="Arial" w:cs="Arial"/>
          <w:i/>
          <w:color w:val="000000"/>
          <w:sz w:val="20"/>
        </w:rPr>
        <w:t>Dillery v. City of Sandusky</w:t>
      </w:r>
      <w:r>
        <w:rPr>
          <w:rFonts w:ascii="Arial" w:eastAsia="Arial" w:hAnsi="Arial" w:cs="Arial"/>
          <w:color w:val="000000"/>
          <w:sz w:val="20"/>
        </w:rPr>
        <w:t xml:space="preserve">, 398 F.3d 562, 568 (6th Cir. 2005) (rejecting a plaintiff's ADA claim for intentional discrimination because the plaintiff could not show that the defendants' actions were "because of her disability"). </w:t>
      </w:r>
      <w:bookmarkStart w:id="2995" w:name="Bookmark_I5GW5WK12HM6420010000400_2"/>
      <w:bookmarkEnd w:id="2995"/>
      <w:r>
        <w:rPr>
          <w:rFonts w:ascii="Arial" w:eastAsia="Arial" w:hAnsi="Arial" w:cs="Arial"/>
          <w:color w:val="000000"/>
          <w:sz w:val="20"/>
        </w:rPr>
        <w:t xml:space="preserve">"Further, the plaintiff must show that [**34]  the discrimination was </w:t>
      </w:r>
      <w:r>
        <w:rPr>
          <w:rFonts w:ascii="Arial" w:eastAsia="Arial" w:hAnsi="Arial" w:cs="Arial"/>
          <w:i/>
          <w:color w:val="000000"/>
          <w:sz w:val="20"/>
        </w:rPr>
        <w:t>intentionally</w:t>
      </w:r>
      <w:r>
        <w:rPr>
          <w:rFonts w:ascii="Arial" w:eastAsia="Arial" w:hAnsi="Arial" w:cs="Arial"/>
          <w:color w:val="000000"/>
          <w:sz w:val="20"/>
        </w:rPr>
        <w:t xml:space="preserve"> directed toward him or her in particular." </w:t>
      </w:r>
      <w:bookmarkStart w:id="2996" w:name="Bookmark_I5GW5WK12D6NGW0050000400"/>
      <w:bookmarkEnd w:id="2996"/>
      <w:r>
        <w:rPr>
          <w:rFonts w:ascii="Arial" w:eastAsia="Arial" w:hAnsi="Arial" w:cs="Arial"/>
          <w:i/>
          <w:color w:val="000000"/>
          <w:sz w:val="20"/>
        </w:rPr>
        <w:t>Tucker</w:t>
      </w:r>
      <w:r>
        <w:rPr>
          <w:rFonts w:ascii="Arial" w:eastAsia="Arial" w:hAnsi="Arial" w:cs="Arial"/>
          <w:color w:val="000000"/>
          <w:sz w:val="20"/>
        </w:rPr>
        <w:t>, 539 F.3d at 532 (emphasis original).</w:t>
      </w:r>
    </w:p>
    <w:p w14:paraId="1BF368F5" w14:textId="77777777" w:rsidR="002D0E71" w:rsidRDefault="00000000">
      <w:pPr>
        <w:pStyle w:val="Normal19"/>
        <w:widowControl w:val="0"/>
        <w:spacing w:before="200" w:line="260" w:lineRule="atLeast"/>
        <w:jc w:val="both"/>
      </w:pPr>
      <w:bookmarkStart w:id="2997" w:name="Bookmark_para_56_1"/>
      <w:bookmarkStart w:id="2998" w:name="Bookmark_I3F5JBHMJNF000G4WWW004NJ"/>
      <w:bookmarkStart w:id="2999" w:name="Bookmark_I5GW5WK12SF8R30020000400"/>
      <w:bookmarkEnd w:id="2997"/>
      <w:bookmarkEnd w:id="2998"/>
      <w:bookmarkEnd w:id="2999"/>
      <w:r>
        <w:rPr>
          <w:rFonts w:ascii="Arial" w:eastAsia="Arial" w:hAnsi="Arial" w:cs="Arial"/>
          <w:color w:val="000000"/>
          <w:sz w:val="20"/>
        </w:rPr>
        <w:t xml:space="preserve"> [***19]  Once a plaintiff establishes a prima facie case of discrimination, the defendant "must then offer a legitimate, nondiscriminatory reason for its" challenged action. </w:t>
      </w:r>
      <w:r>
        <w:rPr>
          <w:rFonts w:ascii="Arial" w:eastAsia="Arial" w:hAnsi="Arial" w:cs="Arial"/>
          <w:i/>
          <w:color w:val="000000"/>
          <w:sz w:val="20"/>
        </w:rPr>
        <w:t>Sjostrand v. Ohio State Univ.</w:t>
      </w:r>
      <w:r>
        <w:rPr>
          <w:rFonts w:ascii="Arial" w:eastAsia="Arial" w:hAnsi="Arial" w:cs="Arial"/>
          <w:color w:val="000000"/>
          <w:sz w:val="20"/>
        </w:rPr>
        <w:t xml:space="preserve">, 750 F.3d 596, 599 (6th Cir. 2014). </w:t>
      </w:r>
      <w:bookmarkStart w:id="3000" w:name="Bookmark_LNHNREFclscc22_2"/>
      <w:bookmarkEnd w:id="3000"/>
      <w:r>
        <w:rPr>
          <w:rFonts w:ascii="Arial" w:eastAsia="Arial" w:hAnsi="Arial" w:cs="Arial"/>
          <w:color w:val="000000"/>
          <w:sz w:val="20"/>
        </w:rPr>
        <w:t xml:space="preserve">"If [the defendant] does so—and its burden is merely one of production, not persuasion—[the plaintiff] must then present evidence allowing a jury to find that the [defendant's] explanation is a pretext for unlawful discrimination." </w:t>
      </w:r>
      <w:bookmarkStart w:id="3001" w:name="Bookmark_I5GW5WK12SF8R30010000400"/>
      <w:bookmarkEnd w:id="3001"/>
      <w:r>
        <w:rPr>
          <w:rFonts w:ascii="Arial" w:eastAsia="Arial" w:hAnsi="Arial" w:cs="Arial"/>
          <w:i/>
          <w:color w:val="000000"/>
          <w:sz w:val="20"/>
        </w:rPr>
        <w:t>Id.</w:t>
      </w:r>
    </w:p>
    <w:p w14:paraId="640E50AD" w14:textId="77777777" w:rsidR="002D0E71" w:rsidRDefault="00000000">
      <w:pPr>
        <w:pStyle w:val="Normal19"/>
        <w:widowControl w:val="0"/>
        <w:spacing w:before="200" w:line="260" w:lineRule="atLeast"/>
        <w:jc w:val="both"/>
      </w:pPr>
      <w:bookmarkStart w:id="3002" w:name="Bookmark_para_57_1"/>
      <w:bookmarkStart w:id="3003" w:name="Bookmark_I5GW5WK12SF8R30040000400"/>
      <w:bookmarkEnd w:id="3002"/>
      <w:bookmarkEnd w:id="3003"/>
      <w:r>
        <w:rPr>
          <w:rFonts w:ascii="Arial" w:eastAsia="Arial" w:hAnsi="Arial" w:cs="Arial"/>
          <w:color w:val="000000"/>
          <w:sz w:val="20"/>
        </w:rPr>
        <w:t>Here, it is undisputed [**35]  that C.A. is a qualified individual with a disability, but the parties dispute whether the plaintiffs can make out the third element of their prima facie case by showing that the City took action because of C.A.'s disability. The City maintains that its actions were motivated by the multiple citizen complaints against Anderson concerning unsanitary conditions at her house related to the presence of farm animals, and not by any discriminatory intent or animus against the disabled, while Anderson contends that the City was motivated to pass Ordinance 2013-1 because of C.A.'s disability. Therefore the issue here is whether the plaintiffs can make out a prima facie case of discrimination by showing that the City "</w:t>
      </w:r>
      <w:r>
        <w:rPr>
          <w:rFonts w:ascii="Arial" w:eastAsia="Arial" w:hAnsi="Arial" w:cs="Arial"/>
          <w:i/>
          <w:color w:val="000000"/>
          <w:sz w:val="20"/>
        </w:rPr>
        <w:t>intentionally</w:t>
      </w:r>
      <w:r>
        <w:rPr>
          <w:rFonts w:ascii="Arial" w:eastAsia="Arial" w:hAnsi="Arial" w:cs="Arial"/>
          <w:color w:val="000000"/>
          <w:sz w:val="20"/>
        </w:rPr>
        <w:t>" passed Ordinance 2013-1 "</w:t>
      </w:r>
      <w:r>
        <w:rPr>
          <w:rFonts w:ascii="Arial" w:eastAsia="Arial" w:hAnsi="Arial" w:cs="Arial"/>
          <w:i/>
          <w:color w:val="000000"/>
          <w:sz w:val="20"/>
        </w:rPr>
        <w:t>because of</w:t>
      </w:r>
      <w:r>
        <w:rPr>
          <w:rFonts w:ascii="Arial" w:eastAsia="Arial" w:hAnsi="Arial" w:cs="Arial"/>
          <w:color w:val="000000"/>
          <w:sz w:val="20"/>
        </w:rPr>
        <w:t xml:space="preserve"> [C.A.'s] disability." </w:t>
      </w:r>
      <w:r>
        <w:rPr>
          <w:rFonts w:ascii="Arial" w:eastAsia="Arial" w:hAnsi="Arial" w:cs="Arial"/>
          <w:i/>
          <w:color w:val="000000"/>
          <w:sz w:val="20"/>
        </w:rPr>
        <w:t xml:space="preserve">See </w:t>
      </w:r>
      <w:r>
        <w:rPr>
          <w:rFonts w:ascii="Arial" w:eastAsia="Arial" w:hAnsi="Arial" w:cs="Arial"/>
          <w:color w:val="000000"/>
          <w:sz w:val="20"/>
        </w:rPr>
        <w:t xml:space="preserve"> [*358]  </w:t>
      </w:r>
      <w:bookmarkStart w:id="3004" w:name="Bookmark_I5GW5WK12SF8R30030000400"/>
      <w:bookmarkEnd w:id="3004"/>
      <w:r>
        <w:rPr>
          <w:rFonts w:ascii="Arial" w:eastAsia="Arial" w:hAnsi="Arial" w:cs="Arial"/>
          <w:i/>
          <w:color w:val="000000"/>
          <w:sz w:val="20"/>
        </w:rPr>
        <w:t>Tucker</w:t>
      </w:r>
      <w:r>
        <w:rPr>
          <w:rFonts w:ascii="Arial" w:eastAsia="Arial" w:hAnsi="Arial" w:cs="Arial"/>
          <w:color w:val="000000"/>
          <w:sz w:val="20"/>
        </w:rPr>
        <w:t>, 539 F.3d at 533 (internal quotation marks omitted).</w:t>
      </w:r>
    </w:p>
    <w:p w14:paraId="1439D63D" w14:textId="77777777" w:rsidR="002D0E71" w:rsidRDefault="00000000">
      <w:pPr>
        <w:pStyle w:val="Normal19"/>
        <w:widowControl w:val="0"/>
        <w:spacing w:before="200" w:line="260" w:lineRule="atLeast"/>
        <w:jc w:val="both"/>
      </w:pPr>
      <w:bookmarkStart w:id="3005" w:name="Bookmark_para_58_1"/>
      <w:bookmarkStart w:id="3006" w:name="Bookmark_I3F5JBHGYX1000G4WWW004N0"/>
      <w:bookmarkStart w:id="3007" w:name="Bookmark_I3F5JBHH50W000G4WWW004N1"/>
      <w:bookmarkStart w:id="3008" w:name="Bookmark_I5GW5WK128T5050010000400"/>
      <w:bookmarkStart w:id="3009" w:name="Bookmark_I5GW5WK128T5050050000400"/>
      <w:bookmarkStart w:id="3010" w:name="Bookmark_I5GW5WK12SF8R40020000400"/>
      <w:bookmarkEnd w:id="3005"/>
      <w:bookmarkEnd w:id="3006"/>
      <w:bookmarkEnd w:id="3007"/>
      <w:bookmarkEnd w:id="3008"/>
      <w:bookmarkEnd w:id="3009"/>
      <w:bookmarkEnd w:id="3010"/>
      <w:r>
        <w:rPr>
          <w:rFonts w:ascii="Arial" w:eastAsia="Arial" w:hAnsi="Arial" w:cs="Arial"/>
          <w:color w:val="000000"/>
          <w:sz w:val="20"/>
        </w:rPr>
        <w:t xml:space="preserve">Our decisions in </w:t>
      </w:r>
      <w:bookmarkStart w:id="3011" w:name="Bookmark_I5GW5WK12SF8R30050000400"/>
      <w:bookmarkEnd w:id="3011"/>
      <w:r>
        <w:rPr>
          <w:rFonts w:ascii="Arial" w:eastAsia="Arial" w:hAnsi="Arial" w:cs="Arial"/>
          <w:i/>
          <w:color w:val="000000"/>
          <w:sz w:val="20"/>
        </w:rPr>
        <w:t>Dillery v. City of Sandusky</w:t>
      </w:r>
      <w:r>
        <w:rPr>
          <w:rFonts w:ascii="Arial" w:eastAsia="Arial" w:hAnsi="Arial" w:cs="Arial"/>
          <w:color w:val="000000"/>
          <w:sz w:val="20"/>
        </w:rPr>
        <w:t xml:space="preserve">, 398 F.3d 562 (6th Cir. 2005) and </w:t>
      </w:r>
      <w:bookmarkStart w:id="3012" w:name="Bookmark_I5GW5WK128T5050020000400"/>
      <w:bookmarkEnd w:id="3012"/>
      <w:r>
        <w:rPr>
          <w:rFonts w:ascii="Arial" w:eastAsia="Arial" w:hAnsi="Arial" w:cs="Arial"/>
          <w:i/>
          <w:color w:val="000000"/>
          <w:sz w:val="20"/>
        </w:rPr>
        <w:t>Hamm v. City of Gahanna, Ohio</w:t>
      </w:r>
      <w:r>
        <w:rPr>
          <w:rFonts w:ascii="Arial" w:eastAsia="Arial" w:hAnsi="Arial" w:cs="Arial"/>
          <w:color w:val="000000"/>
          <w:sz w:val="20"/>
        </w:rPr>
        <w:t xml:space="preserve">, 109 F. App'x 744 (6th Cir. 2004), are instructive. In </w:t>
      </w:r>
      <w:r>
        <w:rPr>
          <w:rFonts w:ascii="Arial" w:eastAsia="Arial" w:hAnsi="Arial" w:cs="Arial"/>
          <w:i/>
          <w:color w:val="000000"/>
          <w:sz w:val="20"/>
        </w:rPr>
        <w:t>Dillery</w:t>
      </w:r>
      <w:r>
        <w:rPr>
          <w:rFonts w:ascii="Arial" w:eastAsia="Arial" w:hAnsi="Arial" w:cs="Arial"/>
          <w:color w:val="000000"/>
          <w:sz w:val="20"/>
        </w:rPr>
        <w:t xml:space="preserve">, a disabled plaintiff brought an intentional-discrimination claim under the ADA against police officers who allegedly stopped her because of her disability when she was using her wheelchair on the road. </w:t>
      </w:r>
      <w:bookmarkStart w:id="3013" w:name="Bookmark_I5GW5WK128T5050040000400"/>
      <w:bookmarkEnd w:id="3013"/>
      <w:r>
        <w:rPr>
          <w:rFonts w:ascii="Arial" w:eastAsia="Arial" w:hAnsi="Arial" w:cs="Arial"/>
          <w:color w:val="000000"/>
          <w:sz w:val="20"/>
        </w:rPr>
        <w:t xml:space="preserve">398 F.3d at 568. </w:t>
      </w:r>
      <w:bookmarkStart w:id="3014" w:name="Bookmark_I5GW5WK12SF8R40040000400"/>
      <w:bookmarkEnd w:id="3014"/>
      <w:r>
        <w:rPr>
          <w:rFonts w:ascii="Arial" w:eastAsia="Arial" w:hAnsi="Arial" w:cs="Arial"/>
          <w:color w:val="000000"/>
          <w:sz w:val="20"/>
        </w:rPr>
        <w:t xml:space="preserve">We rejected that claim because we found that "the police did not stop [the plaintiff] because of her disability, [**36]  but rather stopped her in response to citizen complaints about her being in the roadway." </w:t>
      </w:r>
      <w:r>
        <w:rPr>
          <w:rFonts w:ascii="Arial" w:eastAsia="Arial" w:hAnsi="Arial" w:cs="Arial"/>
          <w:i/>
          <w:color w:val="000000"/>
          <w:sz w:val="20"/>
        </w:rPr>
        <w:t>Id.</w:t>
      </w:r>
      <w:r>
        <w:rPr>
          <w:rFonts w:ascii="Arial" w:eastAsia="Arial" w:hAnsi="Arial" w:cs="Arial"/>
          <w:color w:val="000000"/>
          <w:sz w:val="20"/>
        </w:rPr>
        <w:t xml:space="preserve"> In </w:t>
      </w:r>
      <w:r>
        <w:rPr>
          <w:rFonts w:ascii="Arial" w:eastAsia="Arial" w:hAnsi="Arial" w:cs="Arial"/>
          <w:i/>
          <w:color w:val="000000"/>
          <w:sz w:val="20"/>
        </w:rPr>
        <w:t>Hamm</w:t>
      </w:r>
      <w:r>
        <w:rPr>
          <w:rFonts w:ascii="Arial" w:eastAsia="Arial" w:hAnsi="Arial" w:cs="Arial"/>
          <w:color w:val="000000"/>
          <w:sz w:val="20"/>
        </w:rPr>
        <w:t xml:space="preserve">, the plaintiffs brought a claim under the ADA and the FHAA alleging that the city intentionally discriminated against them by refusing to re-zone the plaintiffs' property to allow the construction of group housing for the disabled. </w:t>
      </w:r>
      <w:bookmarkStart w:id="3015" w:name="Bookmark_I5GW5WK12SF8R40010000400"/>
      <w:bookmarkEnd w:id="3015"/>
      <w:r>
        <w:rPr>
          <w:rFonts w:ascii="Arial" w:eastAsia="Arial" w:hAnsi="Arial" w:cs="Arial"/>
          <w:color w:val="000000"/>
          <w:sz w:val="20"/>
        </w:rPr>
        <w:t xml:space="preserve">109 F. App'x at 747. </w:t>
      </w:r>
      <w:bookmarkStart w:id="3016" w:name="Bookmark_I5GW5WK12SF8R40040000400_2"/>
      <w:bookmarkEnd w:id="3016"/>
      <w:r>
        <w:rPr>
          <w:rFonts w:ascii="Arial" w:eastAsia="Arial" w:hAnsi="Arial" w:cs="Arial"/>
          <w:color w:val="000000"/>
          <w:sz w:val="20"/>
        </w:rPr>
        <w:t xml:space="preserve">We rejected that claim because we found that the city denied the plaintiffs' re-zoning application due to opposition from the plaintiffs' neighbors, who were concerned with the proposed group-housing project's impact on the neighborhood and its property values. </w:t>
      </w:r>
      <w:r>
        <w:rPr>
          <w:rFonts w:ascii="Arial" w:eastAsia="Arial" w:hAnsi="Arial" w:cs="Arial"/>
          <w:i/>
          <w:color w:val="000000"/>
          <w:sz w:val="20"/>
        </w:rPr>
        <w:t xml:space="preserve">See </w:t>
      </w:r>
      <w:bookmarkStart w:id="3017" w:name="Bookmark_I5GW5WK12SF8R40030000400"/>
      <w:bookmarkEnd w:id="3017"/>
      <w:r>
        <w:rPr>
          <w:rFonts w:ascii="Arial" w:eastAsia="Arial" w:hAnsi="Arial" w:cs="Arial"/>
          <w:i/>
          <w:color w:val="000000"/>
          <w:sz w:val="20"/>
        </w:rPr>
        <w:t>id.</w:t>
      </w:r>
      <w:r>
        <w:rPr>
          <w:rFonts w:ascii="Arial" w:eastAsia="Arial" w:hAnsi="Arial" w:cs="Arial"/>
          <w:color w:val="000000"/>
          <w:sz w:val="20"/>
        </w:rPr>
        <w:t xml:space="preserve"> at 747-49. In both </w:t>
      </w:r>
      <w:r>
        <w:rPr>
          <w:rFonts w:ascii="Arial" w:eastAsia="Arial" w:hAnsi="Arial" w:cs="Arial"/>
          <w:i/>
          <w:color w:val="000000"/>
          <w:sz w:val="20"/>
        </w:rPr>
        <w:t>Dillery</w:t>
      </w:r>
      <w:r>
        <w:rPr>
          <w:rFonts w:ascii="Arial" w:eastAsia="Arial" w:hAnsi="Arial" w:cs="Arial"/>
          <w:color w:val="000000"/>
          <w:sz w:val="20"/>
        </w:rPr>
        <w:t xml:space="preserve"> and </w:t>
      </w:r>
      <w:r>
        <w:rPr>
          <w:rFonts w:ascii="Arial" w:eastAsia="Arial" w:hAnsi="Arial" w:cs="Arial"/>
          <w:i/>
          <w:color w:val="000000"/>
          <w:sz w:val="20"/>
        </w:rPr>
        <w:t>Hamm</w:t>
      </w:r>
      <w:r>
        <w:rPr>
          <w:rFonts w:ascii="Arial" w:eastAsia="Arial" w:hAnsi="Arial" w:cs="Arial"/>
          <w:color w:val="000000"/>
          <w:sz w:val="20"/>
        </w:rPr>
        <w:t>, we found that legitimate citizen complaints motivated the defendant city's actions. That the complaints were lodged against individuals with disabilities  [***20]  did not transform the cities' responses to those complaints into intentional discrimination, because it was the complaints that motivated the cities' actions, not the fact that the plaintiffs had disabilities. So too here.</w:t>
      </w:r>
    </w:p>
    <w:p w14:paraId="09DCB064" w14:textId="77777777" w:rsidR="002D0E71" w:rsidRDefault="00000000">
      <w:pPr>
        <w:pStyle w:val="Normal19"/>
        <w:widowControl w:val="0"/>
        <w:spacing w:before="200" w:line="260" w:lineRule="atLeast"/>
        <w:jc w:val="both"/>
      </w:pPr>
      <w:bookmarkStart w:id="3018" w:name="Bookmark_para_59_1"/>
      <w:bookmarkEnd w:id="3018"/>
      <w:r>
        <w:rPr>
          <w:rFonts w:ascii="Arial" w:eastAsia="Arial" w:hAnsi="Arial" w:cs="Arial"/>
          <w:color w:val="000000"/>
          <w:sz w:val="20"/>
        </w:rPr>
        <w:t xml:space="preserve">We find that the evidence, even when viewed in the light most favorable to Anderson, shows that it was citizens' complaints that motivated the City's actions, and that there is no evidence to [**37]  support an inference of discriminatory intent. The City first ordered Anderson to remove another miniature horse from her property after receiving a complaint detailing unsanitary conditions caused by the animals there. After Anderson submitted a physician's letter explaining that C.A. was using the horse for therapy, the Blue Ash City Council decided not to enforce that order. It was only after Anderson acquired a second horse and the City received additional health complaints referring to the presence of "horses, goats, chickens and pigs living within [Anderson's] home and causing unsanitary conditions within" that the City ordered her to remove these farm animals, including the second horse. Throughout that administrative process, the City continued to permit Anderson to keep one miniature horse on her property for C.A. despite several of the complaints expressing doubts as to whether either horse was actually being used for therapeutic purposes. </w:t>
      </w:r>
      <w:bookmarkStart w:id="3019" w:name="Bookmark_I5GW5WK12D6NGX0010000400"/>
      <w:bookmarkEnd w:id="3019"/>
      <w:r>
        <w:rPr>
          <w:rFonts w:ascii="Arial" w:eastAsia="Arial" w:hAnsi="Arial" w:cs="Arial"/>
          <w:color w:val="000000"/>
          <w:sz w:val="20"/>
        </w:rPr>
        <w:t xml:space="preserve">It was only after still more health complaints in the fall of 2012 that the City passed Ordinance 2013-1. Even then, the City included a provision that explicitly made an exception for animals protected by federal law. When Ordinance 2013-1 [**38]  went into effect, the City did not cite Anderson for violating it, only issuing citations months later after Anderson brought the horse back to her house. This sequence of events is entirely consistent with the City responding to the legitimate concerns of its citizens about the sanitation problems posed by the presence of farm animals on residential property, and provides no basis for the inference that the City took action "because of [C.A.'s] disability." </w:t>
      </w:r>
      <w:r>
        <w:rPr>
          <w:rFonts w:ascii="Arial" w:eastAsia="Arial" w:hAnsi="Arial" w:cs="Arial"/>
          <w:i/>
          <w:color w:val="000000"/>
          <w:sz w:val="20"/>
        </w:rPr>
        <w:t xml:space="preserve">See </w:t>
      </w:r>
      <w:bookmarkStart w:id="3020" w:name="Bookmark_I5GW5WK12SF8R40050000400"/>
      <w:bookmarkEnd w:id="3020"/>
      <w:r>
        <w:rPr>
          <w:rFonts w:ascii="Arial" w:eastAsia="Arial" w:hAnsi="Arial" w:cs="Arial"/>
          <w:i/>
          <w:color w:val="000000"/>
          <w:sz w:val="20"/>
        </w:rPr>
        <w:t>Tucker</w:t>
      </w:r>
      <w:r>
        <w:rPr>
          <w:rFonts w:ascii="Arial" w:eastAsia="Arial" w:hAnsi="Arial" w:cs="Arial"/>
          <w:color w:val="000000"/>
          <w:sz w:val="20"/>
        </w:rPr>
        <w:t xml:space="preserve">, 539 F.3d at 533 (emphasis omitted); </w:t>
      </w:r>
      <w:bookmarkStart w:id="3021" w:name="Bookmark_I5GW5WK12D6NGX0020000400"/>
      <w:bookmarkEnd w:id="3021"/>
      <w:r>
        <w:rPr>
          <w:rFonts w:ascii="Arial" w:eastAsia="Arial" w:hAnsi="Arial" w:cs="Arial"/>
          <w:i/>
          <w:color w:val="000000"/>
          <w:sz w:val="20"/>
        </w:rPr>
        <w:t>Dillery</w:t>
      </w:r>
      <w:r>
        <w:rPr>
          <w:rFonts w:ascii="Arial" w:eastAsia="Arial" w:hAnsi="Arial" w:cs="Arial"/>
          <w:color w:val="000000"/>
          <w:sz w:val="20"/>
        </w:rPr>
        <w:t>, 398 F.3d at 568.</w:t>
      </w:r>
    </w:p>
    <w:p w14:paraId="726791B7" w14:textId="77777777" w:rsidR="002D0E71" w:rsidRDefault="00000000">
      <w:pPr>
        <w:pStyle w:val="Normal19"/>
        <w:widowControl w:val="0"/>
        <w:spacing w:before="200" w:line="260" w:lineRule="atLeast"/>
        <w:jc w:val="both"/>
      </w:pPr>
      <w:bookmarkStart w:id="3022" w:name="Bookmark_para_60_0"/>
      <w:bookmarkEnd w:id="3022"/>
      <w:r>
        <w:rPr>
          <w:rFonts w:ascii="Arial" w:eastAsia="Arial" w:hAnsi="Arial" w:cs="Arial"/>
          <w:color w:val="000000"/>
          <w:sz w:val="20"/>
        </w:rPr>
        <w:t xml:space="preserve">On appeal, Anderson points to a number of events prior to the passage of Ordinance 2013-1 that she contends demonstrate the City's discriminatory intent, but none of these facts could support the inference that the City's actions were because C.A.  [*359]  is an individual with a disability. First, Anderson points to evidence that the City passed Ordinance 2013-1 because of her. It is true that the ordinance's preamble states that it was enacted in response to "many  [***21]  complaints" and "inquiries from residents regarding the keeping of horses, pigs, goats, sheep, and alpacas" on residential property, and that Johnson conceded that Anderson's miniature horse was one motivation for Ordinance 2013-1. </w:t>
      </w:r>
      <w:bookmarkStart w:id="3023" w:name="Bookmark_I5GW5WK12D6NGX0050000400"/>
      <w:bookmarkEnd w:id="3023"/>
      <w:r>
        <w:rPr>
          <w:rFonts w:ascii="Arial" w:eastAsia="Arial" w:hAnsi="Arial" w:cs="Arial"/>
          <w:color w:val="000000"/>
          <w:sz w:val="20"/>
        </w:rPr>
        <w:t xml:space="preserve">(Ordinance 2013-1, [**39]  R. 2, PageID 49.) While this evidence is sufficient to show that the City may have passed the ordinance because of the plaintiffs, the issue here is whether the City passed the ordinance because C.A. is </w:t>
      </w:r>
      <w:r>
        <w:rPr>
          <w:rFonts w:ascii="Arial" w:eastAsia="Arial" w:hAnsi="Arial" w:cs="Arial"/>
          <w:i/>
          <w:color w:val="000000"/>
          <w:sz w:val="20"/>
        </w:rPr>
        <w:t>disabled</w:t>
      </w:r>
      <w:r>
        <w:rPr>
          <w:rFonts w:ascii="Arial" w:eastAsia="Arial" w:hAnsi="Arial" w:cs="Arial"/>
          <w:color w:val="000000"/>
          <w:sz w:val="20"/>
        </w:rPr>
        <w:t xml:space="preserve">. In </w:t>
      </w:r>
      <w:r>
        <w:rPr>
          <w:rFonts w:ascii="Arial" w:eastAsia="Arial" w:hAnsi="Arial" w:cs="Arial"/>
          <w:i/>
          <w:color w:val="000000"/>
          <w:sz w:val="20"/>
        </w:rPr>
        <w:t>Dillery</w:t>
      </w:r>
      <w:r>
        <w:rPr>
          <w:rFonts w:ascii="Arial" w:eastAsia="Arial" w:hAnsi="Arial" w:cs="Arial"/>
          <w:color w:val="000000"/>
          <w:sz w:val="20"/>
        </w:rPr>
        <w:t xml:space="preserve">, the city's police officers were clearly taking action because of the plaintiff when they arrested her for being in the roadway, but we rejected that claim because there was no evidence that their actions were "because of her disability." </w:t>
      </w:r>
      <w:bookmarkStart w:id="3024" w:name="Bookmark_I5GW5WK12D6NGX0040000400"/>
      <w:bookmarkEnd w:id="3024"/>
      <w:r>
        <w:rPr>
          <w:rFonts w:ascii="Arial" w:eastAsia="Arial" w:hAnsi="Arial" w:cs="Arial"/>
          <w:color w:val="000000"/>
          <w:sz w:val="20"/>
        </w:rPr>
        <w:t>398 F.3d at 568. Similarly, that the City responded to complaints about the condition of Anderson's residence does not mean that its response was affected by the fact that C.A. is an individual with a disability, so the fact that Ordinance 2013-1 may have been passed because of the plaintiffs is inapposite.</w:t>
      </w:r>
    </w:p>
    <w:p w14:paraId="0A4E0BD3" w14:textId="77777777" w:rsidR="002D0E71" w:rsidRDefault="00000000">
      <w:pPr>
        <w:pStyle w:val="Normal19"/>
        <w:widowControl w:val="0"/>
        <w:spacing w:before="200" w:line="260" w:lineRule="atLeast"/>
        <w:jc w:val="both"/>
      </w:pPr>
      <w:bookmarkStart w:id="3025" w:name="Bookmark_para_61_0"/>
      <w:bookmarkEnd w:id="3025"/>
      <w:r>
        <w:rPr>
          <w:rFonts w:ascii="Arial" w:eastAsia="Arial" w:hAnsi="Arial" w:cs="Arial"/>
          <w:color w:val="000000"/>
          <w:sz w:val="20"/>
        </w:rPr>
        <w:t xml:space="preserve">Anderson next contends that the Blue Ash City Council's actions during her administrative proceedings show the City's discriminatory intent. She points to the Council's decision in April 2012 ordering the removal of her second miniature horse, in which the Council examined whether either of Anderson's horses were service animals. Anderson suggests that, because only the second horse's removal was at issue, the fact that the Council discussed [**40]  both horses is evidence of the City's discriminatory intent. But it was Anderson who raised the issue that both horses were service animals during that proceeding, so we can draw no inference about the City's motivations from the fact that the Council addressed Anderson's argument. She also points to the Council's decision in 2010 not to enforce the order for her to remove her first miniature horse as evidence that the City knew it would violate federal regulations to do so. Even if this was an acknowledgement by the City of its obligation to make reasonable accommodations under federal regulations, there is no suggestion that it impermissibly discriminated against the plaintiffs because of C.A.'s disability when additional health complaints spurred the City to question the continued reasonableness and necessity of her requested accommodation. </w:t>
      </w:r>
      <w:bookmarkStart w:id="3026" w:name="Bookmark_LNHNREFclscc23_2"/>
      <w:bookmarkEnd w:id="3026"/>
      <w:r>
        <w:rPr>
          <w:rFonts w:ascii="Arial" w:eastAsia="Arial" w:hAnsi="Arial" w:cs="Arial"/>
          <w:color w:val="000000"/>
          <w:sz w:val="20"/>
        </w:rPr>
        <w:t>Questioning the necessity and reasonability of a requested disability accommodation does not, by itself, create the inference of intentional discrimination. To hold otherwise would be to require public entities to grant any requested accommodation and never revisit an accommodation once granted lest they subject themselves to liability for intentional [**41]  discrimination simply by questioning the reasonableness or necessity of the request.</w:t>
      </w:r>
    </w:p>
    <w:p w14:paraId="6F285852" w14:textId="77777777" w:rsidR="002D0E71" w:rsidRDefault="00000000">
      <w:pPr>
        <w:pStyle w:val="Normal19"/>
        <w:widowControl w:val="0"/>
        <w:spacing w:before="200" w:line="260" w:lineRule="atLeast"/>
        <w:jc w:val="both"/>
      </w:pPr>
      <w:bookmarkStart w:id="3027" w:name="Bookmark_para_62_0"/>
      <w:bookmarkStart w:id="3028" w:name="Bookmark_I5GW5WK12SF8R50020000400"/>
      <w:bookmarkEnd w:id="3027"/>
      <w:bookmarkEnd w:id="3028"/>
      <w:r>
        <w:rPr>
          <w:rFonts w:ascii="Arial" w:eastAsia="Arial" w:hAnsi="Arial" w:cs="Arial"/>
          <w:color w:val="000000"/>
          <w:sz w:val="20"/>
        </w:rPr>
        <w:t xml:space="preserve"> [***22]  </w:t>
      </w:r>
      <w:bookmarkStart w:id="3029" w:name="Bookmark_I5GW5WK12SF8R50040000400"/>
      <w:bookmarkEnd w:id="3029"/>
      <w:r>
        <w:rPr>
          <w:rFonts w:ascii="Arial" w:eastAsia="Arial" w:hAnsi="Arial" w:cs="Arial"/>
          <w:color w:val="000000"/>
          <w:sz w:val="20"/>
        </w:rPr>
        <w:t xml:space="preserve">Finally, Anderson contends that the City's procedures for assuring compliance with ADA regulations were inadequate, and that this was an indicator of the City's animus towards the disabled. This argument does not help Anderson make her prima facie case, which requires a plaintiff to show that the "discrimination was </w:t>
      </w:r>
      <w:r>
        <w:rPr>
          <w:rFonts w:ascii="Arial" w:eastAsia="Arial" w:hAnsi="Arial" w:cs="Arial"/>
          <w:i/>
          <w:color w:val="000000"/>
          <w:sz w:val="20"/>
        </w:rPr>
        <w:t>intentionally</w:t>
      </w:r>
      <w:r>
        <w:rPr>
          <w:rFonts w:ascii="Arial" w:eastAsia="Arial" w:hAnsi="Arial" w:cs="Arial"/>
          <w:color w:val="000000"/>
          <w:sz w:val="20"/>
        </w:rPr>
        <w:t xml:space="preserve"> directed toward him or her in particular." </w:t>
      </w:r>
      <w:bookmarkStart w:id="3030" w:name="Bookmark_I5GW5WK12SF8R50010000400"/>
      <w:bookmarkEnd w:id="3030"/>
      <w:r>
        <w:rPr>
          <w:rFonts w:ascii="Arial" w:eastAsia="Arial" w:hAnsi="Arial" w:cs="Arial"/>
          <w:i/>
          <w:color w:val="000000"/>
          <w:sz w:val="20"/>
        </w:rPr>
        <w:t>Tucker</w:t>
      </w:r>
      <w:r>
        <w:rPr>
          <w:rFonts w:ascii="Arial" w:eastAsia="Arial" w:hAnsi="Arial" w:cs="Arial"/>
          <w:color w:val="000000"/>
          <w:sz w:val="20"/>
        </w:rPr>
        <w:t xml:space="preserve">, 539 F.3d at 532 (emphasis original). </w:t>
      </w:r>
      <w:bookmarkStart w:id="3031" w:name="Bookmark_I5GW5WK12SF8R50040000400_2"/>
      <w:bookmarkEnd w:id="3031"/>
      <w:r>
        <w:rPr>
          <w:rFonts w:ascii="Arial" w:eastAsia="Arial" w:hAnsi="Arial" w:cs="Arial"/>
          <w:color w:val="000000"/>
          <w:sz w:val="20"/>
        </w:rPr>
        <w:t xml:space="preserve">Even if the City's procedures for compliance with federal regulations had a negative impact on its disabled citizens generally, this does not support the inference that the City's actions were motivated by C.A.'s disability because </w:t>
      </w:r>
      <w:bookmarkStart w:id="3032" w:name="Bookmark_LNHNREFclscc24_2"/>
      <w:bookmarkEnd w:id="3032"/>
      <w:r>
        <w:rPr>
          <w:rFonts w:ascii="Arial" w:eastAsia="Arial" w:hAnsi="Arial" w:cs="Arial"/>
          <w:color w:val="000000"/>
          <w:sz w:val="20"/>
        </w:rPr>
        <w:t xml:space="preserve">"[a]cts and omissions which have a disparate impact on disabled persons in general are not specific acts of intentional  [*360]  discrimination against the plaintiff in particular." </w:t>
      </w:r>
      <w:bookmarkStart w:id="3033" w:name="Bookmark_I5GW5WK12SF8R50030000400"/>
      <w:bookmarkEnd w:id="3033"/>
      <w:r>
        <w:rPr>
          <w:rFonts w:ascii="Arial" w:eastAsia="Arial" w:hAnsi="Arial" w:cs="Arial"/>
          <w:i/>
          <w:color w:val="000000"/>
          <w:sz w:val="20"/>
        </w:rPr>
        <w:t>Dillery</w:t>
      </w:r>
      <w:r>
        <w:rPr>
          <w:rFonts w:ascii="Arial" w:eastAsia="Arial" w:hAnsi="Arial" w:cs="Arial"/>
          <w:color w:val="000000"/>
          <w:sz w:val="20"/>
        </w:rPr>
        <w:t>, 398 F.3d at 568 (internal quotation marks and brackets omitted).</w:t>
      </w:r>
    </w:p>
    <w:p w14:paraId="79D1243E" w14:textId="77777777" w:rsidR="002D0E71" w:rsidRDefault="00000000">
      <w:pPr>
        <w:pStyle w:val="Normal19"/>
        <w:widowControl w:val="0"/>
        <w:spacing w:before="200" w:line="260" w:lineRule="atLeast"/>
        <w:jc w:val="both"/>
      </w:pPr>
      <w:bookmarkStart w:id="3034" w:name="Bookmark_para_63_0"/>
      <w:bookmarkEnd w:id="3034"/>
      <w:r>
        <w:rPr>
          <w:rFonts w:ascii="Arial" w:eastAsia="Arial" w:hAnsi="Arial" w:cs="Arial"/>
          <w:color w:val="000000"/>
          <w:sz w:val="20"/>
        </w:rPr>
        <w:t>Because the evidence viewed in the light most favorable to the plaintiffs does not support the inference that the City took action to compel Anderson to remove her miniature horse from her house because of C.A.'s disability, the plaintiffs have not established their prima [**42]  facie case of intentional discrimination under Title II of the ADA. Therefore, we affirm the district court's grant of summary judgment to the City on the plaintiffs' ADA claim of intentional discrimination.</w:t>
      </w:r>
    </w:p>
    <w:p w14:paraId="6768526F" w14:textId="77777777" w:rsidR="002D0E71" w:rsidRDefault="00000000">
      <w:pPr>
        <w:pStyle w:val="Normal19"/>
        <w:widowControl w:val="0"/>
        <w:spacing w:before="240" w:line="260" w:lineRule="atLeast"/>
      </w:pPr>
      <w:r>
        <w:br/>
      </w:r>
      <w:r>
        <w:rPr>
          <w:rFonts w:ascii="Arial" w:eastAsia="Arial" w:hAnsi="Arial" w:cs="Arial"/>
          <w:b/>
          <w:color w:val="000000"/>
          <w:sz w:val="20"/>
        </w:rPr>
        <w:t>D. FHAA Claims</w:t>
      </w:r>
    </w:p>
    <w:p w14:paraId="282F6C87" w14:textId="77777777" w:rsidR="002D0E71" w:rsidRDefault="00000000">
      <w:pPr>
        <w:pStyle w:val="Normal19"/>
        <w:widowControl w:val="0"/>
        <w:spacing w:before="200" w:line="260" w:lineRule="atLeast"/>
        <w:jc w:val="both"/>
      </w:pPr>
      <w:bookmarkStart w:id="3035" w:name="Bookmark_para_64_0"/>
      <w:bookmarkStart w:id="3036" w:name="Bookmark_I5GW5WK128T5060010000400"/>
      <w:bookmarkStart w:id="3037" w:name="Bookmark_LNHNREFclscc25_0"/>
      <w:bookmarkEnd w:id="3035"/>
      <w:bookmarkEnd w:id="3036"/>
      <w:bookmarkEnd w:id="3037"/>
      <w:r>
        <w:rPr>
          <w:rFonts w:ascii="Arial" w:eastAsia="Arial" w:hAnsi="Arial" w:cs="Arial"/>
          <w:color w:val="000000"/>
          <w:sz w:val="20"/>
        </w:rPr>
        <w:t xml:space="preserve">The FHAA makes it unlawful to "discriminate against any person in the terms, conditions, or privileges of sale or rental of a dwelling, or in the provision of services or facilities in connection with such dwelling, because of a handicap." 42 U.S.C. § 3604(f)(2). Such discrimination includes a "refusal to make reasonable accommodations in rules, policies, practices, or services, when such accommodations may be necessary to afford such person equal opportunity to use and enjoy a dwelling[.]" </w:t>
      </w:r>
      <w:r>
        <w:rPr>
          <w:rFonts w:ascii="Arial" w:eastAsia="Arial" w:hAnsi="Arial" w:cs="Arial"/>
          <w:i/>
          <w:color w:val="000000"/>
          <w:sz w:val="20"/>
        </w:rPr>
        <w:t>Id.</w:t>
      </w:r>
      <w:r>
        <w:rPr>
          <w:rFonts w:ascii="Arial" w:eastAsia="Arial" w:hAnsi="Arial" w:cs="Arial"/>
          <w:color w:val="000000"/>
          <w:sz w:val="20"/>
        </w:rPr>
        <w:t xml:space="preserve"> at § 3604(f)(3)(B). "Plaintiffs who allege a violation of 42 U.S.C. § 3604(f) may proceed under any or all of three theories: disparate treatment, disparate impact, and failure to make reasonable accommodations." </w:t>
      </w:r>
      <w:bookmarkStart w:id="3038" w:name="Bookmark_I5GW5WK12SF8R50050000400"/>
      <w:bookmarkEnd w:id="3038"/>
      <w:r>
        <w:rPr>
          <w:rFonts w:ascii="Arial" w:eastAsia="Arial" w:hAnsi="Arial" w:cs="Arial"/>
          <w:i/>
          <w:color w:val="000000"/>
          <w:sz w:val="20"/>
        </w:rPr>
        <w:t>Smith &amp; Lee Assocs. v. City of Taylor, Mich.</w:t>
      </w:r>
      <w:r>
        <w:rPr>
          <w:rFonts w:ascii="Arial" w:eastAsia="Arial" w:hAnsi="Arial" w:cs="Arial"/>
          <w:color w:val="000000"/>
          <w:sz w:val="20"/>
        </w:rPr>
        <w:t>, 102 F.3d 781, 790 (6th Cir. 1996).</w:t>
      </w:r>
    </w:p>
    <w:p w14:paraId="3E6348B7" w14:textId="77777777" w:rsidR="002D0E71" w:rsidRDefault="00000000">
      <w:pPr>
        <w:pStyle w:val="Normal19"/>
        <w:widowControl w:val="0"/>
        <w:spacing w:before="200" w:line="260" w:lineRule="atLeast"/>
        <w:jc w:val="both"/>
      </w:pPr>
      <w:bookmarkStart w:id="3039" w:name="Bookmark_para_65_0"/>
      <w:bookmarkEnd w:id="3039"/>
      <w:r>
        <w:rPr>
          <w:rFonts w:ascii="Arial" w:eastAsia="Arial" w:hAnsi="Arial" w:cs="Arial"/>
          <w:color w:val="000000"/>
          <w:sz w:val="20"/>
        </w:rPr>
        <w:t>Anderson invokes all three theories. First, she contends that by refusing to permit her to keep Ellie at her dwelling the City failed to make a reasonable accommodation for C.A.'s disability as required by the FHAA. Second, as to her disparate treatment claim under the  [***23]  FHAA, Anderson repeats the assertion that she made [**43]  under the ADA that the City intentionally discriminated against her because of C.A.'s disability. Third, Anderson alleges that, even if the City had no discriminatory animus, its actions have had a disparate impact on "C.A., and any disabled person within the City who may require the assistance of a miniature horse." (Appellant Br. 53.)</w:t>
      </w:r>
    </w:p>
    <w:p w14:paraId="01E96DE0" w14:textId="77777777" w:rsidR="002D0E71" w:rsidRDefault="00000000">
      <w:pPr>
        <w:pStyle w:val="Normal19"/>
        <w:widowControl w:val="0"/>
        <w:spacing w:before="240" w:line="260" w:lineRule="atLeast"/>
      </w:pPr>
      <w:r>
        <w:br/>
      </w:r>
      <w:r>
        <w:rPr>
          <w:rFonts w:ascii="Arial" w:eastAsia="Arial" w:hAnsi="Arial" w:cs="Arial"/>
          <w:i/>
          <w:color w:val="000000"/>
          <w:sz w:val="20"/>
        </w:rPr>
        <w:t>1. Reasonable Accommodation</w:t>
      </w:r>
    </w:p>
    <w:p w14:paraId="7328D23C" w14:textId="77777777" w:rsidR="002D0E71" w:rsidRDefault="00000000">
      <w:pPr>
        <w:pStyle w:val="Normal19"/>
        <w:widowControl w:val="0"/>
        <w:spacing w:before="200" w:line="260" w:lineRule="atLeast"/>
        <w:jc w:val="both"/>
      </w:pPr>
      <w:bookmarkStart w:id="3040" w:name="Bookmark_para_66_0"/>
      <w:bookmarkStart w:id="3041" w:name="Bookmark_I5GW5WK128T5060030000400"/>
      <w:bookmarkEnd w:id="3040"/>
      <w:bookmarkEnd w:id="3041"/>
      <w:r>
        <w:rPr>
          <w:rFonts w:ascii="Arial" w:eastAsia="Arial" w:hAnsi="Arial" w:cs="Arial"/>
          <w:color w:val="000000"/>
          <w:sz w:val="20"/>
        </w:rPr>
        <w:t xml:space="preserve">The plaintiffs contend that the FHAA, like the ADA, requires the City to make a reasonable accommodation to allow Anderson to keep her miniature horse at her residence. </w:t>
      </w:r>
      <w:bookmarkStart w:id="3042" w:name="Bookmark_LNHNREFclscc26_0"/>
      <w:bookmarkEnd w:id="3042"/>
      <w:r>
        <w:rPr>
          <w:rFonts w:ascii="Arial" w:eastAsia="Arial" w:hAnsi="Arial" w:cs="Arial"/>
          <w:color w:val="000000"/>
          <w:sz w:val="20"/>
        </w:rPr>
        <w:t xml:space="preserve">The FHAA "creates an affirmative duty on [a] municipalit[y] . . . to afford its disabled citizens reasonable accommodations in its municipal zoning practices if necessary to afford such persons equal opportunity in the use and enjoyment of their property." </w:t>
      </w:r>
      <w:bookmarkStart w:id="3043" w:name="Bookmark_I5GW5WK128T5060020000400"/>
      <w:bookmarkEnd w:id="3043"/>
      <w:r>
        <w:rPr>
          <w:rFonts w:ascii="Arial" w:eastAsia="Arial" w:hAnsi="Arial" w:cs="Arial"/>
          <w:i/>
          <w:color w:val="000000"/>
          <w:sz w:val="20"/>
        </w:rPr>
        <w:t>Howard v. City of Beavercreek</w:t>
      </w:r>
      <w:r>
        <w:rPr>
          <w:rFonts w:ascii="Arial" w:eastAsia="Arial" w:hAnsi="Arial" w:cs="Arial"/>
          <w:color w:val="000000"/>
          <w:sz w:val="20"/>
        </w:rPr>
        <w:t xml:space="preserve">, 276 F.3d 802, 806 (6th Cir. 2002); </w:t>
      </w:r>
      <w:r>
        <w:rPr>
          <w:rFonts w:ascii="Arial" w:eastAsia="Arial" w:hAnsi="Arial" w:cs="Arial"/>
          <w:i/>
          <w:color w:val="000000"/>
          <w:sz w:val="20"/>
        </w:rPr>
        <w:t>see</w:t>
      </w:r>
      <w:r>
        <w:rPr>
          <w:rFonts w:ascii="Arial" w:eastAsia="Arial" w:hAnsi="Arial" w:cs="Arial"/>
          <w:color w:val="000000"/>
          <w:sz w:val="20"/>
        </w:rPr>
        <w:t xml:space="preserve"> 42 U.S.C. § 3604(f). </w:t>
      </w:r>
      <w:bookmarkStart w:id="3044" w:name="Bookmark_I3F5JBHHB3R000G4WWW004N2"/>
      <w:bookmarkStart w:id="3045" w:name="Bookmark_I5GW5WK128T5060050000400"/>
      <w:bookmarkEnd w:id="3044"/>
      <w:bookmarkEnd w:id="3045"/>
      <w:r>
        <w:rPr>
          <w:rFonts w:ascii="Arial" w:eastAsia="Arial" w:hAnsi="Arial" w:cs="Arial"/>
          <w:color w:val="000000"/>
          <w:sz w:val="20"/>
        </w:rPr>
        <w:t xml:space="preserve">Unlike the ADA, the FHAA does not have minimum regulatory requirements for animals to qualify as a reasonable accommodation. </w:t>
      </w:r>
      <w:bookmarkStart w:id="3046" w:name="Bookmark_I5GW5WK128T5060050000400_2"/>
      <w:bookmarkEnd w:id="3046"/>
      <w:r>
        <w:rPr>
          <w:rFonts w:ascii="Arial" w:eastAsia="Arial" w:hAnsi="Arial" w:cs="Arial"/>
          <w:i/>
          <w:color w:val="000000"/>
          <w:sz w:val="20"/>
        </w:rPr>
        <w:t>See</w:t>
      </w:r>
      <w:r>
        <w:rPr>
          <w:rFonts w:ascii="Arial" w:eastAsia="Arial" w:hAnsi="Arial" w:cs="Arial"/>
          <w:color w:val="000000"/>
          <w:sz w:val="20"/>
        </w:rPr>
        <w:t xml:space="preserve"> 28 C.F.R. § 35 app. A (discussing how the current ADA regulations define "service animal" to include a narrower class of animals than those protected under the FHAA). The "three operative elements" of the FHAA's reasonable accommodation requirement are "equal opportunity," "necessary," and "reasonable." [**44]  </w:t>
      </w:r>
      <w:bookmarkStart w:id="3047" w:name="Bookmark_I5GW5WK128T5060040000400"/>
      <w:bookmarkEnd w:id="3047"/>
      <w:r>
        <w:rPr>
          <w:rFonts w:ascii="Arial" w:eastAsia="Arial" w:hAnsi="Arial" w:cs="Arial"/>
          <w:i/>
          <w:color w:val="000000"/>
          <w:sz w:val="20"/>
        </w:rPr>
        <w:t>Smith &amp; Lee Assocs.</w:t>
      </w:r>
      <w:r>
        <w:rPr>
          <w:rFonts w:ascii="Arial" w:eastAsia="Arial" w:hAnsi="Arial" w:cs="Arial"/>
          <w:color w:val="000000"/>
          <w:sz w:val="20"/>
        </w:rPr>
        <w:t>, 102 F.3d at 794. On appeal, Anderson contends that there are disputed issues of fact as to each of these elements that preclude summary judgment for the City.</w:t>
      </w:r>
    </w:p>
    <w:p w14:paraId="001639EB" w14:textId="77777777" w:rsidR="002D0E71" w:rsidRDefault="00000000">
      <w:pPr>
        <w:pStyle w:val="Normal19"/>
        <w:widowControl w:val="0"/>
        <w:spacing w:before="120" w:line="260" w:lineRule="atLeast"/>
      </w:pPr>
      <w:r>
        <w:rPr>
          <w:rFonts w:ascii="Arial" w:eastAsia="Arial" w:hAnsi="Arial" w:cs="Arial"/>
          <w:color w:val="000000"/>
          <w:sz w:val="20"/>
        </w:rPr>
        <w:t>a. Equal Opportunity and Necessity</w:t>
      </w:r>
    </w:p>
    <w:p w14:paraId="6FB8A8FC" w14:textId="77777777" w:rsidR="002D0E71" w:rsidRDefault="00000000">
      <w:pPr>
        <w:pStyle w:val="Normal19"/>
        <w:widowControl w:val="0"/>
        <w:spacing w:before="200" w:line="260" w:lineRule="atLeast"/>
        <w:jc w:val="both"/>
      </w:pPr>
      <w:bookmarkStart w:id="3048" w:name="Bookmark_para_67_0"/>
      <w:bookmarkStart w:id="3049" w:name="Bookmark_I5GW5WK12HM6430020000400"/>
      <w:bookmarkStart w:id="3050" w:name="Bookmark_LNHNREFclscc27"/>
      <w:bookmarkEnd w:id="3048"/>
      <w:bookmarkEnd w:id="3049"/>
      <w:bookmarkEnd w:id="3050"/>
      <w:r>
        <w:rPr>
          <w:rFonts w:ascii="Arial" w:eastAsia="Arial" w:hAnsi="Arial" w:cs="Arial"/>
          <w:color w:val="000000"/>
          <w:sz w:val="20"/>
        </w:rPr>
        <w:t xml:space="preserve">The first two elements are closely related. </w:t>
      </w:r>
      <w:bookmarkStart w:id="3051" w:name="Bookmark_I5GW5WK12HM6430040000400"/>
      <w:bookmarkEnd w:id="3051"/>
      <w:r>
        <w:rPr>
          <w:rFonts w:ascii="Arial" w:eastAsia="Arial" w:hAnsi="Arial" w:cs="Arial"/>
          <w:color w:val="000000"/>
          <w:sz w:val="20"/>
        </w:rPr>
        <w:t xml:space="preserve">The first asks "whether the requested accommodation would afford the disabled resident an equal opportunity to enjoy the property." </w:t>
      </w:r>
      <w:bookmarkStart w:id="3052" w:name="Bookmark_I5GW5WK12HM6430010000400"/>
      <w:bookmarkEnd w:id="3052"/>
      <w:r>
        <w:rPr>
          <w:rFonts w:ascii="Arial" w:eastAsia="Arial" w:hAnsi="Arial" w:cs="Arial"/>
          <w:i/>
          <w:color w:val="000000"/>
          <w:sz w:val="20"/>
        </w:rPr>
        <w:t>Hollis</w:t>
      </w:r>
      <w:r>
        <w:rPr>
          <w:rFonts w:ascii="Arial" w:eastAsia="Arial" w:hAnsi="Arial" w:cs="Arial"/>
          <w:color w:val="000000"/>
          <w:sz w:val="20"/>
        </w:rPr>
        <w:t xml:space="preserve">, 760 F.3d  [*361]  at 541. </w:t>
      </w:r>
      <w:bookmarkStart w:id="3053" w:name="Bookmark_I5GW5WK12D6NGY0010000400"/>
      <w:bookmarkEnd w:id="3053"/>
      <w:r>
        <w:rPr>
          <w:rFonts w:ascii="Arial" w:eastAsia="Arial" w:hAnsi="Arial" w:cs="Arial"/>
          <w:color w:val="000000"/>
          <w:sz w:val="20"/>
        </w:rPr>
        <w:t xml:space="preserve">The FHAA "links the term 'necessary' to the goal of equal opportunity. </w:t>
      </w:r>
      <w:bookmarkStart w:id="3054" w:name="Bookmark_I5GW5WK12D6NGY0010000400_2"/>
      <w:bookmarkStart w:id="3055" w:name="Bookmark_I5GW5WK12HM6430040000400_2"/>
      <w:bookmarkEnd w:id="3054"/>
      <w:bookmarkEnd w:id="3055"/>
      <w:r>
        <w:rPr>
          <w:rFonts w:ascii="Arial" w:eastAsia="Arial" w:hAnsi="Arial" w:cs="Arial"/>
          <w:color w:val="000000"/>
          <w:sz w:val="20"/>
        </w:rPr>
        <w:t xml:space="preserve">Plaintiffs must show that, but for the accommodation, they likely will be denied an equal opportunity to enjoy the housing of their choice." </w:t>
      </w:r>
      <w:bookmarkStart w:id="3056" w:name="Bookmark_I5GW5WK12HM6430030000400"/>
      <w:bookmarkEnd w:id="3056"/>
      <w:r>
        <w:rPr>
          <w:rFonts w:ascii="Arial" w:eastAsia="Arial" w:hAnsi="Arial" w:cs="Arial"/>
          <w:i/>
          <w:color w:val="000000"/>
          <w:sz w:val="20"/>
        </w:rPr>
        <w:t>Smith &amp; Lee Assocs.</w:t>
      </w:r>
      <w:r>
        <w:rPr>
          <w:rFonts w:ascii="Arial" w:eastAsia="Arial" w:hAnsi="Arial" w:cs="Arial"/>
          <w:color w:val="000000"/>
          <w:sz w:val="20"/>
        </w:rPr>
        <w:t xml:space="preserve">, 102 F.3d at 795 (citations omitted). "The necessity element is, in other words, a causation inquiry that examines whether the requested accommodation or modification would redress injuries that otherwise would prevent a disabled resident from receiving the same enjoyment from the property as a non-disabled person would receive." </w:t>
      </w:r>
      <w:bookmarkStart w:id="3057" w:name="Bookmark_I5GW5WK12HM6430050000400"/>
      <w:bookmarkEnd w:id="3057"/>
      <w:r>
        <w:rPr>
          <w:rFonts w:ascii="Arial" w:eastAsia="Arial" w:hAnsi="Arial" w:cs="Arial"/>
          <w:i/>
          <w:color w:val="000000"/>
          <w:sz w:val="20"/>
        </w:rPr>
        <w:t>Hollis</w:t>
      </w:r>
      <w:r>
        <w:rPr>
          <w:rFonts w:ascii="Arial" w:eastAsia="Arial" w:hAnsi="Arial" w:cs="Arial"/>
          <w:color w:val="000000"/>
          <w:sz w:val="20"/>
        </w:rPr>
        <w:t>, 760 F.3d at 541.</w:t>
      </w:r>
    </w:p>
    <w:p w14:paraId="1A37C9BB" w14:textId="77777777" w:rsidR="002D0E71" w:rsidRDefault="00000000">
      <w:pPr>
        <w:pStyle w:val="Normal19"/>
        <w:widowControl w:val="0"/>
        <w:spacing w:before="200" w:line="260" w:lineRule="atLeast"/>
        <w:jc w:val="both"/>
      </w:pPr>
      <w:bookmarkStart w:id="3058" w:name="Bookmark_para_68_0"/>
      <w:bookmarkStart w:id="3059" w:name="Bookmark_I5GW5WK12D6NGY0030000400"/>
      <w:bookmarkEnd w:id="3058"/>
      <w:bookmarkEnd w:id="3059"/>
      <w:r>
        <w:rPr>
          <w:rFonts w:ascii="Arial" w:eastAsia="Arial" w:hAnsi="Arial" w:cs="Arial"/>
          <w:color w:val="000000"/>
          <w:sz w:val="20"/>
        </w:rPr>
        <w:t xml:space="preserve"> [***24]  Equal use and enjoyment of a dwelling are achieved when an accommodation ameliorates the effects of the disability such that the disabled individual can use and enjoy his or her residence as a non-disabled person could. </w:t>
      </w:r>
      <w:r>
        <w:rPr>
          <w:rFonts w:ascii="Arial" w:eastAsia="Arial" w:hAnsi="Arial" w:cs="Arial"/>
          <w:i/>
          <w:color w:val="000000"/>
          <w:sz w:val="20"/>
        </w:rPr>
        <w:t>See id.</w:t>
      </w:r>
      <w:r>
        <w:rPr>
          <w:rFonts w:ascii="Arial" w:eastAsia="Arial" w:hAnsi="Arial" w:cs="Arial"/>
          <w:color w:val="000000"/>
          <w:sz w:val="20"/>
        </w:rPr>
        <w:t xml:space="preserve">; </w:t>
      </w:r>
      <w:r>
        <w:rPr>
          <w:rFonts w:ascii="Arial" w:eastAsia="Arial" w:hAnsi="Arial" w:cs="Arial"/>
          <w:i/>
          <w:color w:val="000000"/>
          <w:sz w:val="20"/>
        </w:rPr>
        <w:t xml:space="preserve">see also </w:t>
      </w:r>
      <w:bookmarkStart w:id="3060" w:name="Bookmark_I5GW5WK12D6NGY0020000400"/>
      <w:bookmarkEnd w:id="3060"/>
      <w:r>
        <w:rPr>
          <w:rFonts w:ascii="Arial" w:eastAsia="Arial" w:hAnsi="Arial" w:cs="Arial"/>
          <w:i/>
          <w:color w:val="000000"/>
          <w:sz w:val="20"/>
        </w:rPr>
        <w:t>Bhogaita v. Altamonte Heights Condo. Ass'n</w:t>
      </w:r>
      <w:r>
        <w:rPr>
          <w:rFonts w:ascii="Arial" w:eastAsia="Arial" w:hAnsi="Arial" w:cs="Arial"/>
          <w:color w:val="000000"/>
          <w:sz w:val="20"/>
        </w:rPr>
        <w:t>, 765 F.3d 1277, 1288-89 (11th Cir. 2014) (finding that an emotional support dog was necessary for a plaintiff's equal [**45]  use and enjoyment of his dwelling where it "alleviate[d] the effects of a disability" so that he could work from his house as a non-disabled person could, and that "without the dog, [the plaintiff's] social interactions would be so overwhelming that he would be unable to perform work of any kind" (internal quotation marks omitted)). Here the plaintiffs contend that C.A.'s horse allows her to play independently in her backyard as a non-disabled child can, and so having the horse at her house is necessary for her equal use and enjoyment of her dwelling.</w:t>
      </w:r>
    </w:p>
    <w:p w14:paraId="6942C7B3" w14:textId="77777777" w:rsidR="002D0E71" w:rsidRDefault="00000000">
      <w:pPr>
        <w:pStyle w:val="Normal19"/>
        <w:widowControl w:val="0"/>
        <w:spacing w:before="200" w:line="260" w:lineRule="atLeast"/>
        <w:jc w:val="both"/>
      </w:pPr>
      <w:bookmarkStart w:id="3061" w:name="Bookmark_para_69_0"/>
      <w:bookmarkEnd w:id="3061"/>
      <w:r>
        <w:rPr>
          <w:rFonts w:ascii="Arial" w:eastAsia="Arial" w:hAnsi="Arial" w:cs="Arial"/>
          <w:color w:val="000000"/>
          <w:sz w:val="20"/>
        </w:rPr>
        <w:t>The district court found that permitting Anderson to keep a horse at her house was unnecessary because C.A. could obtain therapy with a horse by traveling to a local farm or stable. On appeal, the City similarly argues that C.A. did not need therapy with a horse at her house, and that the accommodation was also unnecessary because "C.A. can ambulate and otherwise function without the horse," and continue to live in her house without it. (Appellee Br. 47-48.) Anderson contends that the accommodation was necessary for C.A. to play independently in her backyard as a non-disabled child could, and that therapy with a horse at a farm is no substitute for [**46]  therapy at her house, citing to Dr. Levin's letter in which he stated that "[C.A.] fatigues easily, and just a drive across town to receive therapy can wipe her out leaving no energy to enjoy this therapeutic and recreational activity." (Levin Letter, November 3, 2010, R. 10-5, PageID 717.)</w:t>
      </w:r>
    </w:p>
    <w:p w14:paraId="41F403C8" w14:textId="77777777" w:rsidR="002D0E71" w:rsidRDefault="00000000">
      <w:pPr>
        <w:pStyle w:val="Normal19"/>
        <w:widowControl w:val="0"/>
        <w:spacing w:before="200" w:line="260" w:lineRule="atLeast"/>
        <w:jc w:val="both"/>
      </w:pPr>
      <w:bookmarkStart w:id="3062" w:name="Bookmark_para_70_0"/>
      <w:bookmarkStart w:id="3063" w:name="Bookmark_I5GW5WK12D6NGY0050000400"/>
      <w:bookmarkEnd w:id="3062"/>
      <w:bookmarkEnd w:id="3063"/>
      <w:r>
        <w:rPr>
          <w:rFonts w:ascii="Arial" w:eastAsia="Arial" w:hAnsi="Arial" w:cs="Arial"/>
          <w:color w:val="000000"/>
          <w:sz w:val="20"/>
        </w:rPr>
        <w:t xml:space="preserve">Regarding the assertion that C.A. can obtain therapy with a horse at a local farm or stable, Dr. Levin's letter is evidence from which a reasonable factfinder could find that C.A. cannot obtain the benefit of therapy after traveling from her house, so the district court's conclusion to the contrary on summary judgment, where it was required to draw all reasonable inferences in Anderson's favor, was in error. More to the point, </w:t>
      </w:r>
      <w:bookmarkStart w:id="3064" w:name="Bookmark_LNHNREFclscc28"/>
      <w:bookmarkEnd w:id="3064"/>
      <w:r>
        <w:rPr>
          <w:rFonts w:ascii="Arial" w:eastAsia="Arial" w:hAnsi="Arial" w:cs="Arial"/>
          <w:color w:val="000000"/>
          <w:sz w:val="20"/>
        </w:rPr>
        <w:t>the availability of an alternative treatment away from the plaintiff's dwelling is irrelevant to the FHAA, which requires reasonable accommodations necessary for a disabled individual to receive the "</w:t>
      </w:r>
      <w:r>
        <w:rPr>
          <w:rFonts w:ascii="Arial" w:eastAsia="Arial" w:hAnsi="Arial" w:cs="Arial"/>
          <w:i/>
          <w:color w:val="000000"/>
          <w:sz w:val="20"/>
        </w:rPr>
        <w:t>same</w:t>
      </w:r>
      <w:r>
        <w:rPr>
          <w:rFonts w:ascii="Arial" w:eastAsia="Arial" w:hAnsi="Arial" w:cs="Arial"/>
          <w:color w:val="000000"/>
          <w:sz w:val="20"/>
        </w:rPr>
        <w:t xml:space="preserve"> enjoyment  [***25]  from the property as a non-disabled person would receive," </w:t>
      </w:r>
      <w:bookmarkStart w:id="3065" w:name="Bookmark_I5GW5WK12D6NGY0040000400"/>
      <w:bookmarkEnd w:id="3065"/>
      <w:r>
        <w:rPr>
          <w:rFonts w:ascii="Arial" w:eastAsia="Arial" w:hAnsi="Arial" w:cs="Arial"/>
          <w:i/>
          <w:color w:val="000000"/>
          <w:sz w:val="20"/>
        </w:rPr>
        <w:t>Hollis</w:t>
      </w:r>
      <w:r>
        <w:rPr>
          <w:rFonts w:ascii="Arial" w:eastAsia="Arial" w:hAnsi="Arial" w:cs="Arial"/>
          <w:color w:val="000000"/>
          <w:sz w:val="20"/>
        </w:rPr>
        <w:t>, 760 F.3d at 541 (emphasis added), not merely those accommodations that the disabled individual cannot function without or for which no alternative is available away from the dwelling. For the same reason, the City's argument [**47]  that "C.A. can ambulate and otherwise function without the horse" is likewise irrelevant because the FHAA requires accommodations that are necessary to achieve housing equality, not just those accommodations that are absolutely necessary  [*362]  for the disabled individual's treatment or basic ability to function.</w:t>
      </w:r>
    </w:p>
    <w:p w14:paraId="4941DCC2" w14:textId="77777777" w:rsidR="002D0E71" w:rsidRDefault="00000000">
      <w:pPr>
        <w:pStyle w:val="Normal19"/>
        <w:widowControl w:val="0"/>
        <w:spacing w:before="200" w:line="260" w:lineRule="atLeast"/>
        <w:jc w:val="both"/>
      </w:pPr>
      <w:bookmarkStart w:id="3066" w:name="Bookmark_para_71_0"/>
      <w:bookmarkStart w:id="3067" w:name="Bookmark_I5GW5WK12N1RWR0020000400"/>
      <w:bookmarkEnd w:id="3066"/>
      <w:bookmarkEnd w:id="3067"/>
      <w:r>
        <w:rPr>
          <w:rFonts w:ascii="Arial" w:eastAsia="Arial" w:hAnsi="Arial" w:cs="Arial"/>
          <w:color w:val="000000"/>
          <w:sz w:val="20"/>
        </w:rPr>
        <w:t xml:space="preserve">The City's argument that the accommodation was not necessary because C.A. can continue to live in her house without it is also inapposite. The City relies on our decision in </w:t>
      </w:r>
      <w:r>
        <w:rPr>
          <w:rFonts w:ascii="Arial" w:eastAsia="Arial" w:hAnsi="Arial" w:cs="Arial"/>
          <w:i/>
          <w:color w:val="000000"/>
          <w:sz w:val="20"/>
        </w:rPr>
        <w:t>Howard</w:t>
      </w:r>
      <w:r>
        <w:rPr>
          <w:rFonts w:ascii="Arial" w:eastAsia="Arial" w:hAnsi="Arial" w:cs="Arial"/>
          <w:color w:val="000000"/>
          <w:sz w:val="20"/>
        </w:rPr>
        <w:t xml:space="preserve">, in which we rejected a plaintiff's claim that a privacy fence was a necessary accommodation for him to continue to live in his dwelling in part because the plaintiff had lived there without the fence for years. </w:t>
      </w:r>
      <w:bookmarkStart w:id="3068" w:name="Bookmark_I3F5JBHMRS9000G4WWW004NK"/>
      <w:bookmarkStart w:id="3069" w:name="Bookmark_I5GW5WK12N1RWR0040000400"/>
      <w:bookmarkEnd w:id="3068"/>
      <w:bookmarkEnd w:id="3069"/>
      <w:r>
        <w:rPr>
          <w:rFonts w:ascii="Arial" w:eastAsia="Arial" w:hAnsi="Arial" w:cs="Arial"/>
          <w:i/>
          <w:color w:val="000000"/>
          <w:sz w:val="20"/>
        </w:rPr>
        <w:t>See</w:t>
      </w:r>
      <w:r>
        <w:rPr>
          <w:rFonts w:ascii="Arial" w:eastAsia="Arial" w:hAnsi="Arial" w:cs="Arial"/>
          <w:color w:val="000000"/>
          <w:sz w:val="20"/>
        </w:rPr>
        <w:t xml:space="preserve"> </w:t>
      </w:r>
      <w:bookmarkStart w:id="3070" w:name="Bookmark_I5GW5WK12N1RWR0010000400"/>
      <w:bookmarkEnd w:id="3070"/>
      <w:r>
        <w:rPr>
          <w:rFonts w:ascii="Arial" w:eastAsia="Arial" w:hAnsi="Arial" w:cs="Arial"/>
          <w:color w:val="000000"/>
          <w:sz w:val="20"/>
        </w:rPr>
        <w:t xml:space="preserve">276 F.3d at 806. </w:t>
      </w:r>
      <w:bookmarkStart w:id="3071" w:name="Bookmark_I5GW5WK12N1RWR0040000400_2"/>
      <w:bookmarkStart w:id="3072" w:name="Bookmark_I3F5JBHN401000G4WWW004NN"/>
      <w:bookmarkStart w:id="3073" w:name="Bookmark_I5GW5WK12HM6440010000400"/>
      <w:bookmarkEnd w:id="3071"/>
      <w:bookmarkEnd w:id="3072"/>
      <w:bookmarkEnd w:id="3073"/>
      <w:r>
        <w:rPr>
          <w:rFonts w:ascii="Arial" w:eastAsia="Arial" w:hAnsi="Arial" w:cs="Arial"/>
          <w:color w:val="000000"/>
          <w:sz w:val="20"/>
        </w:rPr>
        <w:t xml:space="preserve">The City points out that, like the plaintiff in </w:t>
      </w:r>
      <w:r>
        <w:rPr>
          <w:rFonts w:ascii="Arial" w:eastAsia="Arial" w:hAnsi="Arial" w:cs="Arial"/>
          <w:i/>
          <w:color w:val="000000"/>
          <w:sz w:val="20"/>
        </w:rPr>
        <w:t>Howard</w:t>
      </w:r>
      <w:r>
        <w:rPr>
          <w:rFonts w:ascii="Arial" w:eastAsia="Arial" w:hAnsi="Arial" w:cs="Arial"/>
          <w:color w:val="000000"/>
          <w:sz w:val="20"/>
        </w:rPr>
        <w:t xml:space="preserve">, C.A. can continue to live in her house without the presence of a horse. </w:t>
      </w:r>
      <w:bookmarkStart w:id="3074" w:name="Bookmark_I5GW5WK12HM6440030000400"/>
      <w:bookmarkEnd w:id="3074"/>
      <w:r>
        <w:rPr>
          <w:rFonts w:ascii="Arial" w:eastAsia="Arial" w:hAnsi="Arial" w:cs="Arial"/>
          <w:color w:val="000000"/>
          <w:sz w:val="20"/>
        </w:rPr>
        <w:t xml:space="preserve">But, unlike the plaintiff in </w:t>
      </w:r>
      <w:bookmarkStart w:id="3075" w:name="Bookmark_I5GW5WK12N1RWR0030000400"/>
      <w:bookmarkEnd w:id="3075"/>
      <w:r>
        <w:rPr>
          <w:rFonts w:ascii="Arial" w:eastAsia="Arial" w:hAnsi="Arial" w:cs="Arial"/>
          <w:i/>
          <w:color w:val="000000"/>
          <w:sz w:val="20"/>
        </w:rPr>
        <w:t>Howard</w:t>
      </w:r>
      <w:r>
        <w:rPr>
          <w:rFonts w:ascii="Arial" w:eastAsia="Arial" w:hAnsi="Arial" w:cs="Arial"/>
          <w:color w:val="000000"/>
          <w:sz w:val="20"/>
        </w:rPr>
        <w:t xml:space="preserve">, the plaintiffs here do not contend that the accommodation is necessary for C.A. to continue to reside in her dwelling, but rather that the accommodation is necessary for her to have an equal opportunity to enjoy a particular use of her house—independent recreation and exercise in her backyard. </w:t>
      </w:r>
      <w:bookmarkStart w:id="3076" w:name="Bookmark_I5GW5WK12HM6440030000400_2"/>
      <w:bookmarkStart w:id="3077" w:name="Bookmark_I5GW5WK12HM6440010000400_2"/>
      <w:bookmarkEnd w:id="3076"/>
      <w:bookmarkEnd w:id="3077"/>
      <w:r>
        <w:rPr>
          <w:rFonts w:ascii="Arial" w:eastAsia="Arial" w:hAnsi="Arial" w:cs="Arial"/>
          <w:color w:val="000000"/>
          <w:sz w:val="20"/>
        </w:rPr>
        <w:t xml:space="preserve">Because the FHAA requires accommodations [**48]  that are necessary for the same enjoyment of a dwelling that a non-disabled person would receive, not just those that are necessary to remain in the dwelling at all, the City's reliance on </w:t>
      </w:r>
      <w:bookmarkStart w:id="3078" w:name="Bookmark_I5GW5WK12N1RWR0050000400"/>
      <w:bookmarkEnd w:id="3078"/>
      <w:r>
        <w:rPr>
          <w:rFonts w:ascii="Arial" w:eastAsia="Arial" w:hAnsi="Arial" w:cs="Arial"/>
          <w:i/>
          <w:color w:val="000000"/>
          <w:sz w:val="20"/>
        </w:rPr>
        <w:t>Howard</w:t>
      </w:r>
      <w:r>
        <w:rPr>
          <w:rFonts w:ascii="Arial" w:eastAsia="Arial" w:hAnsi="Arial" w:cs="Arial"/>
          <w:color w:val="000000"/>
          <w:sz w:val="20"/>
        </w:rPr>
        <w:t xml:space="preserve"> is misplaced. </w:t>
      </w:r>
      <w:r>
        <w:rPr>
          <w:rFonts w:ascii="Arial" w:eastAsia="Arial" w:hAnsi="Arial" w:cs="Arial"/>
          <w:i/>
          <w:color w:val="000000"/>
          <w:sz w:val="20"/>
        </w:rPr>
        <w:t xml:space="preserve">See </w:t>
      </w:r>
      <w:bookmarkStart w:id="3079" w:name="Bookmark_I5GW5WK12HM6440020000400"/>
      <w:bookmarkEnd w:id="3079"/>
      <w:r>
        <w:rPr>
          <w:rFonts w:ascii="Arial" w:eastAsia="Arial" w:hAnsi="Arial" w:cs="Arial"/>
          <w:i/>
          <w:color w:val="000000"/>
          <w:sz w:val="20"/>
        </w:rPr>
        <w:t>Bhogaita</w:t>
      </w:r>
      <w:r>
        <w:rPr>
          <w:rFonts w:ascii="Arial" w:eastAsia="Arial" w:hAnsi="Arial" w:cs="Arial"/>
          <w:color w:val="000000"/>
          <w:sz w:val="20"/>
        </w:rPr>
        <w:t>, 765 F.3d at 1289 (finding that the FHAA required an accommodation for a puppy that was necessary for the plaintiff to work from his house, even though the plaintiff could continue to live in the house without it).</w:t>
      </w:r>
    </w:p>
    <w:p w14:paraId="7EBED4CA" w14:textId="77777777" w:rsidR="002D0E71" w:rsidRDefault="00000000">
      <w:pPr>
        <w:pStyle w:val="Normal19"/>
        <w:widowControl w:val="0"/>
        <w:spacing w:before="200" w:line="260" w:lineRule="atLeast"/>
        <w:jc w:val="both"/>
      </w:pPr>
      <w:bookmarkStart w:id="3080" w:name="Bookmark_para_72_0"/>
      <w:bookmarkEnd w:id="3080"/>
      <w:r>
        <w:rPr>
          <w:rFonts w:ascii="Arial" w:eastAsia="Arial" w:hAnsi="Arial" w:cs="Arial"/>
          <w:color w:val="000000"/>
          <w:sz w:val="20"/>
        </w:rPr>
        <w:t>Anderson testified that Ellie allows C.A. to play independently and exercise in her backyard and that, without the horse, C.A. cannot do so for any significant length of time, and would effectively be denied the equal opportunity to play in her own backyard as non-disabled children can. This evidence, viewed in a light most favorable to the plaintiffs, is sufficient for a reasonable jury to find that the requested accommodation of keeping the miniature horse at her house is necessary for C.A.'s equal use and enjoyment of her dwelling.</w:t>
      </w:r>
    </w:p>
    <w:p w14:paraId="79F6532C" w14:textId="77777777" w:rsidR="002D0E71" w:rsidRDefault="00000000">
      <w:pPr>
        <w:pStyle w:val="Normal19"/>
        <w:widowControl w:val="0"/>
        <w:spacing w:before="240" w:line="260" w:lineRule="atLeast"/>
      </w:pPr>
      <w:r>
        <w:br/>
      </w:r>
      <w:r>
        <w:rPr>
          <w:rFonts w:ascii="Arial" w:eastAsia="Arial" w:hAnsi="Arial" w:cs="Arial"/>
          <w:color w:val="000000"/>
          <w:sz w:val="20"/>
        </w:rPr>
        <w:t> [***26]  b. Reasonability</w:t>
      </w:r>
    </w:p>
    <w:p w14:paraId="79E1C0AF" w14:textId="77777777" w:rsidR="002D0E71" w:rsidRDefault="00000000">
      <w:pPr>
        <w:pStyle w:val="Normal19"/>
        <w:widowControl w:val="0"/>
        <w:spacing w:before="200" w:line="260" w:lineRule="atLeast"/>
        <w:jc w:val="both"/>
      </w:pPr>
      <w:bookmarkStart w:id="3081" w:name="Bookmark_para_73_0"/>
      <w:bookmarkStart w:id="3082" w:name="Bookmark_I5GW5WK12HM6440050000400"/>
      <w:bookmarkStart w:id="3083" w:name="Bookmark_LNHNREFclscc29"/>
      <w:bookmarkEnd w:id="3081"/>
      <w:bookmarkEnd w:id="3082"/>
      <w:bookmarkEnd w:id="3083"/>
      <w:r>
        <w:rPr>
          <w:rFonts w:ascii="Arial" w:eastAsia="Arial" w:hAnsi="Arial" w:cs="Arial"/>
          <w:color w:val="000000"/>
          <w:sz w:val="20"/>
        </w:rPr>
        <w:t xml:space="preserve">The "crux of a reasonable-accommodation . . . claim typically will be [the third 'operative element,'] the question of reasonableness." </w:t>
      </w:r>
      <w:bookmarkStart w:id="3084" w:name="Bookmark_I5GW5WK12HM6440040000400"/>
      <w:bookmarkEnd w:id="3084"/>
      <w:r>
        <w:rPr>
          <w:rFonts w:ascii="Arial" w:eastAsia="Arial" w:hAnsi="Arial" w:cs="Arial"/>
          <w:i/>
          <w:color w:val="000000"/>
          <w:sz w:val="20"/>
        </w:rPr>
        <w:t>Hollis</w:t>
      </w:r>
      <w:r>
        <w:rPr>
          <w:rFonts w:ascii="Arial" w:eastAsia="Arial" w:hAnsi="Arial" w:cs="Arial"/>
          <w:color w:val="000000"/>
          <w:sz w:val="20"/>
        </w:rPr>
        <w:t>, 760 F.3d at 541.</w:t>
      </w:r>
    </w:p>
    <w:p w14:paraId="64A9E399" w14:textId="77777777" w:rsidR="002D0E71" w:rsidRDefault="00000000">
      <w:pPr>
        <w:pStyle w:val="Normal19"/>
        <w:widowControl w:val="0"/>
        <w:spacing w:before="200" w:line="260" w:lineRule="atLeast"/>
        <w:ind w:left="400"/>
        <w:jc w:val="both"/>
      </w:pPr>
      <w:bookmarkStart w:id="3085" w:name="Bookmark_para_74_0"/>
      <w:bookmarkStart w:id="3086" w:name="Bookmark_I5GW5WK12HM6440050000400_2"/>
      <w:bookmarkEnd w:id="3085"/>
      <w:bookmarkEnd w:id="3086"/>
      <w:r>
        <w:rPr>
          <w:rFonts w:ascii="Arial" w:eastAsia="Arial" w:hAnsi="Arial" w:cs="Arial"/>
          <w:color w:val="000000"/>
          <w:sz w:val="20"/>
        </w:rPr>
        <w:t xml:space="preserve">To determine the reasonableness of the requested modification, the burden that the requested modification [**49]  would impose on the defendant (and perhaps on persons or interests whom the defendant represents) must be weighed against the benefits that would accrue to the plaintiff. </w:t>
      </w:r>
      <w:bookmarkStart w:id="3087" w:name="Bookmark_I5GW5WK128T5070020000400"/>
      <w:bookmarkEnd w:id="3087"/>
      <w:r>
        <w:rPr>
          <w:rFonts w:ascii="Arial" w:eastAsia="Arial" w:hAnsi="Arial" w:cs="Arial"/>
          <w:color w:val="000000"/>
          <w:sz w:val="20"/>
        </w:rPr>
        <w:t xml:space="preserve">This is a highly fact-specific inquiry. </w:t>
      </w:r>
      <w:bookmarkStart w:id="3088" w:name="Bookmark_I5GW5WK128T5070020000400_2"/>
      <w:bookmarkEnd w:id="3088"/>
      <w:r>
        <w:rPr>
          <w:rFonts w:ascii="Arial" w:eastAsia="Arial" w:hAnsi="Arial" w:cs="Arial"/>
          <w:color w:val="000000"/>
          <w:sz w:val="20"/>
        </w:rPr>
        <w:t>A modification should be deemed reasonable if it imposes no fundamental alteration in the nature of a program or undue financial and administrative burdens.</w:t>
      </w:r>
    </w:p>
    <w:p w14:paraId="648D3F51" w14:textId="77777777" w:rsidR="002D0E71" w:rsidRDefault="00000000">
      <w:pPr>
        <w:pStyle w:val="Normal19"/>
        <w:widowControl w:val="0"/>
        <w:spacing w:before="200" w:line="260" w:lineRule="atLeast"/>
        <w:jc w:val="both"/>
      </w:pPr>
      <w:bookmarkStart w:id="3089" w:name="Bookmark_I5GW5WK128T5070020000400_3"/>
      <w:bookmarkStart w:id="3090" w:name="Bookmark_I5GW5WK128T5070010000400"/>
      <w:bookmarkEnd w:id="3089"/>
      <w:bookmarkEnd w:id="3090"/>
      <w:r>
        <w:rPr>
          <w:rFonts w:ascii="Arial" w:eastAsia="Arial" w:hAnsi="Arial" w:cs="Arial"/>
          <w:i/>
          <w:color w:val="000000"/>
          <w:sz w:val="20"/>
        </w:rPr>
        <w:t>Id.</w:t>
      </w:r>
      <w:r>
        <w:rPr>
          <w:rFonts w:ascii="Arial" w:eastAsia="Arial" w:hAnsi="Arial" w:cs="Arial"/>
          <w:color w:val="000000"/>
          <w:sz w:val="20"/>
        </w:rPr>
        <w:t xml:space="preserve"> at 541-42 (internal quotation marks and citations omitted).</w:t>
      </w:r>
    </w:p>
    <w:p w14:paraId="19C3055B" w14:textId="77777777" w:rsidR="002D0E71" w:rsidRDefault="00000000">
      <w:pPr>
        <w:pStyle w:val="Normal19"/>
        <w:widowControl w:val="0"/>
        <w:spacing w:before="200" w:line="260" w:lineRule="atLeast"/>
        <w:jc w:val="both"/>
      </w:pPr>
      <w:bookmarkStart w:id="3091" w:name="Bookmark_para_75_0"/>
      <w:bookmarkEnd w:id="3091"/>
      <w:r>
        <w:rPr>
          <w:rFonts w:ascii="Arial" w:eastAsia="Arial" w:hAnsi="Arial" w:cs="Arial"/>
          <w:color w:val="000000"/>
          <w:sz w:val="20"/>
        </w:rPr>
        <w:t>The district court held that the accommodation was unreasonable, reiterating its finding that C.A. did not need therapy at her house because she could obtain it elsewhere, and also finding that permitting a horse in a residential neighborhood would "fundamentally alter the nature of the [City's] zoning scheme." On appeal, the plaintiffs contend that there were disputed issues of fact as to the reasonability of their requested accommodation that precluded summary judgment to the City based on their evidence that C.A. would benefit from therapy with a horse at her house and that permitting the horse to live at Anderson's residence would not threaten public health or otherwise fundamentally alter the zoning scheme. The City responds that Anderson's requested accommodation [**50]  is unreasonable and would fundamentally alter its zoning scheme because the City's legitimate interests in the  [*363]  health, aesthetics, and property values of its residential neighborhoods are effectuated through enforcement of its zoning codes. The City further contends that these interests may be threatened by the presence of a horse on Anderson's property, pointing to the health complaints concerning Ellie, and that the City's interests must be balanced against the benefit that the accommodation would afford to C.A.</w:t>
      </w:r>
    </w:p>
    <w:p w14:paraId="69B1425B" w14:textId="77777777" w:rsidR="002D0E71" w:rsidRDefault="00000000">
      <w:pPr>
        <w:pStyle w:val="Normal19"/>
        <w:widowControl w:val="0"/>
        <w:spacing w:before="200" w:line="260" w:lineRule="atLeast"/>
        <w:jc w:val="both"/>
      </w:pPr>
      <w:bookmarkStart w:id="3092" w:name="Bookmark_para_76_0"/>
      <w:bookmarkEnd w:id="3092"/>
      <w:r>
        <w:rPr>
          <w:rFonts w:ascii="Arial" w:eastAsia="Arial" w:hAnsi="Arial" w:cs="Arial"/>
          <w:color w:val="000000"/>
          <w:sz w:val="20"/>
        </w:rPr>
        <w:t>Factual disputes pervade the question of the accommodation's reasonableness and the "highly fact-specific" balancing of the City's interests against the plaintiffs' that it requires, precluding summary judgment for the City. First, the City questions the extent to which C.A.'s benefit from therapy with a horse would be diminished if she obtains this therapy at a local farm or stable, but the letter from Dr. Levin creates a factual dispute over whether C.A. could benefit from such therapy after traveling from her house, and this dispute cannot be resolved on  [***27]  summary judgment. While the City's interests in public health, sanitation, and residential property values are clear, [**51]  Anderson disputes the extent to which her requested accommodation would interfere with those interests, pointing to letters of support from her neighbors and the fact that she has secured a cleaning service to prevent the presence of a horse from creating unsanitary conditions at her house. Similarly, while C.A. has a clear interest in having the assistance of a miniature horse at her house, the City disputes the extent of the inconvenience imposed on her by not having the horse in her backyard, pointing to the fact that C.A. can walk without the horse.</w:t>
      </w:r>
    </w:p>
    <w:p w14:paraId="504B9624" w14:textId="77777777" w:rsidR="002D0E71" w:rsidRDefault="00000000">
      <w:pPr>
        <w:pStyle w:val="Normal19"/>
        <w:widowControl w:val="0"/>
        <w:spacing w:before="200" w:line="260" w:lineRule="atLeast"/>
        <w:jc w:val="both"/>
      </w:pPr>
      <w:bookmarkStart w:id="3093" w:name="Bookmark_para_77_0"/>
      <w:bookmarkEnd w:id="3093"/>
      <w:r>
        <w:rPr>
          <w:rFonts w:ascii="Arial" w:eastAsia="Arial" w:hAnsi="Arial" w:cs="Arial"/>
          <w:color w:val="000000"/>
          <w:sz w:val="20"/>
        </w:rPr>
        <w:t xml:space="preserve">Likewise disputed is the City's contention that permitting the horse to remain at Anderson's house would fundamentally alter the nature of its zoning scheme. While protecting public health and property values are central to the City's interests, Anderson has produced evidence that the presence of one miniature horse at her house will not create unsanitary conditions or devalue her neighbors' property, supported not only by her own testimony but by signed letters of support from her current neighbors. </w:t>
      </w:r>
      <w:bookmarkStart w:id="3094" w:name="Bookmark_I5GW5WK128T5070040000400"/>
      <w:bookmarkEnd w:id="3094"/>
      <w:r>
        <w:rPr>
          <w:rFonts w:ascii="Arial" w:eastAsia="Arial" w:hAnsi="Arial" w:cs="Arial"/>
          <w:color w:val="000000"/>
          <w:sz w:val="20"/>
        </w:rPr>
        <w:t xml:space="preserve">She also testified that she has retained a service to clean up animal waste, and ensure that unsanitary conditions will not reappear. As [**52]  for the district court's assertion that, because Anderson lives in a residential area, "[a]llowing farm animals, such as miniature horses . . . in these areas fundamentally alters the zoning scheme," </w:t>
      </w:r>
      <w:bookmarkStart w:id="3095" w:name="Bookmark_LNHNREFclscc30"/>
      <w:bookmarkEnd w:id="3095"/>
      <w:r>
        <w:rPr>
          <w:rFonts w:ascii="Arial" w:eastAsia="Arial" w:hAnsi="Arial" w:cs="Arial"/>
          <w:color w:val="000000"/>
          <w:sz w:val="20"/>
        </w:rPr>
        <w:t xml:space="preserve">we have long since rejected the notion that making an exception to a zoning scheme to permit something that would normally be forbidden automatically amounts to a fundamental alteration. </w:t>
      </w:r>
      <w:r>
        <w:rPr>
          <w:rFonts w:ascii="Arial" w:eastAsia="Arial" w:hAnsi="Arial" w:cs="Arial"/>
          <w:i/>
          <w:color w:val="000000"/>
          <w:sz w:val="20"/>
        </w:rPr>
        <w:t xml:space="preserve">See </w:t>
      </w:r>
      <w:bookmarkStart w:id="3096" w:name="Bookmark_I5GW5WK128T5070030000400"/>
      <w:bookmarkEnd w:id="3096"/>
      <w:r>
        <w:rPr>
          <w:rFonts w:ascii="Arial" w:eastAsia="Arial" w:hAnsi="Arial" w:cs="Arial"/>
          <w:i/>
          <w:color w:val="000000"/>
          <w:sz w:val="20"/>
        </w:rPr>
        <w:t>Smith &amp; Lee Assocs.</w:t>
      </w:r>
      <w:r>
        <w:rPr>
          <w:rFonts w:ascii="Arial" w:eastAsia="Arial" w:hAnsi="Arial" w:cs="Arial"/>
          <w:color w:val="000000"/>
          <w:sz w:val="20"/>
        </w:rPr>
        <w:t>, 102 F.3d at 796 ("We are not convinced that an additional three residents will fundamentally alter the nature of single-family neighborhoods."). Requiring public entities to make exceptions to their rules and zoning policies is exactly what the FHAA does. The fact that the City banned horses from residential property does not mean that any modification permitting a horse necessarily amounts to a fundamental alteration.</w:t>
      </w:r>
    </w:p>
    <w:p w14:paraId="7ECBD14B" w14:textId="77777777" w:rsidR="002D0E71" w:rsidRDefault="00000000">
      <w:pPr>
        <w:pStyle w:val="Normal19"/>
        <w:widowControl w:val="0"/>
        <w:spacing w:before="200" w:line="260" w:lineRule="atLeast"/>
        <w:jc w:val="both"/>
      </w:pPr>
      <w:bookmarkStart w:id="3097" w:name="Bookmark_para_78_0"/>
      <w:bookmarkEnd w:id="3097"/>
      <w:r>
        <w:rPr>
          <w:rFonts w:ascii="Arial" w:eastAsia="Arial" w:hAnsi="Arial" w:cs="Arial"/>
          <w:color w:val="000000"/>
          <w:sz w:val="20"/>
        </w:rPr>
        <w:t>We conclude that there are genuine disputes of material fact as to whether Anderson's requested accommodation is reasonable and necessary to afford her and C.A. an equal opportunity to use and enjoy their dwelling, and so we reverse the district court's grant of summary judgment to the City on the plaintiffs' FHAA reasonable-accommodation claim.</w:t>
      </w:r>
    </w:p>
    <w:p w14:paraId="6C2931DD" w14:textId="77777777" w:rsidR="002D0E71" w:rsidRDefault="00000000">
      <w:pPr>
        <w:pStyle w:val="Normal19"/>
        <w:widowControl w:val="0"/>
        <w:spacing w:before="240" w:line="260" w:lineRule="atLeast"/>
      </w:pPr>
      <w:r>
        <w:br/>
      </w:r>
      <w:r>
        <w:rPr>
          <w:rFonts w:ascii="Arial" w:eastAsia="Arial" w:hAnsi="Arial" w:cs="Arial"/>
          <w:color w:val="000000"/>
          <w:sz w:val="20"/>
        </w:rPr>
        <w:t> [***28] </w:t>
      </w:r>
      <w:r>
        <w:rPr>
          <w:rFonts w:ascii="Arial" w:eastAsia="Arial" w:hAnsi="Arial" w:cs="Arial"/>
          <w:i/>
          <w:color w:val="000000"/>
          <w:sz w:val="20"/>
        </w:rPr>
        <w:t>2. Disparate Treatment</w:t>
      </w:r>
    </w:p>
    <w:p w14:paraId="036AE2CD" w14:textId="77777777" w:rsidR="002D0E71" w:rsidRDefault="00000000">
      <w:pPr>
        <w:pStyle w:val="Normal19"/>
        <w:widowControl w:val="0"/>
        <w:spacing w:before="200" w:line="260" w:lineRule="atLeast"/>
        <w:jc w:val="both"/>
      </w:pPr>
      <w:bookmarkStart w:id="3098" w:name="Bookmark_para_79_0"/>
      <w:bookmarkStart w:id="3099" w:name="Bookmark_I5GW5WK12D6NH00010000400"/>
      <w:bookmarkStart w:id="3100" w:name="Bookmark_I5GW5WK12D6NH00030000400"/>
      <w:bookmarkStart w:id="3101" w:name="Bookmark_I5GW5WK12D6NH00050000400"/>
      <w:bookmarkStart w:id="3102" w:name="Bookmark_LNHNREFclscc31"/>
      <w:bookmarkEnd w:id="3098"/>
      <w:bookmarkEnd w:id="3099"/>
      <w:bookmarkEnd w:id="3100"/>
      <w:bookmarkEnd w:id="3101"/>
      <w:bookmarkEnd w:id="3102"/>
      <w:r>
        <w:rPr>
          <w:rFonts w:ascii="Arial" w:eastAsia="Arial" w:hAnsi="Arial" w:cs="Arial"/>
          <w:color w:val="000000"/>
          <w:sz w:val="20"/>
        </w:rPr>
        <w:t xml:space="preserve">"To prevail on a disparate treatment claim [**53]  [brought under the FHAA], a plaintiff must show proof of intentional discrimination." </w:t>
      </w:r>
      <w:bookmarkStart w:id="3103" w:name="Bookmark_I5GW5WK128T5070050000400"/>
      <w:bookmarkEnd w:id="3103"/>
      <w:r>
        <w:rPr>
          <w:rFonts w:ascii="Arial" w:eastAsia="Arial" w:hAnsi="Arial" w:cs="Arial"/>
          <w:i/>
          <w:color w:val="000000"/>
          <w:sz w:val="20"/>
        </w:rPr>
        <w:t>HDC, LLC v.  [*364]  City of Ann Arbor</w:t>
      </w:r>
      <w:r>
        <w:rPr>
          <w:rFonts w:ascii="Arial" w:eastAsia="Arial" w:hAnsi="Arial" w:cs="Arial"/>
          <w:color w:val="000000"/>
          <w:sz w:val="20"/>
        </w:rPr>
        <w:t xml:space="preserve">, 675 F.3d 608, 612 (6th Cir. 2012). "Because a disparate-treatment claim requires the plaintiff to establish discriminatory animus, analysis of such a claim focuses on the defendant's intent." </w:t>
      </w:r>
      <w:bookmarkStart w:id="3104" w:name="Bookmark_I5GW5WK12D6NH00020000400"/>
      <w:bookmarkEnd w:id="3104"/>
      <w:r>
        <w:rPr>
          <w:rFonts w:ascii="Arial" w:eastAsia="Arial" w:hAnsi="Arial" w:cs="Arial"/>
          <w:i/>
          <w:color w:val="000000"/>
          <w:sz w:val="20"/>
        </w:rPr>
        <w:t>Hollis</w:t>
      </w:r>
      <w:r>
        <w:rPr>
          <w:rFonts w:ascii="Arial" w:eastAsia="Arial" w:hAnsi="Arial" w:cs="Arial"/>
          <w:color w:val="000000"/>
          <w:sz w:val="20"/>
        </w:rPr>
        <w:t xml:space="preserve">, 760 F.3d at 539. As with intentional-discrimination claims under the ADA, "[t]his court therefore applies the three-step </w:t>
      </w:r>
      <w:r>
        <w:rPr>
          <w:rFonts w:ascii="Arial" w:eastAsia="Arial" w:hAnsi="Arial" w:cs="Arial"/>
          <w:i/>
          <w:color w:val="000000"/>
          <w:sz w:val="20"/>
        </w:rPr>
        <w:t>McDonnell Douglas</w:t>
      </w:r>
      <w:r>
        <w:rPr>
          <w:rFonts w:ascii="Arial" w:eastAsia="Arial" w:hAnsi="Arial" w:cs="Arial"/>
          <w:color w:val="000000"/>
          <w:sz w:val="20"/>
        </w:rPr>
        <w:t xml:space="preserve"> test, which shifts the burden of production from the plaintiff to the defendant and then back to the plaintiff in an effort to zero in on the specific intent underlying the defendant's conduct." </w:t>
      </w:r>
      <w:r>
        <w:rPr>
          <w:rFonts w:ascii="Arial" w:eastAsia="Arial" w:hAnsi="Arial" w:cs="Arial"/>
          <w:i/>
          <w:color w:val="000000"/>
          <w:sz w:val="20"/>
        </w:rPr>
        <w:t>Id.</w:t>
      </w:r>
      <w:r>
        <w:rPr>
          <w:rFonts w:ascii="Arial" w:eastAsia="Arial" w:hAnsi="Arial" w:cs="Arial"/>
          <w:color w:val="000000"/>
          <w:sz w:val="20"/>
        </w:rPr>
        <w:t xml:space="preserve"> While the burden of production shifts, "[a]t all times the burden of persuasion rests with the plaintiff." </w:t>
      </w:r>
      <w:bookmarkStart w:id="3105" w:name="Bookmark_I5GW5WK12D6NH00040000400"/>
      <w:bookmarkEnd w:id="3105"/>
      <w:r>
        <w:rPr>
          <w:rFonts w:ascii="Arial" w:eastAsia="Arial" w:hAnsi="Arial" w:cs="Arial"/>
          <w:i/>
          <w:color w:val="000000"/>
          <w:sz w:val="20"/>
        </w:rPr>
        <w:t>Id.</w:t>
      </w:r>
      <w:r>
        <w:rPr>
          <w:rFonts w:ascii="Arial" w:eastAsia="Arial" w:hAnsi="Arial" w:cs="Arial"/>
          <w:color w:val="000000"/>
          <w:sz w:val="20"/>
        </w:rPr>
        <w:t xml:space="preserve"> at 538.</w:t>
      </w:r>
    </w:p>
    <w:p w14:paraId="368B7B29" w14:textId="77777777" w:rsidR="002D0E71" w:rsidRDefault="00000000">
      <w:pPr>
        <w:pStyle w:val="Normal19"/>
        <w:widowControl w:val="0"/>
        <w:spacing w:before="200" w:line="260" w:lineRule="atLeast"/>
        <w:jc w:val="both"/>
      </w:pPr>
      <w:bookmarkStart w:id="3106" w:name="Bookmark_para_80_0"/>
      <w:bookmarkEnd w:id="3106"/>
      <w:r>
        <w:rPr>
          <w:rFonts w:ascii="Arial" w:eastAsia="Arial" w:hAnsi="Arial" w:cs="Arial"/>
          <w:color w:val="000000"/>
          <w:sz w:val="20"/>
        </w:rPr>
        <w:t>As their FHAA disparate-treatment claim, the plaintiffs "incorporate [their] arguments made as to intentional discrimination" under the ADA. (Appellant Br. 53.) Likewise, for the same reasons we stated in our discussion of intentional discrimination under the ADA, we find no evidence that the City acted because C.A. is an individual with a disability, nor that the City otherwise harbored discriminatory animus against the disabled. We therefore affirm the district court's grant of summary judgment to the City on the plaintiffs' [**54]  FHAA disparate-treatment claim.</w:t>
      </w:r>
    </w:p>
    <w:p w14:paraId="20009F93" w14:textId="77777777" w:rsidR="002D0E71" w:rsidRDefault="00000000">
      <w:pPr>
        <w:pStyle w:val="Normal19"/>
        <w:widowControl w:val="0"/>
        <w:spacing w:before="240" w:line="260" w:lineRule="atLeast"/>
      </w:pPr>
      <w:r>
        <w:br/>
      </w:r>
      <w:r>
        <w:rPr>
          <w:rFonts w:ascii="Arial" w:eastAsia="Arial" w:hAnsi="Arial" w:cs="Arial"/>
          <w:i/>
          <w:color w:val="000000"/>
          <w:sz w:val="20"/>
        </w:rPr>
        <w:t>3. Disparate Impact</w:t>
      </w:r>
    </w:p>
    <w:p w14:paraId="52F68F69" w14:textId="77777777" w:rsidR="002D0E71" w:rsidRDefault="00000000">
      <w:pPr>
        <w:pStyle w:val="Normal19"/>
        <w:widowControl w:val="0"/>
        <w:spacing w:before="200" w:line="260" w:lineRule="atLeast"/>
        <w:jc w:val="both"/>
      </w:pPr>
      <w:bookmarkStart w:id="3107" w:name="Bookmark_para_81_0"/>
      <w:bookmarkStart w:id="3108" w:name="Bookmark_I5GW5WK12SF8R60020000400"/>
      <w:bookmarkStart w:id="3109" w:name="Bookmark_I5GW5WK12SF8R60040000400"/>
      <w:bookmarkEnd w:id="3107"/>
      <w:bookmarkEnd w:id="3108"/>
      <w:bookmarkEnd w:id="3109"/>
      <w:r>
        <w:rPr>
          <w:rFonts w:ascii="Arial" w:eastAsia="Arial" w:hAnsi="Arial" w:cs="Arial"/>
          <w:color w:val="000000"/>
          <w:sz w:val="20"/>
        </w:rPr>
        <w:t xml:space="preserve">Finally, the plaintiffs contend that the City violated the FHAA because its actions have had a disparate impact on C.A. and other disabled individuals who would benefit from the use of miniature horses at their houses. </w:t>
      </w:r>
      <w:bookmarkStart w:id="3110" w:name="Bookmark_I5GW5WK12N1RWS0010000400"/>
      <w:bookmarkStart w:id="3111" w:name="Bookmark_LNHNREFclscc32"/>
      <w:bookmarkEnd w:id="3110"/>
      <w:bookmarkEnd w:id="3111"/>
      <w:r>
        <w:rPr>
          <w:rFonts w:ascii="Arial" w:eastAsia="Arial" w:hAnsi="Arial" w:cs="Arial"/>
          <w:color w:val="000000"/>
          <w:sz w:val="20"/>
        </w:rPr>
        <w:t xml:space="preserve">"To show disparate impact [in violation of the FHAA], a plaintiff must demonstrate that a facially neutral policy or practice has the effect of discriminating against a protected class of which the plaintiff is a member." </w:t>
      </w:r>
      <w:bookmarkStart w:id="3112" w:name="Bookmark_I5GW5WK12SF8R60010000400"/>
      <w:bookmarkEnd w:id="3112"/>
      <w:r>
        <w:rPr>
          <w:rFonts w:ascii="Arial" w:eastAsia="Arial" w:hAnsi="Arial" w:cs="Arial"/>
          <w:i/>
          <w:color w:val="000000"/>
          <w:sz w:val="20"/>
        </w:rPr>
        <w:t>HDC</w:t>
      </w:r>
      <w:r>
        <w:rPr>
          <w:rFonts w:ascii="Arial" w:eastAsia="Arial" w:hAnsi="Arial" w:cs="Arial"/>
          <w:color w:val="000000"/>
          <w:sz w:val="20"/>
        </w:rPr>
        <w:t xml:space="preserve">, 675 F.3d at 613 (internal quotation marks and brackets omitted). A "disparate-impact claim . . . turns not on the defendant's intent but instead on the broader effects of the disputed housing practice." </w:t>
      </w:r>
      <w:bookmarkStart w:id="3113" w:name="Bookmark_I5GW5WK12SF8R60030000400"/>
      <w:bookmarkEnd w:id="3113"/>
      <w:r>
        <w:rPr>
          <w:rFonts w:ascii="Arial" w:eastAsia="Arial" w:hAnsi="Arial" w:cs="Arial"/>
          <w:i/>
          <w:color w:val="000000"/>
          <w:sz w:val="20"/>
        </w:rPr>
        <w:t>Hollis</w:t>
      </w:r>
      <w:r>
        <w:rPr>
          <w:rFonts w:ascii="Arial" w:eastAsia="Arial" w:hAnsi="Arial" w:cs="Arial"/>
          <w:color w:val="000000"/>
          <w:sz w:val="20"/>
        </w:rPr>
        <w:t xml:space="preserve">, 760 F.3d at 539. </w:t>
      </w:r>
      <w:bookmarkStart w:id="3114" w:name="Bookmark_I5GW5WK12N1RWS0010000400_2"/>
      <w:bookmarkEnd w:id="3114"/>
      <w:r>
        <w:rPr>
          <w:rFonts w:ascii="Arial" w:eastAsia="Arial" w:hAnsi="Arial" w:cs="Arial"/>
          <w:color w:val="000000"/>
          <w:sz w:val="20"/>
        </w:rPr>
        <w:t xml:space="preserve">Plaintiffs alleging disparate-impact claims under the FHAA must first show that defendant's actions "caused handicapped individuals to suffer disproportionately more than other individuals." </w:t>
      </w:r>
      <w:bookmarkStart w:id="3115" w:name="Bookmark_I5GW5WK12SF8R60050000400"/>
      <w:bookmarkEnd w:id="3115"/>
      <w:r>
        <w:rPr>
          <w:rFonts w:ascii="Arial" w:eastAsia="Arial" w:hAnsi="Arial" w:cs="Arial"/>
          <w:i/>
          <w:color w:val="000000"/>
          <w:sz w:val="20"/>
        </w:rPr>
        <w:t>HDC</w:t>
      </w:r>
      <w:r>
        <w:rPr>
          <w:rFonts w:ascii="Arial" w:eastAsia="Arial" w:hAnsi="Arial" w:cs="Arial"/>
          <w:color w:val="000000"/>
          <w:sz w:val="20"/>
        </w:rPr>
        <w:t>, 675 F.3d at 613.</w:t>
      </w:r>
    </w:p>
    <w:p w14:paraId="57E89426" w14:textId="77777777" w:rsidR="002D0E71" w:rsidRDefault="00000000">
      <w:pPr>
        <w:pStyle w:val="Normal19"/>
        <w:widowControl w:val="0"/>
        <w:spacing w:before="200" w:line="260" w:lineRule="atLeast"/>
        <w:jc w:val="both"/>
      </w:pPr>
      <w:bookmarkStart w:id="3116" w:name="Bookmark_para_82_0"/>
      <w:bookmarkEnd w:id="3116"/>
      <w:r>
        <w:rPr>
          <w:rFonts w:ascii="Arial" w:eastAsia="Arial" w:hAnsi="Arial" w:cs="Arial"/>
          <w:color w:val="000000"/>
          <w:sz w:val="20"/>
        </w:rPr>
        <w:t xml:space="preserve"> [***29]  Anderson and the other plaintiffs contend that Ordinance 2013-1 had a disparate impact on C.A. and other disabled individuals who are unable to benefit from the use of miniature horses at their houses. But Anderson fails to recognize that this ordinance specifically exempts any animals protected by federal law, including the [**55]  FHAA. Thus, by its own terms, Ordinance 2013-1 has </w:t>
      </w:r>
      <w:r>
        <w:rPr>
          <w:rFonts w:ascii="Arial" w:eastAsia="Arial" w:hAnsi="Arial" w:cs="Arial"/>
          <w:i/>
          <w:color w:val="000000"/>
          <w:sz w:val="20"/>
        </w:rPr>
        <w:t>less</w:t>
      </w:r>
      <w:r>
        <w:rPr>
          <w:rFonts w:ascii="Arial" w:eastAsia="Arial" w:hAnsi="Arial" w:cs="Arial"/>
          <w:color w:val="000000"/>
          <w:sz w:val="20"/>
        </w:rPr>
        <w:t xml:space="preserve"> of an impact on disabled individuals who rely on the assistance of miniature horses or other animals than it does on the general population. We therefore affirm the district court's grant of summary judgment to the City on the plaintiffs' FHAA disparate-impact claim.</w:t>
      </w:r>
    </w:p>
    <w:p w14:paraId="108849F4" w14:textId="77777777" w:rsidR="002D0E71" w:rsidRDefault="00000000">
      <w:pPr>
        <w:pStyle w:val="Normal19"/>
        <w:widowControl w:val="0"/>
        <w:spacing w:before="240" w:line="260" w:lineRule="atLeast"/>
      </w:pPr>
      <w:r>
        <w:br/>
      </w:r>
      <w:r>
        <w:rPr>
          <w:rFonts w:ascii="Arial" w:eastAsia="Arial" w:hAnsi="Arial" w:cs="Arial"/>
          <w:b/>
          <w:color w:val="000000"/>
          <w:sz w:val="20"/>
        </w:rPr>
        <w:t>III. CONCLUSION</w:t>
      </w:r>
    </w:p>
    <w:p w14:paraId="5789C871" w14:textId="77777777" w:rsidR="002D0E71" w:rsidRDefault="00000000">
      <w:pPr>
        <w:pStyle w:val="Normal19"/>
        <w:widowControl w:val="0"/>
        <w:spacing w:before="200" w:line="260" w:lineRule="atLeast"/>
        <w:jc w:val="both"/>
      </w:pPr>
      <w:bookmarkStart w:id="3117" w:name="Bookmark_para_83_0"/>
      <w:bookmarkEnd w:id="3117"/>
      <w:r>
        <w:rPr>
          <w:rFonts w:ascii="Arial" w:eastAsia="Arial" w:hAnsi="Arial" w:cs="Arial"/>
          <w:color w:val="000000"/>
          <w:sz w:val="20"/>
        </w:rPr>
        <w:t>Because the qualitative differences between the fact-finding procedures available to Anderson during her criminal trial in the Hamilton County Municipal Court and those available to her as a civil plaintiff militate against giving that criminal judgment preclusive effect here, we conclude that the district court erred in determining that res judicata bars this lawsuit. We affirm the district court's grant of summary judgment to the City on the plaintiffs' intentional-discrimination ADA claim and disparate-treatment and disparate-impact FHAA claims. We reverse the district court's grant of summary judgment to the City in all other respects, and remand  [*365]  for further proceedings consistent with this opinion.</w:t>
      </w:r>
    </w:p>
    <w:p w14:paraId="5BDB76BC" w14:textId="77777777" w:rsidR="002D0E71" w:rsidRDefault="002D0E71">
      <w:pPr>
        <w:pStyle w:val="Normal19"/>
      </w:pPr>
    </w:p>
    <w:p w14:paraId="0D66E26A" w14:textId="07D76B96" w:rsidR="002D0E71" w:rsidRDefault="00000000">
      <w:pPr>
        <w:pStyle w:val="Normal19"/>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00224" behindDoc="0" locked="0" layoutInCell="1" allowOverlap="1" wp14:anchorId="393EE148" wp14:editId="6D699DCB">
                <wp:simplePos x="0" y="0"/>
                <wp:positionH relativeFrom="column">
                  <wp:posOffset>0</wp:posOffset>
                </wp:positionH>
                <wp:positionV relativeFrom="paragraph">
                  <wp:posOffset>127000</wp:posOffset>
                </wp:positionV>
                <wp:extent cx="6502400" cy="0"/>
                <wp:effectExtent l="9525" t="12700" r="12700" b="6350"/>
                <wp:wrapNone/>
                <wp:docPr id="640259736"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F314E8" id="Line 42"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F08C75D" w14:textId="77777777" w:rsidR="002D0E71" w:rsidRDefault="002D0E71">
      <w:pPr>
        <w:pStyle w:val="Normal20"/>
        <w:sectPr w:rsidR="002D0E71">
          <w:headerReference w:type="even" r:id="rId126"/>
          <w:headerReference w:type="default" r:id="rId127"/>
          <w:footerReference w:type="even" r:id="rId128"/>
          <w:footerReference w:type="default" r:id="rId129"/>
          <w:headerReference w:type="first" r:id="rId130"/>
          <w:footerReference w:type="first" r:id="rId131"/>
          <w:pgSz w:w="12240" w:h="15840"/>
          <w:pgMar w:top="840" w:right="1000" w:bottom="840" w:left="1000" w:header="400" w:footer="400" w:gutter="0"/>
          <w:cols w:space="720"/>
          <w:titlePg/>
        </w:sectPr>
      </w:pPr>
    </w:p>
    <w:p w14:paraId="4ED4FFDE" w14:textId="77777777" w:rsidR="002D0E71" w:rsidRDefault="002D0E71">
      <w:pPr>
        <w:pStyle w:val="Normal20"/>
      </w:pPr>
    </w:p>
    <w:p w14:paraId="5C68D39E" w14:textId="77777777" w:rsidR="002D0E71" w:rsidRDefault="00000000">
      <w:pPr>
        <w:pStyle w:val="Heading119"/>
        <w:keepNext w:val="0"/>
        <w:widowControl w:val="0"/>
        <w:spacing w:after="200" w:line="340" w:lineRule="atLeast"/>
        <w:jc w:val="center"/>
      </w:pPr>
      <w:r>
        <w:rPr>
          <w:rFonts w:eastAsia="Arial"/>
          <w:color w:val="000000"/>
          <w:sz w:val="28"/>
        </w:rPr>
        <w:t>Martin v. Halifax Healthcare Sys.</w:t>
      </w:r>
    </w:p>
    <w:p w14:paraId="3C8B4AC9" w14:textId="77777777" w:rsidR="002D0E71" w:rsidRDefault="00000000">
      <w:pPr>
        <w:pStyle w:val="Normal20"/>
        <w:widowControl w:val="0"/>
        <w:spacing w:before="120" w:line="260" w:lineRule="atLeast"/>
        <w:jc w:val="center"/>
      </w:pPr>
      <w:r>
        <w:rPr>
          <w:rFonts w:ascii="Arial" w:eastAsia="Arial" w:hAnsi="Arial" w:cs="Arial"/>
          <w:color w:val="000000"/>
          <w:sz w:val="20"/>
        </w:rPr>
        <w:t>United States Court of Appeals for the Eleventh Circuit</w:t>
      </w:r>
    </w:p>
    <w:p w14:paraId="46C0DA8F" w14:textId="77777777" w:rsidR="002D0E71" w:rsidRDefault="00000000">
      <w:pPr>
        <w:pStyle w:val="Normal20"/>
        <w:widowControl w:val="0"/>
        <w:spacing w:before="120" w:line="260" w:lineRule="atLeast"/>
        <w:jc w:val="center"/>
      </w:pPr>
      <w:r>
        <w:rPr>
          <w:rFonts w:ascii="Arial" w:eastAsia="Arial" w:hAnsi="Arial" w:cs="Arial"/>
          <w:color w:val="000000"/>
          <w:sz w:val="20"/>
        </w:rPr>
        <w:t>July 31, 2015, Decided</w:t>
      </w:r>
    </w:p>
    <w:p w14:paraId="6F8D7C1C" w14:textId="77777777" w:rsidR="002D0E71" w:rsidRDefault="00000000">
      <w:pPr>
        <w:pStyle w:val="Normal20"/>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14-12771</w:t>
      </w:r>
    </w:p>
    <w:p w14:paraId="21DF280C" w14:textId="77777777" w:rsidR="002D0E71" w:rsidRDefault="002D0E71">
      <w:pPr>
        <w:pStyle w:val="Normal20"/>
        <w:widowControl w:val="0"/>
        <w:spacing w:line="240" w:lineRule="atLeast"/>
        <w:jc w:val="both"/>
      </w:pPr>
      <w:bookmarkStart w:id="3118" w:name="Bookmark_21"/>
      <w:bookmarkEnd w:id="3118"/>
    </w:p>
    <w:p w14:paraId="0910212A" w14:textId="77777777" w:rsidR="002D0E71" w:rsidRDefault="00000000">
      <w:pPr>
        <w:pStyle w:val="Normal20"/>
        <w:widowControl w:val="0"/>
        <w:spacing w:before="200" w:line="240" w:lineRule="atLeast"/>
      </w:pPr>
      <w:bookmarkStart w:id="3119" w:name="Reporter_19"/>
      <w:bookmarkEnd w:id="3119"/>
      <w:r>
        <w:rPr>
          <w:rFonts w:ascii="Arial" w:eastAsia="Arial" w:hAnsi="Arial" w:cs="Arial"/>
          <w:b/>
          <w:color w:val="000000"/>
          <w:sz w:val="18"/>
        </w:rPr>
        <w:t>Reporter</w:t>
      </w:r>
    </w:p>
    <w:p w14:paraId="4AD502B4" w14:textId="77777777" w:rsidR="002D0E71" w:rsidRDefault="00000000">
      <w:pPr>
        <w:pStyle w:val="Normal20"/>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621 Fed. Appx. 594 *; 2015 U.S. App. LEXIS 13383 **</w:t>
      </w:r>
    </w:p>
    <w:p w14:paraId="68D580F0" w14:textId="77777777" w:rsidR="002D0E71" w:rsidRDefault="00000000">
      <w:pPr>
        <w:pStyle w:val="Normal20"/>
        <w:widowControl w:val="0"/>
        <w:spacing w:before="120" w:line="260" w:lineRule="atLeast"/>
      </w:pPr>
      <w:r>
        <w:rPr>
          <w:rFonts w:ascii="Arial" w:eastAsia="Arial" w:hAnsi="Arial" w:cs="Arial"/>
          <w:color w:val="000000"/>
          <w:sz w:val="20"/>
        </w:rPr>
        <w:t>RICHARD MARTIN, JOHN D'AMBROSIO, YOLANDA GERVARZES, Plaintiffs-Appellants, versus HALIFAX HEALTHCARE SYSTEMS, INC., HALIFAX COMMUNITY HEALTH SYSTEMS, a Special Taxing District, d.b.a. Halifax Hospital Medical Center, Defendants-Appellees.</w:t>
      </w:r>
    </w:p>
    <w:p w14:paraId="61C07750" w14:textId="77777777" w:rsidR="002D0E71" w:rsidRDefault="00000000">
      <w:pPr>
        <w:pStyle w:val="Normal20"/>
        <w:widowControl w:val="0"/>
        <w:spacing w:before="240" w:line="260" w:lineRule="atLeast"/>
        <w:jc w:val="both"/>
      </w:pPr>
      <w:bookmarkStart w:id="3120" w:name="Notice_5"/>
      <w:bookmarkEnd w:id="3120"/>
      <w:r>
        <w:rPr>
          <w:rFonts w:ascii="Arial" w:eastAsia="Arial" w:hAnsi="Arial" w:cs="Arial"/>
          <w:b/>
          <w:color w:val="000000"/>
          <w:sz w:val="20"/>
        </w:rPr>
        <w:t>Notice:</w:t>
      </w:r>
      <w:r>
        <w:rPr>
          <w:rFonts w:ascii="Arial" w:eastAsia="Arial" w:hAnsi="Arial" w:cs="Arial"/>
          <w:color w:val="000000"/>
          <w:sz w:val="20"/>
        </w:rPr>
        <w:t> </w:t>
      </w:r>
      <w:bookmarkStart w:id="3121" w:name="Bookmark_para_1_19"/>
      <w:bookmarkEnd w:id="3121"/>
      <w:r>
        <w:rPr>
          <w:rFonts w:ascii="Arial" w:eastAsia="Arial" w:hAnsi="Arial" w:cs="Arial"/>
          <w:color w:val="000000"/>
          <w:sz w:val="20"/>
        </w:rPr>
        <w:t>PLEASE REFER TO FEDERAL RULES OF APPELLATE PROCEDURE RULE 32.1 GOVERNING THE CITATION TO UNPUBLISHED OPINIONS.</w:t>
      </w:r>
    </w:p>
    <w:p w14:paraId="2FAE2921" w14:textId="77777777" w:rsidR="002D0E71" w:rsidRDefault="00000000">
      <w:pPr>
        <w:pStyle w:val="Normal20"/>
        <w:widowControl w:val="0"/>
        <w:spacing w:before="240" w:line="260" w:lineRule="atLeast"/>
        <w:jc w:val="both"/>
      </w:pPr>
      <w:bookmarkStart w:id="3122" w:name="Prior_History_19"/>
      <w:bookmarkEnd w:id="3122"/>
      <w:r>
        <w:rPr>
          <w:rFonts w:ascii="Arial" w:eastAsia="Arial" w:hAnsi="Arial" w:cs="Arial"/>
          <w:b/>
          <w:color w:val="000000"/>
          <w:sz w:val="20"/>
        </w:rPr>
        <w:t>Prior History:</w:t>
      </w:r>
      <w:r>
        <w:rPr>
          <w:rFonts w:ascii="Arial" w:eastAsia="Arial" w:hAnsi="Arial" w:cs="Arial"/>
          <w:color w:val="000000"/>
          <w:sz w:val="20"/>
        </w:rPr>
        <w:t> </w:t>
      </w:r>
      <w:bookmarkStart w:id="3123" w:name="Bookmark_para_2_19"/>
      <w:bookmarkEnd w:id="3123"/>
      <w:r>
        <w:rPr>
          <w:rFonts w:ascii="Arial" w:eastAsia="Arial" w:hAnsi="Arial" w:cs="Arial"/>
          <w:color w:val="000000"/>
          <w:sz w:val="20"/>
        </w:rPr>
        <w:t> [**1] Appeal from the United States District Court for the Middle District of Florida. D.C. Docket No. 6:12-cv-01268-GAP-DAB.</w:t>
      </w:r>
    </w:p>
    <w:p w14:paraId="476CB480" w14:textId="77777777" w:rsidR="002D0E71" w:rsidRDefault="00000000">
      <w:pPr>
        <w:pStyle w:val="Normal20"/>
        <w:widowControl w:val="0"/>
        <w:spacing w:before="120" w:line="260" w:lineRule="atLeast"/>
      </w:pPr>
      <w:r>
        <w:rPr>
          <w:rFonts w:ascii="Arial" w:eastAsia="Arial" w:hAnsi="Arial" w:cs="Arial"/>
          <w:color w:val="000000"/>
          <w:sz w:val="20"/>
        </w:rPr>
        <w:t>Martin v. Halifax Healthcare Sys., 2014 U.S. Dist. LEXIS 50429 (M.D. Fla., Apr. 11, 2014)</w:t>
      </w:r>
    </w:p>
    <w:p w14:paraId="3055605A" w14:textId="77777777" w:rsidR="002D0E71" w:rsidRDefault="00000000">
      <w:pPr>
        <w:pStyle w:val="Normal20"/>
        <w:widowControl w:val="0"/>
        <w:spacing w:before="240" w:line="260" w:lineRule="atLeast"/>
      </w:pPr>
      <w:bookmarkStart w:id="3124" w:name="Counsel_19"/>
      <w:bookmarkEnd w:id="3124"/>
      <w:r>
        <w:rPr>
          <w:rFonts w:ascii="Arial" w:eastAsia="Arial" w:hAnsi="Arial" w:cs="Arial"/>
          <w:b/>
          <w:color w:val="000000"/>
          <w:sz w:val="20"/>
        </w:rPr>
        <w:t>Counsel:</w:t>
      </w:r>
      <w:r>
        <w:rPr>
          <w:rFonts w:ascii="Arial" w:eastAsia="Arial" w:hAnsi="Arial" w:cs="Arial"/>
          <w:color w:val="000000"/>
          <w:sz w:val="20"/>
        </w:rPr>
        <w:t> For Richard Martin, John D'Ambrosio, Yolanda Gervarzes, Plaintiffs - Appellants: Aaron Carter Bates, Matthew W. Dietz, Rachel Laura Goldstein, Disability Independence Group, Miami, FL.</w:t>
      </w:r>
    </w:p>
    <w:p w14:paraId="565E2BF8" w14:textId="77777777" w:rsidR="002D0E71" w:rsidRDefault="00000000">
      <w:pPr>
        <w:pStyle w:val="Normal20"/>
        <w:widowControl w:val="0"/>
        <w:spacing w:before="120" w:line="260" w:lineRule="atLeast"/>
      </w:pPr>
      <w:r>
        <w:rPr>
          <w:rFonts w:ascii="Arial" w:eastAsia="Arial" w:hAnsi="Arial" w:cs="Arial"/>
          <w:color w:val="000000"/>
          <w:sz w:val="20"/>
        </w:rPr>
        <w:t>For Halifax Healthcare Systems, Inc., HALIFAX COMMUNITY HEALTH SYSTEMS, a Special Taxing District, d.b.a.: Halifax Hospital Medical Center, Defendants - Appellees: Scott Allan Cole, Kathryn L. Smith, Cole Scott &amp; Kissane, PA, Miami, FL; Robert Alden Swift, Cole Scott &amp; Kissane, PA, Orlando, FL.</w:t>
      </w:r>
    </w:p>
    <w:p w14:paraId="75C9A9AC" w14:textId="77777777" w:rsidR="002D0E71" w:rsidRDefault="00000000">
      <w:pPr>
        <w:pStyle w:val="Normal20"/>
        <w:widowControl w:val="0"/>
        <w:spacing w:before="240" w:line="260" w:lineRule="atLeast"/>
      </w:pPr>
      <w:bookmarkStart w:id="3125" w:name="Judges_19"/>
      <w:bookmarkEnd w:id="3125"/>
      <w:r>
        <w:rPr>
          <w:rFonts w:ascii="Arial" w:eastAsia="Arial" w:hAnsi="Arial" w:cs="Arial"/>
          <w:b/>
          <w:color w:val="000000"/>
          <w:sz w:val="20"/>
        </w:rPr>
        <w:t>Judges:</w:t>
      </w:r>
      <w:r>
        <w:rPr>
          <w:rFonts w:ascii="Arial" w:eastAsia="Arial" w:hAnsi="Arial" w:cs="Arial"/>
          <w:color w:val="000000"/>
          <w:sz w:val="20"/>
        </w:rPr>
        <w:t> Before JORDAN, JULIE CARNES, and LINN,</w:t>
      </w:r>
      <w:r>
        <w:rPr>
          <w:rFonts w:ascii="Arial" w:eastAsia="Arial" w:hAnsi="Arial" w:cs="Arial"/>
          <w:vertAlign w:val="superscript"/>
        </w:rPr>
        <w:footnoteReference w:customMarkFollows="1" w:id="92"/>
        <w:t>*</w:t>
      </w:r>
      <w:r>
        <w:rPr>
          <w:rFonts w:ascii="Arial" w:eastAsia="Arial" w:hAnsi="Arial" w:cs="Arial"/>
          <w:color w:val="000000"/>
          <w:sz w:val="20"/>
        </w:rPr>
        <w:t xml:space="preserve"> Circuit Judges.</w:t>
      </w:r>
    </w:p>
    <w:p w14:paraId="547F30DB" w14:textId="77777777" w:rsidR="002D0E71" w:rsidRDefault="00000000">
      <w:pPr>
        <w:pStyle w:val="Normal20"/>
        <w:widowControl w:val="0"/>
        <w:spacing w:before="240" w:line="260" w:lineRule="atLeast"/>
      </w:pPr>
      <w:bookmarkStart w:id="3127" w:name="Opinion_by_13"/>
      <w:bookmarkEnd w:id="3127"/>
      <w:r>
        <w:rPr>
          <w:rFonts w:ascii="Arial" w:eastAsia="Arial" w:hAnsi="Arial" w:cs="Arial"/>
          <w:b/>
          <w:color w:val="000000"/>
          <w:sz w:val="20"/>
        </w:rPr>
        <w:t>Opinion by:</w:t>
      </w:r>
      <w:r>
        <w:rPr>
          <w:rFonts w:ascii="Arial" w:eastAsia="Arial" w:hAnsi="Arial" w:cs="Arial"/>
          <w:color w:val="000000"/>
          <w:sz w:val="20"/>
        </w:rPr>
        <w:t> JULIE CARNES</w:t>
      </w:r>
    </w:p>
    <w:p w14:paraId="2E8227B0" w14:textId="77777777" w:rsidR="002D0E71" w:rsidRDefault="00000000">
      <w:pPr>
        <w:pStyle w:val="Normal20"/>
        <w:keepNext/>
        <w:widowControl w:val="0"/>
        <w:spacing w:before="240" w:line="340" w:lineRule="atLeast"/>
      </w:pPr>
      <w:bookmarkStart w:id="3128" w:name="Opinion_19"/>
      <w:bookmarkEnd w:id="3128"/>
      <w:r>
        <w:rPr>
          <w:rFonts w:ascii="Arial" w:eastAsia="Arial" w:hAnsi="Arial" w:cs="Arial"/>
          <w:b/>
          <w:color w:val="000000"/>
          <w:sz w:val="28"/>
        </w:rPr>
        <w:t>Opinion</w:t>
      </w:r>
    </w:p>
    <w:p w14:paraId="52395484" w14:textId="5D32C1F4" w:rsidR="002D0E71" w:rsidRDefault="002939DF">
      <w:pPr>
        <w:pStyle w:val="Normal20"/>
        <w:spacing w:line="60" w:lineRule="exact"/>
      </w:pPr>
      <w:r>
        <w:rPr>
          <w:noProof/>
        </w:rPr>
        <mc:AlternateContent>
          <mc:Choice Requires="wps">
            <w:drawing>
              <wp:anchor distT="0" distB="0" distL="114300" distR="114300" simplePos="0" relativeHeight="251701248" behindDoc="0" locked="0" layoutInCell="1" allowOverlap="1" wp14:anchorId="3C556019" wp14:editId="5AFDFF2A">
                <wp:simplePos x="0" y="0"/>
                <wp:positionH relativeFrom="column">
                  <wp:posOffset>0</wp:posOffset>
                </wp:positionH>
                <wp:positionV relativeFrom="paragraph">
                  <wp:posOffset>25400</wp:posOffset>
                </wp:positionV>
                <wp:extent cx="3187700" cy="0"/>
                <wp:effectExtent l="19050" t="15875" r="12700" b="12700"/>
                <wp:wrapTopAndBottom/>
                <wp:docPr id="85544796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1D07A" id="Line 43"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C6C3406" w14:textId="77777777" w:rsidR="002D0E71" w:rsidRDefault="002D0E71">
      <w:pPr>
        <w:pStyle w:val="Normal20"/>
      </w:pPr>
    </w:p>
    <w:p w14:paraId="5E14D5D8" w14:textId="77777777" w:rsidR="002D0E71" w:rsidRDefault="00000000">
      <w:pPr>
        <w:pStyle w:val="Normal20"/>
        <w:widowControl w:val="0"/>
        <w:spacing w:before="200" w:line="260" w:lineRule="atLeast"/>
        <w:jc w:val="both"/>
      </w:pPr>
      <w:bookmarkStart w:id="3129" w:name="Bookmark_para_3_19"/>
      <w:bookmarkEnd w:id="3129"/>
      <w:r>
        <w:rPr>
          <w:rFonts w:ascii="Arial" w:eastAsia="Arial" w:hAnsi="Arial" w:cs="Arial"/>
          <w:color w:val="000000"/>
          <w:sz w:val="20"/>
        </w:rPr>
        <w:t> [*595]  JULIE CARNES, Circuit Judge:</w:t>
      </w:r>
    </w:p>
    <w:p w14:paraId="605CAF7C" w14:textId="77777777" w:rsidR="002D0E71" w:rsidRDefault="00000000">
      <w:pPr>
        <w:pStyle w:val="Normal20"/>
        <w:widowControl w:val="0"/>
        <w:spacing w:before="200" w:line="260" w:lineRule="atLeast"/>
        <w:jc w:val="both"/>
      </w:pPr>
      <w:bookmarkStart w:id="3130" w:name="Bookmark_para_4_19"/>
      <w:bookmarkEnd w:id="3130"/>
      <w:r>
        <w:rPr>
          <w:rFonts w:ascii="Arial" w:eastAsia="Arial" w:hAnsi="Arial" w:cs="Arial"/>
          <w:color w:val="000000"/>
          <w:sz w:val="20"/>
        </w:rPr>
        <w:t>Plaintiffs Richard Martin, John D'Ambrosio, and Yolanda Gervarzes (collectively, "Plaintiffs") appeal the district court's order granting summary judgment to Defendants on their disability discrimination claims arising under the Americans with  [*596]  Disabilities Act (the "ADA") and the Rehabilitation Act of 1973 (the "Rehab Act").</w:t>
      </w:r>
      <w:r>
        <w:rPr>
          <w:rFonts w:ascii="Arial" w:eastAsia="Arial" w:hAnsi="Arial" w:cs="Arial"/>
          <w:vertAlign w:val="superscript"/>
        </w:rPr>
        <w:footnoteReference w:customMarkFollows="1" w:id="93"/>
        <w:t>1</w:t>
      </w:r>
      <w:r>
        <w:rPr>
          <w:rFonts w:ascii="Arial" w:eastAsia="Arial" w:hAnsi="Arial" w:cs="Arial"/>
          <w:color w:val="000000"/>
          <w:sz w:val="20"/>
        </w:rPr>
        <w:t xml:space="preserve"> The district court held that there was no evidence from which a reasonable jury might [**2]  conclude that Plaintiffs were excluded from participating in, or denied the benefit of, the services Defendants provided, or otherwise discriminated against. After a careful review of the record, and with the benefit of oral argument, we affirm.</w:t>
      </w:r>
    </w:p>
    <w:p w14:paraId="5EC51717" w14:textId="77777777" w:rsidR="002D0E71" w:rsidRDefault="00000000">
      <w:pPr>
        <w:pStyle w:val="Normal20"/>
        <w:widowControl w:val="0"/>
        <w:spacing w:before="240" w:line="260" w:lineRule="atLeast"/>
      </w:pPr>
      <w:r>
        <w:br/>
      </w:r>
      <w:r>
        <w:rPr>
          <w:rFonts w:ascii="Arial" w:eastAsia="Arial" w:hAnsi="Arial" w:cs="Arial"/>
          <w:b/>
          <w:color w:val="000000"/>
          <w:sz w:val="20"/>
        </w:rPr>
        <w:t>BACKGROUND</w:t>
      </w:r>
    </w:p>
    <w:p w14:paraId="4A13AE8A" w14:textId="77777777" w:rsidR="002D0E71" w:rsidRDefault="00000000">
      <w:pPr>
        <w:pStyle w:val="Normal20"/>
        <w:widowControl w:val="0"/>
        <w:spacing w:before="240" w:line="260" w:lineRule="atLeast"/>
      </w:pPr>
      <w:r>
        <w:br/>
      </w:r>
      <w:r>
        <w:rPr>
          <w:rFonts w:ascii="Arial" w:eastAsia="Arial" w:hAnsi="Arial" w:cs="Arial"/>
          <w:b/>
          <w:color w:val="000000"/>
          <w:sz w:val="20"/>
        </w:rPr>
        <w:t xml:space="preserve">I. </w:t>
      </w:r>
      <w:r>
        <w:rPr>
          <w:rFonts w:ascii="Arial" w:eastAsia="Arial" w:hAnsi="Arial" w:cs="Arial"/>
          <w:b/>
          <w:color w:val="000000"/>
          <w:sz w:val="20"/>
          <w:u w:val="single"/>
        </w:rPr>
        <w:t>Factual Background</w:t>
      </w:r>
    </w:p>
    <w:p w14:paraId="701BAE29" w14:textId="77777777" w:rsidR="002D0E71" w:rsidRDefault="00000000">
      <w:pPr>
        <w:pStyle w:val="Normal20"/>
        <w:widowControl w:val="0"/>
        <w:spacing w:before="200" w:line="260" w:lineRule="atLeast"/>
        <w:jc w:val="both"/>
      </w:pPr>
      <w:bookmarkStart w:id="3132" w:name="Bookmark_para_5_19"/>
      <w:bookmarkEnd w:id="3132"/>
      <w:r>
        <w:rPr>
          <w:rFonts w:ascii="Arial" w:eastAsia="Arial" w:hAnsi="Arial" w:cs="Arial"/>
          <w:color w:val="000000"/>
          <w:sz w:val="20"/>
        </w:rPr>
        <w:t>Defendants Halifax Healthcare Systems, Inc. and Halifax Community Health Systems own and operate Halifax Hospital Medical Center ("Halifax Hospital" or "the hospital"). The three plaintiffs are deaf individuals who communicate primarily through the use of American Sign Language ("ASL") and who either were treated or were present with a family member who was treated at Halifax Hospital in the summer of 2011. Plaintiffs claim that they requested live ASL interpreting services at some point during their interaction with the hospital staff. And, as described in more detail below, the hospital did provide several hours of live interpreting services [**3]  to Plaintiffs D'Ambrosio and Gervarzes, and communicated with all three plaintiffs via written notes. However, the hospital did not provide continuous live interpreting services to D'Ambrosio or Gervarzes throughout the duration of their stay at the hospital, nor did the hospital make a live interpreter available to Plaintiff Martin during his brief emergency room visit. Because the hospital failed to do so, Plaintiffs initiated the present litigation. We set out, individually, the facts underlying each plaintiff's claim.</w:t>
      </w:r>
    </w:p>
    <w:p w14:paraId="70F5466A" w14:textId="77777777" w:rsidR="002D0E71" w:rsidRDefault="00000000">
      <w:pPr>
        <w:pStyle w:val="Normal20"/>
        <w:widowControl w:val="0"/>
        <w:spacing w:before="240" w:line="260" w:lineRule="atLeast"/>
      </w:pPr>
      <w:r>
        <w:br/>
      </w:r>
      <w:r>
        <w:rPr>
          <w:rFonts w:ascii="Arial" w:eastAsia="Arial" w:hAnsi="Arial" w:cs="Arial"/>
          <w:b/>
          <w:color w:val="000000"/>
          <w:sz w:val="20"/>
        </w:rPr>
        <w:t>A. John D'Ambrosio</w:t>
      </w:r>
    </w:p>
    <w:p w14:paraId="0C9B4387" w14:textId="77777777" w:rsidR="002D0E71" w:rsidRDefault="00000000">
      <w:pPr>
        <w:pStyle w:val="Normal20"/>
        <w:widowControl w:val="0"/>
        <w:spacing w:before="200" w:line="260" w:lineRule="atLeast"/>
        <w:jc w:val="both"/>
      </w:pPr>
      <w:bookmarkStart w:id="3133" w:name="Bookmark_para_6_19"/>
      <w:bookmarkEnd w:id="3133"/>
      <w:r>
        <w:rPr>
          <w:rFonts w:ascii="Arial" w:eastAsia="Arial" w:hAnsi="Arial" w:cs="Arial"/>
          <w:color w:val="000000"/>
          <w:sz w:val="20"/>
        </w:rPr>
        <w:t>Accompanied by girlfriend Sandra Hill, who is also deaf, D'Ambrosio was rushed to the hospital on June 23, 2011, after suffering a major heart attack. Dr. Kirby Haws, one of D'Ambrosio's treating physicians, testified that D'Ambrosio's condition upon arrival at the hospital was life threatening. Recognizing that they needed to act fast to save D'Ambrosio's life, the medical staff quickly determined that D'Ambrosio needed an emergency cardiac catheterization, which procedure was soon thereafter performed by Dr. Vance Wilson.</w:t>
      </w:r>
    </w:p>
    <w:p w14:paraId="3B7A3EA0" w14:textId="77777777" w:rsidR="002D0E71" w:rsidRDefault="00000000">
      <w:pPr>
        <w:pStyle w:val="Normal20"/>
        <w:widowControl w:val="0"/>
        <w:spacing w:before="200" w:line="260" w:lineRule="atLeast"/>
        <w:jc w:val="both"/>
      </w:pPr>
      <w:bookmarkStart w:id="3134" w:name="Bookmark_para_7_18"/>
      <w:bookmarkEnd w:id="3134"/>
      <w:r>
        <w:rPr>
          <w:rFonts w:ascii="Arial" w:eastAsia="Arial" w:hAnsi="Arial" w:cs="Arial"/>
          <w:color w:val="000000"/>
          <w:sz w:val="20"/>
        </w:rPr>
        <w:t>D'Ambrosio and his girlfriend had both requested a live ASL interpreter immediately upon their arrival at the hospital. And, in [**4]  fact, hospital staff contacted SLS Interpreting Services to request an interpreter, informing D'Ambrosio that a live interpreter was on the way. But once it was determined that D'Ambrosio needed an immediate, emergency cardiac catheterization, staff canceled the request for an interpreter.</w:t>
      </w:r>
    </w:p>
    <w:p w14:paraId="5BC15CE3" w14:textId="77777777" w:rsidR="002D0E71" w:rsidRDefault="00000000">
      <w:pPr>
        <w:pStyle w:val="Normal20"/>
        <w:widowControl w:val="0"/>
        <w:spacing w:before="200" w:line="260" w:lineRule="atLeast"/>
        <w:jc w:val="both"/>
      </w:pPr>
      <w:bookmarkStart w:id="3135" w:name="Bookmark_para_8_18"/>
      <w:bookmarkEnd w:id="3135"/>
      <w:r>
        <w:rPr>
          <w:rFonts w:ascii="Arial" w:eastAsia="Arial" w:hAnsi="Arial" w:cs="Arial"/>
          <w:color w:val="000000"/>
          <w:sz w:val="20"/>
        </w:rPr>
        <w:t>As to the time spent with D'Ambrosio before the catheterization, Dr. Haws and Dr. Wilson testified that they were able to communicate effectively with him, notwithstanding the absence of a live interpreter. Dr. Haws stated that he used the "LifeLinks" video remote interpreting ("LifeLinks") system to advise D'Ambrosio about his condition and the catheterization procedure and that he communicated with D'Ambrosio's girlfriend through a combination of lip-reading, gestures, and written  [*597]  notes.</w:t>
      </w:r>
      <w:r>
        <w:rPr>
          <w:rFonts w:ascii="Arial" w:eastAsia="Arial" w:hAnsi="Arial" w:cs="Arial"/>
          <w:vertAlign w:val="superscript"/>
        </w:rPr>
        <w:footnoteReference w:customMarkFollows="1" w:id="94"/>
        <w:t>2</w:t>
      </w:r>
      <w:r>
        <w:rPr>
          <w:rFonts w:ascii="Arial" w:eastAsia="Arial" w:hAnsi="Arial" w:cs="Arial"/>
          <w:color w:val="000000"/>
          <w:sz w:val="20"/>
        </w:rPr>
        <w:t xml:space="preserve"> Dr. Haws did not recall D'Ambrosio requesting a live interpreter prior to the procedure, and he did not believe that a live interpreter was necessary.</w:t>
      </w:r>
    </w:p>
    <w:p w14:paraId="2415455C" w14:textId="77777777" w:rsidR="002D0E71" w:rsidRDefault="00000000">
      <w:pPr>
        <w:pStyle w:val="Normal20"/>
        <w:widowControl w:val="0"/>
        <w:spacing w:before="200" w:line="260" w:lineRule="atLeast"/>
        <w:jc w:val="both"/>
      </w:pPr>
      <w:bookmarkStart w:id="3137" w:name="Bookmark_para_9_18"/>
      <w:bookmarkEnd w:id="3137"/>
      <w:r>
        <w:rPr>
          <w:rFonts w:ascii="Arial" w:eastAsia="Arial" w:hAnsi="Arial" w:cs="Arial"/>
          <w:color w:val="000000"/>
          <w:sz w:val="20"/>
        </w:rPr>
        <w:t>Dr. Wilson similarly indicated in his written report that he used a "translator" in the catheterization lab to inform D'Ambrosio that he was "having a heart attack [**5]  and that we were going to have to open up his heart artery with a catheter." Dr. Wilson did not write notes to D'Ambrosio prior to or during the procedure due to the need to keep the catheterization lab sterile. Nonetheless, Dr. Wilson did use hand gestures to let D'Ambrosio know that he was okay and to remind him that he needed to be still during the procedure. Dr. Wilson testified that D'Ambrosio appeared to understand his communications. In any event, as Dr. Wilson explained, prior to an emergency catheterization, there is limited opportunity to communicate with any patient, regardless of whether or not the patient can hear. Indeed, due to the urgency of the procedure, a doctor's communication to the patient generally consists of little more than informing the patient that he is having a heart attack and that a catheterization procedure needs to be done immediately.</w:t>
      </w:r>
    </w:p>
    <w:p w14:paraId="5F12AC8B" w14:textId="77777777" w:rsidR="002D0E71" w:rsidRDefault="00000000">
      <w:pPr>
        <w:pStyle w:val="Normal20"/>
        <w:widowControl w:val="0"/>
        <w:spacing w:before="200" w:line="260" w:lineRule="atLeast"/>
        <w:jc w:val="both"/>
      </w:pPr>
      <w:bookmarkStart w:id="3138" w:name="Bookmark_para_10_18"/>
      <w:bookmarkEnd w:id="3138"/>
      <w:r>
        <w:rPr>
          <w:rFonts w:ascii="Arial" w:eastAsia="Arial" w:hAnsi="Arial" w:cs="Arial"/>
          <w:color w:val="000000"/>
          <w:sz w:val="20"/>
        </w:rPr>
        <w:t>D'Ambrosio acknowledges that Dr. Wilson attempted to communicate with him through the LifeLinks system immediately before the catheterization procedure. In fact, in the summary judgment response that Plaintiffs filed in the district court, D'Ambrosio indicated that Dr. Wilson actually did communicate with him via LifeLinks [**6]  prior to the procedure. Yet, in a subsequent motion to reconsider submitted after the entry of summary judgment, and now on appeal, D'Ambrosio claimed that the LifeLinks system was inoperable. As a result, D'Ambrosio contends that, having no understanding of his condition or what the catheterization would entail, he was distressed because he was in pain throughout the procedure.</w:t>
      </w:r>
    </w:p>
    <w:p w14:paraId="6A722D54" w14:textId="77777777" w:rsidR="002D0E71" w:rsidRDefault="00000000">
      <w:pPr>
        <w:pStyle w:val="Normal20"/>
        <w:widowControl w:val="0"/>
        <w:spacing w:before="200" w:line="260" w:lineRule="atLeast"/>
        <w:jc w:val="both"/>
      </w:pPr>
      <w:bookmarkStart w:id="3139" w:name="Bookmark_para_11_18"/>
      <w:bookmarkEnd w:id="3139"/>
      <w:r>
        <w:rPr>
          <w:rFonts w:ascii="Arial" w:eastAsia="Arial" w:hAnsi="Arial" w:cs="Arial"/>
          <w:color w:val="000000"/>
          <w:sz w:val="20"/>
        </w:rPr>
        <w:t>After the procedure, D'Ambrosio was placed in the ICU and visited there by Dr. Wilson, who communicated with him by writing notes. Dr. Wilson testified that, through these notes, he was able to convey that the procedure was successful, that D'Ambrosio would be okay, and that Wilson would come back the next day to discuss follow-up and prognosis. The documentary evidence, which includes Dr. Wilson's written notes, confirms Dr. Wilson's testimony. Moreover, it is undisputed that D'Ambrosio can read and write English. D'Ambrosio nevertheless claims that he did not understand the information provided to him by Dr. Wilson in the ICU.</w:t>
      </w:r>
    </w:p>
    <w:p w14:paraId="3941F1BE" w14:textId="77777777" w:rsidR="002D0E71" w:rsidRDefault="00000000">
      <w:pPr>
        <w:pStyle w:val="Normal20"/>
        <w:widowControl w:val="0"/>
        <w:spacing w:before="200" w:line="260" w:lineRule="atLeast"/>
        <w:jc w:val="both"/>
      </w:pPr>
      <w:bookmarkStart w:id="3140" w:name="Bookmark_para_12_17"/>
      <w:bookmarkEnd w:id="3140"/>
      <w:r>
        <w:rPr>
          <w:rFonts w:ascii="Arial" w:eastAsia="Arial" w:hAnsi="Arial" w:cs="Arial"/>
          <w:color w:val="000000"/>
          <w:sz w:val="20"/>
        </w:rPr>
        <w:t>D'Ambrosio was hospitalized at Halifax Hospital from June 23, 2011 through June 28, 2011. D'Ambrosio testified that he repeatedly requested a live ASL interpreter during his hospitalization, [**7]  but that while an interpreter was present some of the time, during the majority of the time there was no live interpreter. According to D'Ambrosio, the hospital staff tried to communicate with him through friends and family, written notes, and gestures, but he was unable to understand any of the information the staff attempted to provide. Again, however, written notes in the record confirm that Dr. Wilson and other staff provided detailed written information to D'Ambrosio concerning his condition, treatment, and prognosis, including a graphic depiction of the cardiac catheterization procedure.</w:t>
      </w:r>
    </w:p>
    <w:p w14:paraId="31E3D406" w14:textId="77777777" w:rsidR="002D0E71" w:rsidRDefault="00000000">
      <w:pPr>
        <w:pStyle w:val="Normal20"/>
        <w:widowControl w:val="0"/>
        <w:spacing w:before="200" w:line="260" w:lineRule="atLeast"/>
        <w:jc w:val="both"/>
      </w:pPr>
      <w:bookmarkStart w:id="3141" w:name="Bookmark_para_13_17"/>
      <w:bookmarkEnd w:id="3141"/>
      <w:r>
        <w:rPr>
          <w:rFonts w:ascii="Arial" w:eastAsia="Arial" w:hAnsi="Arial" w:cs="Arial"/>
          <w:color w:val="000000"/>
          <w:sz w:val="20"/>
        </w:rPr>
        <w:t> [*598]  Undisputed documentary evidence also shows that the hospital provided webcam interpreting services to D'Ambrosio on June 24th, and a live interpreter to D'Ambrosio for two hours on June 26th, four hours on June 27th, and two hours on June 28th. Further, D'Ambrosio, who testified that he regularly texted when communicating with hearing and deaf individuals in other contexts, acknowledged that he had his laptop during most of his hospital stay and that he could have used it to communicate with hospital staff by typing written notes, but he simply chose not to do so.</w:t>
      </w:r>
      <w:r>
        <w:rPr>
          <w:rFonts w:ascii="Arial" w:eastAsia="Arial" w:hAnsi="Arial" w:cs="Arial"/>
          <w:vertAlign w:val="superscript"/>
        </w:rPr>
        <w:footnoteReference w:customMarkFollows="1" w:id="95"/>
        <w:t>3</w:t>
      </w:r>
    </w:p>
    <w:p w14:paraId="0C49C765" w14:textId="77777777" w:rsidR="002D0E71" w:rsidRDefault="00000000">
      <w:pPr>
        <w:pStyle w:val="Normal20"/>
        <w:widowControl w:val="0"/>
        <w:spacing w:before="200" w:line="260" w:lineRule="atLeast"/>
        <w:jc w:val="both"/>
      </w:pPr>
      <w:bookmarkStart w:id="3143" w:name="Bookmark_para_14_17"/>
      <w:bookmarkEnd w:id="3143"/>
      <w:r>
        <w:rPr>
          <w:rFonts w:ascii="Arial" w:eastAsia="Arial" w:hAnsi="Arial" w:cs="Arial"/>
          <w:color w:val="000000"/>
          <w:sz w:val="20"/>
        </w:rPr>
        <w:t>After his hospitalization, D'Ambrosio continued to be treated by Dr. Wilson, until Dr. Wilson terminated the relationship due to D'Ambrosio's refusal to comply with his order that he stop smoking. An ASL interpreter was present at each of D'Ambrosio's follow-up visits with Dr. Wilson.</w:t>
      </w:r>
    </w:p>
    <w:p w14:paraId="05731FAC" w14:textId="77777777" w:rsidR="002D0E71" w:rsidRDefault="00000000">
      <w:pPr>
        <w:pStyle w:val="Normal20"/>
        <w:widowControl w:val="0"/>
        <w:spacing w:before="240" w:line="260" w:lineRule="atLeast"/>
      </w:pPr>
      <w:r>
        <w:br/>
      </w:r>
      <w:r>
        <w:rPr>
          <w:rFonts w:ascii="Arial" w:eastAsia="Arial" w:hAnsi="Arial" w:cs="Arial"/>
          <w:b/>
          <w:color w:val="000000"/>
          <w:sz w:val="20"/>
        </w:rPr>
        <w:t>B. Yolanda Gervarzes</w:t>
      </w:r>
    </w:p>
    <w:p w14:paraId="2C92C2E2" w14:textId="77777777" w:rsidR="002D0E71" w:rsidRDefault="00000000">
      <w:pPr>
        <w:pStyle w:val="Normal20"/>
        <w:widowControl w:val="0"/>
        <w:spacing w:before="200" w:line="260" w:lineRule="atLeast"/>
        <w:jc w:val="both"/>
      </w:pPr>
      <w:bookmarkStart w:id="3144" w:name="Bookmark_para_15_17"/>
      <w:bookmarkEnd w:id="3144"/>
      <w:r>
        <w:rPr>
          <w:rFonts w:ascii="Arial" w:eastAsia="Arial" w:hAnsi="Arial" w:cs="Arial"/>
          <w:color w:val="000000"/>
          <w:sz w:val="20"/>
        </w:rPr>
        <w:t>Gervarzes accompanied her seventeen-year old daughter, Angelique Martin, to the hospital on August 2, 2011 when Martin manifested pre-term labor symptoms. Upon arrival at 9:00 p.m., Gervarzes requested a live ASL interpreter. Gervarzes was not a newcomer to the hospital, having been there many times before and having received live interpreting services on at least 48 prior occasions when she had been seen as a patient. This time, though, the staff first attempted to use the LifeLinks system to communicate with her, instead of obtaining a live interpreter.</w:t>
      </w:r>
    </w:p>
    <w:p w14:paraId="154B10D3" w14:textId="77777777" w:rsidR="002D0E71" w:rsidRDefault="00000000">
      <w:pPr>
        <w:pStyle w:val="Normal20"/>
        <w:widowControl w:val="0"/>
        <w:spacing w:before="200" w:line="260" w:lineRule="atLeast"/>
        <w:jc w:val="both"/>
      </w:pPr>
      <w:bookmarkStart w:id="3145" w:name="Bookmark_para_16_17"/>
      <w:bookmarkEnd w:id="3145"/>
      <w:r>
        <w:rPr>
          <w:rFonts w:ascii="Arial" w:eastAsia="Arial" w:hAnsi="Arial" w:cs="Arial"/>
          <w:color w:val="000000"/>
          <w:sz w:val="20"/>
        </w:rPr>
        <w:t>Nurse Laperriere, who spoke with Gervarzes [**9]  upon her daughter's admission to the hospital, testified that she had used LifeLinks without any problems in the past, but Gervarzes nonetheless refused to use the service. Laperriere then contacted Nurse Pollock, the supervising nurse on duty at the time, about obtaining a live interpreter for Gervarzes. Pollock testified that when he encountered Gervarzes, she was angry and shaking an ADA flyer in an "animated" manner. Even though the LifeLinks system had been set up and was ready for use by Gervarzes, Pollock acceded to Gervarzes' demand and immediately arranged for a live interpreter to come to the hospital instead. Pollock placed no restrictions on the time the interpreter could remain there.</w:t>
      </w:r>
    </w:p>
    <w:p w14:paraId="7BD13562" w14:textId="77777777" w:rsidR="002D0E71" w:rsidRDefault="00000000">
      <w:pPr>
        <w:pStyle w:val="Normal20"/>
        <w:widowControl w:val="0"/>
        <w:spacing w:before="200" w:line="260" w:lineRule="atLeast"/>
        <w:jc w:val="both"/>
      </w:pPr>
      <w:bookmarkStart w:id="3146" w:name="Bookmark_para_17_16"/>
      <w:bookmarkEnd w:id="3146"/>
      <w:r>
        <w:rPr>
          <w:rFonts w:ascii="Arial" w:eastAsia="Arial" w:hAnsi="Arial" w:cs="Arial"/>
          <w:color w:val="000000"/>
          <w:sz w:val="20"/>
        </w:rPr>
        <w:t>Gervarzes' daughter gave birth to a healthy baby boy at 5:40 p.m. on August 4, and was discharged on August 6. During her stay, the hospital provided live interpreting services to her mother, Plaintiff Gervarzes, from 11:30 p.m. until 1:30 a.m. on August 2-3, and from 9:30 a.m. until 12:30 p.m. on August 3. When no interpreter was present, hospital staff was able to communicate with Gervarzes via her daughter, who was not deaf, and by writing notes.</w:t>
      </w:r>
    </w:p>
    <w:p w14:paraId="23F9DC6D" w14:textId="77777777" w:rsidR="002D0E71" w:rsidRDefault="00000000">
      <w:pPr>
        <w:pStyle w:val="Normal20"/>
        <w:widowControl w:val="0"/>
        <w:spacing w:before="240" w:line="260" w:lineRule="atLeast"/>
      </w:pPr>
      <w:r>
        <w:br/>
      </w:r>
      <w:r>
        <w:rPr>
          <w:rFonts w:ascii="Arial" w:eastAsia="Arial" w:hAnsi="Arial" w:cs="Arial"/>
          <w:b/>
          <w:color w:val="000000"/>
          <w:sz w:val="20"/>
        </w:rPr>
        <w:t>C. Richard Martin</w:t>
      </w:r>
    </w:p>
    <w:p w14:paraId="438A03C2" w14:textId="77777777" w:rsidR="002D0E71" w:rsidRDefault="00000000">
      <w:pPr>
        <w:pStyle w:val="Normal20"/>
        <w:widowControl w:val="0"/>
        <w:spacing w:before="200" w:line="260" w:lineRule="atLeast"/>
        <w:jc w:val="both"/>
      </w:pPr>
      <w:bookmarkStart w:id="3147" w:name="Bookmark_para_18_16"/>
      <w:bookmarkEnd w:id="3147"/>
      <w:r>
        <w:rPr>
          <w:rFonts w:ascii="Arial" w:eastAsia="Arial" w:hAnsi="Arial" w:cs="Arial"/>
          <w:color w:val="000000"/>
          <w:sz w:val="20"/>
        </w:rPr>
        <w:t>Martin was treated in the [**10]  hospital's emergency room for a minor head injury that he suffered when he fell out of his motorized scooter while shopping on August 17, 2011. While he was in the ER, Martin was examined and his vital signs were taken. Martin had a CT scan of his brain and x-rays of his cervical spine and shoulder, the results of which were normal.</w:t>
      </w:r>
    </w:p>
    <w:p w14:paraId="20BF123B" w14:textId="77777777" w:rsidR="002D0E71" w:rsidRDefault="00000000">
      <w:pPr>
        <w:pStyle w:val="Normal20"/>
        <w:widowControl w:val="0"/>
        <w:spacing w:before="200" w:line="260" w:lineRule="atLeast"/>
        <w:jc w:val="both"/>
      </w:pPr>
      <w:bookmarkStart w:id="3148" w:name="Bookmark_para_19_16"/>
      <w:bookmarkEnd w:id="3148"/>
      <w:r>
        <w:rPr>
          <w:rFonts w:ascii="Arial" w:eastAsia="Arial" w:hAnsi="Arial" w:cs="Arial"/>
          <w:color w:val="000000"/>
          <w:sz w:val="20"/>
        </w:rPr>
        <w:t>Dr. Kocisko, who attended to Martin during his ER visit, testified that Martin  [*599]  never requested a live interpreter,</w:t>
      </w:r>
      <w:r>
        <w:rPr>
          <w:rFonts w:ascii="Arial" w:eastAsia="Arial" w:hAnsi="Arial" w:cs="Arial"/>
          <w:vertAlign w:val="superscript"/>
        </w:rPr>
        <w:footnoteReference w:customMarkFollows="1" w:id="96"/>
        <w:t>4</w:t>
      </w:r>
      <w:r>
        <w:rPr>
          <w:rFonts w:ascii="Arial" w:eastAsia="Arial" w:hAnsi="Arial" w:cs="Arial"/>
          <w:color w:val="000000"/>
          <w:sz w:val="20"/>
        </w:rPr>
        <w:t xml:space="preserve"> and Kocisko did not believe a live interpreter was necessary. Dr. Kocisko wrote notes to communicate with Martin, who appeared to understand all the information that was conveyed to him. Martin received typed instructions upon discharge, and it is undisputed that he could read and write English. As Martin was only in the emergency room for about two hours before he was discharged, the above constitutes the extent of his interaction with hospital staff on this particular occasion. Further, it is undisputed that the hospital had provided live interpreting services to Martin on at least 42 prior occasions.</w:t>
      </w:r>
    </w:p>
    <w:p w14:paraId="5D2B125C" w14:textId="77777777" w:rsidR="002D0E71" w:rsidRDefault="00000000">
      <w:pPr>
        <w:pStyle w:val="Normal20"/>
        <w:widowControl w:val="0"/>
        <w:spacing w:before="240" w:line="260" w:lineRule="atLeast"/>
      </w:pPr>
      <w:r>
        <w:br/>
      </w:r>
      <w:r>
        <w:rPr>
          <w:rFonts w:ascii="Arial" w:eastAsia="Arial" w:hAnsi="Arial" w:cs="Arial"/>
          <w:b/>
          <w:color w:val="000000"/>
          <w:sz w:val="20"/>
        </w:rPr>
        <w:t xml:space="preserve">II. </w:t>
      </w:r>
      <w:r>
        <w:rPr>
          <w:rFonts w:ascii="Arial" w:eastAsia="Arial" w:hAnsi="Arial" w:cs="Arial"/>
          <w:b/>
          <w:color w:val="000000"/>
          <w:sz w:val="20"/>
          <w:u w:val="single"/>
        </w:rPr>
        <w:t>Procedural History</w:t>
      </w:r>
    </w:p>
    <w:p w14:paraId="586C44B6" w14:textId="77777777" w:rsidR="002D0E71" w:rsidRDefault="00000000">
      <w:pPr>
        <w:pStyle w:val="Normal20"/>
        <w:widowControl w:val="0"/>
        <w:spacing w:before="200" w:line="260" w:lineRule="atLeast"/>
        <w:jc w:val="both"/>
      </w:pPr>
      <w:bookmarkStart w:id="3155" w:name="Bookmark_para_20_14"/>
      <w:bookmarkEnd w:id="3155"/>
      <w:r>
        <w:rPr>
          <w:rFonts w:ascii="Arial" w:eastAsia="Arial" w:hAnsi="Arial" w:cs="Arial"/>
          <w:color w:val="000000"/>
          <w:sz w:val="20"/>
        </w:rPr>
        <w:t>Plaintiffs filed their complaint in August, 2012, asserting claims against Defendants under Title II and Title III of the ADA, § 504 of the Rehab Act, and the Florida Civil Rights Act. In their complaint, Plaintiffs alleged that the above statutes require that deaf individuals have an equal opportunity to participate in and enjoy the benefits of the hospital's services, and that Defendants failed to meet the obligations imposed on them by these laws. Plaintiffs sought both compensatory damages and injunctive relief.</w:t>
      </w:r>
    </w:p>
    <w:p w14:paraId="4C94EC88" w14:textId="77777777" w:rsidR="002D0E71" w:rsidRDefault="00000000">
      <w:pPr>
        <w:pStyle w:val="Normal20"/>
        <w:widowControl w:val="0"/>
        <w:spacing w:before="200" w:line="260" w:lineRule="atLeast"/>
        <w:jc w:val="both"/>
      </w:pPr>
      <w:bookmarkStart w:id="3156" w:name="Bookmark_para_21_14"/>
      <w:bookmarkEnd w:id="3156"/>
      <w:r>
        <w:rPr>
          <w:rFonts w:ascii="Arial" w:eastAsia="Arial" w:hAnsi="Arial" w:cs="Arial"/>
          <w:color w:val="000000"/>
          <w:sz w:val="20"/>
        </w:rPr>
        <w:t>Defendants moved for summary judgment. Plaintiffs filed a timely response. Yet, while Gervarzes, [**12]  D'Ambrosio, and D'Ambrosio's girlfriend submitted declarations, and Martin submitted a set of interrogatory responses, in opposition to summary judgment, Plaintiffs neither submitted nor referenced any of their own deposition testimony. Thereafter, Defendants filed their reply. It was only then, about a month after filing their response, that Plaintiffs sought leave to supplement the record by designating additional evidence, primarily the complete transcript of each Plaintiff's deposition.</w:t>
      </w:r>
    </w:p>
    <w:p w14:paraId="08430543" w14:textId="77777777" w:rsidR="002D0E71" w:rsidRDefault="00000000">
      <w:pPr>
        <w:pStyle w:val="Normal20"/>
        <w:widowControl w:val="0"/>
        <w:spacing w:before="200" w:line="260" w:lineRule="atLeast"/>
        <w:jc w:val="both"/>
      </w:pPr>
      <w:bookmarkStart w:id="3157" w:name="Bookmark_para_22_14"/>
      <w:bookmarkEnd w:id="3157"/>
      <w:r>
        <w:rPr>
          <w:rFonts w:ascii="Arial" w:eastAsia="Arial" w:hAnsi="Arial" w:cs="Arial"/>
          <w:color w:val="000000"/>
          <w:sz w:val="20"/>
        </w:rPr>
        <w:t>The district court denied Plaintiff's motion to supplement, and granted summary judgment to Defendants. Plaintiffs moved for reconsideration of the summary judgment order, but attached only D'Ambrosio's deposition transcript as an exhibit, and not the deposition transcripts of Martin and Gervarzes. Defendants filed a motion to strike the deposition transcript, which the district court granted in conjunction with its order denying reconsideration.</w:t>
      </w:r>
    </w:p>
    <w:p w14:paraId="0E2D8561" w14:textId="77777777" w:rsidR="002D0E71" w:rsidRDefault="00000000">
      <w:pPr>
        <w:pStyle w:val="Normal20"/>
        <w:widowControl w:val="0"/>
        <w:spacing w:before="200" w:line="260" w:lineRule="atLeast"/>
        <w:jc w:val="both"/>
      </w:pPr>
      <w:bookmarkStart w:id="3158" w:name="Bookmark_para_23_14"/>
      <w:bookmarkEnd w:id="3158"/>
      <w:r>
        <w:rPr>
          <w:rFonts w:ascii="Arial" w:eastAsia="Arial" w:hAnsi="Arial" w:cs="Arial"/>
          <w:color w:val="000000"/>
          <w:sz w:val="20"/>
        </w:rPr>
        <w:t>On appeal, Plaintiffs contend that there is sufficient evidence in the record to withstand Defendants' motion for summary judgment. According to Plaintiffs, the hospital's failure to provide live interpreters during the entirety of their stay creates a triable [**13]  issue as to whether the hospital failed to provide appropriate auxiliary aids necessary to ensure effective communication, as required by the ADA and the Rehab Act. Related to this contention, Plaintiffs also argue that the district court erred in denying their motion to reconsider, meaning that the court should have considered D'Ambrosio's deposition  [*600]  testimony in ruling on the summary judgment motion.</w:t>
      </w:r>
    </w:p>
    <w:p w14:paraId="036289E6" w14:textId="77777777" w:rsidR="002D0E71" w:rsidRDefault="00000000">
      <w:pPr>
        <w:pStyle w:val="Normal20"/>
        <w:widowControl w:val="0"/>
        <w:spacing w:before="240" w:line="260" w:lineRule="atLeast"/>
      </w:pPr>
      <w:r>
        <w:br/>
      </w:r>
      <w:r>
        <w:rPr>
          <w:rFonts w:ascii="Arial" w:eastAsia="Arial" w:hAnsi="Arial" w:cs="Arial"/>
          <w:b/>
          <w:color w:val="000000"/>
          <w:sz w:val="20"/>
        </w:rPr>
        <w:t>DISCUSSION</w:t>
      </w:r>
    </w:p>
    <w:p w14:paraId="7650DDBF" w14:textId="77777777" w:rsidR="002D0E71" w:rsidRDefault="00000000">
      <w:pPr>
        <w:pStyle w:val="Normal20"/>
        <w:widowControl w:val="0"/>
        <w:spacing w:before="240" w:line="260" w:lineRule="atLeast"/>
      </w:pPr>
      <w:r>
        <w:br/>
      </w:r>
      <w:r>
        <w:rPr>
          <w:rFonts w:ascii="Arial" w:eastAsia="Arial" w:hAnsi="Arial" w:cs="Arial"/>
          <w:b/>
          <w:color w:val="000000"/>
          <w:sz w:val="20"/>
        </w:rPr>
        <w:t xml:space="preserve">I. </w:t>
      </w:r>
      <w:r>
        <w:rPr>
          <w:rFonts w:ascii="Arial" w:eastAsia="Arial" w:hAnsi="Arial" w:cs="Arial"/>
          <w:b/>
          <w:color w:val="000000"/>
          <w:sz w:val="20"/>
          <w:u w:val="single"/>
        </w:rPr>
        <w:t>Motions to Supplement and Reconsider</w:t>
      </w:r>
    </w:p>
    <w:p w14:paraId="1757D423" w14:textId="77777777" w:rsidR="002D0E71" w:rsidRDefault="00000000">
      <w:pPr>
        <w:pStyle w:val="Normal20"/>
        <w:widowControl w:val="0"/>
        <w:spacing w:before="200" w:line="260" w:lineRule="atLeast"/>
        <w:jc w:val="both"/>
      </w:pPr>
      <w:bookmarkStart w:id="3159" w:name="Bookmark_para_24_14"/>
      <w:bookmarkEnd w:id="3159"/>
      <w:r>
        <w:rPr>
          <w:rFonts w:ascii="Arial" w:eastAsia="Arial" w:hAnsi="Arial" w:cs="Arial"/>
          <w:color w:val="000000"/>
          <w:sz w:val="20"/>
        </w:rPr>
        <w:t>In support of their motion for summary judgment, Defendants cited documentary evidence and testimony, including excerpts from the depositions of D'Ambrosio and Martin. In their response, however, Plaintiffs cited to no deposition testimony. Instead, the only evidence Plaintiffs submitted in response to Defendants' motion was a set of interrogatory responses from Martin establishing that he is deaf and primarily uses ASL to communicate, and declarations from Gervarzes, D'Ambrosio, and D'Ambrosio's girlfriend summarily stating that (1) they requested an interpreter during their interactions with the hospital and "on many occasions [an interpreter] was not provided" and (2) they did not understand the information the hospital staff tried to [**14]  convey through other means, such as written notes.</w:t>
      </w:r>
      <w:r>
        <w:rPr>
          <w:rFonts w:ascii="Arial" w:eastAsia="Arial" w:hAnsi="Arial" w:cs="Arial"/>
          <w:vertAlign w:val="superscript"/>
        </w:rPr>
        <w:footnoteReference w:customMarkFollows="1" w:id="97"/>
        <w:t>5</w:t>
      </w:r>
      <w:r>
        <w:rPr>
          <w:rFonts w:ascii="Arial" w:eastAsia="Arial" w:hAnsi="Arial" w:cs="Arial"/>
          <w:color w:val="000000"/>
          <w:sz w:val="20"/>
        </w:rPr>
        <w:t xml:space="preserve"> Gervarzes and D'Ambrosio never specified what information they did not understand.</w:t>
      </w:r>
    </w:p>
    <w:p w14:paraId="1F71FDFC" w14:textId="77777777" w:rsidR="002D0E71" w:rsidRDefault="00000000">
      <w:pPr>
        <w:pStyle w:val="Normal20"/>
        <w:widowControl w:val="0"/>
        <w:spacing w:before="200" w:line="260" w:lineRule="atLeast"/>
        <w:jc w:val="both"/>
      </w:pPr>
      <w:bookmarkStart w:id="3161" w:name="Bookmark_para_25_14"/>
      <w:bookmarkEnd w:id="3161"/>
      <w:r>
        <w:rPr>
          <w:rFonts w:ascii="Arial" w:eastAsia="Arial" w:hAnsi="Arial" w:cs="Arial"/>
          <w:color w:val="000000"/>
          <w:sz w:val="20"/>
        </w:rPr>
        <w:t xml:space="preserve">Nearly a month after they filed their initial response, and after Defendants had already filed their reply, Plaintiffs sought leave to supplement the summary judgment record by designating additional deposition testimony. Even had it been timely, this tardy submission still failed to comply with the Federal Rules of Civil Procedure because Plaintiffs never offered any specific cites in their belated offering. See </w:t>
      </w:r>
      <w:bookmarkStart w:id="3162" w:name="Bookmark_LNHNREFclscc3_16"/>
      <w:bookmarkEnd w:id="3162"/>
      <w:r>
        <w:rPr>
          <w:rFonts w:ascii="Arial" w:eastAsia="Arial" w:hAnsi="Arial" w:cs="Arial"/>
          <w:color w:val="000000"/>
          <w:sz w:val="20"/>
        </w:rPr>
        <w:t>Fed. R. Civ. P. 56(c)(1)(A) (requiring a party who asserts that a fact is genuinely disputed to support the assertion by "citing to particular parts of materials in the record"). The district court denied the motion. In their subsequent motion to reconsider, Plaintiffs attached D'Ambrosio's complete deposition as an exhibit and, only then, did they finally cite to specific portions of the testimony on which they relied. The district court granted Defendants' motion to strike [**15]  this untimely proffer of evidence, and it denied reconsideration.</w:t>
      </w:r>
    </w:p>
    <w:p w14:paraId="73297A05" w14:textId="77777777" w:rsidR="002D0E71" w:rsidRDefault="00000000">
      <w:pPr>
        <w:pStyle w:val="Normal20"/>
        <w:widowControl w:val="0"/>
        <w:spacing w:before="200" w:line="260" w:lineRule="atLeast"/>
        <w:jc w:val="both"/>
      </w:pPr>
      <w:bookmarkStart w:id="3163" w:name="Bookmark_para_26_14"/>
      <w:bookmarkStart w:id="3164" w:name="Bookmark_I5GS69SS28T4CC0010000400"/>
      <w:bookmarkStart w:id="3165" w:name="Bookmark_LNHNREFclscc4_16"/>
      <w:bookmarkEnd w:id="3163"/>
      <w:bookmarkEnd w:id="3164"/>
      <w:bookmarkEnd w:id="3165"/>
      <w:r>
        <w:rPr>
          <w:rFonts w:ascii="Arial" w:eastAsia="Arial" w:hAnsi="Arial" w:cs="Arial"/>
          <w:color w:val="000000"/>
          <w:sz w:val="20"/>
        </w:rPr>
        <w:t xml:space="preserve">We review the district court's rulings on the motion to supplement and the motion to reconsider for an abuse of discretion. </w:t>
      </w:r>
      <w:bookmarkStart w:id="3166" w:name="Bookmark_I5GS69SS28T4CC0030000400"/>
      <w:bookmarkEnd w:id="3166"/>
      <w:r>
        <w:rPr>
          <w:rFonts w:ascii="Arial" w:eastAsia="Arial" w:hAnsi="Arial" w:cs="Arial"/>
          <w:i/>
          <w:color w:val="000000"/>
          <w:sz w:val="20"/>
        </w:rPr>
        <w:t>See</w:t>
      </w:r>
      <w:r>
        <w:rPr>
          <w:rFonts w:ascii="Arial" w:eastAsia="Arial" w:hAnsi="Arial" w:cs="Arial"/>
          <w:color w:val="000000"/>
          <w:sz w:val="20"/>
        </w:rPr>
        <w:t xml:space="preserve"> Fed. R. Civ. P. 56(e) (permitting but not requiring the district court to "give an opportunity to properly support or address" a fact); </w:t>
      </w:r>
      <w:bookmarkStart w:id="3167" w:name="Bookmark_I5GS69SS2D6MX90050000400"/>
      <w:bookmarkEnd w:id="3167"/>
      <w:r>
        <w:rPr>
          <w:rFonts w:ascii="Arial" w:eastAsia="Arial" w:hAnsi="Arial" w:cs="Arial"/>
          <w:i/>
          <w:color w:val="000000"/>
          <w:sz w:val="20"/>
        </w:rPr>
        <w:t>Sanderlin v. Seminole Tribe of Florida</w:t>
      </w:r>
      <w:r>
        <w:rPr>
          <w:rFonts w:ascii="Arial" w:eastAsia="Arial" w:hAnsi="Arial" w:cs="Arial"/>
          <w:color w:val="000000"/>
          <w:sz w:val="20"/>
        </w:rPr>
        <w:t xml:space="preserve">, 243 F.3d 1282, 1285 (11th Cir. 2001) ("The denial of a motion for reconsideration . . . is reviewed only for abuse of discretion."). We find no abuse of discretion. </w:t>
      </w:r>
      <w:bookmarkStart w:id="3168" w:name="Bookmark_I5GS69SS28T4CC0030000400_2"/>
      <w:bookmarkEnd w:id="3168"/>
      <w:r>
        <w:rPr>
          <w:rFonts w:ascii="Arial" w:eastAsia="Arial" w:hAnsi="Arial" w:cs="Arial"/>
          <w:color w:val="000000"/>
          <w:sz w:val="20"/>
        </w:rPr>
        <w:t xml:space="preserve">See </w:t>
      </w:r>
      <w:bookmarkStart w:id="3169" w:name="Bookmark_I5GS69SS28T4CC0020000400"/>
      <w:bookmarkEnd w:id="3169"/>
      <w:r>
        <w:rPr>
          <w:rFonts w:ascii="Arial" w:eastAsia="Arial" w:hAnsi="Arial" w:cs="Arial"/>
          <w:color w:val="000000"/>
          <w:sz w:val="20"/>
        </w:rPr>
        <w:t>Fils v. City of Aventura, 647 F.3d 1272, 1283 (11th Cir. 2011) ("the district court does not abuse its discretion simply because the appellate court would have handled the issue differently").</w:t>
      </w:r>
    </w:p>
    <w:p w14:paraId="193B0AFA" w14:textId="77777777" w:rsidR="002D0E71" w:rsidRDefault="00000000">
      <w:pPr>
        <w:pStyle w:val="Normal20"/>
        <w:widowControl w:val="0"/>
        <w:spacing w:before="200" w:line="260" w:lineRule="atLeast"/>
        <w:jc w:val="both"/>
      </w:pPr>
      <w:bookmarkStart w:id="3170" w:name="Bookmark_para_27_14"/>
      <w:bookmarkStart w:id="3171" w:name="Bookmark_LNHNREFclscc5_16"/>
      <w:bookmarkEnd w:id="3170"/>
      <w:bookmarkEnd w:id="3171"/>
      <w:r>
        <w:rPr>
          <w:rFonts w:ascii="Arial" w:eastAsia="Arial" w:hAnsi="Arial" w:cs="Arial"/>
          <w:color w:val="000000"/>
          <w:sz w:val="20"/>
        </w:rPr>
        <w:t>Pursuant to Rule 56, Plaintiffs were required to cite in their initial response the "particular parts" of any depositions relied upon in opposition to summary judgment. Fed. R. Civ. P. 56(c)(1)(A). The depositions at issue had been available to Plaintiffs for more than six months when they filed their response, and Plaintiffs were aware that Defendants had cited portions of these same depositions in support of their motion for summary judgment. Yet, Plaintiffs did not offer, and still do not offer, any reason for neglecting to provide the required citations or to respond specifically to the evidence cited by Defendants. Even when they filed their subsequent [**16]  motion to supplement, Plaintiffs still failed to  [*601]  cite to "particular parts" of the depositions, as required by Rule 56.</w:t>
      </w:r>
    </w:p>
    <w:p w14:paraId="0920E7B9" w14:textId="77777777" w:rsidR="002D0E71" w:rsidRDefault="00000000">
      <w:pPr>
        <w:pStyle w:val="Normal20"/>
        <w:widowControl w:val="0"/>
        <w:spacing w:before="200" w:line="260" w:lineRule="atLeast"/>
        <w:jc w:val="both"/>
      </w:pPr>
      <w:bookmarkStart w:id="3172" w:name="Bookmark_para_28_13"/>
      <w:bookmarkStart w:id="3173" w:name="Bookmark_I5GS69SS28T4CC0050000400"/>
      <w:bookmarkEnd w:id="3172"/>
      <w:bookmarkEnd w:id="3173"/>
      <w:r>
        <w:rPr>
          <w:rFonts w:ascii="Arial" w:eastAsia="Arial" w:hAnsi="Arial" w:cs="Arial"/>
          <w:color w:val="000000"/>
          <w:sz w:val="20"/>
        </w:rPr>
        <w:t xml:space="preserve">Plaintiffs finally provided citations to D'Ambrosio's deposition in their motion to reconsider. However, given the unexplained delay and the previous failure to provide any specific citations, our precedent and the governing federal rules did not require the district court to consider D'Ambrosio's deposition transcript. </w:t>
      </w:r>
      <w:r>
        <w:rPr>
          <w:rFonts w:ascii="Arial" w:eastAsia="Arial" w:hAnsi="Arial" w:cs="Arial"/>
          <w:i/>
          <w:color w:val="000000"/>
          <w:sz w:val="20"/>
        </w:rPr>
        <w:t>See</w:t>
      </w:r>
      <w:r>
        <w:rPr>
          <w:rFonts w:ascii="Arial" w:eastAsia="Arial" w:hAnsi="Arial" w:cs="Arial"/>
          <w:color w:val="000000"/>
          <w:sz w:val="20"/>
        </w:rPr>
        <w:t xml:space="preserve"> </w:t>
      </w:r>
      <w:bookmarkStart w:id="3174" w:name="Bookmark_LNHNREFclscc6_15"/>
      <w:bookmarkEnd w:id="3174"/>
      <w:r>
        <w:rPr>
          <w:rFonts w:ascii="Arial" w:eastAsia="Arial" w:hAnsi="Arial" w:cs="Arial"/>
          <w:color w:val="000000"/>
          <w:sz w:val="20"/>
        </w:rPr>
        <w:t xml:space="preserve">Fed. R. Civ. P. 56(c)(3) ("The court need consider only the cited materials, but it may consider other materials in the record."); </w:t>
      </w:r>
      <w:bookmarkStart w:id="3175" w:name="Bookmark_I5GS69SS28T4CC0040000400"/>
      <w:bookmarkEnd w:id="3175"/>
      <w:r>
        <w:rPr>
          <w:rFonts w:ascii="Arial" w:eastAsia="Arial" w:hAnsi="Arial" w:cs="Arial"/>
          <w:i/>
          <w:color w:val="000000"/>
          <w:sz w:val="20"/>
        </w:rPr>
        <w:t>Young v. City of Palm Bay, Florida</w:t>
      </w:r>
      <w:r>
        <w:rPr>
          <w:rFonts w:ascii="Arial" w:eastAsia="Arial" w:hAnsi="Arial" w:cs="Arial"/>
          <w:color w:val="000000"/>
          <w:sz w:val="20"/>
        </w:rPr>
        <w:t>, 358 F.3d 859, 864 (11th Cir. 2004) ("the district court had a range of options which included refusing to consider untimely filings"). Accordingly, we find no abuse of discretion by the district court in denying Plaintiff's motions to supplement and to reconsider.</w:t>
      </w:r>
    </w:p>
    <w:p w14:paraId="4E6661F3" w14:textId="77777777" w:rsidR="002D0E71" w:rsidRDefault="00000000">
      <w:pPr>
        <w:pStyle w:val="Normal20"/>
        <w:widowControl w:val="0"/>
        <w:spacing w:before="240" w:line="260" w:lineRule="atLeast"/>
      </w:pPr>
      <w:r>
        <w:br/>
      </w:r>
      <w:r>
        <w:rPr>
          <w:rFonts w:ascii="Arial" w:eastAsia="Arial" w:hAnsi="Arial" w:cs="Arial"/>
          <w:b/>
          <w:color w:val="000000"/>
          <w:sz w:val="20"/>
        </w:rPr>
        <w:t xml:space="preserve">II. </w:t>
      </w:r>
      <w:r>
        <w:rPr>
          <w:rFonts w:ascii="Arial" w:eastAsia="Arial" w:hAnsi="Arial" w:cs="Arial"/>
          <w:b/>
          <w:color w:val="000000"/>
          <w:sz w:val="20"/>
          <w:u w:val="single"/>
        </w:rPr>
        <w:t>Summary Judgment Motion</w:t>
      </w:r>
    </w:p>
    <w:p w14:paraId="48C87487" w14:textId="77777777" w:rsidR="002D0E71" w:rsidRDefault="00000000">
      <w:pPr>
        <w:pStyle w:val="Normal20"/>
        <w:widowControl w:val="0"/>
        <w:spacing w:before="240" w:line="260" w:lineRule="atLeast"/>
      </w:pPr>
      <w:r>
        <w:br/>
      </w:r>
      <w:r>
        <w:rPr>
          <w:rFonts w:ascii="Arial" w:eastAsia="Arial" w:hAnsi="Arial" w:cs="Arial"/>
          <w:b/>
          <w:color w:val="000000"/>
          <w:sz w:val="20"/>
        </w:rPr>
        <w:t>A. Standard of Review</w:t>
      </w:r>
    </w:p>
    <w:p w14:paraId="4D2B434C" w14:textId="77777777" w:rsidR="002D0E71" w:rsidRDefault="00000000">
      <w:pPr>
        <w:pStyle w:val="Normal20"/>
        <w:widowControl w:val="0"/>
        <w:spacing w:before="200" w:line="260" w:lineRule="atLeast"/>
        <w:jc w:val="both"/>
      </w:pPr>
      <w:bookmarkStart w:id="3176" w:name="Bookmark_para_29_13"/>
      <w:bookmarkStart w:id="3177" w:name="Bookmark_I5GS69ST2SF84F0020000400"/>
      <w:bookmarkStart w:id="3178" w:name="Bookmark_I5GS69ST2SF84F0040000400"/>
      <w:bookmarkStart w:id="3179" w:name="Bookmark_LNHNREFclscc7_14"/>
      <w:bookmarkEnd w:id="3176"/>
      <w:bookmarkEnd w:id="3177"/>
      <w:bookmarkEnd w:id="3178"/>
      <w:bookmarkEnd w:id="3179"/>
      <w:r>
        <w:rPr>
          <w:rFonts w:ascii="Arial" w:eastAsia="Arial" w:hAnsi="Arial" w:cs="Arial"/>
          <w:color w:val="000000"/>
          <w:sz w:val="20"/>
        </w:rPr>
        <w:t xml:space="preserve">We review the district court's order granting summary judgment </w:t>
      </w:r>
      <w:r>
        <w:rPr>
          <w:rFonts w:ascii="Arial" w:eastAsia="Arial" w:hAnsi="Arial" w:cs="Arial"/>
          <w:i/>
          <w:color w:val="000000"/>
          <w:sz w:val="20"/>
        </w:rPr>
        <w:t xml:space="preserve">de novo. </w:t>
      </w:r>
      <w:bookmarkStart w:id="3180" w:name="Bookmark_I5GS69ST2SF84F0010000400"/>
      <w:bookmarkEnd w:id="3180"/>
      <w:r>
        <w:rPr>
          <w:rFonts w:ascii="Arial" w:eastAsia="Arial" w:hAnsi="Arial" w:cs="Arial"/>
          <w:i/>
          <w:color w:val="000000"/>
          <w:sz w:val="20"/>
        </w:rPr>
        <w:t>McCullum v. Orlando Reg'l Healthcare Sys., Inc.</w:t>
      </w:r>
      <w:r>
        <w:rPr>
          <w:rFonts w:ascii="Arial" w:eastAsia="Arial" w:hAnsi="Arial" w:cs="Arial"/>
          <w:color w:val="000000"/>
          <w:sz w:val="20"/>
        </w:rPr>
        <w:t xml:space="preserve">, 768 F.3d 1135, 1141 (11th Cir. 2014). We apply the same standard as the district court, viewing the facts and drawing all reasonable inferences in the light most favorable to Plaintiffs. </w:t>
      </w:r>
      <w:bookmarkStart w:id="3181" w:name="Bookmark_I5GS69ST2SF84F0030000400"/>
      <w:bookmarkEnd w:id="3181"/>
      <w:r>
        <w:rPr>
          <w:rFonts w:ascii="Arial" w:eastAsia="Arial" w:hAnsi="Arial" w:cs="Arial"/>
          <w:i/>
          <w:color w:val="000000"/>
          <w:sz w:val="20"/>
        </w:rPr>
        <w:t>Liese v. Indian River Cnty. Hosp. Dist.</w:t>
      </w:r>
      <w:r>
        <w:rPr>
          <w:rFonts w:ascii="Arial" w:eastAsia="Arial" w:hAnsi="Arial" w:cs="Arial"/>
          <w:color w:val="000000"/>
          <w:sz w:val="20"/>
        </w:rPr>
        <w:t>, 701 F.3d 334, 337 (11th Cir. 2012).</w:t>
      </w:r>
    </w:p>
    <w:p w14:paraId="0FC195CD" w14:textId="77777777" w:rsidR="002D0E71" w:rsidRDefault="00000000">
      <w:pPr>
        <w:pStyle w:val="Normal20"/>
        <w:widowControl w:val="0"/>
        <w:spacing w:before="240" w:line="260" w:lineRule="atLeast"/>
      </w:pPr>
      <w:r>
        <w:br/>
      </w:r>
      <w:r>
        <w:rPr>
          <w:rFonts w:ascii="Arial" w:eastAsia="Arial" w:hAnsi="Arial" w:cs="Arial"/>
          <w:b/>
          <w:color w:val="000000"/>
          <w:sz w:val="20"/>
        </w:rPr>
        <w:t>B. Applicable Law</w:t>
      </w:r>
    </w:p>
    <w:p w14:paraId="109C8F20" w14:textId="77777777" w:rsidR="002D0E71" w:rsidRDefault="00000000">
      <w:pPr>
        <w:pStyle w:val="Normal20"/>
        <w:widowControl w:val="0"/>
        <w:spacing w:before="200" w:line="260" w:lineRule="atLeast"/>
        <w:jc w:val="both"/>
      </w:pPr>
      <w:bookmarkStart w:id="3182" w:name="Bookmark_para_30_13"/>
      <w:bookmarkStart w:id="3183" w:name="Bookmark_I5GS69ST2HM6SX0010000400"/>
      <w:bookmarkStart w:id="3184" w:name="Bookmark_LNHNREFclscc8_14"/>
      <w:bookmarkEnd w:id="3182"/>
      <w:bookmarkEnd w:id="3183"/>
      <w:bookmarkEnd w:id="3184"/>
      <w:r>
        <w:rPr>
          <w:rFonts w:ascii="Arial" w:eastAsia="Arial" w:hAnsi="Arial" w:cs="Arial"/>
          <w:color w:val="000000"/>
          <w:sz w:val="20"/>
        </w:rPr>
        <w:t xml:space="preserve">Plaintiffs' ADA and Rehab Act claims are governed by the same legal standard. </w:t>
      </w:r>
      <w:bookmarkStart w:id="3185" w:name="Bookmark_I3V615R2T7Y0007DCT00005V"/>
      <w:bookmarkStart w:id="3186" w:name="Bookmark_I5GS69ST2HM6SX0030000400"/>
      <w:bookmarkEnd w:id="3185"/>
      <w:bookmarkEnd w:id="3186"/>
      <w:r>
        <w:rPr>
          <w:rFonts w:ascii="Arial" w:eastAsia="Arial" w:hAnsi="Arial" w:cs="Arial"/>
          <w:i/>
          <w:color w:val="000000"/>
          <w:sz w:val="20"/>
        </w:rPr>
        <w:t xml:space="preserve">See </w:t>
      </w:r>
      <w:bookmarkStart w:id="3187" w:name="Bookmark_I5GS69ST2SF84F0050000400"/>
      <w:bookmarkEnd w:id="3187"/>
      <w:r>
        <w:rPr>
          <w:rFonts w:ascii="Arial" w:eastAsia="Arial" w:hAnsi="Arial" w:cs="Arial"/>
          <w:i/>
          <w:color w:val="000000"/>
          <w:sz w:val="20"/>
        </w:rPr>
        <w:t>Cash v. Smith</w:t>
      </w:r>
      <w:r>
        <w:rPr>
          <w:rFonts w:ascii="Arial" w:eastAsia="Arial" w:hAnsi="Arial" w:cs="Arial"/>
          <w:color w:val="000000"/>
          <w:sz w:val="20"/>
        </w:rPr>
        <w:t xml:space="preserve">, 231 F.3d 1301, 1305 (11th Cir. 2000). To prevail, Plaintiffs must prove (1) that they are [**17]  qualified individuals with a disability, (2) who were excluded from participation in or denied the benefits of the hospital's services, programs, or activities, or otherwise discriminated against, (3) on account of their disability. </w:t>
      </w:r>
      <w:bookmarkStart w:id="3188" w:name="Bookmark_I5GS69ST2HM6SX0030000400_2"/>
      <w:bookmarkStart w:id="3189" w:name="Bookmark_I5GS69ST2HM6SX0050000400"/>
      <w:bookmarkEnd w:id="3188"/>
      <w:bookmarkEnd w:id="3189"/>
      <w:r>
        <w:rPr>
          <w:rFonts w:ascii="Arial" w:eastAsia="Arial" w:hAnsi="Arial" w:cs="Arial"/>
          <w:i/>
          <w:color w:val="000000"/>
          <w:sz w:val="20"/>
        </w:rPr>
        <w:t xml:space="preserve">See </w:t>
      </w:r>
      <w:bookmarkStart w:id="3190" w:name="Bookmark_I5GS69ST2HM6SX0020000400"/>
      <w:bookmarkEnd w:id="3190"/>
      <w:r>
        <w:rPr>
          <w:rFonts w:ascii="Arial" w:eastAsia="Arial" w:hAnsi="Arial" w:cs="Arial"/>
          <w:i/>
          <w:color w:val="000000"/>
          <w:sz w:val="20"/>
        </w:rPr>
        <w:t>Shotz v. Cates</w:t>
      </w:r>
      <w:r>
        <w:rPr>
          <w:rFonts w:ascii="Arial" w:eastAsia="Arial" w:hAnsi="Arial" w:cs="Arial"/>
          <w:color w:val="000000"/>
          <w:sz w:val="20"/>
        </w:rPr>
        <w:t xml:space="preserve">, 256 F.3d 1077, 1079 (11th Cir. 2001). </w:t>
      </w:r>
      <w:bookmarkStart w:id="3191" w:name="Bookmark_I5GS69ST2HM6SX0050000400_2"/>
      <w:bookmarkEnd w:id="3191"/>
      <w:r>
        <w:rPr>
          <w:rFonts w:ascii="Arial" w:eastAsia="Arial" w:hAnsi="Arial" w:cs="Arial"/>
          <w:color w:val="000000"/>
          <w:sz w:val="20"/>
        </w:rPr>
        <w:t xml:space="preserve">Further, to recover compensatory damages, Plaintiffs must also show that the exclusion or denial was the result of intentional discrimination. </w:t>
      </w:r>
      <w:bookmarkStart w:id="3192" w:name="Bookmark_I5GS69ST2HM6SX0040000400"/>
      <w:bookmarkEnd w:id="3192"/>
      <w:r>
        <w:rPr>
          <w:rFonts w:ascii="Arial" w:eastAsia="Arial" w:hAnsi="Arial" w:cs="Arial"/>
          <w:i/>
          <w:color w:val="000000"/>
          <w:sz w:val="20"/>
        </w:rPr>
        <w:t>Liese</w:t>
      </w:r>
      <w:r>
        <w:rPr>
          <w:rFonts w:ascii="Arial" w:eastAsia="Arial" w:hAnsi="Arial" w:cs="Arial"/>
          <w:color w:val="000000"/>
          <w:sz w:val="20"/>
        </w:rPr>
        <w:t xml:space="preserve">, 701 F.3d at 344 (citing </w:t>
      </w:r>
      <w:bookmarkStart w:id="3193" w:name="Bookmark_I5GS69ST2SF84G0010000400"/>
      <w:bookmarkEnd w:id="3193"/>
      <w:r>
        <w:rPr>
          <w:rFonts w:ascii="Arial" w:eastAsia="Arial" w:hAnsi="Arial" w:cs="Arial"/>
          <w:i/>
          <w:color w:val="000000"/>
          <w:sz w:val="20"/>
        </w:rPr>
        <w:t>Wood v. President &amp; Trs. of Spring Hill Coll.</w:t>
      </w:r>
      <w:r>
        <w:rPr>
          <w:rFonts w:ascii="Arial" w:eastAsia="Arial" w:hAnsi="Arial" w:cs="Arial"/>
          <w:color w:val="000000"/>
          <w:sz w:val="20"/>
        </w:rPr>
        <w:t>, 978 F.2d 1214, 1219 (11th Cir. 1992)). Here, Plaintiffs sought both compensatory damages and injunctive relief in their complaint. There is no dispute that Plaintiffs are qualified individuals with a disability. The question is whether the hospital excluded Plaintiffs from, or denied them the benefits of, the hospital's services or programs by failing to provide a live ASL interpreter every time an interpreter was requested.</w:t>
      </w:r>
    </w:p>
    <w:p w14:paraId="612B7432" w14:textId="77777777" w:rsidR="002D0E71" w:rsidRDefault="00000000">
      <w:pPr>
        <w:pStyle w:val="Normal20"/>
        <w:widowControl w:val="0"/>
        <w:spacing w:before="200" w:line="260" w:lineRule="atLeast"/>
        <w:jc w:val="both"/>
      </w:pPr>
      <w:bookmarkStart w:id="3194" w:name="Bookmark_para_31_13"/>
      <w:bookmarkStart w:id="3195" w:name="Bookmark_LNHNREFclscc9_13"/>
      <w:bookmarkEnd w:id="3194"/>
      <w:bookmarkEnd w:id="3195"/>
      <w:r>
        <w:rPr>
          <w:rFonts w:ascii="Arial" w:eastAsia="Arial" w:hAnsi="Arial" w:cs="Arial"/>
          <w:color w:val="000000"/>
          <w:sz w:val="20"/>
        </w:rPr>
        <w:t xml:space="preserve">The governing regulations provide that such an exclusion or denial occurs when a hospital fails to provide "appropriate auxiliary aids" to a deaf individual, including a deaf companion, "where necessary to ensure effective communication." 28 C.F.R. § 36.303(c)(1). </w:t>
      </w:r>
      <w:r>
        <w:rPr>
          <w:rFonts w:ascii="Arial" w:eastAsia="Arial" w:hAnsi="Arial" w:cs="Arial"/>
          <w:i/>
          <w:color w:val="000000"/>
          <w:sz w:val="20"/>
        </w:rPr>
        <w:t>See also</w:t>
      </w:r>
      <w:r>
        <w:rPr>
          <w:rFonts w:ascii="Arial" w:eastAsia="Arial" w:hAnsi="Arial" w:cs="Arial"/>
          <w:color w:val="000000"/>
          <w:sz w:val="20"/>
        </w:rPr>
        <w:t xml:space="preserve"> 28 C.F.R. § 36.202(b) (requiring public accommodations to provide an "equal" opportunity for the hearing impaired to participate in and benefit from services). "Companion" includes a family [**18]  member of an individual seeking access to a hospital's services. 28 C.F.R. § 36.303(c)(1)(i). Appropriate auxiliary aids include live interpreters or video remote interpreting systems, among other aids such as computer-aided transcription services, written materials, and exchange of written notes. </w:t>
      </w:r>
      <w:r>
        <w:rPr>
          <w:rFonts w:ascii="Arial" w:eastAsia="Arial" w:hAnsi="Arial" w:cs="Arial"/>
          <w:i/>
          <w:color w:val="000000"/>
          <w:sz w:val="20"/>
        </w:rPr>
        <w:t>See</w:t>
      </w:r>
      <w:r>
        <w:rPr>
          <w:rFonts w:ascii="Arial" w:eastAsia="Arial" w:hAnsi="Arial" w:cs="Arial"/>
          <w:color w:val="000000"/>
          <w:sz w:val="20"/>
        </w:rPr>
        <w:t xml:space="preserve"> 28 C.F.R. § 36.303(b). The type of aid that is necessary varies depending on the individual's communication method, the "nature, length, and complexity" of the involved communication, and the context in which the communication occurs. 28 C.F.R. § 36.303(c)(1)(ii).</w:t>
      </w:r>
    </w:p>
    <w:p w14:paraId="5B159D7F" w14:textId="77777777" w:rsidR="002D0E71" w:rsidRDefault="00000000">
      <w:pPr>
        <w:pStyle w:val="Normal20"/>
        <w:widowControl w:val="0"/>
        <w:spacing w:before="200" w:line="260" w:lineRule="atLeast"/>
        <w:jc w:val="both"/>
      </w:pPr>
      <w:bookmarkStart w:id="3196" w:name="Bookmark_para_32_12"/>
      <w:bookmarkStart w:id="3197" w:name="Bookmark_I5GS69ST2SF84G0040000400"/>
      <w:bookmarkEnd w:id="3196"/>
      <w:bookmarkEnd w:id="3197"/>
      <w:r>
        <w:rPr>
          <w:rFonts w:ascii="Arial" w:eastAsia="Arial" w:hAnsi="Arial" w:cs="Arial"/>
          <w:color w:val="000000"/>
          <w:sz w:val="20"/>
        </w:rPr>
        <w:t xml:space="preserve">In accordance with the above regulations, this Court has recognized that </w:t>
      </w:r>
      <w:bookmarkStart w:id="3198" w:name="Bookmark_LNHNREFclscc10_13"/>
      <w:bookmarkEnd w:id="3198"/>
      <w:r>
        <w:rPr>
          <w:rFonts w:ascii="Arial" w:eastAsia="Arial" w:hAnsi="Arial" w:cs="Arial"/>
          <w:color w:val="000000"/>
          <w:sz w:val="20"/>
        </w:rPr>
        <w:t xml:space="preserve">the question whether a hospital has provided appropriate auxiliary aids to a deaf patient  [*602]  is generally a "fact-intensive" inquiry that depends on context, especially the nature, significance, and complexity of the involved treatment. </w:t>
      </w:r>
      <w:bookmarkStart w:id="3199" w:name="Bookmark_I5GS69ST28T4CG0010000400"/>
      <w:bookmarkStart w:id="3200" w:name="Bookmark_I5GS69ST2SF84G0030000400"/>
      <w:bookmarkEnd w:id="3199"/>
      <w:bookmarkEnd w:id="3200"/>
      <w:r>
        <w:rPr>
          <w:rFonts w:ascii="Arial" w:eastAsia="Arial" w:hAnsi="Arial" w:cs="Arial"/>
          <w:i/>
          <w:color w:val="000000"/>
          <w:sz w:val="20"/>
        </w:rPr>
        <w:t>Liese</w:t>
      </w:r>
      <w:r>
        <w:rPr>
          <w:rFonts w:ascii="Arial" w:eastAsia="Arial" w:hAnsi="Arial" w:cs="Arial"/>
          <w:color w:val="000000"/>
          <w:sz w:val="20"/>
        </w:rPr>
        <w:t xml:space="preserve">, 701 F.3d at 342. </w:t>
      </w:r>
      <w:bookmarkStart w:id="3201" w:name="Bookmark_I5GS69ST28T4CG0030000400"/>
      <w:bookmarkEnd w:id="3201"/>
      <w:r>
        <w:rPr>
          <w:rFonts w:ascii="Arial" w:eastAsia="Arial" w:hAnsi="Arial" w:cs="Arial"/>
          <w:color w:val="000000"/>
          <w:sz w:val="20"/>
        </w:rPr>
        <w:t xml:space="preserve">We have thus held that a live ASL interpreter might be necessary for a patient to understand a complex procedure such as gallbladder surgery. </w:t>
      </w:r>
      <w:bookmarkStart w:id="3202" w:name="Bookmark_I5GS69ST28T4CG0030000400_2"/>
      <w:bookmarkStart w:id="3203" w:name="Bookmark_I5GS69ST28T4CG0010000400_2"/>
      <w:bookmarkStart w:id="3204" w:name="Bookmark_I5GS69ST2SF84G0050000400"/>
      <w:bookmarkEnd w:id="3202"/>
      <w:bookmarkEnd w:id="3203"/>
      <w:bookmarkEnd w:id="3204"/>
      <w:r>
        <w:rPr>
          <w:rFonts w:ascii="Arial" w:eastAsia="Arial" w:hAnsi="Arial" w:cs="Arial"/>
          <w:i/>
          <w:color w:val="000000"/>
          <w:sz w:val="20"/>
        </w:rPr>
        <w:t>Id.</w:t>
      </w:r>
      <w:r>
        <w:rPr>
          <w:rFonts w:ascii="Arial" w:eastAsia="Arial" w:hAnsi="Arial" w:cs="Arial"/>
          <w:color w:val="000000"/>
          <w:sz w:val="20"/>
        </w:rPr>
        <w:t xml:space="preserve"> at 343-44 (finding a question of fact as to whether a hospital violated the ADA and the Rehab Act where a deaf patient asked for an interpreter but did not receive one, and thus did not understand much of what was conveyed to her, via lip-reading, notes, and pantomiming, [**19]  about her proposed gallbladder removal surgery). Yet we have also warned that not every denial of a request for an auxiliary aid precludes summary judgment or creates liability under the ADA or the Rehab Act. </w:t>
      </w:r>
      <w:bookmarkStart w:id="3205" w:name="Bookmark_I5GS69ST28T4CG0020000400"/>
      <w:bookmarkEnd w:id="3205"/>
      <w:r>
        <w:rPr>
          <w:rFonts w:ascii="Arial" w:eastAsia="Arial" w:hAnsi="Arial" w:cs="Arial"/>
          <w:i/>
          <w:color w:val="000000"/>
          <w:sz w:val="20"/>
        </w:rPr>
        <w:t>Id.</w:t>
      </w:r>
      <w:r>
        <w:rPr>
          <w:rFonts w:ascii="Arial" w:eastAsia="Arial" w:hAnsi="Arial" w:cs="Arial"/>
          <w:color w:val="000000"/>
          <w:sz w:val="20"/>
        </w:rPr>
        <w:t xml:space="preserve"> at 343. Otherwise, a requested service would automatically be transformed into a "necessary" service merely by the fact that it was requested. </w:t>
      </w:r>
      <w:r>
        <w:rPr>
          <w:rFonts w:ascii="Arial" w:eastAsia="Arial" w:hAnsi="Arial" w:cs="Arial"/>
          <w:i/>
          <w:color w:val="000000"/>
          <w:sz w:val="20"/>
        </w:rPr>
        <w:t>Id.</w:t>
      </w:r>
      <w:r>
        <w:rPr>
          <w:rFonts w:ascii="Arial" w:eastAsia="Arial" w:hAnsi="Arial" w:cs="Arial"/>
          <w:color w:val="000000"/>
          <w:sz w:val="20"/>
        </w:rPr>
        <w:t xml:space="preserve"> ("[C]onstruing the regulations in this manner would effectively substitute 'demanded' auxiliary aid for 'necessary' auxiliary aid.").</w:t>
      </w:r>
    </w:p>
    <w:p w14:paraId="6747EA39" w14:textId="77777777" w:rsidR="002D0E71" w:rsidRDefault="00000000">
      <w:pPr>
        <w:pStyle w:val="Normal20"/>
        <w:widowControl w:val="0"/>
        <w:spacing w:before="240" w:line="260" w:lineRule="atLeast"/>
      </w:pPr>
      <w:r>
        <w:br/>
      </w:r>
      <w:r>
        <w:rPr>
          <w:rFonts w:ascii="Arial" w:eastAsia="Arial" w:hAnsi="Arial" w:cs="Arial"/>
          <w:b/>
          <w:color w:val="000000"/>
          <w:sz w:val="20"/>
        </w:rPr>
        <w:t>C. Exclusion or Denial of Benefits</w:t>
      </w:r>
    </w:p>
    <w:p w14:paraId="4CF18BC9" w14:textId="77777777" w:rsidR="002D0E71" w:rsidRDefault="00000000">
      <w:pPr>
        <w:pStyle w:val="Normal20"/>
        <w:widowControl w:val="0"/>
        <w:spacing w:before="120" w:line="260" w:lineRule="atLeast"/>
      </w:pPr>
      <w:r>
        <w:rPr>
          <w:rFonts w:ascii="Arial" w:eastAsia="Arial" w:hAnsi="Arial" w:cs="Arial"/>
          <w:color w:val="000000"/>
          <w:sz w:val="20"/>
        </w:rPr>
        <w:t xml:space="preserve">1. </w:t>
      </w:r>
      <w:r>
        <w:rPr>
          <w:rFonts w:ascii="Arial" w:eastAsia="Arial" w:hAnsi="Arial" w:cs="Arial"/>
          <w:color w:val="000000"/>
          <w:sz w:val="20"/>
          <w:u w:val="single"/>
        </w:rPr>
        <w:t>John D'Ambrosio</w:t>
      </w:r>
    </w:p>
    <w:p w14:paraId="698C7A41" w14:textId="77777777" w:rsidR="002D0E71" w:rsidRDefault="00000000">
      <w:pPr>
        <w:pStyle w:val="Normal20"/>
        <w:widowControl w:val="0"/>
        <w:spacing w:before="200" w:line="260" w:lineRule="atLeast"/>
        <w:jc w:val="both"/>
      </w:pPr>
      <w:bookmarkStart w:id="3206" w:name="Bookmark_para_33_12"/>
      <w:bookmarkEnd w:id="3206"/>
      <w:r>
        <w:rPr>
          <w:rFonts w:ascii="Arial" w:eastAsia="Arial" w:hAnsi="Arial" w:cs="Arial"/>
          <w:color w:val="000000"/>
          <w:sz w:val="20"/>
        </w:rPr>
        <w:t>The record here indicates that the hospital provided the appropriate auxiliary aids necessary to ensure that D'Ambrosio could effectively communicate with hospital staff. It is undisputed that the staff immediately requested a live ASL interpreter for D'Ambrosio as soon as he arrived at the hospital. The request was cancelled only when it was determined that D'Ambrosio needed an emergency catheterization procedure. The reason for the cancellation is obvious: time was of the essence in performing the catheterization and waiting for a live interpreter would have been severely detrimental to D'Ambrosio's health. Indeed, had the doctors not gotten D'Ambrosio into the catheterization [**20]  lab as quickly as possible, but instead waited for an interpreter to arrive, they might well have been unable to save his life. In short, the biggest barrier to the staff's ability to converse with D'Ambrosio at that time was not the absence of a live ASL interpreter, but the fact that the doctors had to immediately begin the procedure necessary to save his life.</w:t>
      </w:r>
    </w:p>
    <w:p w14:paraId="4D3B0074" w14:textId="77777777" w:rsidR="002D0E71" w:rsidRDefault="00000000">
      <w:pPr>
        <w:pStyle w:val="Normal20"/>
        <w:widowControl w:val="0"/>
        <w:spacing w:before="200" w:line="260" w:lineRule="atLeast"/>
        <w:jc w:val="both"/>
      </w:pPr>
      <w:bookmarkStart w:id="3207" w:name="Bookmark_para_34_12"/>
      <w:bookmarkEnd w:id="3207"/>
      <w:r>
        <w:rPr>
          <w:rFonts w:ascii="Arial" w:eastAsia="Arial" w:hAnsi="Arial" w:cs="Arial"/>
          <w:color w:val="000000"/>
          <w:sz w:val="20"/>
        </w:rPr>
        <w:t>The undisputed evidence further shows that during D'Ambrosio's hospitalization following the catheterization, Dr. Wilson and other staff used a variety of appropriate auxiliary aids to ensure effective communication with him, including simple but detailed written notes and graphics. It is undisputed that D'Ambrosio can read and write English and that he regularly uses writing, including texting, to communicate with hearing and deaf individuals in other contexts. In fact, in his declaration, D'Ambrosio never specifies what, exactly, he failed to understand in these written notes and graphics.</w:t>
      </w:r>
      <w:r>
        <w:rPr>
          <w:rFonts w:ascii="Arial" w:eastAsia="Arial" w:hAnsi="Arial" w:cs="Arial"/>
          <w:vertAlign w:val="superscript"/>
        </w:rPr>
        <w:footnoteReference w:customMarkFollows="1" w:id="98"/>
        <w:t>6</w:t>
      </w:r>
      <w:r>
        <w:rPr>
          <w:rFonts w:ascii="Arial" w:eastAsia="Arial" w:hAnsi="Arial" w:cs="Arial"/>
          <w:color w:val="000000"/>
          <w:sz w:val="20"/>
        </w:rPr>
        <w:t xml:space="preserve"> In addition, it is undisputed that the hospital provided D'Ambrosio with bedside webcam interpreting services on June 24th, and with eight hours of live ASL interpreting services between June 26th and his discharge from the hospital on [**21]  June 28th.</w:t>
      </w:r>
    </w:p>
    <w:p w14:paraId="6B8D511B" w14:textId="77777777" w:rsidR="002D0E71" w:rsidRDefault="00000000">
      <w:pPr>
        <w:pStyle w:val="Normal20"/>
        <w:widowControl w:val="0"/>
        <w:spacing w:before="200" w:line="260" w:lineRule="atLeast"/>
        <w:jc w:val="both"/>
      </w:pPr>
      <w:bookmarkStart w:id="3209" w:name="Bookmark_para_35_12"/>
      <w:bookmarkStart w:id="3210" w:name="Bookmark_I3V615R345Y0007DCT00005X"/>
      <w:bookmarkStart w:id="3211" w:name="Bookmark_I5GS69ST28T4CG0050000400"/>
      <w:bookmarkEnd w:id="3209"/>
      <w:bookmarkEnd w:id="3210"/>
      <w:bookmarkEnd w:id="3211"/>
      <w:r>
        <w:rPr>
          <w:rFonts w:ascii="Arial" w:eastAsia="Arial" w:hAnsi="Arial" w:cs="Arial"/>
          <w:color w:val="000000"/>
          <w:sz w:val="20"/>
        </w:rPr>
        <w:t xml:space="preserve">In light of the above evidence, the declarations D'Ambrosio and his girlfriend provided to the district court were insufficient to show that the hospital failed to provide aids necessary to ensure effective communication, in violation of the ADA or the Rehab Act. Nor could a jury have reasonably  [*603]  inferred a violation based on the cited portions of D'Ambrosio's deposition testimony. </w:t>
      </w:r>
      <w:bookmarkStart w:id="3212" w:name="Bookmark_I3V615R38130007DCT00005Y"/>
      <w:bookmarkStart w:id="3213" w:name="Bookmark_I5GS69ST2SF84J0020000400"/>
      <w:bookmarkEnd w:id="3212"/>
      <w:bookmarkEnd w:id="3213"/>
      <w:r>
        <w:rPr>
          <w:rFonts w:ascii="Arial" w:eastAsia="Arial" w:hAnsi="Arial" w:cs="Arial"/>
          <w:color w:val="000000"/>
          <w:sz w:val="20"/>
        </w:rPr>
        <w:t>In fact, D'Ambrosio's deposition testimony clarifies that the basis of his discrimination claim is that he did not receive round-the-clock live ASL interpreting services during his hospitalization.</w:t>
      </w:r>
      <w:r>
        <w:rPr>
          <w:rFonts w:ascii="Arial" w:eastAsia="Arial" w:hAnsi="Arial" w:cs="Arial"/>
          <w:vertAlign w:val="superscript"/>
        </w:rPr>
        <w:footnoteReference w:customMarkFollows="1" w:id="99"/>
        <w:t>7</w:t>
      </w:r>
      <w:r>
        <w:rPr>
          <w:rFonts w:ascii="Arial" w:eastAsia="Arial" w:hAnsi="Arial" w:cs="Arial"/>
          <w:color w:val="000000"/>
          <w:sz w:val="20"/>
        </w:rPr>
        <w:t xml:space="preserve"> As we explained in </w:t>
      </w:r>
      <w:r>
        <w:rPr>
          <w:rFonts w:ascii="Arial" w:eastAsia="Arial" w:hAnsi="Arial" w:cs="Arial"/>
          <w:i/>
          <w:color w:val="000000"/>
          <w:sz w:val="20"/>
        </w:rPr>
        <w:t>Liese</w:t>
      </w:r>
      <w:r>
        <w:rPr>
          <w:rFonts w:ascii="Arial" w:eastAsia="Arial" w:hAnsi="Arial" w:cs="Arial"/>
          <w:color w:val="000000"/>
          <w:sz w:val="20"/>
        </w:rPr>
        <w:t>,</w:t>
      </w:r>
      <w:bookmarkStart w:id="3215" w:name="Bookmark_LNHNREFclscc11_11"/>
      <w:bookmarkEnd w:id="3215"/>
      <w:r>
        <w:rPr>
          <w:rFonts w:ascii="Arial" w:eastAsia="Arial" w:hAnsi="Arial" w:cs="Arial"/>
          <w:color w:val="000000"/>
          <w:sz w:val="20"/>
        </w:rPr>
        <w:t xml:space="preserve"> a hospital is not required by the ADA or the Rehab Act to provide every auxiliary aid that is demanded. </w:t>
      </w:r>
      <w:bookmarkStart w:id="3216" w:name="Bookmark_I5GS69ST28T4CG0040000400"/>
      <w:bookmarkEnd w:id="3216"/>
      <w:r>
        <w:rPr>
          <w:rFonts w:ascii="Arial" w:eastAsia="Arial" w:hAnsi="Arial" w:cs="Arial"/>
          <w:i/>
          <w:color w:val="000000"/>
          <w:sz w:val="20"/>
        </w:rPr>
        <w:t>Liese</w:t>
      </w:r>
      <w:r>
        <w:rPr>
          <w:rFonts w:ascii="Arial" w:eastAsia="Arial" w:hAnsi="Arial" w:cs="Arial"/>
          <w:color w:val="000000"/>
          <w:sz w:val="20"/>
        </w:rPr>
        <w:t xml:space="preserve">, 701 F.3d at 343. </w:t>
      </w:r>
      <w:bookmarkStart w:id="3217" w:name="Bookmark_I5GS69ST2SF84J0020000400_2"/>
      <w:bookmarkEnd w:id="3217"/>
      <w:r>
        <w:rPr>
          <w:rFonts w:ascii="Arial" w:eastAsia="Arial" w:hAnsi="Arial" w:cs="Arial"/>
          <w:i/>
          <w:color w:val="000000"/>
          <w:sz w:val="20"/>
        </w:rPr>
        <w:t xml:space="preserve">See also </w:t>
      </w:r>
      <w:bookmarkStart w:id="3218" w:name="Bookmark_I5GS69ST2SF84J0010000400"/>
      <w:bookmarkEnd w:id="3218"/>
      <w:r>
        <w:rPr>
          <w:rFonts w:ascii="Arial" w:eastAsia="Arial" w:hAnsi="Arial" w:cs="Arial"/>
          <w:i/>
          <w:color w:val="000000"/>
          <w:sz w:val="20"/>
        </w:rPr>
        <w:t>McCullum</w:t>
      </w:r>
      <w:r>
        <w:rPr>
          <w:rFonts w:ascii="Arial" w:eastAsia="Arial" w:hAnsi="Arial" w:cs="Arial"/>
          <w:color w:val="000000"/>
          <w:sz w:val="20"/>
        </w:rPr>
        <w:t>, 768 F.3d at 1147 (the applicable regulations "do not require healthcare providers to supply any and all auxiliary aids even if they are desired and demanded"). Because there is no evidence [**22]  that the hospital failed to provide auxiliary aids that were necessary to ensure effective communication with D'Ambrosio, Defendants are entitled to summary judgment on his claims.</w:t>
      </w:r>
    </w:p>
    <w:p w14:paraId="276D7963" w14:textId="77777777" w:rsidR="002D0E71" w:rsidRDefault="00000000">
      <w:pPr>
        <w:pStyle w:val="Normal20"/>
        <w:widowControl w:val="0"/>
        <w:spacing w:before="120" w:line="260" w:lineRule="atLeast"/>
      </w:pPr>
      <w:r>
        <w:rPr>
          <w:rFonts w:ascii="Arial" w:eastAsia="Arial" w:hAnsi="Arial" w:cs="Arial"/>
          <w:color w:val="000000"/>
          <w:sz w:val="20"/>
        </w:rPr>
        <w:t xml:space="preserve">2. </w:t>
      </w:r>
      <w:r>
        <w:rPr>
          <w:rFonts w:ascii="Arial" w:eastAsia="Arial" w:hAnsi="Arial" w:cs="Arial"/>
          <w:color w:val="000000"/>
          <w:sz w:val="20"/>
          <w:u w:val="single"/>
        </w:rPr>
        <w:t>Yolanda Gervarzes</w:t>
      </w:r>
    </w:p>
    <w:p w14:paraId="2DD6991E" w14:textId="77777777" w:rsidR="002D0E71" w:rsidRDefault="00000000">
      <w:pPr>
        <w:pStyle w:val="Normal20"/>
        <w:widowControl w:val="0"/>
        <w:spacing w:before="200" w:line="260" w:lineRule="atLeast"/>
        <w:jc w:val="both"/>
      </w:pPr>
      <w:bookmarkStart w:id="3219" w:name="Bookmark_para_36_12"/>
      <w:bookmarkEnd w:id="3219"/>
      <w:r>
        <w:rPr>
          <w:rFonts w:ascii="Arial" w:eastAsia="Arial" w:hAnsi="Arial" w:cs="Arial"/>
          <w:color w:val="000000"/>
          <w:sz w:val="20"/>
        </w:rPr>
        <w:t>Like D'Ambrosio, Gervarzes submitted a declaration in response to Defendants' summary judgment motion stating that she requested live ASL interpreting services, that the services were not provided, and that, as a result, she was unable to participate in her daughter's care. Gervarzes did not specify how her participation was limited. Moreover, there is undisputed evidence that Gervarzes was offered interpreting services over the LifeLinks system upon her arrival to the hospital, but she rejected those services. She then was provided at least five hours of live ASL interpreting services during her daughter's hospitalization. When a live interpreter was not there, the staff was able to communicate with Gervarzes via her daughter and by writing notes. Given this evidence, a reasonable jury could not conclude [**23]  that the hospital failed to provide the auxiliary aids necessary for effective communication with Gervarzes. Thus, the district court properly granted summary judgment to Defendants on her claims.</w:t>
      </w:r>
    </w:p>
    <w:p w14:paraId="1CBCD8AF" w14:textId="77777777" w:rsidR="002D0E71" w:rsidRDefault="00000000">
      <w:pPr>
        <w:pStyle w:val="Normal20"/>
        <w:widowControl w:val="0"/>
        <w:spacing w:before="120" w:line="260" w:lineRule="atLeast"/>
      </w:pPr>
      <w:r>
        <w:rPr>
          <w:rFonts w:ascii="Arial" w:eastAsia="Arial" w:hAnsi="Arial" w:cs="Arial"/>
          <w:color w:val="000000"/>
          <w:sz w:val="20"/>
        </w:rPr>
        <w:t xml:space="preserve">3. </w:t>
      </w:r>
      <w:r>
        <w:rPr>
          <w:rFonts w:ascii="Arial" w:eastAsia="Arial" w:hAnsi="Arial" w:cs="Arial"/>
          <w:color w:val="000000"/>
          <w:sz w:val="20"/>
          <w:u w:val="single"/>
        </w:rPr>
        <w:t>Richard Martin</w:t>
      </w:r>
    </w:p>
    <w:p w14:paraId="13D181AD" w14:textId="77777777" w:rsidR="002D0E71" w:rsidRDefault="00000000">
      <w:pPr>
        <w:pStyle w:val="Normal20"/>
        <w:widowControl w:val="0"/>
        <w:spacing w:before="200" w:line="260" w:lineRule="atLeast"/>
        <w:jc w:val="both"/>
      </w:pPr>
      <w:bookmarkStart w:id="3220" w:name="Bookmark_para_37_12"/>
      <w:bookmarkEnd w:id="3220"/>
      <w:r>
        <w:rPr>
          <w:rFonts w:ascii="Arial" w:eastAsia="Arial" w:hAnsi="Arial" w:cs="Arial"/>
          <w:color w:val="000000"/>
          <w:sz w:val="20"/>
        </w:rPr>
        <w:t xml:space="preserve">Finally, as to Richard Martin, he failed, both in the district court and on appeal, to cite to any evidence showing that he ever asked for a live interpreter during his brief emergency room visit. Martin's treating physician Dr. Kocisko testified that Martin did not ask for a live interpreter and further that, given how minor Martin's injury was—essentially a "bump on the head,"—an interpreter was not necessary. </w:t>
      </w:r>
      <w:bookmarkStart w:id="3221" w:name="Bookmark_I3V615R3JY30007DCT000061"/>
      <w:bookmarkStart w:id="3222" w:name="Bookmark_I5GS69ST2SF84J0040000400"/>
      <w:bookmarkEnd w:id="3221"/>
      <w:bookmarkEnd w:id="3222"/>
      <w:r>
        <w:rPr>
          <w:rFonts w:ascii="Arial" w:eastAsia="Arial" w:hAnsi="Arial" w:cs="Arial"/>
          <w:color w:val="000000"/>
          <w:sz w:val="20"/>
        </w:rPr>
        <w:t xml:space="preserve">Martin received typed instructions upon his discharge, which he indicated he understood, and it is undisputed that Martin was able to read and write English. Given this evidence, the hospital did not violate the ADA or the Rehab Act by failing to provide a live interpreter to Martin on this particular occasion. </w:t>
      </w:r>
      <w:r>
        <w:rPr>
          <w:rFonts w:ascii="Arial" w:eastAsia="Arial" w:hAnsi="Arial" w:cs="Arial"/>
          <w:i/>
          <w:color w:val="000000"/>
          <w:sz w:val="20"/>
        </w:rPr>
        <w:t xml:space="preserve">Cf. </w:t>
      </w:r>
      <w:bookmarkStart w:id="3223" w:name="Bookmark_I5GS69ST2SF84J0030000400"/>
      <w:bookmarkEnd w:id="3223"/>
      <w:r>
        <w:rPr>
          <w:rFonts w:ascii="Arial" w:eastAsia="Arial" w:hAnsi="Arial" w:cs="Arial"/>
          <w:i/>
          <w:color w:val="000000"/>
          <w:sz w:val="20"/>
        </w:rPr>
        <w:t>Liese</w:t>
      </w:r>
      <w:r>
        <w:rPr>
          <w:rFonts w:ascii="Arial" w:eastAsia="Arial" w:hAnsi="Arial" w:cs="Arial"/>
          <w:color w:val="000000"/>
          <w:sz w:val="20"/>
        </w:rPr>
        <w:t>, 701 F.3d at 343-44 (finding that a live interpreter might be required to explain the plaintiff's emergency gallbladder surgery).</w:t>
      </w:r>
    </w:p>
    <w:p w14:paraId="676883FD" w14:textId="77777777" w:rsidR="002D0E71" w:rsidRDefault="00000000">
      <w:pPr>
        <w:pStyle w:val="Normal20"/>
        <w:widowControl w:val="0"/>
        <w:spacing w:before="240" w:line="260" w:lineRule="atLeast"/>
      </w:pPr>
      <w:r>
        <w:br/>
      </w:r>
      <w:r>
        <w:rPr>
          <w:rFonts w:ascii="Arial" w:eastAsia="Arial" w:hAnsi="Arial" w:cs="Arial"/>
          <w:b/>
          <w:color w:val="000000"/>
          <w:sz w:val="20"/>
        </w:rPr>
        <w:t>D. Compensatory Damages</w:t>
      </w:r>
    </w:p>
    <w:p w14:paraId="2F9C7F51" w14:textId="77777777" w:rsidR="002D0E71" w:rsidRDefault="00000000">
      <w:pPr>
        <w:pStyle w:val="Normal20"/>
        <w:widowControl w:val="0"/>
        <w:spacing w:before="200" w:line="260" w:lineRule="atLeast"/>
        <w:jc w:val="both"/>
      </w:pPr>
      <w:bookmarkStart w:id="3224" w:name="Bookmark_para_38_11"/>
      <w:bookmarkStart w:id="3225" w:name="Bookmark_I5GS69ST2D6MXH0010000400"/>
      <w:bookmarkEnd w:id="3224"/>
      <w:bookmarkEnd w:id="3225"/>
      <w:r>
        <w:rPr>
          <w:rFonts w:ascii="Arial" w:eastAsia="Arial" w:hAnsi="Arial" w:cs="Arial"/>
          <w:color w:val="000000"/>
          <w:sz w:val="20"/>
        </w:rPr>
        <w:t xml:space="preserve">Assuming Defendants did fail to provide appropriate and necessary auxiliary aids, such a failure by itself does not sustain [**24]  a claim for compensatory damages. </w:t>
      </w:r>
      <w:bookmarkStart w:id="3226" w:name="Bookmark_I3V615R4BM70007DCT000066"/>
      <w:bookmarkStart w:id="3227" w:name="Bookmark_I5GS69ST2D6MXH0030000400"/>
      <w:bookmarkStart w:id="3228" w:name="Bookmark_I5GS69ST2SF84J0050000400"/>
      <w:bookmarkEnd w:id="3226"/>
      <w:bookmarkEnd w:id="3227"/>
      <w:bookmarkEnd w:id="3228"/>
      <w:r>
        <w:rPr>
          <w:rFonts w:ascii="Arial" w:eastAsia="Arial" w:hAnsi="Arial" w:cs="Arial"/>
          <w:i/>
          <w:color w:val="000000"/>
          <w:sz w:val="20"/>
        </w:rPr>
        <w:t>Id.</w:t>
      </w:r>
      <w:r>
        <w:rPr>
          <w:rFonts w:ascii="Arial" w:eastAsia="Arial" w:hAnsi="Arial" w:cs="Arial"/>
          <w:color w:val="000000"/>
          <w:sz w:val="20"/>
        </w:rPr>
        <w:t xml:space="preserve"> at 344. </w:t>
      </w:r>
      <w:bookmarkStart w:id="3229" w:name="Bookmark_I5GS69ST2SF84M0020000400"/>
      <w:bookmarkEnd w:id="3229"/>
      <w:r>
        <w:rPr>
          <w:rFonts w:ascii="Arial" w:eastAsia="Arial" w:hAnsi="Arial" w:cs="Arial"/>
          <w:color w:val="000000"/>
          <w:sz w:val="20"/>
        </w:rPr>
        <w:t xml:space="preserve">Plaintiffs must also show by a preponderance of evidence that the failure was the result of intentional discrimination. </w:t>
      </w:r>
      <w:bookmarkStart w:id="3230" w:name="Bookmark_I5GS69ST2SF84M0020000400_2"/>
      <w:bookmarkStart w:id="3231" w:name="Bookmark_I5GS69ST2D6MXH0030000400_2"/>
      <w:bookmarkStart w:id="3232" w:name="Bookmark_I5GS69ST2D6MXH0020000400"/>
      <w:bookmarkEnd w:id="3230"/>
      <w:bookmarkEnd w:id="3231"/>
      <w:bookmarkEnd w:id="3232"/>
      <w:r>
        <w:rPr>
          <w:rFonts w:ascii="Arial" w:eastAsia="Arial" w:hAnsi="Arial" w:cs="Arial"/>
          <w:i/>
          <w:color w:val="000000"/>
          <w:sz w:val="20"/>
        </w:rPr>
        <w:t>Id.</w:t>
      </w:r>
      <w:r>
        <w:rPr>
          <w:rFonts w:ascii="Arial" w:eastAsia="Arial" w:hAnsi="Arial" w:cs="Arial"/>
          <w:color w:val="000000"/>
          <w:sz w:val="20"/>
        </w:rPr>
        <w:t xml:space="preserve"> (citing </w:t>
      </w:r>
      <w:bookmarkStart w:id="3233" w:name="Bookmark_I5GS69ST2D6MXH0040000400"/>
      <w:bookmarkEnd w:id="3233"/>
      <w:r>
        <w:rPr>
          <w:rFonts w:ascii="Arial" w:eastAsia="Arial" w:hAnsi="Arial" w:cs="Arial"/>
          <w:i/>
          <w:color w:val="000000"/>
          <w:sz w:val="20"/>
        </w:rPr>
        <w:t>Wood</w:t>
      </w:r>
      <w:r>
        <w:rPr>
          <w:rFonts w:ascii="Arial" w:eastAsia="Arial" w:hAnsi="Arial" w:cs="Arial"/>
          <w:color w:val="000000"/>
          <w:sz w:val="20"/>
        </w:rPr>
        <w:t xml:space="preserve">, 978 F. 2d at 1219). Plaintiffs can meet this requirement with evidence that Defendants were "deliberately  [*604]  indifferent" to their rights under the ADA and the Rehab Act. </w:t>
      </w:r>
      <w:bookmarkStart w:id="3234" w:name="Bookmark_I5GS69ST2SF84M0010000400"/>
      <w:bookmarkEnd w:id="3234"/>
      <w:r>
        <w:rPr>
          <w:rFonts w:ascii="Arial" w:eastAsia="Arial" w:hAnsi="Arial" w:cs="Arial"/>
          <w:i/>
          <w:color w:val="000000"/>
          <w:sz w:val="20"/>
        </w:rPr>
        <w:t>Id.</w:t>
      </w:r>
      <w:r>
        <w:rPr>
          <w:rFonts w:ascii="Arial" w:eastAsia="Arial" w:hAnsi="Arial" w:cs="Arial"/>
          <w:color w:val="000000"/>
          <w:sz w:val="20"/>
        </w:rPr>
        <w:t xml:space="preserve"> at 345.</w:t>
      </w:r>
    </w:p>
    <w:p w14:paraId="21CD0A50" w14:textId="77777777" w:rsidR="002D0E71" w:rsidRDefault="00000000">
      <w:pPr>
        <w:pStyle w:val="Normal20"/>
        <w:widowControl w:val="0"/>
        <w:spacing w:before="200" w:line="260" w:lineRule="atLeast"/>
        <w:jc w:val="both"/>
      </w:pPr>
      <w:bookmarkStart w:id="3235" w:name="Bookmark_para_39_11"/>
      <w:bookmarkStart w:id="3236" w:name="Bookmark_I83R9JTKKTD00002SS60006J"/>
      <w:bookmarkStart w:id="3237" w:name="Bookmark_I83R9JTKNBM00002SS60006K"/>
      <w:bookmarkStart w:id="3238" w:name="Bookmark_I5GS69ST2SF84M0040000400"/>
      <w:bookmarkStart w:id="3239" w:name="Bookmark_I5GS69ST28T4CM0030000400"/>
      <w:bookmarkStart w:id="3240" w:name="Bookmark_LNHNREFclscc12_11"/>
      <w:bookmarkEnd w:id="3235"/>
      <w:bookmarkEnd w:id="3236"/>
      <w:bookmarkEnd w:id="3237"/>
      <w:bookmarkEnd w:id="3238"/>
      <w:bookmarkEnd w:id="3239"/>
      <w:bookmarkEnd w:id="3240"/>
      <w:r>
        <w:rPr>
          <w:rFonts w:ascii="Arial" w:eastAsia="Arial" w:hAnsi="Arial" w:cs="Arial"/>
          <w:color w:val="000000"/>
          <w:sz w:val="20"/>
        </w:rPr>
        <w:t xml:space="preserve">Deliberate indifference occurs when a defendant knows that a rights violation is substantially likely and fails to act on that likelihood. </w:t>
      </w:r>
      <w:bookmarkStart w:id="3241" w:name="Bookmark_I5GS69ST2SF84M0030000400"/>
      <w:bookmarkEnd w:id="3241"/>
      <w:r>
        <w:rPr>
          <w:rFonts w:ascii="Arial" w:eastAsia="Arial" w:hAnsi="Arial" w:cs="Arial"/>
          <w:i/>
          <w:color w:val="000000"/>
          <w:sz w:val="20"/>
        </w:rPr>
        <w:t>Id.</w:t>
      </w:r>
      <w:r>
        <w:rPr>
          <w:rFonts w:ascii="Arial" w:eastAsia="Arial" w:hAnsi="Arial" w:cs="Arial"/>
          <w:color w:val="000000"/>
          <w:sz w:val="20"/>
        </w:rPr>
        <w:t xml:space="preserve"> at 344; </w:t>
      </w:r>
      <w:r>
        <w:rPr>
          <w:rFonts w:ascii="Arial" w:eastAsia="Arial" w:hAnsi="Arial" w:cs="Arial"/>
          <w:i/>
          <w:color w:val="000000"/>
          <w:sz w:val="20"/>
        </w:rPr>
        <w:t xml:space="preserve">see also </w:t>
      </w:r>
      <w:bookmarkStart w:id="3242" w:name="Bookmark_I5GS69ST2SF84M0050000400"/>
      <w:bookmarkEnd w:id="3242"/>
      <w:r>
        <w:rPr>
          <w:rFonts w:ascii="Arial" w:eastAsia="Arial" w:hAnsi="Arial" w:cs="Arial"/>
          <w:i/>
          <w:color w:val="000000"/>
          <w:sz w:val="20"/>
        </w:rPr>
        <w:t>Doe v. Sch. Bd. of Broward Cnty., Florida</w:t>
      </w:r>
      <w:r>
        <w:rPr>
          <w:rFonts w:ascii="Arial" w:eastAsia="Arial" w:hAnsi="Arial" w:cs="Arial"/>
          <w:color w:val="000000"/>
          <w:sz w:val="20"/>
        </w:rPr>
        <w:t xml:space="preserve">, 604 F.3d 1248, 1259 (11th Cir. 2010) (describing deliberate indifference as "an exacting standard"). </w:t>
      </w:r>
      <w:bookmarkStart w:id="3243" w:name="Bookmark_I5GS69ST28T4CM0050000400"/>
      <w:bookmarkEnd w:id="3243"/>
      <w:r>
        <w:rPr>
          <w:rFonts w:ascii="Arial" w:eastAsia="Arial" w:hAnsi="Arial" w:cs="Arial"/>
          <w:color w:val="000000"/>
          <w:sz w:val="20"/>
        </w:rPr>
        <w:t xml:space="preserve">As the name implies, deliberate indifference involves a "deliberate choice." </w:t>
      </w:r>
      <w:bookmarkStart w:id="3244" w:name="Bookmark_I5GS69ST28T4CM0020000400"/>
      <w:bookmarkEnd w:id="3244"/>
      <w:r>
        <w:rPr>
          <w:rFonts w:ascii="Arial" w:eastAsia="Arial" w:hAnsi="Arial" w:cs="Arial"/>
          <w:i/>
          <w:color w:val="000000"/>
          <w:sz w:val="20"/>
        </w:rPr>
        <w:t>Liese</w:t>
      </w:r>
      <w:r>
        <w:rPr>
          <w:rFonts w:ascii="Arial" w:eastAsia="Arial" w:hAnsi="Arial" w:cs="Arial"/>
          <w:color w:val="000000"/>
          <w:sz w:val="20"/>
        </w:rPr>
        <w:t xml:space="preserve">, 701 F.3d at 344. </w:t>
      </w:r>
      <w:bookmarkStart w:id="3245" w:name="Bookmark_I5GS69ST28T4CM0050000400_2"/>
      <w:bookmarkEnd w:id="3245"/>
      <w:r>
        <w:rPr>
          <w:rFonts w:ascii="Arial" w:eastAsia="Arial" w:hAnsi="Arial" w:cs="Arial"/>
          <w:color w:val="000000"/>
          <w:sz w:val="20"/>
        </w:rPr>
        <w:t xml:space="preserve">Mere negligence is insufficient. </w:t>
      </w:r>
      <w:bookmarkStart w:id="3246" w:name="Bookmark_I5GS69ST2HM6T40020000400"/>
      <w:bookmarkEnd w:id="3246"/>
      <w:r>
        <w:rPr>
          <w:rFonts w:ascii="Arial" w:eastAsia="Arial" w:hAnsi="Arial" w:cs="Arial"/>
          <w:i/>
          <w:color w:val="000000"/>
          <w:sz w:val="20"/>
        </w:rPr>
        <w:t xml:space="preserve">See </w:t>
      </w:r>
      <w:bookmarkStart w:id="3247" w:name="Bookmark_I5GS69ST28T4CM0040000400"/>
      <w:bookmarkEnd w:id="3247"/>
      <w:r>
        <w:rPr>
          <w:rFonts w:ascii="Arial" w:eastAsia="Arial" w:hAnsi="Arial" w:cs="Arial"/>
          <w:i/>
          <w:color w:val="000000"/>
          <w:sz w:val="20"/>
        </w:rPr>
        <w:t>Kelley v. Hicks</w:t>
      </w:r>
      <w:r>
        <w:rPr>
          <w:rFonts w:ascii="Arial" w:eastAsia="Arial" w:hAnsi="Arial" w:cs="Arial"/>
          <w:color w:val="000000"/>
          <w:sz w:val="20"/>
        </w:rPr>
        <w:t xml:space="preserve">, 400 F.3d 1282, 1285 (11th Cir. 2005) (applying the deliberate indifference standard in an Eighth Amendment case). </w:t>
      </w:r>
      <w:bookmarkStart w:id="3248" w:name="Bookmark_I5GS69ST2HM6T40020000400_2"/>
      <w:bookmarkStart w:id="3249" w:name="Bookmark_I3V615R41P70007DCT000064"/>
      <w:bookmarkStart w:id="3250" w:name="Bookmark_I5GS69ST2HM6T40040000400"/>
      <w:bookmarkEnd w:id="3248"/>
      <w:bookmarkEnd w:id="3249"/>
      <w:bookmarkEnd w:id="3250"/>
      <w:r>
        <w:rPr>
          <w:rFonts w:ascii="Arial" w:eastAsia="Arial" w:hAnsi="Arial" w:cs="Arial"/>
          <w:color w:val="000000"/>
          <w:sz w:val="20"/>
        </w:rPr>
        <w:t xml:space="preserve">As such, a hospital's failure to provide an interpreter on demand is not sufficient to support a finding of deliberate indifference. </w:t>
      </w:r>
      <w:bookmarkStart w:id="3251" w:name="Bookmark_I5GS69ST2HM6T40010000400"/>
      <w:bookmarkEnd w:id="3251"/>
      <w:r>
        <w:rPr>
          <w:rFonts w:ascii="Arial" w:eastAsia="Arial" w:hAnsi="Arial" w:cs="Arial"/>
          <w:i/>
          <w:color w:val="000000"/>
          <w:sz w:val="20"/>
        </w:rPr>
        <w:t>McCullum</w:t>
      </w:r>
      <w:r>
        <w:rPr>
          <w:rFonts w:ascii="Arial" w:eastAsia="Arial" w:hAnsi="Arial" w:cs="Arial"/>
          <w:color w:val="000000"/>
          <w:sz w:val="20"/>
        </w:rPr>
        <w:t xml:space="preserve">, 768 F.3d at 1147. </w:t>
      </w:r>
      <w:bookmarkStart w:id="3252" w:name="Bookmark_I5GS69ST2HM6T40040000400_2"/>
      <w:bookmarkEnd w:id="3252"/>
      <w:r>
        <w:rPr>
          <w:rFonts w:ascii="Arial" w:eastAsia="Arial" w:hAnsi="Arial" w:cs="Arial"/>
          <w:color w:val="000000"/>
          <w:sz w:val="20"/>
        </w:rPr>
        <w:t xml:space="preserve">Rather, a plaintiff must show that hospital staff knew there was a substantial likelihood that they would be unable to communicate effectively absent an interpreter, but still made a "deliberate choice" not to provide one. </w:t>
      </w:r>
      <w:bookmarkStart w:id="3253" w:name="Bookmark_I5GS69ST2HM6T40030000400"/>
      <w:bookmarkEnd w:id="3253"/>
      <w:r>
        <w:rPr>
          <w:rFonts w:ascii="Arial" w:eastAsia="Arial" w:hAnsi="Arial" w:cs="Arial"/>
          <w:i/>
          <w:color w:val="000000"/>
          <w:sz w:val="20"/>
        </w:rPr>
        <w:t>Id.</w:t>
      </w:r>
      <w:r>
        <w:rPr>
          <w:rFonts w:ascii="Arial" w:eastAsia="Arial" w:hAnsi="Arial" w:cs="Arial"/>
          <w:color w:val="000000"/>
          <w:sz w:val="20"/>
        </w:rPr>
        <w:t xml:space="preserve"> at 1147-48.</w:t>
      </w:r>
    </w:p>
    <w:p w14:paraId="52116844" w14:textId="77777777" w:rsidR="002D0E71" w:rsidRDefault="00000000">
      <w:pPr>
        <w:pStyle w:val="Normal20"/>
        <w:widowControl w:val="0"/>
        <w:spacing w:before="200" w:line="260" w:lineRule="atLeast"/>
        <w:jc w:val="both"/>
      </w:pPr>
      <w:bookmarkStart w:id="3254" w:name="Bookmark_para_40_11"/>
      <w:bookmarkStart w:id="3255" w:name="Bookmark_I5GS69ST2SF84N0010000400"/>
      <w:bookmarkEnd w:id="3254"/>
      <w:bookmarkEnd w:id="3255"/>
      <w:r>
        <w:rPr>
          <w:rFonts w:ascii="Arial" w:eastAsia="Arial" w:hAnsi="Arial" w:cs="Arial"/>
          <w:color w:val="000000"/>
          <w:sz w:val="20"/>
        </w:rPr>
        <w:t xml:space="preserve">Here, the district court, having based its grant of summary judgment on Plaintiffs' failure to offer evidence that Defendants [**25]  failed to provide appropriate aids necessary to effective communication, did not need to reach the question whether Defendants had acted with deliberate indifference to Plaintiffs' rights under the pertinent statutes. We likewise do not need to explore Defendants' state of mind except to note the obvious: when a plaintiff cannot show that a defendant failed to provide appropriate communication aids, that plaintiff has also necessarily failed to show that the defendant acted with deliberate indifference to the plaintiff's rights under the relevant statutes. </w:t>
      </w:r>
      <w:r>
        <w:rPr>
          <w:rFonts w:ascii="Arial" w:eastAsia="Arial" w:hAnsi="Arial" w:cs="Arial"/>
          <w:i/>
          <w:color w:val="000000"/>
          <w:sz w:val="20"/>
        </w:rPr>
        <w:t xml:space="preserve">Cf. </w:t>
      </w:r>
      <w:bookmarkStart w:id="3256" w:name="Bookmark_I5GS69ST2HM6T40050000400"/>
      <w:bookmarkEnd w:id="3256"/>
      <w:r>
        <w:rPr>
          <w:rFonts w:ascii="Arial" w:eastAsia="Arial" w:hAnsi="Arial" w:cs="Arial"/>
          <w:i/>
          <w:color w:val="000000"/>
          <w:sz w:val="20"/>
        </w:rPr>
        <w:t>Loeffler v. Staten Island Univ. Hosp.</w:t>
      </w:r>
      <w:r>
        <w:rPr>
          <w:rFonts w:ascii="Arial" w:eastAsia="Arial" w:hAnsi="Arial" w:cs="Arial"/>
          <w:color w:val="000000"/>
          <w:sz w:val="20"/>
        </w:rPr>
        <w:t>, 582 F.3d 268, 276 (2d Cir. 2009) (finding an issue of fact as to deliberate indifference where the defendant hospital failed to provide any interpretive services whatsoever during the twelve-day period following a heart patient's surgery and subsequent stroke and convalescence).</w:t>
      </w:r>
    </w:p>
    <w:p w14:paraId="00D9E44E" w14:textId="77777777" w:rsidR="002D0E71" w:rsidRDefault="00000000">
      <w:pPr>
        <w:pStyle w:val="Normal20"/>
        <w:widowControl w:val="0"/>
        <w:spacing w:before="240" w:line="260" w:lineRule="atLeast"/>
      </w:pPr>
      <w:r>
        <w:br/>
      </w:r>
      <w:r>
        <w:rPr>
          <w:rFonts w:ascii="Arial" w:eastAsia="Arial" w:hAnsi="Arial" w:cs="Arial"/>
          <w:b/>
          <w:color w:val="000000"/>
          <w:sz w:val="20"/>
        </w:rPr>
        <w:t>CONCLUSION</w:t>
      </w:r>
    </w:p>
    <w:p w14:paraId="42183185" w14:textId="77777777" w:rsidR="002D0E71" w:rsidRDefault="00000000">
      <w:pPr>
        <w:pStyle w:val="Normal20"/>
        <w:widowControl w:val="0"/>
        <w:spacing w:before="200" w:line="260" w:lineRule="atLeast"/>
        <w:jc w:val="both"/>
      </w:pPr>
      <w:bookmarkStart w:id="3257" w:name="Bookmark_para_41_10"/>
      <w:bookmarkEnd w:id="3257"/>
      <w:r>
        <w:rPr>
          <w:rFonts w:ascii="Arial" w:eastAsia="Arial" w:hAnsi="Arial" w:cs="Arial"/>
          <w:color w:val="000000"/>
          <w:sz w:val="20"/>
        </w:rPr>
        <w:t xml:space="preserve">For the reasons stated above, we </w:t>
      </w:r>
      <w:r>
        <w:rPr>
          <w:rFonts w:ascii="Arial" w:eastAsia="Arial" w:hAnsi="Arial" w:cs="Arial"/>
          <w:b/>
          <w:color w:val="000000"/>
          <w:sz w:val="20"/>
        </w:rPr>
        <w:t>AFFIRM</w:t>
      </w:r>
      <w:r>
        <w:rPr>
          <w:rFonts w:ascii="Arial" w:eastAsia="Arial" w:hAnsi="Arial" w:cs="Arial"/>
          <w:color w:val="000000"/>
          <w:sz w:val="20"/>
        </w:rPr>
        <w:t xml:space="preserve"> the judgment of the district court.</w:t>
      </w:r>
    </w:p>
    <w:p w14:paraId="3530831A" w14:textId="77777777" w:rsidR="002D0E71" w:rsidRDefault="002D0E71">
      <w:pPr>
        <w:pStyle w:val="Normal20"/>
      </w:pPr>
    </w:p>
    <w:p w14:paraId="21223BD6" w14:textId="6AA27DAF" w:rsidR="002D0E71" w:rsidRDefault="00000000">
      <w:pPr>
        <w:pStyle w:val="Normal20"/>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02272" behindDoc="0" locked="0" layoutInCell="1" allowOverlap="1" wp14:anchorId="325469DD" wp14:editId="1AB69C9A">
                <wp:simplePos x="0" y="0"/>
                <wp:positionH relativeFrom="column">
                  <wp:posOffset>0</wp:posOffset>
                </wp:positionH>
                <wp:positionV relativeFrom="paragraph">
                  <wp:posOffset>127000</wp:posOffset>
                </wp:positionV>
                <wp:extent cx="6502400" cy="0"/>
                <wp:effectExtent l="9525" t="12700" r="12700" b="6350"/>
                <wp:wrapNone/>
                <wp:docPr id="547860947"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77F329" id="Line 44"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95E4DD8" w14:textId="77777777" w:rsidR="002D0E71" w:rsidRDefault="002D0E71">
      <w:pPr>
        <w:pStyle w:val="Normal21"/>
        <w:sectPr w:rsidR="002D0E71">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gutter="0"/>
          <w:cols w:space="720"/>
          <w:titlePg/>
        </w:sectPr>
      </w:pPr>
    </w:p>
    <w:p w14:paraId="71DD2DC9" w14:textId="77777777" w:rsidR="002D0E71" w:rsidRDefault="002D0E71">
      <w:pPr>
        <w:pStyle w:val="Normal21"/>
      </w:pPr>
    </w:p>
    <w:p w14:paraId="4D325B73" w14:textId="77777777" w:rsidR="002D0E71" w:rsidRDefault="00000000">
      <w:pPr>
        <w:pStyle w:val="Heading120"/>
        <w:keepNext w:val="0"/>
        <w:widowControl w:val="0"/>
        <w:spacing w:after="200" w:line="340" w:lineRule="atLeast"/>
        <w:jc w:val="center"/>
      </w:pPr>
      <w:r>
        <w:rPr>
          <w:rFonts w:eastAsia="Arial"/>
          <w:color w:val="000000"/>
          <w:sz w:val="28"/>
        </w:rPr>
        <w:t>Gomez v. Dade Cnty. Fed. Credit Union</w:t>
      </w:r>
    </w:p>
    <w:p w14:paraId="1FEB261E" w14:textId="77777777" w:rsidR="002D0E71" w:rsidRDefault="00000000">
      <w:pPr>
        <w:pStyle w:val="Normal21"/>
        <w:widowControl w:val="0"/>
        <w:spacing w:before="120" w:line="260" w:lineRule="atLeast"/>
        <w:jc w:val="center"/>
      </w:pPr>
      <w:r>
        <w:rPr>
          <w:rFonts w:ascii="Arial" w:eastAsia="Arial" w:hAnsi="Arial" w:cs="Arial"/>
          <w:color w:val="000000"/>
          <w:sz w:val="20"/>
        </w:rPr>
        <w:t>United States Court of Appeals for the Eleventh Circuit</w:t>
      </w:r>
    </w:p>
    <w:p w14:paraId="1B22107D" w14:textId="77777777" w:rsidR="002D0E71" w:rsidRDefault="00000000">
      <w:pPr>
        <w:pStyle w:val="Normal21"/>
        <w:widowControl w:val="0"/>
        <w:spacing w:before="120" w:line="260" w:lineRule="atLeast"/>
        <w:jc w:val="center"/>
      </w:pPr>
      <w:r>
        <w:rPr>
          <w:rFonts w:ascii="Arial" w:eastAsia="Arial" w:hAnsi="Arial" w:cs="Arial"/>
          <w:color w:val="000000"/>
          <w:sz w:val="20"/>
        </w:rPr>
        <w:t>May 6, 2015, Decided</w:t>
      </w:r>
    </w:p>
    <w:p w14:paraId="04DF38BF" w14:textId="77777777" w:rsidR="002D0E71" w:rsidRDefault="00000000">
      <w:pPr>
        <w:pStyle w:val="Normal21"/>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14-11539</w:t>
      </w:r>
    </w:p>
    <w:p w14:paraId="0290A6BF" w14:textId="77777777" w:rsidR="002D0E71" w:rsidRDefault="002D0E71">
      <w:pPr>
        <w:pStyle w:val="Normal21"/>
        <w:widowControl w:val="0"/>
        <w:spacing w:line="240" w:lineRule="atLeast"/>
        <w:jc w:val="both"/>
      </w:pPr>
      <w:bookmarkStart w:id="3258" w:name="Bookmark_22"/>
      <w:bookmarkEnd w:id="3258"/>
    </w:p>
    <w:p w14:paraId="02599913" w14:textId="77777777" w:rsidR="002D0E71" w:rsidRDefault="00000000">
      <w:pPr>
        <w:pStyle w:val="Normal21"/>
        <w:widowControl w:val="0"/>
        <w:spacing w:before="200" w:line="240" w:lineRule="atLeast"/>
      </w:pPr>
      <w:bookmarkStart w:id="3259" w:name="Reporter_20"/>
      <w:bookmarkEnd w:id="3259"/>
      <w:r>
        <w:rPr>
          <w:rFonts w:ascii="Arial" w:eastAsia="Arial" w:hAnsi="Arial" w:cs="Arial"/>
          <w:b/>
          <w:color w:val="000000"/>
          <w:sz w:val="18"/>
        </w:rPr>
        <w:t>Reporter</w:t>
      </w:r>
    </w:p>
    <w:p w14:paraId="42521D69" w14:textId="77777777" w:rsidR="002D0E71" w:rsidRDefault="00000000">
      <w:pPr>
        <w:pStyle w:val="Normal21"/>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610 Fed. Appx. 859 *; 2015 U.S. App. LEXIS 7481 **; 2015 WL 2082213</w:t>
      </w:r>
    </w:p>
    <w:p w14:paraId="633F15C3" w14:textId="77777777" w:rsidR="002D0E71" w:rsidRDefault="00000000">
      <w:pPr>
        <w:pStyle w:val="Normal21"/>
        <w:widowControl w:val="0"/>
        <w:spacing w:before="120" w:line="260" w:lineRule="atLeast"/>
      </w:pPr>
      <w:r>
        <w:rPr>
          <w:rFonts w:ascii="Arial" w:eastAsia="Arial" w:hAnsi="Arial" w:cs="Arial"/>
          <w:color w:val="000000"/>
          <w:sz w:val="20"/>
        </w:rPr>
        <w:t>ANDRES GOMEZ, Plaintiff-Appellant, versus DADE COUNTY FEDERAL CREDIT UNION, Defendant-Appellee.</w:t>
      </w:r>
    </w:p>
    <w:p w14:paraId="0632BD20" w14:textId="77777777" w:rsidR="002D0E71" w:rsidRDefault="00000000">
      <w:pPr>
        <w:pStyle w:val="Normal21"/>
        <w:widowControl w:val="0"/>
        <w:spacing w:before="240" w:line="260" w:lineRule="atLeast"/>
        <w:jc w:val="both"/>
      </w:pPr>
      <w:bookmarkStart w:id="3260" w:name="Notice_6"/>
      <w:bookmarkEnd w:id="3260"/>
      <w:r>
        <w:rPr>
          <w:rFonts w:ascii="Arial" w:eastAsia="Arial" w:hAnsi="Arial" w:cs="Arial"/>
          <w:b/>
          <w:color w:val="000000"/>
          <w:sz w:val="20"/>
        </w:rPr>
        <w:t>Notice:</w:t>
      </w:r>
      <w:r>
        <w:rPr>
          <w:rFonts w:ascii="Arial" w:eastAsia="Arial" w:hAnsi="Arial" w:cs="Arial"/>
          <w:color w:val="000000"/>
          <w:sz w:val="20"/>
        </w:rPr>
        <w:t> </w:t>
      </w:r>
      <w:bookmarkStart w:id="3261" w:name="Bookmark_para_1_20"/>
      <w:bookmarkEnd w:id="3261"/>
      <w:r>
        <w:rPr>
          <w:rFonts w:ascii="Arial" w:eastAsia="Arial" w:hAnsi="Arial" w:cs="Arial"/>
          <w:color w:val="000000"/>
          <w:sz w:val="20"/>
        </w:rPr>
        <w:t>PLEASE REFER TO FEDERAL RULES OF APPELLATE PROCEDURE RULE 32.1 GOVERNING THE CITATION TO UNPUBLISHED OPINIONS.</w:t>
      </w:r>
    </w:p>
    <w:p w14:paraId="638E1B96" w14:textId="77777777" w:rsidR="002D0E71" w:rsidRDefault="00000000">
      <w:pPr>
        <w:pStyle w:val="Normal21"/>
        <w:widowControl w:val="0"/>
        <w:spacing w:before="240" w:line="260" w:lineRule="atLeast"/>
        <w:jc w:val="both"/>
      </w:pPr>
      <w:bookmarkStart w:id="3262" w:name="Prior_History_20"/>
      <w:bookmarkEnd w:id="3262"/>
      <w:r>
        <w:rPr>
          <w:rFonts w:ascii="Arial" w:eastAsia="Arial" w:hAnsi="Arial" w:cs="Arial"/>
          <w:b/>
          <w:color w:val="000000"/>
          <w:sz w:val="20"/>
        </w:rPr>
        <w:t>Prior History:</w:t>
      </w:r>
      <w:r>
        <w:rPr>
          <w:rFonts w:ascii="Arial" w:eastAsia="Arial" w:hAnsi="Arial" w:cs="Arial"/>
          <w:color w:val="000000"/>
          <w:sz w:val="20"/>
        </w:rPr>
        <w:t> </w:t>
      </w:r>
      <w:bookmarkStart w:id="3263" w:name="Bookmark_para_2_20"/>
      <w:bookmarkEnd w:id="3263"/>
      <w:r>
        <w:rPr>
          <w:rFonts w:ascii="Arial" w:eastAsia="Arial" w:hAnsi="Arial" w:cs="Arial"/>
          <w:color w:val="000000"/>
          <w:sz w:val="20"/>
        </w:rPr>
        <w:t> [**1] Appeal from the United States District Court for the Southern District of Florida. D.C. Docket No. 1:13-cv-23882-FAM.</w:t>
      </w:r>
    </w:p>
    <w:p w14:paraId="5DC534B7" w14:textId="77777777" w:rsidR="002D0E71" w:rsidRDefault="00000000">
      <w:pPr>
        <w:pStyle w:val="Normal21"/>
        <w:widowControl w:val="0"/>
        <w:spacing w:before="120" w:line="260" w:lineRule="atLeast"/>
      </w:pPr>
      <w:r>
        <w:rPr>
          <w:rFonts w:ascii="Arial" w:eastAsia="Arial" w:hAnsi="Arial" w:cs="Arial"/>
          <w:color w:val="000000"/>
          <w:sz w:val="20"/>
        </w:rPr>
        <w:t>Gomez v. Dade County Fed. Credit Union, 2014 U.S. Dist. LEXIS 38422 (S.D. Fla., Mar. 24, 2014)</w:t>
      </w:r>
    </w:p>
    <w:p w14:paraId="7184278B" w14:textId="77777777" w:rsidR="002D0E71" w:rsidRDefault="00000000">
      <w:pPr>
        <w:pStyle w:val="Normal21"/>
        <w:widowControl w:val="0"/>
        <w:spacing w:before="240" w:line="260" w:lineRule="atLeast"/>
        <w:jc w:val="both"/>
      </w:pPr>
      <w:bookmarkStart w:id="3264" w:name="Disposition_6"/>
      <w:bookmarkEnd w:id="3264"/>
      <w:r>
        <w:rPr>
          <w:rFonts w:ascii="Arial" w:eastAsia="Arial" w:hAnsi="Arial" w:cs="Arial"/>
          <w:b/>
          <w:color w:val="000000"/>
          <w:sz w:val="20"/>
        </w:rPr>
        <w:t>Disposition:</w:t>
      </w:r>
      <w:r>
        <w:rPr>
          <w:rFonts w:ascii="Arial" w:eastAsia="Arial" w:hAnsi="Arial" w:cs="Arial"/>
          <w:color w:val="000000"/>
          <w:sz w:val="20"/>
        </w:rPr>
        <w:t> </w:t>
      </w:r>
      <w:bookmarkStart w:id="3265" w:name="Bookmark_clspara_4_5"/>
      <w:bookmarkEnd w:id="3265"/>
      <w:r>
        <w:rPr>
          <w:rFonts w:ascii="Arial" w:eastAsia="Arial" w:hAnsi="Arial" w:cs="Arial"/>
          <w:color w:val="000000"/>
          <w:sz w:val="20"/>
        </w:rPr>
        <w:t>AFFIRMED.</w:t>
      </w:r>
    </w:p>
    <w:p w14:paraId="75EE023E" w14:textId="77777777" w:rsidR="002D0E71" w:rsidRDefault="00000000">
      <w:pPr>
        <w:pStyle w:val="Normal21"/>
        <w:widowControl w:val="0"/>
        <w:spacing w:before="240" w:line="260" w:lineRule="atLeast"/>
      </w:pPr>
      <w:bookmarkStart w:id="3266" w:name="Counsel_20"/>
      <w:bookmarkEnd w:id="3266"/>
      <w:r>
        <w:rPr>
          <w:rFonts w:ascii="Arial" w:eastAsia="Arial" w:hAnsi="Arial" w:cs="Arial"/>
          <w:b/>
          <w:color w:val="000000"/>
          <w:sz w:val="20"/>
        </w:rPr>
        <w:t>Counsel:</w:t>
      </w:r>
      <w:r>
        <w:rPr>
          <w:rFonts w:ascii="Arial" w:eastAsia="Arial" w:hAnsi="Arial" w:cs="Arial"/>
          <w:color w:val="000000"/>
          <w:sz w:val="20"/>
        </w:rPr>
        <w:t> For ANDRES GOMEZ, individually and on behalf of all others similarly situated, Plaintiff - Appellant: R. Bruce Carlson; Jamisen A. Etzel; Gary F. Lynch; Carlos R. Diaz, Carlson Lynch Sweet &amp; Kilpela, LLP, Pittsburgh, PA.</w:t>
      </w:r>
    </w:p>
    <w:p w14:paraId="46D90360" w14:textId="77777777" w:rsidR="002D0E71" w:rsidRDefault="00000000">
      <w:pPr>
        <w:pStyle w:val="Normal21"/>
        <w:widowControl w:val="0"/>
        <w:spacing w:before="120" w:line="260" w:lineRule="atLeast"/>
      </w:pPr>
      <w:r>
        <w:rPr>
          <w:rFonts w:ascii="Arial" w:eastAsia="Arial" w:hAnsi="Arial" w:cs="Arial"/>
          <w:color w:val="000000"/>
          <w:sz w:val="20"/>
        </w:rPr>
        <w:t>For Dade County Federal Credit Union, Defendant - Appellee: Doreen Lasch; Matthew G. Krause, Luks Santaniello Petrillo &amp; Jones, LLC, Fort Lauderdale, FL.</w:t>
      </w:r>
    </w:p>
    <w:p w14:paraId="0E6367A6" w14:textId="77777777" w:rsidR="002D0E71" w:rsidRDefault="00000000">
      <w:pPr>
        <w:pStyle w:val="Normal21"/>
        <w:widowControl w:val="0"/>
        <w:spacing w:before="240" w:line="260" w:lineRule="atLeast"/>
      </w:pPr>
      <w:bookmarkStart w:id="3267" w:name="Judges_20"/>
      <w:bookmarkEnd w:id="3267"/>
      <w:r>
        <w:rPr>
          <w:rFonts w:ascii="Arial" w:eastAsia="Arial" w:hAnsi="Arial" w:cs="Arial"/>
          <w:b/>
          <w:color w:val="000000"/>
          <w:sz w:val="20"/>
        </w:rPr>
        <w:t>Judges:</w:t>
      </w:r>
      <w:r>
        <w:rPr>
          <w:rFonts w:ascii="Arial" w:eastAsia="Arial" w:hAnsi="Arial" w:cs="Arial"/>
          <w:color w:val="000000"/>
          <w:sz w:val="20"/>
        </w:rPr>
        <w:t> Before MARTIN and FAY, Circuit Judges, and GOLDBERG,</w:t>
      </w:r>
      <w:r>
        <w:rPr>
          <w:rFonts w:ascii="Arial" w:eastAsia="Arial" w:hAnsi="Arial" w:cs="Arial"/>
          <w:vertAlign w:val="superscript"/>
        </w:rPr>
        <w:footnoteReference w:customMarkFollows="1" w:id="100"/>
        <w:t>*</w:t>
      </w:r>
      <w:r>
        <w:rPr>
          <w:rFonts w:ascii="Arial" w:eastAsia="Arial" w:hAnsi="Arial" w:cs="Arial"/>
          <w:color w:val="000000"/>
          <w:sz w:val="20"/>
        </w:rPr>
        <w:t xml:space="preserve"> Judge.</w:t>
      </w:r>
    </w:p>
    <w:p w14:paraId="168C02C1" w14:textId="77777777" w:rsidR="002D0E71" w:rsidRDefault="00000000">
      <w:pPr>
        <w:pStyle w:val="Normal21"/>
        <w:widowControl w:val="0"/>
        <w:spacing w:before="240" w:line="260" w:lineRule="atLeast"/>
      </w:pPr>
      <w:bookmarkStart w:id="3269" w:name="Opinion_by_14"/>
      <w:bookmarkEnd w:id="3269"/>
      <w:r>
        <w:rPr>
          <w:rFonts w:ascii="Arial" w:eastAsia="Arial" w:hAnsi="Arial" w:cs="Arial"/>
          <w:b/>
          <w:color w:val="000000"/>
          <w:sz w:val="20"/>
        </w:rPr>
        <w:t>Opinion by:</w:t>
      </w:r>
      <w:r>
        <w:rPr>
          <w:rFonts w:ascii="Arial" w:eastAsia="Arial" w:hAnsi="Arial" w:cs="Arial"/>
          <w:color w:val="000000"/>
          <w:sz w:val="20"/>
        </w:rPr>
        <w:t> Richard W. Goldberg</w:t>
      </w:r>
    </w:p>
    <w:p w14:paraId="1452697A" w14:textId="77777777" w:rsidR="002D0E71" w:rsidRDefault="00000000">
      <w:pPr>
        <w:pStyle w:val="Normal21"/>
        <w:keepNext/>
        <w:widowControl w:val="0"/>
        <w:spacing w:before="240" w:line="340" w:lineRule="atLeast"/>
      </w:pPr>
      <w:bookmarkStart w:id="3270" w:name="Opinion_20"/>
      <w:bookmarkEnd w:id="3270"/>
      <w:r>
        <w:rPr>
          <w:rFonts w:ascii="Arial" w:eastAsia="Arial" w:hAnsi="Arial" w:cs="Arial"/>
          <w:b/>
          <w:color w:val="000000"/>
          <w:sz w:val="28"/>
        </w:rPr>
        <w:t>Opinion</w:t>
      </w:r>
    </w:p>
    <w:p w14:paraId="38A52C1C" w14:textId="50CBC515" w:rsidR="002D0E71" w:rsidRDefault="002939DF">
      <w:pPr>
        <w:pStyle w:val="Normal21"/>
        <w:spacing w:line="60" w:lineRule="exact"/>
      </w:pPr>
      <w:r>
        <w:rPr>
          <w:noProof/>
        </w:rPr>
        <mc:AlternateContent>
          <mc:Choice Requires="wps">
            <w:drawing>
              <wp:anchor distT="0" distB="0" distL="114300" distR="114300" simplePos="0" relativeHeight="251703296" behindDoc="0" locked="0" layoutInCell="1" allowOverlap="1" wp14:anchorId="6B6E0166" wp14:editId="06C50E8C">
                <wp:simplePos x="0" y="0"/>
                <wp:positionH relativeFrom="column">
                  <wp:posOffset>0</wp:posOffset>
                </wp:positionH>
                <wp:positionV relativeFrom="paragraph">
                  <wp:posOffset>25400</wp:posOffset>
                </wp:positionV>
                <wp:extent cx="3187700" cy="0"/>
                <wp:effectExtent l="19050" t="15875" r="12700" b="12700"/>
                <wp:wrapTopAndBottom/>
                <wp:docPr id="419399426"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749B8B" id="Line 45"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39A1041" w14:textId="77777777" w:rsidR="002D0E71" w:rsidRDefault="002D0E71">
      <w:pPr>
        <w:pStyle w:val="Normal21"/>
      </w:pPr>
    </w:p>
    <w:p w14:paraId="386E5E89" w14:textId="77777777" w:rsidR="002D0E71" w:rsidRDefault="00000000">
      <w:pPr>
        <w:pStyle w:val="Normal21"/>
        <w:widowControl w:val="0"/>
        <w:spacing w:before="200" w:line="260" w:lineRule="atLeast"/>
        <w:jc w:val="both"/>
      </w:pPr>
      <w:bookmarkStart w:id="3271" w:name="Bookmark_para_3_20"/>
      <w:bookmarkEnd w:id="3271"/>
      <w:r>
        <w:rPr>
          <w:rFonts w:ascii="Arial" w:eastAsia="Arial" w:hAnsi="Arial" w:cs="Arial"/>
          <w:color w:val="000000"/>
          <w:sz w:val="20"/>
        </w:rPr>
        <w:t> [*860]  GOLDBERG, Judge:</w:t>
      </w:r>
    </w:p>
    <w:p w14:paraId="7D2D8E33" w14:textId="77777777" w:rsidR="002D0E71" w:rsidRDefault="00000000">
      <w:pPr>
        <w:pStyle w:val="Normal21"/>
        <w:widowControl w:val="0"/>
        <w:spacing w:before="200" w:line="260" w:lineRule="atLeast"/>
        <w:jc w:val="both"/>
      </w:pPr>
      <w:bookmarkStart w:id="3272" w:name="Bookmark_para_4_20"/>
      <w:bookmarkEnd w:id="3272"/>
      <w:r>
        <w:rPr>
          <w:rFonts w:ascii="Arial" w:eastAsia="Arial" w:hAnsi="Arial" w:cs="Arial"/>
          <w:color w:val="000000"/>
          <w:sz w:val="20"/>
        </w:rPr>
        <w:t>Andres Gomez, a resident of Miami, Florida, is legally blind. In July 2013, Gomez stopped at an automated teller machine ("ATM") near his home, inserted a card and headset, and prepared to do business using the machine's voice guidance system. Nothing happened. Instead of giving audible instructions as required by the Americans with Disabilities Act ("ADA"), 42 U.S.C. §§ 12101, 12213 (2012), the machine spewed only silence, and Gomez was unable to finish a transaction.</w:t>
      </w:r>
    </w:p>
    <w:p w14:paraId="57B531F6" w14:textId="77777777" w:rsidR="002D0E71" w:rsidRDefault="00000000">
      <w:pPr>
        <w:pStyle w:val="Normal21"/>
        <w:widowControl w:val="0"/>
        <w:spacing w:before="200" w:line="260" w:lineRule="atLeast"/>
        <w:jc w:val="both"/>
      </w:pPr>
      <w:bookmarkStart w:id="3273" w:name="Bookmark_para_5_20"/>
      <w:bookmarkEnd w:id="3273"/>
      <w:r>
        <w:rPr>
          <w:rFonts w:ascii="Arial" w:eastAsia="Arial" w:hAnsi="Arial" w:cs="Arial"/>
          <w:color w:val="000000"/>
          <w:sz w:val="20"/>
        </w:rPr>
        <w:t>Three months later, Gomez sued the ATM's owner, Dade [**2]  County Federal Credit Union ("Dade"). He asked for an injunction that would force Dade to bring its ATMs into compliance with the ADA. The district court dismissed the case, however, and found that Gomez lacked constitutional standing to bring a claim.</w:t>
      </w:r>
    </w:p>
    <w:p w14:paraId="5D4A98E3" w14:textId="77777777" w:rsidR="002D0E71" w:rsidRDefault="00000000">
      <w:pPr>
        <w:pStyle w:val="Normal21"/>
        <w:widowControl w:val="0"/>
        <w:spacing w:before="200" w:line="260" w:lineRule="atLeast"/>
        <w:jc w:val="both"/>
      </w:pPr>
      <w:bookmarkStart w:id="3274" w:name="Bookmark_para_6_20"/>
      <w:bookmarkEnd w:id="3274"/>
      <w:r>
        <w:rPr>
          <w:rFonts w:ascii="Arial" w:eastAsia="Arial" w:hAnsi="Arial" w:cs="Arial"/>
          <w:color w:val="000000"/>
          <w:sz w:val="20"/>
        </w:rPr>
        <w:t xml:space="preserve">We now affirm. While we commend the plaintiff's effort to secure fair treatment for the blind community, </w:t>
      </w:r>
      <w:bookmarkStart w:id="3275" w:name="Bookmark_LNHNREFclscc1_17"/>
      <w:bookmarkEnd w:id="3275"/>
      <w:r>
        <w:rPr>
          <w:rFonts w:ascii="Arial" w:eastAsia="Arial" w:hAnsi="Arial" w:cs="Arial"/>
          <w:color w:val="000000"/>
          <w:sz w:val="20"/>
        </w:rPr>
        <w:t xml:space="preserve">the law does not permit injunctive relief against businesses whose noncompliance was unintentional, temporary, and isolated. </w:t>
      </w:r>
      <w:r>
        <w:rPr>
          <w:rFonts w:ascii="Arial" w:eastAsia="Arial" w:hAnsi="Arial" w:cs="Arial"/>
          <w:i/>
          <w:color w:val="000000"/>
          <w:sz w:val="20"/>
        </w:rPr>
        <w:t>See</w:t>
      </w:r>
      <w:r>
        <w:rPr>
          <w:rFonts w:ascii="Arial" w:eastAsia="Arial" w:hAnsi="Arial" w:cs="Arial"/>
          <w:color w:val="000000"/>
          <w:sz w:val="20"/>
        </w:rPr>
        <w:t xml:space="preserve"> 28 C.F.R. § 36.211(b) (2014). Because Gomez suffered only an isolated harm, he lacks standing to secure an injunction, and the case was rightly dismissed.</w:t>
      </w:r>
    </w:p>
    <w:p w14:paraId="11D8133C" w14:textId="77777777" w:rsidR="002D0E71" w:rsidRDefault="00000000">
      <w:pPr>
        <w:pStyle w:val="Normal21"/>
        <w:widowControl w:val="0"/>
        <w:spacing w:before="240" w:line="260" w:lineRule="atLeast"/>
      </w:pPr>
      <w:r>
        <w:br/>
      </w:r>
      <w:r>
        <w:rPr>
          <w:rFonts w:ascii="Arial" w:eastAsia="Arial" w:hAnsi="Arial" w:cs="Arial"/>
          <w:b/>
          <w:color w:val="000000"/>
          <w:sz w:val="20"/>
        </w:rPr>
        <w:t>I. BACKGROUND</w:t>
      </w:r>
    </w:p>
    <w:p w14:paraId="2966A550" w14:textId="77777777" w:rsidR="002D0E71" w:rsidRDefault="00000000">
      <w:pPr>
        <w:pStyle w:val="Normal21"/>
        <w:widowControl w:val="0"/>
        <w:spacing w:before="240" w:line="260" w:lineRule="atLeast"/>
      </w:pPr>
      <w:r>
        <w:br/>
      </w:r>
      <w:r>
        <w:rPr>
          <w:rFonts w:ascii="Arial" w:eastAsia="Arial" w:hAnsi="Arial" w:cs="Arial"/>
          <w:b/>
          <w:color w:val="000000"/>
          <w:sz w:val="20"/>
        </w:rPr>
        <w:t>A. The Americans with Disabilities Act</w:t>
      </w:r>
    </w:p>
    <w:p w14:paraId="61E0B099" w14:textId="77777777" w:rsidR="002D0E71" w:rsidRDefault="00000000">
      <w:pPr>
        <w:pStyle w:val="Normal21"/>
        <w:widowControl w:val="0"/>
        <w:spacing w:before="200" w:line="260" w:lineRule="atLeast"/>
        <w:jc w:val="both"/>
      </w:pPr>
      <w:bookmarkStart w:id="3276" w:name="Bookmark_para_7_19"/>
      <w:bookmarkStart w:id="3277" w:name="Bookmark_LNHNREFclscc2_17"/>
      <w:bookmarkEnd w:id="3276"/>
      <w:bookmarkEnd w:id="3277"/>
      <w:r>
        <w:rPr>
          <w:rFonts w:ascii="Arial" w:eastAsia="Arial" w:hAnsi="Arial" w:cs="Arial"/>
          <w:color w:val="000000"/>
          <w:sz w:val="20"/>
        </w:rPr>
        <w:t xml:space="preserve">Congress passed the ADA in 1990 to solve a pressing problem: the exclusion of disabled people from the public sphere. Throughout history, discriminatory barriers and overprotective rules kept the disabled from enjoying services, programs, and jobs on equal footing with others. </w:t>
      </w:r>
      <w:r>
        <w:rPr>
          <w:rFonts w:ascii="Arial" w:eastAsia="Arial" w:hAnsi="Arial" w:cs="Arial"/>
          <w:i/>
          <w:color w:val="000000"/>
          <w:sz w:val="20"/>
        </w:rPr>
        <w:t>See</w:t>
      </w:r>
      <w:r>
        <w:rPr>
          <w:rFonts w:ascii="Arial" w:eastAsia="Arial" w:hAnsi="Arial" w:cs="Arial"/>
          <w:color w:val="000000"/>
          <w:sz w:val="20"/>
        </w:rPr>
        <w:t xml:space="preserve"> 42 U.S.C. § 12101(a). The legislature sought to break the status quo by assuring "equality of opportunity, full participation, [and] independent living" for the disabled through "clear, strong, consistent, enforceable standards." </w:t>
      </w:r>
      <w:r>
        <w:rPr>
          <w:rFonts w:ascii="Arial" w:eastAsia="Arial" w:hAnsi="Arial" w:cs="Arial"/>
          <w:i/>
          <w:color w:val="000000"/>
          <w:sz w:val="20"/>
        </w:rPr>
        <w:t>Id.</w:t>
      </w:r>
      <w:r>
        <w:rPr>
          <w:rFonts w:ascii="Arial" w:eastAsia="Arial" w:hAnsi="Arial" w:cs="Arial"/>
          <w:color w:val="000000"/>
          <w:sz w:val="20"/>
        </w:rPr>
        <w:t xml:space="preserve"> § 12101(a)(7), (b)(2). These rules apply to employers, [**3]  local and state governments, and public accommodations—a group that reflects the law's sweeping mandate.</w:t>
      </w:r>
    </w:p>
    <w:p w14:paraId="03E3C2D0" w14:textId="77777777" w:rsidR="002D0E71" w:rsidRDefault="00000000">
      <w:pPr>
        <w:pStyle w:val="Normal21"/>
        <w:widowControl w:val="0"/>
        <w:spacing w:before="200" w:line="260" w:lineRule="atLeast"/>
        <w:jc w:val="both"/>
      </w:pPr>
      <w:bookmarkStart w:id="3278" w:name="Bookmark_para_8_19"/>
      <w:bookmarkStart w:id="3279" w:name="Bookmark_LNHNREFclscc3_17"/>
      <w:bookmarkEnd w:id="3278"/>
      <w:bookmarkEnd w:id="3279"/>
      <w:r>
        <w:rPr>
          <w:rFonts w:ascii="Arial" w:eastAsia="Arial" w:hAnsi="Arial" w:cs="Arial"/>
          <w:color w:val="000000"/>
          <w:sz w:val="20"/>
        </w:rPr>
        <w:t xml:space="preserve">Title III of the ADA prohibits discrimination in public accommodations, and gives specific guidance to that end. </w:t>
      </w:r>
      <w:r>
        <w:rPr>
          <w:rFonts w:ascii="Arial" w:eastAsia="Arial" w:hAnsi="Arial" w:cs="Arial"/>
          <w:i/>
          <w:color w:val="000000"/>
          <w:sz w:val="20"/>
        </w:rPr>
        <w:t>See id.</w:t>
      </w:r>
      <w:r>
        <w:rPr>
          <w:rFonts w:ascii="Arial" w:eastAsia="Arial" w:hAnsi="Arial" w:cs="Arial"/>
          <w:color w:val="000000"/>
          <w:sz w:val="20"/>
        </w:rPr>
        <w:t xml:space="preserve"> § 12182. For example, the law orders businesses "to ensure that no individual with a disability is excluded, denied services, segregated or otherwise treated differently than other individuals because of the absence of auxiliary aids and services." </w:t>
      </w:r>
      <w:r>
        <w:rPr>
          <w:rFonts w:ascii="Arial" w:eastAsia="Arial" w:hAnsi="Arial" w:cs="Arial"/>
          <w:i/>
          <w:color w:val="000000"/>
          <w:sz w:val="20"/>
        </w:rPr>
        <w:t>Id.</w:t>
      </w:r>
      <w:r>
        <w:rPr>
          <w:rFonts w:ascii="Arial" w:eastAsia="Arial" w:hAnsi="Arial" w:cs="Arial"/>
          <w:color w:val="000000"/>
          <w:sz w:val="20"/>
        </w:rPr>
        <w:t xml:space="preserve"> § 12182(b)(2)(A)(iii). Businesses may derogate from this rule only if complying would cause an undue burden. Furthermore, to flesh out the statute's commands, the law authorizes the Attorney General to craft regulations and set standards. </w:t>
      </w:r>
      <w:r>
        <w:rPr>
          <w:rFonts w:ascii="Arial" w:eastAsia="Arial" w:hAnsi="Arial" w:cs="Arial"/>
          <w:i/>
          <w:color w:val="000000"/>
          <w:sz w:val="20"/>
        </w:rPr>
        <w:t>Id.</w:t>
      </w:r>
      <w:r>
        <w:rPr>
          <w:rFonts w:ascii="Arial" w:eastAsia="Arial" w:hAnsi="Arial" w:cs="Arial"/>
          <w:color w:val="000000"/>
          <w:sz w:val="20"/>
        </w:rPr>
        <w:t xml:space="preserve"> § 12186(b). The Attorney General's standards must accord with suggestions from the Architectural and Transportation Barriers Compliance Board (the "Access Board"), a body of expert appointees created by the Rehabilitation Act of 1973 § 502, 29 U.S.C. § 792(a). </w:t>
      </w:r>
      <w:r>
        <w:rPr>
          <w:rFonts w:ascii="Arial" w:eastAsia="Arial" w:hAnsi="Arial" w:cs="Arial"/>
          <w:i/>
          <w:color w:val="000000"/>
          <w:sz w:val="20"/>
        </w:rPr>
        <w:t>Id.</w:t>
      </w:r>
      <w:r>
        <w:rPr>
          <w:rFonts w:ascii="Arial" w:eastAsia="Arial" w:hAnsi="Arial" w:cs="Arial"/>
          <w:color w:val="000000"/>
          <w:sz w:val="20"/>
        </w:rPr>
        <w:t xml:space="preserve"> § 12186(c).</w:t>
      </w:r>
    </w:p>
    <w:p w14:paraId="53B5683F" w14:textId="77777777" w:rsidR="002D0E71" w:rsidRDefault="00000000">
      <w:pPr>
        <w:pStyle w:val="Normal21"/>
        <w:widowControl w:val="0"/>
        <w:spacing w:before="200" w:line="260" w:lineRule="atLeast"/>
        <w:jc w:val="both"/>
      </w:pPr>
      <w:bookmarkStart w:id="3280" w:name="Bookmark_para_9_19"/>
      <w:bookmarkStart w:id="3281" w:name="Bookmark_I5G432P328T52G0020000400"/>
      <w:bookmarkEnd w:id="3280"/>
      <w:bookmarkEnd w:id="3281"/>
      <w:r>
        <w:rPr>
          <w:rFonts w:ascii="Arial" w:eastAsia="Arial" w:hAnsi="Arial" w:cs="Arial"/>
          <w:color w:val="000000"/>
          <w:sz w:val="20"/>
        </w:rPr>
        <w:t xml:space="preserve">The Attorney General released the first ADA standards in 1991 and retooled them effective March 15, 2011. </w:t>
      </w:r>
      <w:r>
        <w:rPr>
          <w:rFonts w:ascii="Arial" w:eastAsia="Arial" w:hAnsi="Arial" w:cs="Arial"/>
          <w:i/>
          <w:color w:val="000000"/>
          <w:sz w:val="20"/>
        </w:rPr>
        <w:t xml:space="preserve">See </w:t>
      </w:r>
      <w:bookmarkStart w:id="3282" w:name="Bookmark_I5G432P328T52G0010000400"/>
      <w:bookmarkEnd w:id="3282"/>
      <w:r>
        <w:rPr>
          <w:rFonts w:ascii="Arial" w:eastAsia="Arial" w:hAnsi="Arial" w:cs="Arial"/>
          <w:i/>
          <w:color w:val="000000"/>
          <w:sz w:val="20"/>
        </w:rPr>
        <w:t>Nondiscrimination on the Basis of Disability by Public Accommodations and in Commercial Facilities</w:t>
      </w:r>
      <w:r>
        <w:rPr>
          <w:rFonts w:ascii="Arial" w:eastAsia="Arial" w:hAnsi="Arial" w:cs="Arial"/>
          <w:color w:val="000000"/>
          <w:sz w:val="20"/>
        </w:rPr>
        <w:t>, 75 Fed. Reg. 56,236, 56,237?38 (Dep't of Justice Sept. 15, 2010) ("</w:t>
      </w:r>
      <w:r>
        <w:rPr>
          <w:rFonts w:ascii="Arial" w:eastAsia="Arial" w:hAnsi="Arial" w:cs="Arial"/>
          <w:i/>
          <w:color w:val="000000"/>
          <w:sz w:val="20"/>
        </w:rPr>
        <w:t>Final Rule</w:t>
      </w:r>
      <w:r>
        <w:rPr>
          <w:rFonts w:ascii="Arial" w:eastAsia="Arial" w:hAnsi="Arial" w:cs="Arial"/>
          <w:color w:val="000000"/>
          <w:sz w:val="20"/>
        </w:rPr>
        <w:t xml:space="preserve">"). The latest set, called the 2010 Standards, was adopted from the Access Board's 2004 ADA Accessibility Guidelines. [**4]  </w:t>
      </w:r>
      <w:r>
        <w:rPr>
          <w:rFonts w:ascii="Arial" w:eastAsia="Arial" w:hAnsi="Arial" w:cs="Arial"/>
          <w:i/>
          <w:color w:val="000000"/>
          <w:sz w:val="20"/>
        </w:rPr>
        <w:t>See id.</w:t>
      </w:r>
      <w:r>
        <w:rPr>
          <w:rFonts w:ascii="Arial" w:eastAsia="Arial" w:hAnsi="Arial" w:cs="Arial"/>
          <w:color w:val="000000"/>
          <w:sz w:val="20"/>
        </w:rPr>
        <w:t xml:space="preserve">; 36 C.F.R. pt. 1191 app. D ("2004 ADAAG"). </w:t>
      </w:r>
      <w:bookmarkStart w:id="3283" w:name="Bookmark_LNHNREFclscc4_17"/>
      <w:bookmarkEnd w:id="3283"/>
      <w:r>
        <w:rPr>
          <w:rFonts w:ascii="Arial" w:eastAsia="Arial" w:hAnsi="Arial" w:cs="Arial"/>
          <w:color w:val="000000"/>
          <w:sz w:val="20"/>
        </w:rPr>
        <w:t xml:space="preserve">The 2004 ADAAG prescribe a variety of architectural and technical rules for public facilities, and among these, rules for ATMs. These standards aim to help people with visual impairments, and require that ATMs give users a modicum of  [*861]  privacy, 2004 ADAAG § 707.4; that they be speech enabled, or "independently usable by individuals with vision impairments" through a "standard connector or a telephone handset," </w:t>
      </w:r>
      <w:r>
        <w:rPr>
          <w:rFonts w:ascii="Arial" w:eastAsia="Arial" w:hAnsi="Arial" w:cs="Arial"/>
          <w:i/>
          <w:color w:val="000000"/>
          <w:sz w:val="20"/>
        </w:rPr>
        <w:t>id.</w:t>
      </w:r>
      <w:r>
        <w:rPr>
          <w:rFonts w:ascii="Arial" w:eastAsia="Arial" w:hAnsi="Arial" w:cs="Arial"/>
          <w:color w:val="000000"/>
          <w:sz w:val="20"/>
        </w:rPr>
        <w:t xml:space="preserve"> § 707.5; and that they have raised, "tactilely discernable" input keys and Braille instructions, among other specifications, </w:t>
      </w:r>
      <w:r>
        <w:rPr>
          <w:rFonts w:ascii="Arial" w:eastAsia="Arial" w:hAnsi="Arial" w:cs="Arial"/>
          <w:i/>
          <w:color w:val="000000"/>
          <w:sz w:val="20"/>
        </w:rPr>
        <w:t>id.</w:t>
      </w:r>
      <w:r>
        <w:rPr>
          <w:rFonts w:ascii="Arial" w:eastAsia="Arial" w:hAnsi="Arial" w:cs="Arial"/>
          <w:color w:val="000000"/>
          <w:sz w:val="20"/>
        </w:rPr>
        <w:t xml:space="preserve"> §§ 707.6, 707.8. Those who do not comply may fall subject to an injunction, or less often, to monetary damages or civil penalties. </w:t>
      </w:r>
      <w:r>
        <w:rPr>
          <w:rFonts w:ascii="Arial" w:eastAsia="Arial" w:hAnsi="Arial" w:cs="Arial"/>
          <w:i/>
          <w:color w:val="000000"/>
          <w:sz w:val="20"/>
        </w:rPr>
        <w:t>See</w:t>
      </w:r>
      <w:r>
        <w:rPr>
          <w:rFonts w:ascii="Arial" w:eastAsia="Arial" w:hAnsi="Arial" w:cs="Arial"/>
          <w:color w:val="000000"/>
          <w:sz w:val="20"/>
        </w:rPr>
        <w:t xml:space="preserve"> 42 U.S.C. § 12188(a), (b)(2).</w:t>
      </w:r>
      <w:r>
        <w:rPr>
          <w:rFonts w:ascii="Arial" w:eastAsia="Arial" w:hAnsi="Arial" w:cs="Arial"/>
          <w:vertAlign w:val="superscript"/>
        </w:rPr>
        <w:footnoteReference w:customMarkFollows="1" w:id="101"/>
        <w:t>1</w:t>
      </w:r>
    </w:p>
    <w:p w14:paraId="716D2C0C" w14:textId="77777777" w:rsidR="002D0E71" w:rsidRDefault="00000000">
      <w:pPr>
        <w:pStyle w:val="Normal21"/>
        <w:widowControl w:val="0"/>
        <w:spacing w:before="200" w:line="260" w:lineRule="atLeast"/>
        <w:jc w:val="both"/>
      </w:pPr>
      <w:bookmarkStart w:id="3288" w:name="Bookmark_para_10_19"/>
      <w:bookmarkStart w:id="3289" w:name="Bookmark_I5G432P32HM5YR0010000400"/>
      <w:bookmarkEnd w:id="3288"/>
      <w:bookmarkEnd w:id="3289"/>
      <w:r>
        <w:rPr>
          <w:rFonts w:ascii="Arial" w:eastAsia="Arial" w:hAnsi="Arial" w:cs="Arial"/>
          <w:color w:val="000000"/>
          <w:sz w:val="20"/>
        </w:rPr>
        <w:t xml:space="preserve">Even so, the law recognizes that access measures may fail from time to time. When snow falls on a wheelchair ramp, the ramp may be briefly impassable. </w:t>
      </w:r>
      <w:bookmarkStart w:id="3290" w:name="Bookmark_I5G432P32HM5YR0030000400"/>
      <w:bookmarkEnd w:id="3290"/>
      <w:r>
        <w:rPr>
          <w:rFonts w:ascii="Arial" w:eastAsia="Arial" w:hAnsi="Arial" w:cs="Arial"/>
          <w:i/>
          <w:color w:val="000000"/>
          <w:sz w:val="20"/>
        </w:rPr>
        <w:t xml:space="preserve">See </w:t>
      </w:r>
      <w:bookmarkStart w:id="3291" w:name="Bookmark_I5G432P328T52G0050000400"/>
      <w:bookmarkEnd w:id="3291"/>
      <w:r>
        <w:rPr>
          <w:rFonts w:ascii="Arial" w:eastAsia="Arial" w:hAnsi="Arial" w:cs="Arial"/>
          <w:i/>
          <w:color w:val="000000"/>
          <w:sz w:val="20"/>
        </w:rPr>
        <w:t>Foley v. City of Lafayette</w:t>
      </w:r>
      <w:r>
        <w:rPr>
          <w:rFonts w:ascii="Arial" w:eastAsia="Arial" w:hAnsi="Arial" w:cs="Arial"/>
          <w:color w:val="000000"/>
          <w:sz w:val="20"/>
        </w:rPr>
        <w:t xml:space="preserve">, 359 F.3d 925, 927-28 (7th Cir. 2004). In a similar way, a store aisle or sales counter may become cluttered with merchandise. </w:t>
      </w:r>
      <w:bookmarkStart w:id="3292" w:name="Bookmark_I5G432P32HM5YR0030000400_2"/>
      <w:bookmarkEnd w:id="3292"/>
      <w:r>
        <w:rPr>
          <w:rFonts w:ascii="Arial" w:eastAsia="Arial" w:hAnsi="Arial" w:cs="Arial"/>
          <w:i/>
          <w:color w:val="000000"/>
          <w:sz w:val="20"/>
        </w:rPr>
        <w:t xml:space="preserve">See </w:t>
      </w:r>
      <w:bookmarkStart w:id="3293" w:name="Bookmark_I5G432P32HM5YR0020000400"/>
      <w:bookmarkEnd w:id="3293"/>
      <w:r>
        <w:rPr>
          <w:rFonts w:ascii="Arial" w:eastAsia="Arial" w:hAnsi="Arial" w:cs="Arial"/>
          <w:i/>
          <w:color w:val="000000"/>
          <w:sz w:val="20"/>
        </w:rPr>
        <w:t>Chapman v. Pier 1 Imports (U.S.) Inc.</w:t>
      </w:r>
      <w:r>
        <w:rPr>
          <w:rFonts w:ascii="Arial" w:eastAsia="Arial" w:hAnsi="Arial" w:cs="Arial"/>
          <w:color w:val="000000"/>
          <w:sz w:val="20"/>
        </w:rPr>
        <w:t xml:space="preserve">, 779 F.3d 1001, 1003-04 (9th Cir. 2015). </w:t>
      </w:r>
      <w:bookmarkStart w:id="3294" w:name="Bookmark_LNHNREFclscc6_16"/>
      <w:bookmarkEnd w:id="3294"/>
      <w:r>
        <w:rPr>
          <w:rFonts w:ascii="Arial" w:eastAsia="Arial" w:hAnsi="Arial" w:cs="Arial"/>
          <w:color w:val="000000"/>
          <w:sz w:val="20"/>
        </w:rPr>
        <w:t xml:space="preserve">Because weather or wear or computer glitches may hamper access—and by no fault of the business owner—the regulations "do[] not prohibit isolated or temporary interruptions in service or access due to maintenance or repairs." 28 C.F.R. § 36.211(b). The rule "is intended to clarify that temporary obstructions or isolated instances of mechanical failure would not be considered violations of the Act." [**6]  28 C.F.R. pt. 36 app. C § 36.211. But "allowing obstructions or 'out of service' equipment to persist beyond a reasonable period of time would violate [the Act], as would repeated mechanical failures due to improper or inadequate maintenance." </w:t>
      </w:r>
      <w:r>
        <w:rPr>
          <w:rFonts w:ascii="Arial" w:eastAsia="Arial" w:hAnsi="Arial" w:cs="Arial"/>
          <w:i/>
          <w:color w:val="000000"/>
          <w:sz w:val="20"/>
        </w:rPr>
        <w:t>Id.</w:t>
      </w:r>
      <w:r>
        <w:rPr>
          <w:rFonts w:ascii="Arial" w:eastAsia="Arial" w:hAnsi="Arial" w:cs="Arial"/>
          <w:color w:val="000000"/>
          <w:sz w:val="20"/>
        </w:rPr>
        <w:t xml:space="preserve"> The exception for temporary malfunctions is a narrow one.</w:t>
      </w:r>
    </w:p>
    <w:p w14:paraId="043FCF89" w14:textId="77777777" w:rsidR="002D0E71" w:rsidRDefault="00000000">
      <w:pPr>
        <w:pStyle w:val="Normal21"/>
        <w:widowControl w:val="0"/>
        <w:spacing w:before="240" w:line="260" w:lineRule="atLeast"/>
      </w:pPr>
      <w:r>
        <w:br/>
      </w:r>
      <w:r>
        <w:rPr>
          <w:rFonts w:ascii="Arial" w:eastAsia="Arial" w:hAnsi="Arial" w:cs="Arial"/>
          <w:b/>
          <w:color w:val="000000"/>
          <w:sz w:val="20"/>
        </w:rPr>
        <w:t>B. Gomez Tests an ATM</w:t>
      </w:r>
    </w:p>
    <w:p w14:paraId="1F0961F6" w14:textId="77777777" w:rsidR="002D0E71" w:rsidRDefault="00000000">
      <w:pPr>
        <w:pStyle w:val="Normal21"/>
        <w:widowControl w:val="0"/>
        <w:spacing w:before="200" w:line="260" w:lineRule="atLeast"/>
        <w:jc w:val="both"/>
      </w:pPr>
      <w:bookmarkStart w:id="3295" w:name="Bookmark_para_11_19"/>
      <w:bookmarkEnd w:id="3295"/>
      <w:r>
        <w:rPr>
          <w:rFonts w:ascii="Arial" w:eastAsia="Arial" w:hAnsi="Arial" w:cs="Arial"/>
          <w:color w:val="000000"/>
          <w:sz w:val="20"/>
        </w:rPr>
        <w:t>Andres Gomez suffers from macular degeneration and is legally blind, as noted above. He lives less than a mile from an ATM operated by the defendant (the "Subject ATM"). Dade has a total of thirty-six machines in its network.</w:t>
      </w:r>
    </w:p>
    <w:p w14:paraId="45FFCDC5" w14:textId="77777777" w:rsidR="002D0E71" w:rsidRDefault="00000000">
      <w:pPr>
        <w:pStyle w:val="Normal21"/>
        <w:widowControl w:val="0"/>
        <w:spacing w:before="200" w:line="260" w:lineRule="atLeast"/>
        <w:jc w:val="both"/>
      </w:pPr>
      <w:bookmarkStart w:id="3296" w:name="Bookmark_para_12_18"/>
      <w:bookmarkEnd w:id="3296"/>
      <w:r>
        <w:rPr>
          <w:rFonts w:ascii="Arial" w:eastAsia="Arial" w:hAnsi="Arial" w:cs="Arial"/>
          <w:color w:val="000000"/>
          <w:sz w:val="20"/>
        </w:rPr>
        <w:t>In February 2012, technicians from Diebold Inc. upgraded the Subject ATM to comply with the Attorney General's 2010 Standards. About a year after the upgrades, Dade employee Trayon Gaskins inspected the Subject ATM for ADA compliance. He used "headphones and a debit card to access the voice guidance system," and completed a transaction. He also filled out a checklist indicating the status of various parts of the machine, including the audio jack, the Braille plaque, and the audio instructions. Gaskins said, in a sworn statement, that he "encountered no difficulties or problems with the voice guidance system" when testing the Subject ATM.</w:t>
      </w:r>
    </w:p>
    <w:p w14:paraId="0185C946" w14:textId="77777777" w:rsidR="002D0E71" w:rsidRDefault="00000000">
      <w:pPr>
        <w:pStyle w:val="Normal21"/>
        <w:widowControl w:val="0"/>
        <w:spacing w:before="200" w:line="260" w:lineRule="atLeast"/>
        <w:jc w:val="both"/>
      </w:pPr>
      <w:bookmarkStart w:id="3297" w:name="Bookmark_para_13_18"/>
      <w:bookmarkEnd w:id="3297"/>
      <w:r>
        <w:rPr>
          <w:rFonts w:ascii="Arial" w:eastAsia="Arial" w:hAnsi="Arial" w:cs="Arial"/>
          <w:color w:val="000000"/>
          <w:sz w:val="20"/>
        </w:rPr>
        <w:t> [*862]  Then, on July 21, 2013, Gomez visited [**7]  the Subject ATM and attempted a transaction. He plugged in his headphones, which were "compatible with ATM voice guidance technology," but the voice guidance system did not work. As a result, Gomez was unable to complete a transaction. Gomez also said an investigation was performed on his behalf, which indicated that other ATMs in the network were out of compliance. Gomez never said who the investigator was or which ATMs had misfired.</w:t>
      </w:r>
    </w:p>
    <w:p w14:paraId="04873995" w14:textId="77777777" w:rsidR="002D0E71" w:rsidRDefault="00000000">
      <w:pPr>
        <w:pStyle w:val="Normal21"/>
        <w:widowControl w:val="0"/>
        <w:spacing w:before="200" w:line="260" w:lineRule="atLeast"/>
        <w:jc w:val="both"/>
      </w:pPr>
      <w:bookmarkStart w:id="3298" w:name="Bookmark_para_14_18"/>
      <w:bookmarkEnd w:id="3298"/>
      <w:r>
        <w:rPr>
          <w:rFonts w:ascii="Arial" w:eastAsia="Arial" w:hAnsi="Arial" w:cs="Arial"/>
          <w:color w:val="000000"/>
          <w:sz w:val="20"/>
        </w:rPr>
        <w:t>Later that October, Dade branch manager Stephanie Miles again tested the Subject ATM. She followed the same checklist that Gaskins had used in April, and she found the voice guidance system was fully operational.</w:t>
      </w:r>
    </w:p>
    <w:p w14:paraId="52B8B09E" w14:textId="77777777" w:rsidR="002D0E71" w:rsidRDefault="00000000">
      <w:pPr>
        <w:pStyle w:val="Normal21"/>
        <w:widowControl w:val="0"/>
        <w:spacing w:before="240" w:line="260" w:lineRule="atLeast"/>
      </w:pPr>
      <w:r>
        <w:br/>
      </w:r>
      <w:r>
        <w:rPr>
          <w:rFonts w:ascii="Arial" w:eastAsia="Arial" w:hAnsi="Arial" w:cs="Arial"/>
          <w:b/>
          <w:color w:val="000000"/>
          <w:sz w:val="20"/>
        </w:rPr>
        <w:t>C. Gomez Files Suit</w:t>
      </w:r>
    </w:p>
    <w:p w14:paraId="125C782C" w14:textId="77777777" w:rsidR="002D0E71" w:rsidRDefault="00000000">
      <w:pPr>
        <w:pStyle w:val="Normal21"/>
        <w:widowControl w:val="0"/>
        <w:spacing w:before="200" w:line="260" w:lineRule="atLeast"/>
        <w:jc w:val="both"/>
      </w:pPr>
      <w:bookmarkStart w:id="3299" w:name="Bookmark_para_15_18"/>
      <w:bookmarkEnd w:id="3299"/>
      <w:r>
        <w:rPr>
          <w:rFonts w:ascii="Arial" w:eastAsia="Arial" w:hAnsi="Arial" w:cs="Arial"/>
          <w:color w:val="000000"/>
          <w:sz w:val="20"/>
        </w:rPr>
        <w:t>On October 25, 2013, Gomez filed a class action in the Southern District of Florida. The complaint alleged that the Subject ATM did not comply with ADA standards. Rather than giving specific information about the alleged malfunction, however, Gomez reported only that the voice guidance system failed sometime after the 2010 Standards came into effect.</w:t>
      </w:r>
      <w:r>
        <w:rPr>
          <w:rFonts w:ascii="Arial" w:eastAsia="Arial" w:hAnsi="Arial" w:cs="Arial"/>
          <w:vertAlign w:val="superscript"/>
        </w:rPr>
        <w:footnoteReference w:customMarkFollows="1" w:id="102"/>
        <w:t>2</w:t>
      </w:r>
      <w:r>
        <w:rPr>
          <w:rFonts w:ascii="Arial" w:eastAsia="Arial" w:hAnsi="Arial" w:cs="Arial"/>
          <w:color w:val="000000"/>
          <w:sz w:val="20"/>
        </w:rPr>
        <w:t xml:space="preserve"> Gomez added that he planned to revisit the Subject ATM in his effort to find ADA-compliant machines. For relief, Gomez requested a permanent injunction requiring defendant to bring [**8]  its ATMs into compliance, along with costs and attorney's fees.</w:t>
      </w:r>
    </w:p>
    <w:p w14:paraId="007AF140" w14:textId="77777777" w:rsidR="002D0E71" w:rsidRDefault="00000000">
      <w:pPr>
        <w:pStyle w:val="Normal21"/>
        <w:widowControl w:val="0"/>
        <w:spacing w:before="200" w:line="260" w:lineRule="atLeast"/>
        <w:jc w:val="both"/>
      </w:pPr>
      <w:bookmarkStart w:id="3301" w:name="Bookmark_para_16_18"/>
      <w:bookmarkEnd w:id="3301"/>
      <w:r>
        <w:rPr>
          <w:rFonts w:ascii="Arial" w:eastAsia="Arial" w:hAnsi="Arial" w:cs="Arial"/>
          <w:color w:val="000000"/>
          <w:sz w:val="20"/>
        </w:rPr>
        <w:t>Dade moved to dismiss the complaint for want of jurisdiction on February 13, 2014. Defendant argued that Gomez lacked standing because he failed to allege a constitutional injury-in-fact. In support, Dade produced declarations from Gaskins, Miles, and others showing that the Subject ATM complied with ADA standards both before and after plaintiff's test.</w:t>
      </w:r>
    </w:p>
    <w:p w14:paraId="0785DFBF" w14:textId="77777777" w:rsidR="002D0E71" w:rsidRDefault="00000000">
      <w:pPr>
        <w:pStyle w:val="Normal21"/>
        <w:widowControl w:val="0"/>
        <w:spacing w:before="200" w:line="260" w:lineRule="atLeast"/>
        <w:jc w:val="both"/>
      </w:pPr>
      <w:bookmarkStart w:id="3302" w:name="Bookmark_para_17_17"/>
      <w:bookmarkEnd w:id="3302"/>
      <w:r>
        <w:rPr>
          <w:rFonts w:ascii="Arial" w:eastAsia="Arial" w:hAnsi="Arial" w:cs="Arial"/>
          <w:color w:val="000000"/>
          <w:sz w:val="20"/>
        </w:rPr>
        <w:t>Gomez responded with his own declaration, which testified that he visited the Subject ATM just after the motion to dismiss on February 27, 2014. This time, the machine worked and Gomez was able to "complete a balance inquiry transaction using voice guidance." Gomez further declared that he tested a second ATM about sixteen miles away from his home on the same day. He reported that this ATM's voice guidance system began when prompted, but "stopped during the course of the transaction."</w:t>
      </w:r>
    </w:p>
    <w:p w14:paraId="35E55E68" w14:textId="77777777" w:rsidR="002D0E71" w:rsidRDefault="00000000">
      <w:pPr>
        <w:pStyle w:val="Normal21"/>
        <w:widowControl w:val="0"/>
        <w:spacing w:before="200" w:line="260" w:lineRule="atLeast"/>
        <w:jc w:val="both"/>
      </w:pPr>
      <w:bookmarkStart w:id="3303" w:name="Bookmark_para_18_17"/>
      <w:bookmarkEnd w:id="3303"/>
      <w:r>
        <w:rPr>
          <w:rFonts w:ascii="Arial" w:eastAsia="Arial" w:hAnsi="Arial" w:cs="Arial"/>
          <w:color w:val="000000"/>
          <w:sz w:val="20"/>
        </w:rPr>
        <w:t>The trial court granted the defendant's motion and dismissed the complaint on March 24, 2014. After weighing the parties' evidence, the court concluded [**9]  that Gomez lacked constitutional standing to bring a claim. In the court's view, Gomez was not under imminent threat of injury. Dade's declarations showed that the Subject ATM complied with ADA standards before and after Gomez's July 2013 visit, and hence it was unlikely Gomez would suffer another malfunction at the Subject ATM in the future. The court also refused to credit plaintiff's assertion that other ATMs were out of compliance, because Gomez offered nothing to corroborate the findings of his unnamed investigator. Finally, the court accorded no weight to the allegation that a second ATM broke down after the suit began. Because "standing is determined as of the time at which the plaintiff's complaint is filed," Gomez could not create standing by alleging a malfunction four months after the case began.</w:t>
      </w:r>
    </w:p>
    <w:p w14:paraId="3B638DB7" w14:textId="77777777" w:rsidR="002D0E71" w:rsidRDefault="00000000">
      <w:pPr>
        <w:pStyle w:val="Normal21"/>
        <w:widowControl w:val="0"/>
        <w:spacing w:before="200" w:line="260" w:lineRule="atLeast"/>
        <w:jc w:val="both"/>
      </w:pPr>
      <w:bookmarkStart w:id="3304" w:name="Bookmark_para_19_17"/>
      <w:bookmarkEnd w:id="3304"/>
      <w:r>
        <w:rPr>
          <w:rFonts w:ascii="Arial" w:eastAsia="Arial" w:hAnsi="Arial" w:cs="Arial"/>
          <w:color w:val="000000"/>
          <w:sz w:val="20"/>
        </w:rPr>
        <w:t>The court dismissed plaintiff's case without prejudice, but Gomez did not take the  [*863]  opportunity to amend and refile his complaint. Instead, he appealed.</w:t>
      </w:r>
    </w:p>
    <w:p w14:paraId="75408409" w14:textId="77777777" w:rsidR="002D0E71" w:rsidRDefault="00000000">
      <w:pPr>
        <w:pStyle w:val="Normal21"/>
        <w:widowControl w:val="0"/>
        <w:spacing w:before="240" w:line="260" w:lineRule="atLeast"/>
      </w:pPr>
      <w:r>
        <w:br/>
      </w:r>
      <w:r>
        <w:rPr>
          <w:rFonts w:ascii="Arial" w:eastAsia="Arial" w:hAnsi="Arial" w:cs="Arial"/>
          <w:b/>
          <w:color w:val="000000"/>
          <w:sz w:val="20"/>
        </w:rPr>
        <w:t>II. DISCUSSION</w:t>
      </w:r>
    </w:p>
    <w:p w14:paraId="47165650" w14:textId="77777777" w:rsidR="002D0E71" w:rsidRDefault="00000000">
      <w:pPr>
        <w:pStyle w:val="Normal21"/>
        <w:widowControl w:val="0"/>
        <w:spacing w:before="200" w:line="260" w:lineRule="atLeast"/>
        <w:jc w:val="both"/>
      </w:pPr>
      <w:bookmarkStart w:id="3305" w:name="Bookmark_para_20_15"/>
      <w:bookmarkEnd w:id="3305"/>
      <w:r>
        <w:rPr>
          <w:rFonts w:ascii="Arial" w:eastAsia="Arial" w:hAnsi="Arial" w:cs="Arial"/>
          <w:color w:val="000000"/>
          <w:sz w:val="20"/>
        </w:rPr>
        <w:t>We must now decide whether the trial court erred to dismiss the complaint for lack of standing. For reasons set forth below, we affirm.</w:t>
      </w:r>
    </w:p>
    <w:p w14:paraId="3EFA1D72" w14:textId="77777777" w:rsidR="002D0E71" w:rsidRDefault="00000000">
      <w:pPr>
        <w:pStyle w:val="Normal21"/>
        <w:widowControl w:val="0"/>
        <w:spacing w:before="200" w:line="260" w:lineRule="atLeast"/>
        <w:jc w:val="both"/>
      </w:pPr>
      <w:bookmarkStart w:id="3306" w:name="Bookmark_para_21_15"/>
      <w:bookmarkStart w:id="3307" w:name="Bookmark_I08S7HSWPBK000W151D0008C"/>
      <w:bookmarkStart w:id="3308" w:name="Bookmark_I5G432P32HM5YR0050000400"/>
      <w:bookmarkStart w:id="3309" w:name="Bookmark_LNHNREFclscc7_15"/>
      <w:bookmarkEnd w:id="3306"/>
      <w:bookmarkEnd w:id="3307"/>
      <w:bookmarkEnd w:id="3308"/>
      <w:bookmarkEnd w:id="3309"/>
      <w:r>
        <w:rPr>
          <w:rFonts w:ascii="Arial" w:eastAsia="Arial" w:hAnsi="Arial" w:cs="Arial"/>
          <w:color w:val="000000"/>
          <w:sz w:val="20"/>
        </w:rPr>
        <w:t xml:space="preserve">The Constitution extends the federal judicial power to cases and controversies arising [**10]  under federal law. </w:t>
      </w:r>
      <w:r>
        <w:rPr>
          <w:rFonts w:ascii="Arial" w:eastAsia="Arial" w:hAnsi="Arial" w:cs="Arial"/>
          <w:i/>
          <w:color w:val="000000"/>
          <w:sz w:val="20"/>
        </w:rPr>
        <w:t>See</w:t>
      </w:r>
      <w:r>
        <w:rPr>
          <w:rFonts w:ascii="Arial" w:eastAsia="Arial" w:hAnsi="Arial" w:cs="Arial"/>
          <w:color w:val="000000"/>
          <w:sz w:val="20"/>
        </w:rPr>
        <w:t xml:space="preserve"> U.S. Const. art. III, § 2. This provision gives birth to the doctrine of constitutional standing, which permits judicial redress only where plaintiff suffers the invasion of a legally protected interest or "injury in fact," and a court decision will remedy the harm that defendant caused. </w:t>
      </w:r>
      <w:bookmarkStart w:id="3310" w:name="Bookmark_I5G432P32HM5YR0040000400"/>
      <w:bookmarkEnd w:id="3310"/>
      <w:r>
        <w:rPr>
          <w:rFonts w:ascii="Arial" w:eastAsia="Arial" w:hAnsi="Arial" w:cs="Arial"/>
          <w:i/>
          <w:color w:val="000000"/>
          <w:sz w:val="20"/>
        </w:rPr>
        <w:t>Lujan v. Defenders of Wildlife</w:t>
      </w:r>
      <w:r>
        <w:rPr>
          <w:rFonts w:ascii="Arial" w:eastAsia="Arial" w:hAnsi="Arial" w:cs="Arial"/>
          <w:color w:val="000000"/>
          <w:sz w:val="20"/>
        </w:rPr>
        <w:t>, 504 U.S. 555, 560-61, 112 S. Ct. 2130, 119 L. Ed. 2d 351 (1992).</w:t>
      </w:r>
    </w:p>
    <w:p w14:paraId="1C4864D9" w14:textId="77777777" w:rsidR="002D0E71" w:rsidRDefault="00000000">
      <w:pPr>
        <w:pStyle w:val="Normal21"/>
        <w:widowControl w:val="0"/>
        <w:spacing w:before="200" w:line="260" w:lineRule="atLeast"/>
        <w:jc w:val="both"/>
      </w:pPr>
      <w:bookmarkStart w:id="3311" w:name="Bookmark_para_22_15"/>
      <w:bookmarkStart w:id="3312" w:name="Bookmark_I5G432P32SF8140020000400"/>
      <w:bookmarkStart w:id="3313" w:name="Bookmark_LNHNREFclscc8_15"/>
      <w:bookmarkEnd w:id="3311"/>
      <w:bookmarkEnd w:id="3312"/>
      <w:bookmarkEnd w:id="3313"/>
      <w:r>
        <w:rPr>
          <w:rFonts w:ascii="Arial" w:eastAsia="Arial" w:hAnsi="Arial" w:cs="Arial"/>
          <w:color w:val="000000"/>
          <w:sz w:val="20"/>
        </w:rPr>
        <w:t xml:space="preserve">In most suits, a plaintiff may prove injury-in-fact—and his personal stake in the litigation—by alleging a past harm that the court can remedy. </w:t>
      </w:r>
      <w:bookmarkStart w:id="3314" w:name="Bookmark_I08S7HSWV5R000W151D0008D"/>
      <w:bookmarkStart w:id="3315" w:name="Bookmark_I5G432P32SF8140040000400"/>
      <w:bookmarkEnd w:id="3314"/>
      <w:bookmarkEnd w:id="3315"/>
      <w:r>
        <w:rPr>
          <w:rFonts w:ascii="Arial" w:eastAsia="Arial" w:hAnsi="Arial" w:cs="Arial"/>
          <w:i/>
          <w:color w:val="000000"/>
          <w:sz w:val="20"/>
        </w:rPr>
        <w:t xml:space="preserve">See </w:t>
      </w:r>
      <w:bookmarkStart w:id="3316" w:name="Bookmark_I5G432P32SF8140010000400"/>
      <w:bookmarkEnd w:id="3316"/>
      <w:r>
        <w:rPr>
          <w:rFonts w:ascii="Arial" w:eastAsia="Arial" w:hAnsi="Arial" w:cs="Arial"/>
          <w:i/>
          <w:color w:val="000000"/>
          <w:sz w:val="20"/>
        </w:rPr>
        <w:t>City of Los Angeles v. Lyons</w:t>
      </w:r>
      <w:r>
        <w:rPr>
          <w:rFonts w:ascii="Arial" w:eastAsia="Arial" w:hAnsi="Arial" w:cs="Arial"/>
          <w:color w:val="000000"/>
          <w:sz w:val="20"/>
        </w:rPr>
        <w:t xml:space="preserve">, 461 U.S. 95, 102-03, 103 S. Ct. 1660, 75 L. Ed. 2d 675 (1983). But when plaintiff sues for injunctive relief, the law requires more. An injunction, by definition, seeks to stop an ongoing injustice or to prevent future injury. </w:t>
      </w:r>
      <w:bookmarkStart w:id="3317" w:name="Bookmark_I5G432P32SF8140040000400_2"/>
      <w:bookmarkStart w:id="3318" w:name="Bookmark_I83R9YYYV3W00002SSC000CF"/>
      <w:bookmarkStart w:id="3319" w:name="Bookmark_I83R9YYYY6X00002SSC000CH"/>
      <w:bookmarkStart w:id="3320" w:name="Bookmark_I83RB0002B900002SSC000CK"/>
      <w:bookmarkStart w:id="3321" w:name="Bookmark_I5G432P32N1RDG0010000400"/>
      <w:bookmarkEnd w:id="3317"/>
      <w:bookmarkEnd w:id="3318"/>
      <w:bookmarkEnd w:id="3319"/>
      <w:bookmarkEnd w:id="3320"/>
      <w:bookmarkEnd w:id="3321"/>
      <w:r>
        <w:rPr>
          <w:rFonts w:ascii="Arial" w:eastAsia="Arial" w:hAnsi="Arial" w:cs="Arial"/>
          <w:color w:val="000000"/>
          <w:sz w:val="20"/>
        </w:rPr>
        <w:t xml:space="preserve">So to claim standing for an injunction, plaintiff must prove that he "sustained or is immediately in danger of sustaining some direct injury as the result of the challenged . . . conduct and the injury or threat of injury must be both real and immediate, not conjectural or hypothetical." </w:t>
      </w:r>
      <w:bookmarkStart w:id="3322" w:name="Bookmark_I5G432P32SF8140030000400"/>
      <w:bookmarkEnd w:id="3322"/>
      <w:r>
        <w:rPr>
          <w:rFonts w:ascii="Arial" w:eastAsia="Arial" w:hAnsi="Arial" w:cs="Arial"/>
          <w:i/>
          <w:color w:val="000000"/>
          <w:sz w:val="20"/>
        </w:rPr>
        <w:t>Id.</w:t>
      </w:r>
      <w:r>
        <w:rPr>
          <w:rFonts w:ascii="Arial" w:eastAsia="Arial" w:hAnsi="Arial" w:cs="Arial"/>
          <w:color w:val="000000"/>
          <w:sz w:val="20"/>
        </w:rPr>
        <w:t xml:space="preserve"> at 102 (internal quotation marks omitted). </w:t>
      </w:r>
      <w:bookmarkStart w:id="3323" w:name="Bookmark_I08S7HSX3V1000W151D0008G"/>
      <w:bookmarkStart w:id="3324" w:name="Bookmark_I08S7HSXN4K000W151D0008M"/>
      <w:bookmarkStart w:id="3325" w:name="Bookmark_I08S7HSXCG9000W151D0008J"/>
      <w:bookmarkStart w:id="3326" w:name="Bookmark_I5G432P32N1RDG0010000400_2"/>
      <w:bookmarkEnd w:id="3323"/>
      <w:bookmarkEnd w:id="3324"/>
      <w:bookmarkEnd w:id="3325"/>
      <w:bookmarkEnd w:id="3326"/>
      <w:r>
        <w:rPr>
          <w:rFonts w:ascii="Arial" w:eastAsia="Arial" w:hAnsi="Arial" w:cs="Arial"/>
          <w:color w:val="000000"/>
          <w:sz w:val="20"/>
        </w:rPr>
        <w:t xml:space="preserve">In Title III cases, plaintiff must prove he is likely to suffer discrimination in the future, either because he intends to return to a noncompliant establishment, or because defendant's misconduct deterred his patronage. </w:t>
      </w:r>
      <w:r>
        <w:rPr>
          <w:rFonts w:ascii="Arial" w:eastAsia="Arial" w:hAnsi="Arial" w:cs="Arial"/>
          <w:i/>
          <w:color w:val="000000"/>
          <w:sz w:val="20"/>
        </w:rPr>
        <w:t xml:space="preserve">See </w:t>
      </w:r>
      <w:bookmarkStart w:id="3327" w:name="Bookmark_I5G432P32SF8140050000400"/>
      <w:bookmarkEnd w:id="3327"/>
      <w:r>
        <w:rPr>
          <w:rFonts w:ascii="Arial" w:eastAsia="Arial" w:hAnsi="Arial" w:cs="Arial"/>
          <w:i/>
          <w:color w:val="000000"/>
          <w:sz w:val="20"/>
        </w:rPr>
        <w:t>Houston v. Marod Supermkts., Inc.</w:t>
      </w:r>
      <w:r>
        <w:rPr>
          <w:rFonts w:ascii="Arial" w:eastAsia="Arial" w:hAnsi="Arial" w:cs="Arial"/>
          <w:color w:val="000000"/>
          <w:sz w:val="20"/>
        </w:rPr>
        <w:t xml:space="preserve">, 733 F.3d 1323, 1334-37 (11th Cir. 2013) (holding plaintiff who often passed defendant's [**11]  store alleged intent to return and injury-in-fact); </w:t>
      </w:r>
      <w:bookmarkStart w:id="3328" w:name="Bookmark_I5G432P32N1RDG0020000400"/>
      <w:bookmarkEnd w:id="3328"/>
      <w:r>
        <w:rPr>
          <w:rFonts w:ascii="Arial" w:eastAsia="Arial" w:hAnsi="Arial" w:cs="Arial"/>
          <w:i/>
          <w:color w:val="000000"/>
          <w:sz w:val="20"/>
        </w:rPr>
        <w:t>Kreisler v. Second Ave. Diner Corp.</w:t>
      </w:r>
      <w:r>
        <w:rPr>
          <w:rFonts w:ascii="Arial" w:eastAsia="Arial" w:hAnsi="Arial" w:cs="Arial"/>
          <w:color w:val="000000"/>
          <w:sz w:val="20"/>
        </w:rPr>
        <w:t xml:space="preserve">, 731 F.3d 184, 187-88 (2d Cir. 2013) (finding injury-in-fact where plaintiff deterred from visiting diner with inadequate wheelchair access); </w:t>
      </w:r>
      <w:bookmarkStart w:id="3329" w:name="Bookmark_I5G432P32N1RDG0040000400"/>
      <w:bookmarkEnd w:id="3329"/>
      <w:r>
        <w:rPr>
          <w:rFonts w:ascii="Arial" w:eastAsia="Arial" w:hAnsi="Arial" w:cs="Arial"/>
          <w:i/>
          <w:color w:val="000000"/>
          <w:sz w:val="20"/>
        </w:rPr>
        <w:t>Pickern v. Holiday Quality Foods Inc.</w:t>
      </w:r>
      <w:r>
        <w:rPr>
          <w:rFonts w:ascii="Arial" w:eastAsia="Arial" w:hAnsi="Arial" w:cs="Arial"/>
          <w:color w:val="000000"/>
          <w:sz w:val="20"/>
        </w:rPr>
        <w:t>, 293 F.3d 1133, 1137-38 (9th Cir. 2002) (finding injury-in-fact where plaintiff deterred from visiting store with architectural barriers).</w:t>
      </w:r>
    </w:p>
    <w:p w14:paraId="2051A8C8" w14:textId="77777777" w:rsidR="002D0E71" w:rsidRDefault="00000000">
      <w:pPr>
        <w:pStyle w:val="Normal21"/>
        <w:widowControl w:val="0"/>
        <w:spacing w:before="200" w:line="260" w:lineRule="atLeast"/>
        <w:jc w:val="both"/>
      </w:pPr>
      <w:bookmarkStart w:id="3330" w:name="Bookmark_para_23_15"/>
      <w:bookmarkEnd w:id="3330"/>
      <w:r>
        <w:rPr>
          <w:rFonts w:ascii="Arial" w:eastAsia="Arial" w:hAnsi="Arial" w:cs="Arial"/>
          <w:color w:val="000000"/>
          <w:sz w:val="20"/>
        </w:rPr>
        <w:t xml:space="preserve">Here, the trial court weighed evidence from the parties' declarations to decide whether Gomez suffered an injury warranting an injunction. </w:t>
      </w:r>
      <w:bookmarkStart w:id="3331" w:name="Bookmark_I5G432P32N1RDH0020000400"/>
      <w:bookmarkEnd w:id="3331"/>
      <w:r>
        <w:rPr>
          <w:rFonts w:ascii="Arial" w:eastAsia="Arial" w:hAnsi="Arial" w:cs="Arial"/>
          <w:color w:val="000000"/>
          <w:sz w:val="20"/>
        </w:rPr>
        <w:t xml:space="preserve">Plaintiff claims this was a mistake. </w:t>
      </w:r>
      <w:bookmarkStart w:id="3332" w:name="Bookmark_LNHNREFclscc9_14"/>
      <w:bookmarkEnd w:id="3332"/>
      <w:r>
        <w:rPr>
          <w:rFonts w:ascii="Arial" w:eastAsia="Arial" w:hAnsi="Arial" w:cs="Arial"/>
          <w:color w:val="000000"/>
          <w:sz w:val="20"/>
        </w:rPr>
        <w:t xml:space="preserve">Though courts typically weigh evidence to discern jurisdiction on motions to dismiss, the Eleventh Circuit makes an exception where matters of statutory standing intertwine with merits issues. </w:t>
      </w:r>
      <w:bookmarkStart w:id="3333" w:name="Bookmark_I5G432P32N1RDH0040000400"/>
      <w:bookmarkStart w:id="3334" w:name="Bookmark_I5G432P32N1RDH0010000400"/>
      <w:bookmarkEnd w:id="3333"/>
      <w:bookmarkEnd w:id="3334"/>
      <w:r>
        <w:rPr>
          <w:rFonts w:ascii="Arial" w:eastAsia="Arial" w:hAnsi="Arial" w:cs="Arial"/>
          <w:i/>
          <w:color w:val="000000"/>
          <w:sz w:val="20"/>
        </w:rPr>
        <w:t>Lawrence v. Dunbar</w:t>
      </w:r>
      <w:r>
        <w:rPr>
          <w:rFonts w:ascii="Arial" w:eastAsia="Arial" w:hAnsi="Arial" w:cs="Arial"/>
          <w:color w:val="000000"/>
          <w:sz w:val="20"/>
        </w:rPr>
        <w:t xml:space="preserve">, 919 F.2d 1525, 1530 (11th Cir. 1990). </w:t>
      </w:r>
      <w:bookmarkStart w:id="3335" w:name="Bookmark_I5G432P32N1RDH0040000400_2"/>
      <w:bookmarkEnd w:id="3335"/>
      <w:r>
        <w:rPr>
          <w:rFonts w:ascii="Arial" w:eastAsia="Arial" w:hAnsi="Arial" w:cs="Arial"/>
          <w:color w:val="000000"/>
          <w:sz w:val="20"/>
        </w:rPr>
        <w:t xml:space="preserve">When a question of standing is the same as an issue presented on the merits, courts apply a summary judgment standard, dismissing only if undisputed facts show that the plaintiff lacks standing. </w:t>
      </w:r>
      <w:r>
        <w:rPr>
          <w:rFonts w:ascii="Arial" w:eastAsia="Arial" w:hAnsi="Arial" w:cs="Arial"/>
          <w:i/>
          <w:color w:val="000000"/>
          <w:sz w:val="20"/>
        </w:rPr>
        <w:t>See Id.</w:t>
      </w:r>
      <w:r>
        <w:rPr>
          <w:rFonts w:ascii="Arial" w:eastAsia="Arial" w:hAnsi="Arial" w:cs="Arial"/>
          <w:color w:val="000000"/>
          <w:sz w:val="20"/>
        </w:rPr>
        <w:t xml:space="preserve"> (applying summary judgment standard where Federal Tort Claims Act "scope of employment" issue implicated standing and merits); </w:t>
      </w:r>
      <w:r>
        <w:rPr>
          <w:rFonts w:ascii="Arial" w:eastAsia="Arial" w:hAnsi="Arial" w:cs="Arial"/>
          <w:i/>
          <w:color w:val="000000"/>
          <w:sz w:val="20"/>
        </w:rPr>
        <w:t xml:space="preserve">see also </w:t>
      </w:r>
      <w:bookmarkStart w:id="3336" w:name="Bookmark_I5G432P32N1RDH0030000400"/>
      <w:bookmarkEnd w:id="3336"/>
      <w:r>
        <w:rPr>
          <w:rFonts w:ascii="Arial" w:eastAsia="Arial" w:hAnsi="Arial" w:cs="Arial"/>
          <w:i/>
          <w:color w:val="000000"/>
          <w:sz w:val="20"/>
        </w:rPr>
        <w:t>Morrison v. Amway Corp.</w:t>
      </w:r>
      <w:r>
        <w:rPr>
          <w:rFonts w:ascii="Arial" w:eastAsia="Arial" w:hAnsi="Arial" w:cs="Arial"/>
          <w:color w:val="000000"/>
          <w:sz w:val="20"/>
        </w:rPr>
        <w:t xml:space="preserve">, 323 F.3d 920, 927-28 (11th Cir. 2003) (applying summary judgment standard where Family Medical Leave Act "eligible employee" issue implicated standing and merits); </w:t>
      </w:r>
      <w:bookmarkStart w:id="3337" w:name="Bookmark_I5G432P32N1RDH0050000400"/>
      <w:bookmarkEnd w:id="3337"/>
      <w:r>
        <w:rPr>
          <w:rFonts w:ascii="Arial" w:eastAsia="Arial" w:hAnsi="Arial" w:cs="Arial"/>
          <w:i/>
          <w:color w:val="000000"/>
          <w:sz w:val="20"/>
        </w:rPr>
        <w:t>Garcia v. Copenhaver, Bell &amp; Assocs.</w:t>
      </w:r>
      <w:r>
        <w:rPr>
          <w:rFonts w:ascii="Arial" w:eastAsia="Arial" w:hAnsi="Arial" w:cs="Arial"/>
          <w:color w:val="000000"/>
          <w:sz w:val="20"/>
        </w:rPr>
        <w:t xml:space="preserve">, 104 F.3d 1256, 1266-67 (11th Cir. 1997) (applying summary judgment standard where Age Discrimination in Employment Act "employer" issue implicated [**12]  standing and merits). To this end, Gomez claims that the matter of defendant's compliance bears both on constitutional injury-in-fact and defendant's liability under the statute. Thus in plaintiff's view, we should review the motion to dismiss </w:t>
      </w:r>
      <w:r>
        <w:rPr>
          <w:rFonts w:ascii="Arial" w:eastAsia="Arial" w:hAnsi="Arial" w:cs="Arial"/>
          <w:i/>
          <w:color w:val="000000"/>
          <w:sz w:val="20"/>
        </w:rPr>
        <w:t>de novo</w:t>
      </w:r>
      <w:r>
        <w:rPr>
          <w:rFonts w:ascii="Arial" w:eastAsia="Arial" w:hAnsi="Arial" w:cs="Arial"/>
          <w:color w:val="000000"/>
          <w:sz w:val="20"/>
        </w:rPr>
        <w:t xml:space="preserve"> and apply a summary  [*864]  judgment standard to settle disputed facts.</w:t>
      </w:r>
    </w:p>
    <w:p w14:paraId="77C4D339" w14:textId="77777777" w:rsidR="002D0E71" w:rsidRDefault="00000000">
      <w:pPr>
        <w:pStyle w:val="Normal21"/>
        <w:widowControl w:val="0"/>
        <w:spacing w:before="200" w:line="260" w:lineRule="atLeast"/>
        <w:jc w:val="both"/>
      </w:pPr>
      <w:bookmarkStart w:id="3338" w:name="Bookmark_para_24_15"/>
      <w:bookmarkStart w:id="3339" w:name="Bookmark_I08S7HSXXSW000W151D0008P"/>
      <w:bookmarkStart w:id="3340" w:name="Bookmark_I5G432P32SF8160030000400"/>
      <w:bookmarkEnd w:id="3338"/>
      <w:bookmarkEnd w:id="3339"/>
      <w:bookmarkEnd w:id="3340"/>
      <w:r>
        <w:rPr>
          <w:rFonts w:ascii="Arial" w:eastAsia="Arial" w:hAnsi="Arial" w:cs="Arial"/>
          <w:color w:val="000000"/>
          <w:sz w:val="20"/>
        </w:rPr>
        <w:t xml:space="preserve">But there is no need to fuss over these arguments. Even if we apply the summary judgment standard, plaintiff still fails to allege an injury-in-fact. As mentioned before, </w:t>
      </w:r>
      <w:bookmarkStart w:id="3341" w:name="Bookmark_LNHNREFclscc10_14"/>
      <w:bookmarkEnd w:id="3341"/>
      <w:r>
        <w:rPr>
          <w:rFonts w:ascii="Arial" w:eastAsia="Arial" w:hAnsi="Arial" w:cs="Arial"/>
          <w:color w:val="000000"/>
          <w:sz w:val="20"/>
        </w:rPr>
        <w:t xml:space="preserve">those who seek standing under Title III must show either that they intend to return to a noncomplying public accommodation, or that defendant's inaction deterred plaintiff from visiting an offending site. </w:t>
      </w:r>
      <w:r>
        <w:rPr>
          <w:rFonts w:ascii="Arial" w:eastAsia="Arial" w:hAnsi="Arial" w:cs="Arial"/>
          <w:i/>
          <w:color w:val="000000"/>
          <w:sz w:val="20"/>
        </w:rPr>
        <w:t xml:space="preserve">See </w:t>
      </w:r>
      <w:bookmarkStart w:id="3342" w:name="Bookmark_I5G432P32SF8160020000400"/>
      <w:bookmarkEnd w:id="3342"/>
      <w:r>
        <w:rPr>
          <w:rFonts w:ascii="Arial" w:eastAsia="Arial" w:hAnsi="Arial" w:cs="Arial"/>
          <w:i/>
          <w:color w:val="000000"/>
          <w:sz w:val="20"/>
        </w:rPr>
        <w:t>Houston</w:t>
      </w:r>
      <w:r>
        <w:rPr>
          <w:rFonts w:ascii="Arial" w:eastAsia="Arial" w:hAnsi="Arial" w:cs="Arial"/>
          <w:color w:val="000000"/>
          <w:sz w:val="20"/>
        </w:rPr>
        <w:t>, 733 F.3d at 1334-37. Gomez cannot make either showing, because he cannot establish the crucial fact underpinning both tests: Dade's failure to comply with ADA rules.</w:t>
      </w:r>
    </w:p>
    <w:p w14:paraId="54E8385A" w14:textId="77777777" w:rsidR="002D0E71" w:rsidRDefault="00000000">
      <w:pPr>
        <w:pStyle w:val="Normal21"/>
        <w:widowControl w:val="0"/>
        <w:spacing w:before="200" w:line="260" w:lineRule="atLeast"/>
        <w:jc w:val="both"/>
      </w:pPr>
      <w:bookmarkStart w:id="3343" w:name="Bookmark_para_25_15"/>
      <w:bookmarkStart w:id="3344" w:name="Bookmark_LNHNREFclscc11_12"/>
      <w:bookmarkEnd w:id="3343"/>
      <w:bookmarkEnd w:id="3344"/>
      <w:r>
        <w:rPr>
          <w:rFonts w:ascii="Arial" w:eastAsia="Arial" w:hAnsi="Arial" w:cs="Arial"/>
          <w:color w:val="000000"/>
          <w:sz w:val="20"/>
        </w:rPr>
        <w:t xml:space="preserve">The 2010 Standards list the traits of ADA-compatible ATMs in minute detail. Some of these specifications, like the rule requiring tactile keys, describe the physical attributes of ADA-worthy machines. </w:t>
      </w:r>
      <w:r>
        <w:rPr>
          <w:rFonts w:ascii="Arial" w:eastAsia="Arial" w:hAnsi="Arial" w:cs="Arial"/>
          <w:i/>
          <w:color w:val="000000"/>
          <w:sz w:val="20"/>
        </w:rPr>
        <w:t>See</w:t>
      </w:r>
      <w:r>
        <w:rPr>
          <w:rFonts w:ascii="Arial" w:eastAsia="Arial" w:hAnsi="Arial" w:cs="Arial"/>
          <w:color w:val="000000"/>
          <w:sz w:val="20"/>
        </w:rPr>
        <w:t xml:space="preserve"> 2004 ADAAG § 707.6. After a bank fits its ATMs to comply with such rules, the machines will likely remain compliant unless the bank erects new barriers to access. But [**13]  other standards demand ongoing attention to ensure compliance. The rule requiring ATMs to have a voice guidance system falls in this category, because once a voice system is installed, the program may occasionally malfunction and require maintenance. </w:t>
      </w:r>
      <w:r>
        <w:rPr>
          <w:rFonts w:ascii="Arial" w:eastAsia="Arial" w:hAnsi="Arial" w:cs="Arial"/>
          <w:i/>
          <w:color w:val="000000"/>
          <w:sz w:val="20"/>
        </w:rPr>
        <w:t>See id.</w:t>
      </w:r>
      <w:r>
        <w:rPr>
          <w:rFonts w:ascii="Arial" w:eastAsia="Arial" w:hAnsi="Arial" w:cs="Arial"/>
          <w:color w:val="000000"/>
          <w:sz w:val="20"/>
        </w:rPr>
        <w:t xml:space="preserve"> § 707.5. Periodic hurdles may thus arise not as a result of negligence or bad intent, but as a natural attendant of the access-enhancing solution. To ensure that periodic breakdowns are not punished as ADA violations, the regulations permit "isolated or temporary interruptions in service or access due to maintenance or repairs," 28 C.F.R. § 36.211(b), as long as the interruption does not "persist beyond a reasonable period of time," </w:t>
      </w:r>
      <w:r>
        <w:rPr>
          <w:rFonts w:ascii="Arial" w:eastAsia="Arial" w:hAnsi="Arial" w:cs="Arial"/>
          <w:i/>
          <w:color w:val="000000"/>
          <w:sz w:val="20"/>
        </w:rPr>
        <w:t>id.</w:t>
      </w:r>
      <w:r>
        <w:rPr>
          <w:rFonts w:ascii="Arial" w:eastAsia="Arial" w:hAnsi="Arial" w:cs="Arial"/>
          <w:color w:val="000000"/>
          <w:sz w:val="20"/>
        </w:rPr>
        <w:t xml:space="preserve"> at pt. 36 app. C § 36.211.</w:t>
      </w:r>
    </w:p>
    <w:p w14:paraId="6BC6BE44" w14:textId="77777777" w:rsidR="002D0E71" w:rsidRDefault="00000000">
      <w:pPr>
        <w:pStyle w:val="Normal21"/>
        <w:widowControl w:val="0"/>
        <w:spacing w:before="200" w:line="260" w:lineRule="atLeast"/>
        <w:jc w:val="both"/>
      </w:pPr>
      <w:bookmarkStart w:id="3345" w:name="Bookmark_para_26_15"/>
      <w:bookmarkEnd w:id="3345"/>
      <w:r>
        <w:rPr>
          <w:rFonts w:ascii="Arial" w:eastAsia="Arial" w:hAnsi="Arial" w:cs="Arial"/>
          <w:color w:val="000000"/>
          <w:sz w:val="20"/>
        </w:rPr>
        <w:t xml:space="preserve">The defendant falls within this narrow exception. In the complaint, Gomez alleged just one instance when a Dade voice-guidance system failed: the Subject ATM's misfire in July 2013. The complaint and declarations offer no other concrete examples of a malfunction prior to suit. This one breakdown, standing alone, is the very essence of an "isolated or temporary" interruption exempt from liability. 28 C.F.R. § 36.211(b). To lend this view more credence, defendant produced statements that the ATM was retrofitted and ready for service [**14]  before and after July 2013. </w:t>
      </w:r>
      <w:bookmarkStart w:id="3346" w:name="Bookmark_I5G432P32SF8160050000400"/>
      <w:bookmarkEnd w:id="3346"/>
      <w:r>
        <w:rPr>
          <w:rFonts w:ascii="Arial" w:eastAsia="Arial" w:hAnsi="Arial" w:cs="Arial"/>
          <w:color w:val="000000"/>
          <w:sz w:val="20"/>
        </w:rPr>
        <w:t xml:space="preserve">Employees also declared that they followed company policy to keep all ATMs in working order, and though Gomez claims the policy was window-dressing, he offers no evidence in support. Because he marshalled proof of just one ATM malfunction—but no evidence regarding other technical glitches—Gomez has not raised a genuine dispute of fact regarding defendant's ADA compliance. </w:t>
      </w:r>
      <w:r>
        <w:rPr>
          <w:rFonts w:ascii="Arial" w:eastAsia="Arial" w:hAnsi="Arial" w:cs="Arial"/>
          <w:i/>
          <w:color w:val="000000"/>
          <w:sz w:val="20"/>
        </w:rPr>
        <w:t>See</w:t>
      </w:r>
      <w:r>
        <w:rPr>
          <w:rFonts w:ascii="Arial" w:eastAsia="Arial" w:hAnsi="Arial" w:cs="Arial"/>
          <w:color w:val="000000"/>
          <w:sz w:val="20"/>
        </w:rPr>
        <w:t xml:space="preserve"> Fed. R. Civ. P. 56(c)(1)(A) (</w:t>
      </w:r>
      <w:bookmarkStart w:id="3347" w:name="Bookmark_LNHNREFclscc12_12"/>
      <w:bookmarkEnd w:id="3347"/>
      <w:r>
        <w:rPr>
          <w:rFonts w:ascii="Arial" w:eastAsia="Arial" w:hAnsi="Arial" w:cs="Arial"/>
          <w:color w:val="000000"/>
          <w:sz w:val="20"/>
        </w:rPr>
        <w:t xml:space="preserve">"A party asserting that a fact . . . is genuinely disputed must support the assertion by citing to particular parts of materials in the record . . . ."); </w:t>
      </w:r>
      <w:bookmarkStart w:id="3348" w:name="Bookmark_I5G432P32SF8160040000400"/>
      <w:bookmarkEnd w:id="3348"/>
      <w:r>
        <w:rPr>
          <w:rFonts w:ascii="Arial" w:eastAsia="Arial" w:hAnsi="Arial" w:cs="Arial"/>
          <w:i/>
          <w:color w:val="000000"/>
          <w:sz w:val="20"/>
        </w:rPr>
        <w:t>AFL-CIO v. City of Miami</w:t>
      </w:r>
      <w:r>
        <w:rPr>
          <w:rFonts w:ascii="Arial" w:eastAsia="Arial" w:hAnsi="Arial" w:cs="Arial"/>
          <w:color w:val="000000"/>
          <w:sz w:val="20"/>
        </w:rPr>
        <w:t>, 637 F.3d 1178, 1191-92 (11th Cir. 2011) (dismissing where plaintiff failed to adduce evidence proving conspiracy to infringe constitutional rights). The trial court was correct to dismiss the case for lack of standing.</w:t>
      </w:r>
    </w:p>
    <w:p w14:paraId="427E3448" w14:textId="77777777" w:rsidR="002D0E71" w:rsidRDefault="00000000">
      <w:pPr>
        <w:pStyle w:val="Normal21"/>
        <w:widowControl w:val="0"/>
        <w:spacing w:before="200" w:line="260" w:lineRule="atLeast"/>
        <w:jc w:val="both"/>
      </w:pPr>
      <w:bookmarkStart w:id="3349" w:name="Bookmark_para_27_15"/>
      <w:bookmarkEnd w:id="3349"/>
      <w:r>
        <w:rPr>
          <w:rFonts w:ascii="Arial" w:eastAsia="Arial" w:hAnsi="Arial" w:cs="Arial"/>
          <w:color w:val="000000"/>
          <w:sz w:val="20"/>
        </w:rPr>
        <w:t xml:space="preserve">Plaintiff's other allegations do not move the dial. Gomez claimed, for instance, that additional ATMs malfunctioned when tested in July 2013. Yet plaintiff's complaint and declaration do little to support the claim: The pleadings do not reveal who tested the other ATMs for Gomez or where those machines were located, and though plaintiff's declaration confirms that the Subject ATM broke down once prior to suit, the document does not mention any other pre-suit [**15]  malfunctions. Without evidence to support his side of the story, Gomez cannot refute that defendant's other  [*865]  ATMs complied with the ADA. </w:t>
      </w:r>
      <w:r>
        <w:rPr>
          <w:rFonts w:ascii="Arial" w:eastAsia="Arial" w:hAnsi="Arial" w:cs="Arial"/>
          <w:i/>
          <w:color w:val="000000"/>
          <w:sz w:val="20"/>
        </w:rPr>
        <w:t>See</w:t>
      </w:r>
      <w:r>
        <w:rPr>
          <w:rFonts w:ascii="Arial" w:eastAsia="Arial" w:hAnsi="Arial" w:cs="Arial"/>
          <w:color w:val="000000"/>
          <w:sz w:val="20"/>
        </w:rPr>
        <w:t xml:space="preserve"> Fed. R. Civ. P. 56(c)(1)(A).</w:t>
      </w:r>
    </w:p>
    <w:p w14:paraId="7EA8987A" w14:textId="77777777" w:rsidR="002D0E71" w:rsidRDefault="00000000">
      <w:pPr>
        <w:pStyle w:val="Normal21"/>
        <w:widowControl w:val="0"/>
        <w:spacing w:before="200" w:line="260" w:lineRule="atLeast"/>
        <w:jc w:val="both"/>
      </w:pPr>
      <w:bookmarkStart w:id="3350" w:name="Bookmark_para_28_14"/>
      <w:bookmarkEnd w:id="3350"/>
      <w:r>
        <w:rPr>
          <w:rFonts w:ascii="Arial" w:eastAsia="Arial" w:hAnsi="Arial" w:cs="Arial"/>
          <w:color w:val="000000"/>
          <w:sz w:val="20"/>
        </w:rPr>
        <w:t xml:space="preserve">Gomez also claimed standing based on the malfunction of a second ATM following the motion to dismiss. But again, even conceding that the machine actually failed, Gomez has not shown this was anything more than an isolated interruption in service. </w:t>
      </w:r>
      <w:bookmarkStart w:id="3351" w:name="Bookmark_I5G432P32HM5YS0020000400"/>
      <w:bookmarkEnd w:id="3351"/>
      <w:r>
        <w:rPr>
          <w:rFonts w:ascii="Arial" w:eastAsia="Arial" w:hAnsi="Arial" w:cs="Arial"/>
          <w:i/>
          <w:color w:val="000000"/>
          <w:sz w:val="20"/>
        </w:rPr>
        <w:t>See</w:t>
      </w:r>
      <w:r>
        <w:rPr>
          <w:rFonts w:ascii="Arial" w:eastAsia="Arial" w:hAnsi="Arial" w:cs="Arial"/>
          <w:color w:val="000000"/>
          <w:sz w:val="20"/>
        </w:rPr>
        <w:t xml:space="preserve"> 28 C.F.R. § 36.211(b). Furthermore, </w:t>
      </w:r>
      <w:bookmarkStart w:id="3352" w:name="Bookmark_LNHNREFclscc13_10"/>
      <w:bookmarkEnd w:id="3352"/>
      <w:r>
        <w:rPr>
          <w:rFonts w:ascii="Arial" w:eastAsia="Arial" w:hAnsi="Arial" w:cs="Arial"/>
          <w:color w:val="000000"/>
          <w:sz w:val="20"/>
        </w:rPr>
        <w:t xml:space="preserve">the law requires plaintiffs to prove that they had standing at the time the complaint was filed. </w:t>
      </w:r>
      <w:bookmarkStart w:id="3353" w:name="Bookmark_I5G432P32HM5YS0010000400"/>
      <w:bookmarkEnd w:id="3353"/>
      <w:r>
        <w:rPr>
          <w:rFonts w:ascii="Arial" w:eastAsia="Arial" w:hAnsi="Arial" w:cs="Arial"/>
          <w:i/>
          <w:color w:val="000000"/>
          <w:sz w:val="20"/>
        </w:rPr>
        <w:t>Friends of the Earth, Inc. v. Laidlaw Envtl. Servs. (TOC), Inc.</w:t>
      </w:r>
      <w:r>
        <w:rPr>
          <w:rFonts w:ascii="Arial" w:eastAsia="Arial" w:hAnsi="Arial" w:cs="Arial"/>
          <w:color w:val="000000"/>
          <w:sz w:val="20"/>
        </w:rPr>
        <w:t xml:space="preserve">, 528 U.S. 167, 180, 120 S. Ct. 693, 145 L. Ed. 2d 610 (2000) (holding standing established at "outset of the litigation"); </w:t>
      </w:r>
      <w:bookmarkStart w:id="3354" w:name="Bookmark_I5G432P32HM5YS0030000400"/>
      <w:bookmarkEnd w:id="3354"/>
      <w:r>
        <w:rPr>
          <w:rFonts w:ascii="Arial" w:eastAsia="Arial" w:hAnsi="Arial" w:cs="Arial"/>
          <w:i/>
          <w:color w:val="000000"/>
          <w:sz w:val="20"/>
        </w:rPr>
        <w:t>Focus on the Family v. Pinellas Suncoast Transit Auth.</w:t>
      </w:r>
      <w:r>
        <w:rPr>
          <w:rFonts w:ascii="Arial" w:eastAsia="Arial" w:hAnsi="Arial" w:cs="Arial"/>
          <w:color w:val="000000"/>
          <w:sz w:val="20"/>
        </w:rPr>
        <w:t xml:space="preserve">, 344 F.3d 1263, 1275 (11th Cir. 2003) (holding standing established at time complaint is filed); </w:t>
      </w:r>
      <w:bookmarkStart w:id="3355" w:name="Bookmark_I5G432P32HM5YS0050000400"/>
      <w:bookmarkEnd w:id="3355"/>
      <w:r>
        <w:rPr>
          <w:rFonts w:ascii="Arial" w:eastAsia="Arial" w:hAnsi="Arial" w:cs="Arial"/>
          <w:i/>
          <w:color w:val="000000"/>
          <w:sz w:val="20"/>
        </w:rPr>
        <w:t>Cleveland Branch, NAACP v. City of Parma</w:t>
      </w:r>
      <w:r>
        <w:rPr>
          <w:rFonts w:ascii="Arial" w:eastAsia="Arial" w:hAnsi="Arial" w:cs="Arial"/>
          <w:color w:val="000000"/>
          <w:sz w:val="20"/>
        </w:rPr>
        <w:t>, 263 F.3d 513, 524-25 (6th Cir. 2001) (same). If Gomez wished to claim standing based on the malfunctions of the Subject ATM and second ATM together, he could have amended his complaint to include both examples. Gomez declined to do so, however, even though the trial court dismissed his case without prejudice.</w:t>
      </w:r>
    </w:p>
    <w:p w14:paraId="24EE76DC" w14:textId="77777777" w:rsidR="002D0E71" w:rsidRDefault="00000000">
      <w:pPr>
        <w:pStyle w:val="Normal21"/>
        <w:widowControl w:val="0"/>
        <w:spacing w:before="200" w:line="260" w:lineRule="atLeast"/>
        <w:jc w:val="both"/>
      </w:pPr>
      <w:bookmarkStart w:id="3356" w:name="Bookmark_para_29_14"/>
      <w:bookmarkStart w:id="3357" w:name="Bookmark_I08S7HSY2M1000W151D0008R"/>
      <w:bookmarkStart w:id="3358" w:name="Bookmark_I5G432P32D6N7F0030000400"/>
      <w:bookmarkStart w:id="3359" w:name="Bookmark_I5G432P32D6N7F0050000400"/>
      <w:bookmarkStart w:id="3360" w:name="Bookmark_I08S7HSY6F5000W151D0008S"/>
      <w:bookmarkStart w:id="3361" w:name="Bookmark_I5G432P32N1RDJ0040000400"/>
      <w:bookmarkEnd w:id="3356"/>
      <w:bookmarkEnd w:id="3357"/>
      <w:bookmarkEnd w:id="3358"/>
      <w:bookmarkEnd w:id="3359"/>
      <w:bookmarkEnd w:id="3360"/>
      <w:bookmarkEnd w:id="3361"/>
      <w:r>
        <w:rPr>
          <w:rFonts w:ascii="Arial" w:eastAsia="Arial" w:hAnsi="Arial" w:cs="Arial"/>
          <w:color w:val="000000"/>
          <w:sz w:val="20"/>
        </w:rPr>
        <w:t xml:space="preserve">Finally, the court notes a key difference between this case and </w:t>
      </w:r>
      <w:bookmarkStart w:id="3362" w:name="Bookmark_I5G432P32D6N7F0020000400"/>
      <w:bookmarkEnd w:id="3362"/>
      <w:r>
        <w:rPr>
          <w:rFonts w:ascii="Arial" w:eastAsia="Arial" w:hAnsi="Arial" w:cs="Arial"/>
          <w:i/>
          <w:color w:val="000000"/>
          <w:sz w:val="20"/>
        </w:rPr>
        <w:t>Sawczyn v. BMO Harris Bank National Ass'n</w:t>
      </w:r>
      <w:r>
        <w:rPr>
          <w:rFonts w:ascii="Arial" w:eastAsia="Arial" w:hAnsi="Arial" w:cs="Arial"/>
          <w:color w:val="000000"/>
          <w:sz w:val="20"/>
        </w:rPr>
        <w:t>, 8 F. Supp. 3d 1108 (D. Minn. 2014), which Gomez recommended to the trial court.</w:t>
      </w:r>
      <w:r>
        <w:rPr>
          <w:rFonts w:ascii="Arial" w:eastAsia="Arial" w:hAnsi="Arial" w:cs="Arial"/>
          <w:vertAlign w:val="superscript"/>
        </w:rPr>
        <w:footnoteReference w:customMarkFollows="1" w:id="103"/>
        <w:t>3</w:t>
      </w:r>
      <w:r>
        <w:rPr>
          <w:rFonts w:ascii="Arial" w:eastAsia="Arial" w:hAnsi="Arial" w:cs="Arial"/>
          <w:color w:val="000000"/>
          <w:sz w:val="20"/>
        </w:rPr>
        <w:t xml:space="preserve"> There, plaintiff visited two ATMs prior to suit and found that neither had a functioning voice system. </w:t>
      </w:r>
      <w:bookmarkStart w:id="3365" w:name="Bookmark_I5G432P32N1RDJ0020000400"/>
      <w:bookmarkStart w:id="3366" w:name="Bookmark_I5G432P32D6N7F0040000400"/>
      <w:bookmarkEnd w:id="3365"/>
      <w:bookmarkEnd w:id="3366"/>
      <w:r>
        <w:rPr>
          <w:rFonts w:ascii="Arial" w:eastAsia="Arial" w:hAnsi="Arial" w:cs="Arial"/>
          <w:i/>
          <w:color w:val="000000"/>
          <w:sz w:val="20"/>
        </w:rPr>
        <w:t>Id.</w:t>
      </w:r>
      <w:r>
        <w:rPr>
          <w:rFonts w:ascii="Arial" w:eastAsia="Arial" w:hAnsi="Arial" w:cs="Arial"/>
          <w:color w:val="000000"/>
          <w:sz w:val="20"/>
        </w:rPr>
        <w:t xml:space="preserve"> at 1110, 1112. During litigation, defendant argued that the claim was moot because it fixed four voice [**16]  systems after learning they were broken. </w:t>
      </w:r>
      <w:bookmarkStart w:id="3367" w:name="Bookmark_I5G432P32N1RDJ0020000400_2"/>
      <w:bookmarkStart w:id="3368" w:name="Bookmark_I5G432P32N1RDJ0010000400"/>
      <w:bookmarkEnd w:id="3367"/>
      <w:bookmarkEnd w:id="3368"/>
      <w:r>
        <w:rPr>
          <w:rFonts w:ascii="Arial" w:eastAsia="Arial" w:hAnsi="Arial" w:cs="Arial"/>
          <w:i/>
          <w:color w:val="000000"/>
          <w:sz w:val="20"/>
        </w:rPr>
        <w:t>Id.</w:t>
      </w:r>
      <w:r>
        <w:rPr>
          <w:rFonts w:ascii="Arial" w:eastAsia="Arial" w:hAnsi="Arial" w:cs="Arial"/>
          <w:color w:val="000000"/>
          <w:sz w:val="20"/>
        </w:rPr>
        <w:t xml:space="preserve"> at 1113-14. The court refused to dismiss, however, because plaintiff planned to return to the offending ATM and the bank could not prove that it repaired all outstanding compliance issues. </w:t>
      </w:r>
      <w:r>
        <w:rPr>
          <w:rFonts w:ascii="Arial" w:eastAsia="Arial" w:hAnsi="Arial" w:cs="Arial"/>
          <w:i/>
          <w:color w:val="000000"/>
          <w:sz w:val="20"/>
        </w:rPr>
        <w:t>Id. Sawczyn</w:t>
      </w:r>
      <w:r>
        <w:rPr>
          <w:rFonts w:ascii="Arial" w:eastAsia="Arial" w:hAnsi="Arial" w:cs="Arial"/>
          <w:color w:val="000000"/>
          <w:sz w:val="20"/>
        </w:rPr>
        <w:t xml:space="preserve"> did not mention § 36.211(b) or analyze its effect on injury-in-fact.</w:t>
      </w:r>
    </w:p>
    <w:p w14:paraId="6B52972F" w14:textId="77777777" w:rsidR="002D0E71" w:rsidRDefault="00000000">
      <w:pPr>
        <w:pStyle w:val="Normal21"/>
        <w:widowControl w:val="0"/>
        <w:spacing w:before="200" w:line="260" w:lineRule="atLeast"/>
        <w:jc w:val="both"/>
      </w:pPr>
      <w:bookmarkStart w:id="3369" w:name="Bookmark_para_30_14"/>
      <w:bookmarkStart w:id="3370" w:name="Bookmark_I08S7HSYB89000W151D0008T"/>
      <w:bookmarkStart w:id="3371" w:name="Bookmark_I5G432P32HM5YT0010000400"/>
      <w:bookmarkEnd w:id="3369"/>
      <w:bookmarkEnd w:id="3370"/>
      <w:bookmarkEnd w:id="3371"/>
      <w:r>
        <w:rPr>
          <w:rFonts w:ascii="Arial" w:eastAsia="Arial" w:hAnsi="Arial" w:cs="Arial"/>
          <w:color w:val="000000"/>
          <w:sz w:val="20"/>
        </w:rPr>
        <w:t xml:space="preserve">By contrast, Gomez alleged that he visited one machine one time before bringing suit. And unopposed evidence shows the Subject ATM worked both before and after plaintiff's visit. Unlike </w:t>
      </w:r>
      <w:bookmarkStart w:id="3372" w:name="Bookmark_I5G432P32N1RDJ0050000400"/>
      <w:bookmarkEnd w:id="3372"/>
      <w:r>
        <w:rPr>
          <w:rFonts w:ascii="Arial" w:eastAsia="Arial" w:hAnsi="Arial" w:cs="Arial"/>
          <w:i/>
          <w:color w:val="000000"/>
          <w:sz w:val="20"/>
        </w:rPr>
        <w:t>Sawczyn</w:t>
      </w:r>
      <w:r>
        <w:rPr>
          <w:rFonts w:ascii="Arial" w:eastAsia="Arial" w:hAnsi="Arial" w:cs="Arial"/>
          <w:color w:val="000000"/>
          <w:sz w:val="20"/>
        </w:rPr>
        <w:t>, where plaintiff alleged multiple malfunctions before filing his case, Gomez alleged just one service interruption. This case falls squarely within the saving ambit of § 36.211(b).</w:t>
      </w:r>
    </w:p>
    <w:p w14:paraId="5A7EC7EE" w14:textId="77777777" w:rsidR="002D0E71" w:rsidRDefault="00000000">
      <w:pPr>
        <w:pStyle w:val="Normal21"/>
        <w:widowControl w:val="0"/>
        <w:spacing w:before="240" w:line="260" w:lineRule="atLeast"/>
      </w:pPr>
      <w:r>
        <w:br/>
      </w:r>
      <w:r>
        <w:rPr>
          <w:rFonts w:ascii="Arial" w:eastAsia="Arial" w:hAnsi="Arial" w:cs="Arial"/>
          <w:b/>
          <w:color w:val="000000"/>
          <w:sz w:val="20"/>
        </w:rPr>
        <w:t>III. CONCLUSION</w:t>
      </w:r>
    </w:p>
    <w:p w14:paraId="4CC8D7FE" w14:textId="77777777" w:rsidR="002D0E71" w:rsidRDefault="00000000">
      <w:pPr>
        <w:pStyle w:val="Normal21"/>
        <w:widowControl w:val="0"/>
        <w:spacing w:before="200" w:line="260" w:lineRule="atLeast"/>
        <w:jc w:val="both"/>
      </w:pPr>
      <w:bookmarkStart w:id="3373" w:name="Bookmark_para_31_14"/>
      <w:bookmarkEnd w:id="3373"/>
      <w:r>
        <w:rPr>
          <w:rFonts w:ascii="Arial" w:eastAsia="Arial" w:hAnsi="Arial" w:cs="Arial"/>
          <w:color w:val="000000"/>
          <w:sz w:val="20"/>
        </w:rPr>
        <w:t>We again commend plaintiff's effort to enforce the ADA on behalf of the blind community. As the statute is written, private citizens bear the brunt of the enforcement burden, and Mr. Gomez is doing his part.</w:t>
      </w:r>
    </w:p>
    <w:p w14:paraId="5012FFA4" w14:textId="77777777" w:rsidR="002D0E71" w:rsidRDefault="00000000">
      <w:pPr>
        <w:pStyle w:val="Normal21"/>
        <w:widowControl w:val="0"/>
        <w:spacing w:before="200" w:line="260" w:lineRule="atLeast"/>
        <w:jc w:val="both"/>
      </w:pPr>
      <w:bookmarkStart w:id="3374" w:name="Bookmark_para_32_13"/>
      <w:bookmarkEnd w:id="3374"/>
      <w:r>
        <w:rPr>
          <w:rFonts w:ascii="Arial" w:eastAsia="Arial" w:hAnsi="Arial" w:cs="Arial"/>
          <w:color w:val="000000"/>
          <w:sz w:val="20"/>
        </w:rPr>
        <w:t>Nevertheless, [**17]  even those with the best intentions must satisfy the minima of constitutional standing to maintain a claim. Plaintiff's threadbare allegations do not clear the bar, and as a consequence, the trial court correctly dismissed the case for lack of jurisdiction.</w:t>
      </w:r>
    </w:p>
    <w:p w14:paraId="03E624A7" w14:textId="77777777" w:rsidR="002D0E71" w:rsidRDefault="00000000">
      <w:pPr>
        <w:pStyle w:val="Normal21"/>
        <w:widowControl w:val="0"/>
        <w:spacing w:before="200" w:line="260" w:lineRule="atLeast"/>
        <w:jc w:val="both"/>
      </w:pPr>
      <w:bookmarkStart w:id="3375" w:name="Bookmark_para_33_13"/>
      <w:bookmarkEnd w:id="3375"/>
      <w:r>
        <w:rPr>
          <w:rFonts w:ascii="Arial" w:eastAsia="Arial" w:hAnsi="Arial" w:cs="Arial"/>
          <w:b/>
          <w:color w:val="000000"/>
          <w:sz w:val="20"/>
        </w:rPr>
        <w:t>AFFIRMED</w:t>
      </w:r>
      <w:r>
        <w:rPr>
          <w:rFonts w:ascii="Arial" w:eastAsia="Arial" w:hAnsi="Arial" w:cs="Arial"/>
          <w:color w:val="000000"/>
          <w:sz w:val="20"/>
        </w:rPr>
        <w:t>.</w:t>
      </w:r>
    </w:p>
    <w:p w14:paraId="2F18C7A0" w14:textId="77777777" w:rsidR="002D0E71" w:rsidRDefault="002D0E71">
      <w:pPr>
        <w:pStyle w:val="Normal21"/>
      </w:pPr>
    </w:p>
    <w:p w14:paraId="64AF1E5D" w14:textId="54EBB8D7" w:rsidR="002D0E71" w:rsidRDefault="00000000">
      <w:pPr>
        <w:pStyle w:val="Normal21"/>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04320" behindDoc="0" locked="0" layoutInCell="1" allowOverlap="1" wp14:anchorId="76389625" wp14:editId="44A3A487">
                <wp:simplePos x="0" y="0"/>
                <wp:positionH relativeFrom="column">
                  <wp:posOffset>0</wp:posOffset>
                </wp:positionH>
                <wp:positionV relativeFrom="paragraph">
                  <wp:posOffset>127000</wp:posOffset>
                </wp:positionV>
                <wp:extent cx="6502400" cy="0"/>
                <wp:effectExtent l="9525" t="12700" r="12700" b="6350"/>
                <wp:wrapNone/>
                <wp:docPr id="2112462641"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761A6" id="Line 46"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D2CBC70" w14:textId="77777777" w:rsidR="002D0E71" w:rsidRDefault="002D0E71">
      <w:pPr>
        <w:pStyle w:val="Normal22"/>
        <w:sectPr w:rsidR="002D0E71">
          <w:headerReference w:type="even" r:id="rId138"/>
          <w:headerReference w:type="default" r:id="rId139"/>
          <w:footerReference w:type="even" r:id="rId140"/>
          <w:footerReference w:type="default" r:id="rId141"/>
          <w:headerReference w:type="first" r:id="rId142"/>
          <w:footerReference w:type="first" r:id="rId143"/>
          <w:pgSz w:w="12240" w:h="15840"/>
          <w:pgMar w:top="840" w:right="1000" w:bottom="840" w:left="1000" w:header="400" w:footer="400" w:gutter="0"/>
          <w:cols w:space="720"/>
          <w:titlePg/>
        </w:sectPr>
      </w:pPr>
    </w:p>
    <w:p w14:paraId="2845E8AF" w14:textId="77777777" w:rsidR="002D0E71" w:rsidRDefault="002D0E71">
      <w:pPr>
        <w:pStyle w:val="Normal22"/>
      </w:pPr>
    </w:p>
    <w:p w14:paraId="1CFC4CCE" w14:textId="77777777" w:rsidR="002D0E71" w:rsidRDefault="00000000">
      <w:pPr>
        <w:pStyle w:val="Heading121"/>
        <w:keepNext w:val="0"/>
        <w:widowControl w:val="0"/>
        <w:spacing w:after="200" w:line="340" w:lineRule="atLeast"/>
        <w:jc w:val="center"/>
      </w:pPr>
      <w:r>
        <w:rPr>
          <w:rFonts w:eastAsia="Arial"/>
          <w:color w:val="000000"/>
          <w:sz w:val="28"/>
        </w:rPr>
        <w:t>Ward v. Kelly</w:t>
      </w:r>
    </w:p>
    <w:p w14:paraId="161B3C67" w14:textId="77777777" w:rsidR="002D0E71" w:rsidRDefault="00000000">
      <w:pPr>
        <w:pStyle w:val="Normal22"/>
        <w:widowControl w:val="0"/>
        <w:spacing w:before="120" w:line="260" w:lineRule="atLeast"/>
        <w:jc w:val="center"/>
      </w:pPr>
      <w:r>
        <w:rPr>
          <w:rFonts w:ascii="Arial" w:eastAsia="Arial" w:hAnsi="Arial" w:cs="Arial"/>
          <w:color w:val="000000"/>
          <w:sz w:val="20"/>
        </w:rPr>
        <w:t>United States Court of Appeals for the Seventh Circuit</w:t>
      </w:r>
    </w:p>
    <w:p w14:paraId="2DE8EC6C" w14:textId="77777777" w:rsidR="002D0E71" w:rsidRDefault="00000000">
      <w:pPr>
        <w:pStyle w:val="Normal22"/>
        <w:widowControl w:val="0"/>
        <w:spacing w:before="120" w:line="260" w:lineRule="atLeast"/>
        <w:jc w:val="center"/>
      </w:pPr>
      <w:r>
        <w:rPr>
          <w:rFonts w:ascii="Arial" w:eastAsia="Arial" w:hAnsi="Arial" w:cs="Arial"/>
          <w:color w:val="000000"/>
          <w:sz w:val="20"/>
        </w:rPr>
        <w:t>April 7, 2015,</w:t>
      </w:r>
      <w:r>
        <w:rPr>
          <w:rFonts w:ascii="Arial" w:eastAsia="Arial" w:hAnsi="Arial" w:cs="Arial"/>
          <w:vertAlign w:val="superscript"/>
        </w:rPr>
        <w:footnoteReference w:customMarkFollows="1" w:id="104"/>
        <w:t>*</w:t>
      </w:r>
      <w:r>
        <w:rPr>
          <w:rFonts w:ascii="Arial" w:eastAsia="Arial" w:hAnsi="Arial" w:cs="Arial"/>
          <w:color w:val="000000"/>
          <w:sz w:val="20"/>
        </w:rPr>
        <w:t xml:space="preserve"> Submitted; April 7, 2015, Filed</w:t>
      </w:r>
    </w:p>
    <w:p w14:paraId="5BC2BD21" w14:textId="77777777" w:rsidR="002D0E71" w:rsidRDefault="00000000">
      <w:pPr>
        <w:pStyle w:val="Normal22"/>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14-1929</w:t>
      </w:r>
    </w:p>
    <w:p w14:paraId="58DE8948" w14:textId="77777777" w:rsidR="002D0E71" w:rsidRDefault="002D0E71">
      <w:pPr>
        <w:pStyle w:val="Normal22"/>
        <w:widowControl w:val="0"/>
        <w:spacing w:line="240" w:lineRule="atLeast"/>
        <w:jc w:val="both"/>
      </w:pPr>
      <w:bookmarkStart w:id="3377" w:name="Bookmark_23"/>
      <w:bookmarkEnd w:id="3377"/>
    </w:p>
    <w:p w14:paraId="6C457761" w14:textId="77777777" w:rsidR="002D0E71" w:rsidRDefault="00000000">
      <w:pPr>
        <w:pStyle w:val="Normal22"/>
        <w:widowControl w:val="0"/>
        <w:spacing w:before="200" w:line="240" w:lineRule="atLeast"/>
      </w:pPr>
      <w:bookmarkStart w:id="3378" w:name="Reporter_21"/>
      <w:bookmarkEnd w:id="3378"/>
      <w:r>
        <w:rPr>
          <w:rFonts w:ascii="Arial" w:eastAsia="Arial" w:hAnsi="Arial" w:cs="Arial"/>
          <w:b/>
          <w:color w:val="000000"/>
          <w:sz w:val="18"/>
        </w:rPr>
        <w:t>Reporter</w:t>
      </w:r>
    </w:p>
    <w:p w14:paraId="4001B77A" w14:textId="77777777" w:rsidR="002D0E71" w:rsidRDefault="00000000">
      <w:pPr>
        <w:pStyle w:val="Normal22"/>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599 Fed. Appx. 587 *; 2015 U.S. App. LEXIS 5587 **; 2015 WL 1534457</w:t>
      </w:r>
    </w:p>
    <w:p w14:paraId="1CE8AB40" w14:textId="77777777" w:rsidR="002D0E71" w:rsidRDefault="00000000">
      <w:pPr>
        <w:pStyle w:val="Normal22"/>
        <w:widowControl w:val="0"/>
        <w:spacing w:before="120" w:line="260" w:lineRule="atLeast"/>
      </w:pPr>
      <w:r>
        <w:rPr>
          <w:rFonts w:ascii="Arial" w:eastAsia="Arial" w:hAnsi="Arial" w:cs="Arial"/>
          <w:color w:val="000000"/>
          <w:sz w:val="20"/>
        </w:rPr>
        <w:t>OBBIE WARD, JR., Plaintiff-Appellant, v. BRADLEY KELLY, Defendant-Appellee.</w:t>
      </w:r>
    </w:p>
    <w:p w14:paraId="24FE6741" w14:textId="77777777" w:rsidR="002D0E71" w:rsidRDefault="00000000">
      <w:pPr>
        <w:pStyle w:val="Normal22"/>
        <w:widowControl w:val="0"/>
        <w:spacing w:before="240" w:line="260" w:lineRule="atLeast"/>
        <w:jc w:val="both"/>
      </w:pPr>
      <w:bookmarkStart w:id="3379" w:name="Notice_7"/>
      <w:bookmarkEnd w:id="3379"/>
      <w:r>
        <w:rPr>
          <w:rFonts w:ascii="Arial" w:eastAsia="Arial" w:hAnsi="Arial" w:cs="Arial"/>
          <w:b/>
          <w:color w:val="000000"/>
          <w:sz w:val="20"/>
        </w:rPr>
        <w:t>Notice:</w:t>
      </w:r>
      <w:r>
        <w:rPr>
          <w:rFonts w:ascii="Arial" w:eastAsia="Arial" w:hAnsi="Arial" w:cs="Arial"/>
          <w:color w:val="000000"/>
          <w:sz w:val="20"/>
        </w:rPr>
        <w:t> </w:t>
      </w:r>
      <w:bookmarkStart w:id="3380" w:name="Bookmark_para_1_21"/>
      <w:bookmarkEnd w:id="3380"/>
      <w:r>
        <w:rPr>
          <w:rFonts w:ascii="Arial" w:eastAsia="Arial" w:hAnsi="Arial" w:cs="Arial"/>
          <w:color w:val="000000"/>
          <w:sz w:val="20"/>
        </w:rPr>
        <w:t>PLEASE REFER TO FEDERAL RULES OF APPELLATE PROCEDURE RULE 32.1 GOVERNING THE CITATION TO UNPUBLISHED OPINIONS.</w:t>
      </w:r>
    </w:p>
    <w:p w14:paraId="4ECBFA82" w14:textId="77777777" w:rsidR="002D0E71" w:rsidRDefault="00000000">
      <w:pPr>
        <w:pStyle w:val="Normal22"/>
        <w:widowControl w:val="0"/>
        <w:spacing w:before="240" w:line="260" w:lineRule="atLeast"/>
        <w:jc w:val="both"/>
      </w:pPr>
      <w:bookmarkStart w:id="3381" w:name="Prior_History_21"/>
      <w:bookmarkEnd w:id="3381"/>
      <w:r>
        <w:rPr>
          <w:rFonts w:ascii="Arial" w:eastAsia="Arial" w:hAnsi="Arial" w:cs="Arial"/>
          <w:b/>
          <w:color w:val="000000"/>
          <w:sz w:val="20"/>
        </w:rPr>
        <w:t>Prior History:</w:t>
      </w:r>
      <w:r>
        <w:rPr>
          <w:rFonts w:ascii="Arial" w:eastAsia="Arial" w:hAnsi="Arial" w:cs="Arial"/>
          <w:color w:val="000000"/>
          <w:sz w:val="20"/>
        </w:rPr>
        <w:t> </w:t>
      </w:r>
      <w:bookmarkStart w:id="3382" w:name="Bookmark_para_2_21"/>
      <w:bookmarkEnd w:id="3382"/>
      <w:r>
        <w:rPr>
          <w:rFonts w:ascii="Arial" w:eastAsia="Arial" w:hAnsi="Arial" w:cs="Arial"/>
          <w:color w:val="000000"/>
          <w:sz w:val="20"/>
        </w:rPr>
        <w:t> [**1] Appeal from the United States District Court for the Eastern District of Wisconsin. No. 10-CV-00862. Lynn Adelman, Judge.</w:t>
      </w:r>
    </w:p>
    <w:p w14:paraId="02563B86" w14:textId="77777777" w:rsidR="002D0E71" w:rsidRDefault="00000000">
      <w:pPr>
        <w:pStyle w:val="Normal22"/>
        <w:widowControl w:val="0"/>
        <w:spacing w:before="120" w:line="260" w:lineRule="atLeast"/>
      </w:pPr>
      <w:r>
        <w:rPr>
          <w:rFonts w:ascii="Arial" w:eastAsia="Arial" w:hAnsi="Arial" w:cs="Arial"/>
          <w:color w:val="000000"/>
          <w:sz w:val="20"/>
        </w:rPr>
        <w:t>Ward v. Kelly, 2014 U.S. Dist. LEXIS 38279 (E.D. Wis., Mar. 24, 2014)</w:t>
      </w:r>
    </w:p>
    <w:p w14:paraId="4136458B" w14:textId="77777777" w:rsidR="002D0E71" w:rsidRDefault="00000000">
      <w:pPr>
        <w:pStyle w:val="Normal22"/>
        <w:widowControl w:val="0"/>
        <w:spacing w:before="240" w:line="260" w:lineRule="atLeast"/>
        <w:jc w:val="both"/>
      </w:pPr>
      <w:bookmarkStart w:id="3383" w:name="Disposition_7"/>
      <w:bookmarkEnd w:id="3383"/>
      <w:r>
        <w:rPr>
          <w:rFonts w:ascii="Arial" w:eastAsia="Arial" w:hAnsi="Arial" w:cs="Arial"/>
          <w:b/>
          <w:color w:val="000000"/>
          <w:sz w:val="20"/>
        </w:rPr>
        <w:t>Disposition:</w:t>
      </w:r>
      <w:r>
        <w:rPr>
          <w:rFonts w:ascii="Arial" w:eastAsia="Arial" w:hAnsi="Arial" w:cs="Arial"/>
          <w:color w:val="000000"/>
          <w:sz w:val="20"/>
        </w:rPr>
        <w:t> </w:t>
      </w:r>
      <w:bookmarkStart w:id="3384" w:name="Bookmark_clspara_1_0"/>
      <w:bookmarkEnd w:id="3384"/>
      <w:r>
        <w:rPr>
          <w:rFonts w:ascii="Arial" w:eastAsia="Arial" w:hAnsi="Arial" w:cs="Arial"/>
          <w:color w:val="000000"/>
          <w:sz w:val="20"/>
        </w:rPr>
        <w:t>DISMISSED.</w:t>
      </w:r>
    </w:p>
    <w:p w14:paraId="5A16B260" w14:textId="77777777" w:rsidR="002D0E71" w:rsidRDefault="00000000">
      <w:pPr>
        <w:pStyle w:val="Normal22"/>
        <w:widowControl w:val="0"/>
        <w:spacing w:before="240" w:line="260" w:lineRule="atLeast"/>
      </w:pPr>
      <w:bookmarkStart w:id="3385" w:name="Counsel_21"/>
      <w:bookmarkEnd w:id="3385"/>
      <w:r>
        <w:rPr>
          <w:rFonts w:ascii="Arial" w:eastAsia="Arial" w:hAnsi="Arial" w:cs="Arial"/>
          <w:b/>
          <w:color w:val="000000"/>
          <w:sz w:val="20"/>
        </w:rPr>
        <w:t>Counsel:</w:t>
      </w:r>
      <w:r>
        <w:rPr>
          <w:rFonts w:ascii="Arial" w:eastAsia="Arial" w:hAnsi="Arial" w:cs="Arial"/>
          <w:color w:val="000000"/>
          <w:sz w:val="20"/>
        </w:rPr>
        <w:t> For Obbie Ward, Jr., Plaintiff - Appellant, Pro se, Milwaukee, WI.</w:t>
      </w:r>
    </w:p>
    <w:p w14:paraId="33C5E54B" w14:textId="77777777" w:rsidR="002D0E71" w:rsidRDefault="00000000">
      <w:pPr>
        <w:pStyle w:val="Normal22"/>
        <w:widowControl w:val="0"/>
        <w:spacing w:before="120" w:line="260" w:lineRule="atLeast"/>
      </w:pPr>
      <w:r>
        <w:rPr>
          <w:rFonts w:ascii="Arial" w:eastAsia="Arial" w:hAnsi="Arial" w:cs="Arial"/>
          <w:color w:val="000000"/>
          <w:sz w:val="20"/>
        </w:rPr>
        <w:t>For Bradley Kelly, Defendant - Appellee: Anthony D. Russomanno, Attorney, Office of The Attorney General, Wisconsin Department of Justice, Madison, WI.</w:t>
      </w:r>
    </w:p>
    <w:p w14:paraId="49FA2E9C" w14:textId="77777777" w:rsidR="002D0E71" w:rsidRDefault="00000000">
      <w:pPr>
        <w:pStyle w:val="Normal22"/>
        <w:widowControl w:val="0"/>
        <w:spacing w:before="240" w:line="260" w:lineRule="atLeast"/>
      </w:pPr>
      <w:bookmarkStart w:id="3386" w:name="Judges_21"/>
      <w:bookmarkEnd w:id="3386"/>
      <w:r>
        <w:rPr>
          <w:rFonts w:ascii="Arial" w:eastAsia="Arial" w:hAnsi="Arial" w:cs="Arial"/>
          <w:b/>
          <w:color w:val="000000"/>
          <w:sz w:val="20"/>
        </w:rPr>
        <w:t>Judges:</w:t>
      </w:r>
      <w:r>
        <w:rPr>
          <w:rFonts w:ascii="Arial" w:eastAsia="Arial" w:hAnsi="Arial" w:cs="Arial"/>
          <w:color w:val="000000"/>
          <w:sz w:val="20"/>
        </w:rPr>
        <w:t> Before FRANK H. EASTERBROOK, Circuit Judge, ANN CLAIRE WILLIAMS, Circuit Judge, DAVID F. HAMILTON, Circuit Judge.</w:t>
      </w:r>
    </w:p>
    <w:p w14:paraId="1DDAF1A3" w14:textId="77777777" w:rsidR="002D0E71" w:rsidRDefault="00000000">
      <w:pPr>
        <w:pStyle w:val="Normal22"/>
        <w:keepNext/>
        <w:widowControl w:val="0"/>
        <w:spacing w:before="240" w:line="340" w:lineRule="atLeast"/>
      </w:pPr>
      <w:bookmarkStart w:id="3387" w:name="Opinion_21"/>
      <w:bookmarkEnd w:id="3387"/>
      <w:r>
        <w:rPr>
          <w:rFonts w:ascii="Arial" w:eastAsia="Arial" w:hAnsi="Arial" w:cs="Arial"/>
          <w:b/>
          <w:color w:val="000000"/>
          <w:sz w:val="28"/>
        </w:rPr>
        <w:t>Opinion</w:t>
      </w:r>
    </w:p>
    <w:p w14:paraId="7374C152" w14:textId="14AEF4CF" w:rsidR="002D0E71" w:rsidRDefault="002939DF">
      <w:pPr>
        <w:pStyle w:val="Normal22"/>
        <w:spacing w:line="60" w:lineRule="exact"/>
      </w:pPr>
      <w:r>
        <w:rPr>
          <w:noProof/>
        </w:rPr>
        <mc:AlternateContent>
          <mc:Choice Requires="wps">
            <w:drawing>
              <wp:anchor distT="0" distB="0" distL="114300" distR="114300" simplePos="0" relativeHeight="251705344" behindDoc="0" locked="0" layoutInCell="1" allowOverlap="1" wp14:anchorId="73E4FF73" wp14:editId="1E5742EB">
                <wp:simplePos x="0" y="0"/>
                <wp:positionH relativeFrom="column">
                  <wp:posOffset>0</wp:posOffset>
                </wp:positionH>
                <wp:positionV relativeFrom="paragraph">
                  <wp:posOffset>25400</wp:posOffset>
                </wp:positionV>
                <wp:extent cx="3187700" cy="0"/>
                <wp:effectExtent l="19050" t="15875" r="12700" b="12700"/>
                <wp:wrapTopAndBottom/>
                <wp:docPr id="1757006542"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6725EB" id="Line 47"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1294F16" w14:textId="77777777" w:rsidR="002D0E71" w:rsidRDefault="002D0E71">
      <w:pPr>
        <w:pStyle w:val="Normal22"/>
        <w:spacing w:line="120" w:lineRule="exact"/>
      </w:pPr>
    </w:p>
    <w:p w14:paraId="08CBF934" w14:textId="77777777" w:rsidR="002D0E71" w:rsidRDefault="00000000">
      <w:pPr>
        <w:pStyle w:val="Normal22"/>
        <w:widowControl w:val="0"/>
        <w:spacing w:before="240" w:line="260" w:lineRule="atLeast"/>
      </w:pPr>
      <w:r>
        <w:br/>
      </w:r>
      <w:r>
        <w:rPr>
          <w:rFonts w:ascii="Arial" w:eastAsia="Arial" w:hAnsi="Arial" w:cs="Arial"/>
          <w:color w:val="000000"/>
          <w:sz w:val="20"/>
        </w:rPr>
        <w:t xml:space="preserve"> [*587]  </w:t>
      </w:r>
      <w:r>
        <w:rPr>
          <w:rFonts w:ascii="Arial" w:eastAsia="Arial" w:hAnsi="Arial" w:cs="Arial"/>
          <w:b/>
          <w:color w:val="000000"/>
          <w:sz w:val="20"/>
        </w:rPr>
        <w:t>ORDER</w:t>
      </w:r>
    </w:p>
    <w:p w14:paraId="1423FD2F" w14:textId="77777777" w:rsidR="002D0E71" w:rsidRDefault="00000000">
      <w:pPr>
        <w:pStyle w:val="Normal22"/>
        <w:widowControl w:val="0"/>
        <w:spacing w:before="200" w:line="260" w:lineRule="atLeast"/>
        <w:jc w:val="both"/>
      </w:pPr>
      <w:bookmarkStart w:id="3388" w:name="Bookmark_para_3_21"/>
      <w:bookmarkEnd w:id="3388"/>
      <w:r>
        <w:rPr>
          <w:rFonts w:ascii="Arial" w:eastAsia="Arial" w:hAnsi="Arial" w:cs="Arial"/>
          <w:color w:val="000000"/>
          <w:sz w:val="20"/>
        </w:rPr>
        <w:t>This case involves the timeliness of a notice of appeal. Obbie Ward, Jr., a former Wisconsin inmate whose civil-rights suit against his probation officer ended in summary judgment, filed his notice of appeal two days late. We dismiss the appeal for lack of jurisdiction.</w:t>
      </w:r>
    </w:p>
    <w:p w14:paraId="43B4BDE1" w14:textId="77777777" w:rsidR="002D0E71" w:rsidRDefault="00000000">
      <w:pPr>
        <w:pStyle w:val="Normal22"/>
        <w:widowControl w:val="0"/>
        <w:spacing w:before="200" w:line="260" w:lineRule="atLeast"/>
        <w:jc w:val="both"/>
      </w:pPr>
      <w:bookmarkStart w:id="3389" w:name="Bookmark_para_4_21"/>
      <w:bookmarkEnd w:id="3389"/>
      <w:r>
        <w:rPr>
          <w:rFonts w:ascii="Arial" w:eastAsia="Arial" w:hAnsi="Arial" w:cs="Arial"/>
          <w:color w:val="000000"/>
          <w:sz w:val="20"/>
        </w:rPr>
        <w:t xml:space="preserve">In 2010, Ward sued several Wisconsin officials and the Wisconsin Department of Corrections under 42 U.S.C. § 1983, alleging state-law negligence (in connection with damages to his wheelchair while he was in prison) and retaliation against his probation officer, Bradley Kelly, who changed his conditions of supervision. A magistrate judge screened the complaint and allowed Ward to proceed only on his retaliation claim. </w:t>
      </w:r>
      <w:r>
        <w:rPr>
          <w:rFonts w:ascii="Arial" w:eastAsia="Arial" w:hAnsi="Arial" w:cs="Arial"/>
          <w:i/>
          <w:color w:val="000000"/>
          <w:sz w:val="20"/>
        </w:rPr>
        <w:t>See</w:t>
      </w:r>
      <w:r>
        <w:rPr>
          <w:rFonts w:ascii="Arial" w:eastAsia="Arial" w:hAnsi="Arial" w:cs="Arial"/>
          <w:color w:val="000000"/>
          <w:sz w:val="20"/>
        </w:rPr>
        <w:t xml:space="preserve"> 28 U.S.C. § 1915(e)(2)(B). The district judge then concluded that Ward presented [**2]  no evidence that he had been injured by Kelly, and on March 24, 2014, granted Kelly's motion for summary judgment.</w:t>
      </w:r>
    </w:p>
    <w:p w14:paraId="07E5375C" w14:textId="77777777" w:rsidR="002D0E71" w:rsidRDefault="00000000">
      <w:pPr>
        <w:pStyle w:val="Normal22"/>
        <w:widowControl w:val="0"/>
        <w:spacing w:before="200" w:line="260" w:lineRule="atLeast"/>
        <w:jc w:val="both"/>
      </w:pPr>
      <w:bookmarkStart w:id="3390" w:name="Bookmark_para_5_21"/>
      <w:bookmarkEnd w:id="3390"/>
      <w:r>
        <w:rPr>
          <w:rFonts w:ascii="Arial" w:eastAsia="Arial" w:hAnsi="Arial" w:cs="Arial"/>
          <w:color w:val="000000"/>
          <w:sz w:val="20"/>
        </w:rPr>
        <w:t xml:space="preserve">Ward, however, did not file his notice of appeal until April 25, two days beyond the permitted thirty days. </w:t>
      </w:r>
      <w:r>
        <w:rPr>
          <w:rFonts w:ascii="Arial" w:eastAsia="Arial" w:hAnsi="Arial" w:cs="Arial"/>
          <w:i/>
          <w:color w:val="000000"/>
          <w:sz w:val="20"/>
        </w:rPr>
        <w:t>See</w:t>
      </w:r>
      <w:r>
        <w:rPr>
          <w:rFonts w:ascii="Arial" w:eastAsia="Arial" w:hAnsi="Arial" w:cs="Arial"/>
          <w:color w:val="000000"/>
          <w:sz w:val="20"/>
        </w:rPr>
        <w:t xml:space="preserve"> </w:t>
      </w:r>
      <w:r>
        <w:rPr>
          <w:rFonts w:ascii="Arial" w:eastAsia="Arial" w:hAnsi="Arial" w:cs="Arial"/>
          <w:smallCaps/>
          <w:color w:val="000000"/>
          <w:sz w:val="20"/>
        </w:rPr>
        <w:t>Fed. R. App. P.</w:t>
      </w:r>
      <w:r>
        <w:rPr>
          <w:rFonts w:ascii="Arial" w:eastAsia="Arial" w:hAnsi="Arial" w:cs="Arial"/>
          <w:color w:val="000000"/>
          <w:sz w:val="20"/>
        </w:rPr>
        <w:t xml:space="preserve"> 4(a)(1)(A). Because of his untimeliness, we ordered Ward to show cause why his appeal should not be dismissed for lack of jurisdiction. He responded in May by filing a cursory motion in the district court for more time, asserting that he had mailed the notice "early enough" and that the court had to accommodate him under the Americans with Disabilities Act. The district court denied the motion, finding that Ward had demonstrated neither good cause nor excusable neglect for his late filing. </w:t>
      </w:r>
      <w:r>
        <w:rPr>
          <w:rFonts w:ascii="Arial" w:eastAsia="Arial" w:hAnsi="Arial" w:cs="Arial"/>
          <w:i/>
          <w:color w:val="000000"/>
          <w:sz w:val="20"/>
        </w:rPr>
        <w:t>See</w:t>
      </w:r>
      <w:r>
        <w:rPr>
          <w:rFonts w:ascii="Arial" w:eastAsia="Arial" w:hAnsi="Arial" w:cs="Arial"/>
          <w:color w:val="000000"/>
          <w:sz w:val="20"/>
        </w:rPr>
        <w:t xml:space="preserve"> </w:t>
      </w:r>
      <w:r>
        <w:rPr>
          <w:rFonts w:ascii="Arial" w:eastAsia="Arial" w:hAnsi="Arial" w:cs="Arial"/>
          <w:smallCaps/>
          <w:color w:val="000000"/>
          <w:sz w:val="20"/>
        </w:rPr>
        <w:t>Fed. R. App. P.</w:t>
      </w:r>
      <w:r>
        <w:rPr>
          <w:rFonts w:ascii="Arial" w:eastAsia="Arial" w:hAnsi="Arial" w:cs="Arial"/>
          <w:color w:val="000000"/>
          <w:sz w:val="20"/>
        </w:rPr>
        <w:t xml:space="preserve"> 4(a)(5)(A)(ii). The court acknowledged that the two-day delay in filing was "minimal" and did not prejudice Kelly, but concluded that Ward did not justify the delay.</w:t>
      </w:r>
    </w:p>
    <w:p w14:paraId="7F8976FF" w14:textId="77777777" w:rsidR="002D0E71" w:rsidRDefault="00000000">
      <w:pPr>
        <w:pStyle w:val="Normal22"/>
        <w:widowControl w:val="0"/>
        <w:spacing w:before="200" w:line="260" w:lineRule="atLeast"/>
        <w:jc w:val="both"/>
      </w:pPr>
      <w:bookmarkStart w:id="3391" w:name="Bookmark_para_6_21"/>
      <w:bookmarkEnd w:id="3391"/>
      <w:r>
        <w:rPr>
          <w:rFonts w:ascii="Arial" w:eastAsia="Arial" w:hAnsi="Arial" w:cs="Arial"/>
          <w:color w:val="000000"/>
          <w:sz w:val="20"/>
        </w:rPr>
        <w:t>In June, Ward sought reconsideration on the basis that he "didn't receive the [summary judgment] decision in time" and that he was suffering from a foot injury. The district court promptly denied this motion, noting that Ward's proposed ground for relief was new and, in any event, he had dated and signed [**3]  his notice  [*588]  of appeal on March 29, 2014, "plenty of time" in which to deliver the notice to the clerk's office by the April 23, 2014 deadline.</w:t>
      </w:r>
    </w:p>
    <w:p w14:paraId="57A705C7" w14:textId="77777777" w:rsidR="002D0E71" w:rsidRDefault="00000000">
      <w:pPr>
        <w:pStyle w:val="Normal22"/>
        <w:widowControl w:val="0"/>
        <w:spacing w:before="200" w:line="260" w:lineRule="atLeast"/>
        <w:jc w:val="both"/>
      </w:pPr>
      <w:bookmarkStart w:id="3392" w:name="Bookmark_para_7_20"/>
      <w:bookmarkEnd w:id="3392"/>
      <w:r>
        <w:rPr>
          <w:rFonts w:ascii="Arial" w:eastAsia="Arial" w:hAnsi="Arial" w:cs="Arial"/>
          <w:color w:val="000000"/>
          <w:sz w:val="20"/>
        </w:rPr>
        <w:t>We ordered the parties to brief the issue of the appeal's timeliness and specifically whether the district court abused its discretion in denying Ward's motion to extend time. Ward then sent the district court a one-line submission saying that he failed to file on time because he "read the due date wrong."</w:t>
      </w:r>
    </w:p>
    <w:p w14:paraId="3D9587EC" w14:textId="77777777" w:rsidR="002D0E71" w:rsidRDefault="00000000">
      <w:pPr>
        <w:pStyle w:val="Normal22"/>
        <w:widowControl w:val="0"/>
        <w:spacing w:before="200" w:line="260" w:lineRule="atLeast"/>
        <w:jc w:val="both"/>
      </w:pPr>
      <w:bookmarkStart w:id="3393" w:name="Bookmark_para_8_20"/>
      <w:bookmarkStart w:id="3394" w:name="Bookmark_I5FWNNBW2N1PT00020000400"/>
      <w:bookmarkEnd w:id="3393"/>
      <w:bookmarkEnd w:id="3394"/>
      <w:r>
        <w:rPr>
          <w:rFonts w:ascii="Arial" w:eastAsia="Arial" w:hAnsi="Arial" w:cs="Arial"/>
          <w:color w:val="000000"/>
          <w:sz w:val="20"/>
        </w:rPr>
        <w:t xml:space="preserve">Without an extension of time from the district court, Ward's notice of appeal is untimely. </w:t>
      </w:r>
      <w:r>
        <w:rPr>
          <w:rFonts w:ascii="Arial" w:eastAsia="Arial" w:hAnsi="Arial" w:cs="Arial"/>
          <w:i/>
          <w:color w:val="000000"/>
          <w:sz w:val="20"/>
        </w:rPr>
        <w:t xml:space="preserve">See </w:t>
      </w:r>
      <w:bookmarkStart w:id="3395" w:name="Bookmark_I5FWNNBW2N1PT00010000400"/>
      <w:bookmarkEnd w:id="3395"/>
      <w:r>
        <w:rPr>
          <w:rFonts w:ascii="Arial" w:eastAsia="Arial" w:hAnsi="Arial" w:cs="Arial"/>
          <w:i/>
          <w:color w:val="000000"/>
          <w:sz w:val="20"/>
        </w:rPr>
        <w:t>Thomas v. Butts</w:t>
      </w:r>
      <w:r>
        <w:rPr>
          <w:rFonts w:ascii="Arial" w:eastAsia="Arial" w:hAnsi="Arial" w:cs="Arial"/>
          <w:color w:val="000000"/>
          <w:sz w:val="20"/>
        </w:rPr>
        <w:t xml:space="preserve">, 745 F.3d 309, 311 (7th Cir. 2014). And the district court acted within its discretion in denying the motion for more time because Ward provided insufficient explanation for his failure to file a timely notice of appeal. </w:t>
      </w:r>
      <w:bookmarkStart w:id="3396" w:name="Bookmark_I5FWNNBW2N1PT00040000400"/>
      <w:bookmarkEnd w:id="3396"/>
      <w:r>
        <w:rPr>
          <w:rFonts w:ascii="Arial" w:eastAsia="Arial" w:hAnsi="Arial" w:cs="Arial"/>
          <w:color w:val="000000"/>
          <w:sz w:val="20"/>
        </w:rPr>
        <w:t xml:space="preserve">We therefore lack jurisdiction over this appeal. Further, Ward's perfunctory brief makes no argument of any kind; although we construe pro se filings liberally, pro se litigants must give some reason to disturb the district court's decision. </w:t>
      </w:r>
      <w:r>
        <w:rPr>
          <w:rFonts w:ascii="Arial" w:eastAsia="Arial" w:hAnsi="Arial" w:cs="Arial"/>
          <w:i/>
          <w:color w:val="000000"/>
          <w:sz w:val="20"/>
        </w:rPr>
        <w:t>See</w:t>
      </w:r>
      <w:r>
        <w:rPr>
          <w:rFonts w:ascii="Arial" w:eastAsia="Arial" w:hAnsi="Arial" w:cs="Arial"/>
          <w:color w:val="000000"/>
          <w:sz w:val="20"/>
        </w:rPr>
        <w:t xml:space="preserve"> </w:t>
      </w:r>
      <w:r>
        <w:rPr>
          <w:rFonts w:ascii="Arial" w:eastAsia="Arial" w:hAnsi="Arial" w:cs="Arial"/>
          <w:smallCaps/>
          <w:color w:val="000000"/>
          <w:sz w:val="20"/>
        </w:rPr>
        <w:t>Fed. R. App. P.</w:t>
      </w:r>
      <w:r>
        <w:rPr>
          <w:rFonts w:ascii="Arial" w:eastAsia="Arial" w:hAnsi="Arial" w:cs="Arial"/>
          <w:color w:val="000000"/>
          <w:sz w:val="20"/>
        </w:rPr>
        <w:t xml:space="preserve"> 28(a)(8)(A); </w:t>
      </w:r>
      <w:bookmarkStart w:id="3397" w:name="Bookmark_I5FWNNBW2N1PT00030000400"/>
      <w:bookmarkEnd w:id="3397"/>
      <w:r>
        <w:rPr>
          <w:rFonts w:ascii="Arial" w:eastAsia="Arial" w:hAnsi="Arial" w:cs="Arial"/>
          <w:i/>
          <w:color w:val="000000"/>
          <w:sz w:val="20"/>
        </w:rPr>
        <w:t>Anderson v. Hardman</w:t>
      </w:r>
      <w:r>
        <w:rPr>
          <w:rFonts w:ascii="Arial" w:eastAsia="Arial" w:hAnsi="Arial" w:cs="Arial"/>
          <w:color w:val="000000"/>
          <w:sz w:val="20"/>
        </w:rPr>
        <w:t>, 241 F.3d 544, 545-46 (7th Cir. 2001).</w:t>
      </w:r>
    </w:p>
    <w:p w14:paraId="2C8C4067" w14:textId="77777777" w:rsidR="002D0E71" w:rsidRDefault="00000000">
      <w:pPr>
        <w:pStyle w:val="Normal22"/>
        <w:widowControl w:val="0"/>
        <w:spacing w:before="200" w:line="260" w:lineRule="atLeast"/>
        <w:jc w:val="both"/>
      </w:pPr>
      <w:bookmarkStart w:id="3398" w:name="Bookmark_para_9_20"/>
      <w:bookmarkEnd w:id="3398"/>
      <w:r>
        <w:rPr>
          <w:rFonts w:ascii="Arial" w:eastAsia="Arial" w:hAnsi="Arial" w:cs="Arial"/>
          <w:color w:val="000000"/>
          <w:sz w:val="20"/>
        </w:rPr>
        <w:t>DISMISSED.</w:t>
      </w:r>
    </w:p>
    <w:p w14:paraId="1B8F76D4" w14:textId="77777777" w:rsidR="002D0E71" w:rsidRDefault="002D0E71">
      <w:pPr>
        <w:pStyle w:val="Normal22"/>
      </w:pPr>
    </w:p>
    <w:p w14:paraId="69CE5A76" w14:textId="535698C1" w:rsidR="002D0E71" w:rsidRDefault="00000000">
      <w:pPr>
        <w:pStyle w:val="Normal22"/>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06368" behindDoc="0" locked="0" layoutInCell="1" allowOverlap="1" wp14:anchorId="3328E247" wp14:editId="2EE2F17A">
                <wp:simplePos x="0" y="0"/>
                <wp:positionH relativeFrom="column">
                  <wp:posOffset>0</wp:posOffset>
                </wp:positionH>
                <wp:positionV relativeFrom="paragraph">
                  <wp:posOffset>127000</wp:posOffset>
                </wp:positionV>
                <wp:extent cx="6502400" cy="0"/>
                <wp:effectExtent l="9525" t="12700" r="12700" b="6350"/>
                <wp:wrapNone/>
                <wp:docPr id="1716526111"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441C48" id="Line 48"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C714A98" w14:textId="77777777" w:rsidR="002D0E71" w:rsidRDefault="002D0E71">
      <w:pPr>
        <w:pStyle w:val="Normal23"/>
        <w:sectPr w:rsidR="002D0E71">
          <w:headerReference w:type="even" r:id="rId144"/>
          <w:headerReference w:type="default" r:id="rId145"/>
          <w:footerReference w:type="even" r:id="rId146"/>
          <w:footerReference w:type="default" r:id="rId147"/>
          <w:headerReference w:type="first" r:id="rId148"/>
          <w:footerReference w:type="first" r:id="rId149"/>
          <w:pgSz w:w="12240" w:h="15840"/>
          <w:pgMar w:top="840" w:right="1000" w:bottom="840" w:left="1000" w:header="400" w:footer="400" w:gutter="0"/>
          <w:cols w:space="720"/>
          <w:titlePg/>
        </w:sectPr>
      </w:pPr>
    </w:p>
    <w:p w14:paraId="11476803" w14:textId="77777777" w:rsidR="002D0E71" w:rsidRDefault="002D0E71">
      <w:pPr>
        <w:pStyle w:val="Normal23"/>
      </w:pPr>
    </w:p>
    <w:p w14:paraId="7B6DF6CE" w14:textId="77777777" w:rsidR="002D0E71" w:rsidRDefault="00000000">
      <w:pPr>
        <w:pStyle w:val="Heading122"/>
        <w:keepNext w:val="0"/>
        <w:widowControl w:val="0"/>
        <w:spacing w:after="200" w:line="340" w:lineRule="atLeast"/>
        <w:jc w:val="center"/>
      </w:pPr>
      <w:r>
        <w:rPr>
          <w:rFonts w:eastAsia="Arial"/>
          <w:color w:val="000000"/>
          <w:sz w:val="28"/>
        </w:rPr>
        <w:t>Kohler v. Bed Bath &amp; Beyond of Cal., LLC</w:t>
      </w:r>
    </w:p>
    <w:p w14:paraId="44A2341F" w14:textId="77777777" w:rsidR="002D0E71" w:rsidRDefault="00000000">
      <w:pPr>
        <w:pStyle w:val="Normal23"/>
        <w:widowControl w:val="0"/>
        <w:spacing w:before="120" w:line="260" w:lineRule="atLeast"/>
        <w:jc w:val="center"/>
      </w:pPr>
      <w:r>
        <w:rPr>
          <w:rFonts w:ascii="Arial" w:eastAsia="Arial" w:hAnsi="Arial" w:cs="Arial"/>
          <w:color w:val="000000"/>
          <w:sz w:val="20"/>
        </w:rPr>
        <w:t>United States Court of Appeals for the Ninth Circuit</w:t>
      </w:r>
    </w:p>
    <w:p w14:paraId="1DB669B2" w14:textId="77777777" w:rsidR="002D0E71" w:rsidRDefault="00000000">
      <w:pPr>
        <w:pStyle w:val="Normal23"/>
        <w:widowControl w:val="0"/>
        <w:spacing w:before="120" w:line="260" w:lineRule="atLeast"/>
        <w:jc w:val="center"/>
      </w:pPr>
      <w:r>
        <w:rPr>
          <w:rFonts w:ascii="Arial" w:eastAsia="Arial" w:hAnsi="Arial" w:cs="Arial"/>
          <w:color w:val="000000"/>
          <w:sz w:val="20"/>
        </w:rPr>
        <w:t>February 3, 2015, Argued and Submitted, Pasadena California; March 24, 2015, Filed</w:t>
      </w:r>
    </w:p>
    <w:p w14:paraId="7A01A2BC" w14:textId="77777777" w:rsidR="002D0E71" w:rsidRDefault="00000000">
      <w:pPr>
        <w:pStyle w:val="Normal23"/>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12-56520, No. 12-56771</w:t>
      </w:r>
    </w:p>
    <w:p w14:paraId="2BCCF4AB" w14:textId="77777777" w:rsidR="002D0E71" w:rsidRDefault="002D0E71">
      <w:pPr>
        <w:pStyle w:val="Normal23"/>
        <w:widowControl w:val="0"/>
        <w:spacing w:line="240" w:lineRule="atLeast"/>
        <w:jc w:val="both"/>
      </w:pPr>
      <w:bookmarkStart w:id="3399" w:name="Bookmark_24"/>
      <w:bookmarkEnd w:id="3399"/>
    </w:p>
    <w:p w14:paraId="70D30D06" w14:textId="77777777" w:rsidR="002D0E71" w:rsidRDefault="00000000">
      <w:pPr>
        <w:pStyle w:val="Normal23"/>
        <w:widowControl w:val="0"/>
        <w:spacing w:before="200" w:line="240" w:lineRule="atLeast"/>
      </w:pPr>
      <w:bookmarkStart w:id="3400" w:name="Reporter_22"/>
      <w:bookmarkEnd w:id="3400"/>
      <w:r>
        <w:rPr>
          <w:rFonts w:ascii="Arial" w:eastAsia="Arial" w:hAnsi="Arial" w:cs="Arial"/>
          <w:b/>
          <w:color w:val="000000"/>
          <w:sz w:val="18"/>
        </w:rPr>
        <w:t>Reporter</w:t>
      </w:r>
    </w:p>
    <w:p w14:paraId="6BA79544" w14:textId="77777777" w:rsidR="002D0E71" w:rsidRDefault="00000000">
      <w:pPr>
        <w:pStyle w:val="Normal23"/>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780 F.3d 1260 *; 2015 U.S. App. LEXIS 4768 **</w:t>
      </w:r>
    </w:p>
    <w:p w14:paraId="171635BC" w14:textId="77777777" w:rsidR="002D0E71" w:rsidRDefault="00000000">
      <w:pPr>
        <w:pStyle w:val="Normal23"/>
        <w:widowControl w:val="0"/>
        <w:spacing w:before="120" w:line="260" w:lineRule="atLeast"/>
      </w:pPr>
      <w:r>
        <w:rPr>
          <w:rFonts w:ascii="Arial" w:eastAsia="Arial" w:hAnsi="Arial" w:cs="Arial"/>
          <w:color w:val="000000"/>
          <w:sz w:val="20"/>
        </w:rPr>
        <w:t>CHRIS KOHLER, Plaintiff-Appellant, v. BED BATH &amp; BEYOND OF CALIFORNIA, LLC, DBA Bed Bath &amp; Beyond #1136, Defendant-Appellee.</w:t>
      </w:r>
    </w:p>
    <w:p w14:paraId="4A1833A7" w14:textId="77777777" w:rsidR="002D0E71" w:rsidRDefault="00000000">
      <w:pPr>
        <w:pStyle w:val="Normal23"/>
        <w:widowControl w:val="0"/>
        <w:spacing w:before="240" w:line="260" w:lineRule="atLeast"/>
        <w:jc w:val="both"/>
      </w:pPr>
      <w:bookmarkStart w:id="3401" w:name="Prior_History_22"/>
      <w:bookmarkEnd w:id="3401"/>
      <w:r>
        <w:rPr>
          <w:rFonts w:ascii="Arial" w:eastAsia="Arial" w:hAnsi="Arial" w:cs="Arial"/>
          <w:b/>
          <w:color w:val="000000"/>
          <w:sz w:val="20"/>
        </w:rPr>
        <w:t>Prior History:</w:t>
      </w:r>
      <w:r>
        <w:rPr>
          <w:rFonts w:ascii="Arial" w:eastAsia="Arial" w:hAnsi="Arial" w:cs="Arial"/>
          <w:color w:val="000000"/>
          <w:sz w:val="20"/>
        </w:rPr>
        <w:t> </w:t>
      </w:r>
      <w:bookmarkStart w:id="3402" w:name="Bookmark_para_1_22"/>
      <w:bookmarkEnd w:id="3402"/>
      <w:r>
        <w:rPr>
          <w:rFonts w:ascii="Arial" w:eastAsia="Arial" w:hAnsi="Arial" w:cs="Arial"/>
          <w:color w:val="000000"/>
          <w:sz w:val="20"/>
        </w:rPr>
        <w:t> [**1] Appeal from the United States District Court for the Central District of California. D.C. No. 2:11-cv-04451-RSWL-SP. Ronald S.W. Lew, Senior District Judge, Presiding. Appeal from the United States District Court for the Central District of California. D.C. No. 2:11-cv-04451-RGK-SP. R. Gary Klausner, District Judge, Presiding.</w:t>
      </w:r>
    </w:p>
    <w:p w14:paraId="1D827D04" w14:textId="77777777" w:rsidR="002D0E71" w:rsidRDefault="00000000">
      <w:pPr>
        <w:pStyle w:val="Normal23"/>
        <w:widowControl w:val="0"/>
        <w:spacing w:before="120" w:line="260" w:lineRule="atLeast"/>
      </w:pPr>
      <w:r>
        <w:rPr>
          <w:rFonts w:ascii="Arial" w:eastAsia="Arial" w:hAnsi="Arial" w:cs="Arial"/>
          <w:color w:val="000000"/>
          <w:sz w:val="20"/>
        </w:rPr>
        <w:t>Kohler v. Bed Bath &amp; Beyond of California, LLC, 2012 U.S. Dist. LEXIS 103068 (C.D. Cal., July 23, 2012)</w:t>
      </w:r>
    </w:p>
    <w:p w14:paraId="3202B2C8" w14:textId="77777777" w:rsidR="002D0E71" w:rsidRDefault="00000000">
      <w:pPr>
        <w:pStyle w:val="Normal23"/>
        <w:widowControl w:val="0"/>
        <w:spacing w:before="240" w:line="260" w:lineRule="atLeast"/>
        <w:jc w:val="both"/>
      </w:pPr>
      <w:bookmarkStart w:id="3403" w:name="Disposition_8"/>
      <w:bookmarkEnd w:id="3403"/>
      <w:r>
        <w:rPr>
          <w:rFonts w:ascii="Arial" w:eastAsia="Arial" w:hAnsi="Arial" w:cs="Arial"/>
          <w:b/>
          <w:color w:val="000000"/>
          <w:sz w:val="20"/>
        </w:rPr>
        <w:t>Disposition:</w:t>
      </w:r>
      <w:r>
        <w:rPr>
          <w:rFonts w:ascii="Arial" w:eastAsia="Arial" w:hAnsi="Arial" w:cs="Arial"/>
          <w:color w:val="000000"/>
          <w:sz w:val="20"/>
        </w:rPr>
        <w:t> </w:t>
      </w:r>
      <w:bookmarkStart w:id="3404" w:name="Bookmark_clspara_4_6"/>
      <w:bookmarkEnd w:id="3404"/>
      <w:r>
        <w:rPr>
          <w:rFonts w:ascii="Arial" w:eastAsia="Arial" w:hAnsi="Arial" w:cs="Arial"/>
          <w:color w:val="000000"/>
          <w:sz w:val="20"/>
        </w:rPr>
        <w:t>AFFIRMED in part and REVERSED in part.</w:t>
      </w:r>
    </w:p>
    <w:p w14:paraId="2C918291" w14:textId="77777777" w:rsidR="002D0E71" w:rsidRDefault="00000000">
      <w:pPr>
        <w:pStyle w:val="Normal23"/>
        <w:widowControl w:val="0"/>
        <w:spacing w:before="240" w:line="260" w:lineRule="atLeast"/>
      </w:pPr>
      <w:bookmarkStart w:id="3405" w:name="Summary_1"/>
      <w:bookmarkEnd w:id="3405"/>
      <w:r>
        <w:rPr>
          <w:rFonts w:ascii="Arial" w:eastAsia="Arial" w:hAnsi="Arial" w:cs="Arial"/>
          <w:b/>
          <w:color w:val="000000"/>
          <w:sz w:val="20"/>
        </w:rPr>
        <w:t>Summary:</w:t>
      </w:r>
    </w:p>
    <w:p w14:paraId="654ABB55" w14:textId="77777777" w:rsidR="002D0E71" w:rsidRDefault="00000000">
      <w:pPr>
        <w:pStyle w:val="Normal23"/>
        <w:widowControl w:val="0"/>
        <w:spacing w:before="240" w:line="260" w:lineRule="atLeast"/>
        <w:jc w:val="both"/>
      </w:pPr>
      <w:bookmarkStart w:id="3406" w:name="Bookmark_clspara_5_1"/>
      <w:bookmarkEnd w:id="3406"/>
      <w:r>
        <w:rPr>
          <w:rFonts w:ascii="Arial" w:eastAsia="Arial" w:hAnsi="Arial" w:cs="Arial"/>
          <w:b/>
          <w:color w:val="000000"/>
          <w:sz w:val="20"/>
        </w:rPr>
        <w:t>SUMMARY</w:t>
      </w:r>
      <w:r>
        <w:rPr>
          <w:rFonts w:ascii="Arial" w:eastAsia="Arial" w:hAnsi="Arial" w:cs="Arial"/>
          <w:vertAlign w:val="superscript"/>
        </w:rPr>
        <w:footnoteReference w:customMarkFollows="1" w:id="105"/>
        <w:t>**</w:t>
      </w:r>
    </w:p>
    <w:p w14:paraId="7F0190BB" w14:textId="77777777" w:rsidR="002D0E71" w:rsidRDefault="00000000">
      <w:pPr>
        <w:pStyle w:val="Normal23"/>
        <w:widowControl w:val="0"/>
        <w:spacing w:before="240" w:line="260" w:lineRule="atLeast"/>
        <w:jc w:val="both"/>
      </w:pPr>
      <w:bookmarkStart w:id="3408" w:name="Bookmark_clspara_6_1"/>
      <w:bookmarkEnd w:id="3408"/>
      <w:r>
        <w:rPr>
          <w:rFonts w:ascii="Arial" w:eastAsia="Arial" w:hAnsi="Arial" w:cs="Arial"/>
          <w:b/>
          <w:color w:val="000000"/>
          <w:sz w:val="20"/>
        </w:rPr>
        <w:t>Americans with Disabilities Act</w:t>
      </w:r>
    </w:p>
    <w:p w14:paraId="7A1A4280" w14:textId="77777777" w:rsidR="002D0E71" w:rsidRDefault="00000000">
      <w:pPr>
        <w:pStyle w:val="Normal23"/>
        <w:widowControl w:val="0"/>
        <w:spacing w:before="240" w:line="260" w:lineRule="atLeast"/>
        <w:jc w:val="both"/>
      </w:pPr>
      <w:bookmarkStart w:id="3409" w:name="Bookmark_clspara_7_1"/>
      <w:bookmarkEnd w:id="3409"/>
      <w:r>
        <w:rPr>
          <w:rFonts w:ascii="Arial" w:eastAsia="Arial" w:hAnsi="Arial" w:cs="Arial"/>
          <w:color w:val="000000"/>
          <w:sz w:val="20"/>
        </w:rPr>
        <w:t>The panel affirmed the district court's summary judgment and reversed its award of attorneys' fees in favor of the defendant in an action under Title III of the Americans with Disabilities Act.</w:t>
      </w:r>
    </w:p>
    <w:p w14:paraId="5C763058" w14:textId="77777777" w:rsidR="002D0E71" w:rsidRDefault="00000000">
      <w:pPr>
        <w:pStyle w:val="Normal23"/>
        <w:widowControl w:val="0"/>
        <w:spacing w:before="240" w:line="260" w:lineRule="atLeast"/>
        <w:jc w:val="both"/>
      </w:pPr>
      <w:bookmarkStart w:id="3410" w:name="Bookmark_clspara_8_1"/>
      <w:bookmarkEnd w:id="3410"/>
      <w:r>
        <w:rPr>
          <w:rFonts w:ascii="Arial" w:eastAsia="Arial" w:hAnsi="Arial" w:cs="Arial"/>
          <w:color w:val="000000"/>
          <w:sz w:val="20"/>
        </w:rPr>
        <w:t xml:space="preserve">Affirming the grant of summary judgment on a claim regarding clearance next to a restroom door in a store, the panel followed the holding of </w:t>
      </w:r>
      <w:r>
        <w:rPr>
          <w:rFonts w:ascii="Arial" w:eastAsia="Arial" w:hAnsi="Arial" w:cs="Arial"/>
          <w:i/>
          <w:color w:val="000000"/>
          <w:sz w:val="20"/>
        </w:rPr>
        <w:t>Kohler v. Bed Bath &amp; Beyond of Cal., LLC</w:t>
      </w:r>
      <w:r>
        <w:rPr>
          <w:rFonts w:ascii="Arial" w:eastAsia="Arial" w:hAnsi="Arial" w:cs="Arial"/>
          <w:color w:val="000000"/>
          <w:sz w:val="20"/>
        </w:rPr>
        <w:t>, 778 F.3d 827, 2015 U.S. App. LEXIS 2555, at *2-*3 (9th Cir. Feb. 19, 2015), that the ADA Accessibility Guidelines do not require any length of wall space on the side of the doorframe opposite the hinges.</w:t>
      </w:r>
    </w:p>
    <w:p w14:paraId="3D2985F2" w14:textId="77777777" w:rsidR="002D0E71" w:rsidRDefault="00000000">
      <w:pPr>
        <w:pStyle w:val="Normal23"/>
        <w:widowControl w:val="0"/>
        <w:spacing w:before="240" w:line="260" w:lineRule="atLeast"/>
        <w:jc w:val="both"/>
      </w:pPr>
      <w:bookmarkStart w:id="3411" w:name="Bookmark_clspara_9_1"/>
      <w:bookmarkEnd w:id="3411"/>
      <w:r>
        <w:rPr>
          <w:rFonts w:ascii="Arial" w:eastAsia="Arial" w:hAnsi="Arial" w:cs="Arial"/>
          <w:color w:val="000000"/>
          <w:sz w:val="20"/>
        </w:rPr>
        <w:t>The panel also affirmed the district court's ruling that the defendant, as a tenant, was not liable for ADA violations occurring in the parking lot outside of its store where that area of [**2]  the property was controlled by the landlord and was not leased by the defendant.</w:t>
      </w:r>
    </w:p>
    <w:p w14:paraId="7D0476EB" w14:textId="77777777" w:rsidR="002D0E71" w:rsidRDefault="00000000">
      <w:pPr>
        <w:pStyle w:val="Normal23"/>
        <w:widowControl w:val="0"/>
        <w:spacing w:before="240" w:line="260" w:lineRule="atLeast"/>
        <w:jc w:val="both"/>
      </w:pPr>
      <w:bookmarkStart w:id="3412" w:name="Bookmark_clspara_10_1"/>
      <w:bookmarkEnd w:id="3412"/>
      <w:r>
        <w:rPr>
          <w:rFonts w:ascii="Arial" w:eastAsia="Arial" w:hAnsi="Arial" w:cs="Arial"/>
          <w:color w:val="000000"/>
          <w:sz w:val="20"/>
        </w:rPr>
        <w:t>Reversing the district court's award of attorneys' fees to the defendant as a prevailing party, the panel held that the district court erred in concluding that eight of the plaintiff's ten claims were frivolous.</w:t>
      </w:r>
    </w:p>
    <w:p w14:paraId="2F5305B1" w14:textId="77777777" w:rsidR="002D0E71" w:rsidRDefault="00000000">
      <w:pPr>
        <w:pStyle w:val="Normal23"/>
        <w:widowControl w:val="0"/>
        <w:spacing w:before="240" w:line="260" w:lineRule="atLeast"/>
      </w:pPr>
      <w:bookmarkStart w:id="3413" w:name="Counsel_22"/>
      <w:bookmarkEnd w:id="3413"/>
      <w:r>
        <w:rPr>
          <w:rFonts w:ascii="Arial" w:eastAsia="Arial" w:hAnsi="Arial" w:cs="Arial"/>
          <w:b/>
          <w:color w:val="000000"/>
          <w:sz w:val="20"/>
        </w:rPr>
        <w:t>Counsel:</w:t>
      </w:r>
      <w:r>
        <w:rPr>
          <w:rFonts w:ascii="Arial" w:eastAsia="Arial" w:hAnsi="Arial" w:cs="Arial"/>
          <w:color w:val="000000"/>
          <w:sz w:val="20"/>
        </w:rPr>
        <w:t> Scottlynn J. Hubbard, IV (argued), Law Offices of Lynn Hubbard, Chico, California, for Plaintiff-Appellant.</w:t>
      </w:r>
    </w:p>
    <w:p w14:paraId="1F0E1592" w14:textId="77777777" w:rsidR="002D0E71" w:rsidRDefault="00000000">
      <w:pPr>
        <w:pStyle w:val="Normal23"/>
        <w:widowControl w:val="0"/>
        <w:spacing w:before="120" w:line="260" w:lineRule="atLeast"/>
      </w:pPr>
      <w:r>
        <w:rPr>
          <w:rFonts w:ascii="Arial" w:eastAsia="Arial" w:hAnsi="Arial" w:cs="Arial"/>
          <w:color w:val="000000"/>
          <w:sz w:val="20"/>
        </w:rPr>
        <w:t>Matthew S. Kenefick (argued), and Martin H. Orlick, Jeffer Mangels Butler &amp; Mitchell LLP, San Francisco, California, for Defendant-Appellee.</w:t>
      </w:r>
    </w:p>
    <w:p w14:paraId="7A5E3357" w14:textId="77777777" w:rsidR="002D0E71" w:rsidRDefault="00000000">
      <w:pPr>
        <w:pStyle w:val="Normal23"/>
        <w:widowControl w:val="0"/>
        <w:spacing w:before="240" w:line="260" w:lineRule="atLeast"/>
      </w:pPr>
      <w:bookmarkStart w:id="3414" w:name="Judges_22"/>
      <w:bookmarkEnd w:id="3414"/>
      <w:r>
        <w:rPr>
          <w:rFonts w:ascii="Arial" w:eastAsia="Arial" w:hAnsi="Arial" w:cs="Arial"/>
          <w:b/>
          <w:color w:val="000000"/>
          <w:sz w:val="20"/>
        </w:rPr>
        <w:t>Judges:</w:t>
      </w:r>
      <w:r>
        <w:rPr>
          <w:rFonts w:ascii="Arial" w:eastAsia="Arial" w:hAnsi="Arial" w:cs="Arial"/>
          <w:color w:val="000000"/>
          <w:sz w:val="20"/>
        </w:rPr>
        <w:t> Before: Stephen Reinhardt and Ronald M. Gould, Circuit Judges and J. Frederick Motz,</w:t>
      </w:r>
      <w:r>
        <w:rPr>
          <w:rFonts w:ascii="Arial" w:eastAsia="Arial" w:hAnsi="Arial" w:cs="Arial"/>
          <w:vertAlign w:val="superscript"/>
        </w:rPr>
        <w:footnoteReference w:customMarkFollows="1" w:id="106"/>
        <w:t>*</w:t>
      </w:r>
      <w:r>
        <w:rPr>
          <w:rFonts w:ascii="Arial" w:eastAsia="Arial" w:hAnsi="Arial" w:cs="Arial"/>
          <w:color w:val="000000"/>
          <w:sz w:val="20"/>
        </w:rPr>
        <w:t xml:space="preserve"> Senior District Judge.</w:t>
      </w:r>
    </w:p>
    <w:p w14:paraId="0AE47E61" w14:textId="77777777" w:rsidR="002D0E71" w:rsidRDefault="00000000">
      <w:pPr>
        <w:pStyle w:val="Normal23"/>
        <w:widowControl w:val="0"/>
        <w:spacing w:before="240" w:line="260" w:lineRule="atLeast"/>
      </w:pPr>
      <w:bookmarkStart w:id="3416" w:name="Opinion_by_15"/>
      <w:bookmarkEnd w:id="3416"/>
      <w:r>
        <w:rPr>
          <w:rFonts w:ascii="Arial" w:eastAsia="Arial" w:hAnsi="Arial" w:cs="Arial"/>
          <w:b/>
          <w:color w:val="000000"/>
          <w:sz w:val="20"/>
        </w:rPr>
        <w:t>Opinion by:</w:t>
      </w:r>
      <w:r>
        <w:rPr>
          <w:rFonts w:ascii="Arial" w:eastAsia="Arial" w:hAnsi="Arial" w:cs="Arial"/>
          <w:color w:val="000000"/>
          <w:sz w:val="20"/>
        </w:rPr>
        <w:t> Ronald M. Gould</w:t>
      </w:r>
    </w:p>
    <w:p w14:paraId="7AD106C2" w14:textId="77777777" w:rsidR="002D0E71" w:rsidRDefault="00000000">
      <w:pPr>
        <w:pStyle w:val="Normal23"/>
        <w:keepNext/>
        <w:widowControl w:val="0"/>
        <w:spacing w:before="240" w:line="340" w:lineRule="atLeast"/>
      </w:pPr>
      <w:bookmarkStart w:id="3417" w:name="Opinion_22"/>
      <w:bookmarkEnd w:id="3417"/>
      <w:r>
        <w:rPr>
          <w:rFonts w:ascii="Arial" w:eastAsia="Arial" w:hAnsi="Arial" w:cs="Arial"/>
          <w:b/>
          <w:color w:val="000000"/>
          <w:sz w:val="28"/>
        </w:rPr>
        <w:t>Opinion</w:t>
      </w:r>
    </w:p>
    <w:p w14:paraId="3FFD312B" w14:textId="4AFB4120" w:rsidR="002D0E71" w:rsidRDefault="002939DF">
      <w:pPr>
        <w:pStyle w:val="Normal23"/>
        <w:spacing w:line="60" w:lineRule="exact"/>
      </w:pPr>
      <w:r>
        <w:rPr>
          <w:noProof/>
        </w:rPr>
        <mc:AlternateContent>
          <mc:Choice Requires="wps">
            <w:drawing>
              <wp:anchor distT="0" distB="0" distL="114300" distR="114300" simplePos="0" relativeHeight="251707392" behindDoc="0" locked="0" layoutInCell="1" allowOverlap="1" wp14:anchorId="427D8F3D" wp14:editId="7A272675">
                <wp:simplePos x="0" y="0"/>
                <wp:positionH relativeFrom="column">
                  <wp:posOffset>0</wp:posOffset>
                </wp:positionH>
                <wp:positionV relativeFrom="paragraph">
                  <wp:posOffset>25400</wp:posOffset>
                </wp:positionV>
                <wp:extent cx="3187700" cy="0"/>
                <wp:effectExtent l="19050" t="15875" r="12700" b="12700"/>
                <wp:wrapTopAndBottom/>
                <wp:docPr id="1642734061"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73F8D" id="Line 49"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F541FA7" w14:textId="77777777" w:rsidR="002D0E71" w:rsidRDefault="002D0E71">
      <w:pPr>
        <w:pStyle w:val="Normal23"/>
      </w:pPr>
    </w:p>
    <w:p w14:paraId="094F2C21" w14:textId="77777777" w:rsidR="002D0E71" w:rsidRDefault="00000000">
      <w:pPr>
        <w:pStyle w:val="Normal23"/>
        <w:widowControl w:val="0"/>
        <w:spacing w:before="200" w:line="260" w:lineRule="atLeast"/>
        <w:jc w:val="both"/>
      </w:pPr>
      <w:bookmarkStart w:id="3418" w:name="Bookmark_para_2_22"/>
      <w:bookmarkEnd w:id="3418"/>
      <w:r>
        <w:rPr>
          <w:rFonts w:ascii="Arial" w:eastAsia="Arial" w:hAnsi="Arial" w:cs="Arial"/>
          <w:color w:val="000000"/>
          <w:sz w:val="20"/>
        </w:rPr>
        <w:t> [*1261]  GOULD, Circuit Judge:</w:t>
      </w:r>
    </w:p>
    <w:p w14:paraId="3D5C952D" w14:textId="77777777" w:rsidR="002D0E71" w:rsidRDefault="00000000">
      <w:pPr>
        <w:pStyle w:val="Normal23"/>
        <w:widowControl w:val="0"/>
        <w:spacing w:before="200" w:line="260" w:lineRule="atLeast"/>
        <w:jc w:val="both"/>
      </w:pPr>
      <w:bookmarkStart w:id="3419" w:name="Bookmark_para_3_22"/>
      <w:bookmarkEnd w:id="3419"/>
      <w:r>
        <w:rPr>
          <w:rFonts w:ascii="Arial" w:eastAsia="Arial" w:hAnsi="Arial" w:cs="Arial"/>
          <w:color w:val="000000"/>
          <w:sz w:val="20"/>
        </w:rPr>
        <w:t>Chris Kohler appeals from a grant of summary judgment to defendant Bed Bath &amp; Beyond of California ("BB&amp;B") on Kohler's claims under Title III of the Americans with Disabilities Act ("ADA"), and also appeals the award of attorneys' fees and costs to BB&amp;B as a prevailing defendant. Regarding summary judgment, Kohler contends that the district court erred in concluding that the ADA [**3]  does not require wall space within the maneuvering clearance next to the frame of a restroom door that must be pulled open; and that the district court erred in ruling that, BB&amp;B, as a tenant, was not liable for ADA violations occurring in the parking lot outside of its store. Kohler further contends that the district court erred in concluding that several of his claims warranted the award of attorneys' fees to BB&amp;B; and that the district court erred in its calculation of fees awarded. We have jurisdiction under 28 U.S.C. § 1291. We conclude that Kohler's substantive claims related to maneuvering clearance and tenant liability must be rejected and accordingly we affirm summary judgment. However, we agree that BB&amp;B was not entitled to attorneys' fees for any of Kohler's claims, and so we reverse the district court's fee award.</w:t>
      </w:r>
    </w:p>
    <w:p w14:paraId="23D3B91D" w14:textId="77777777" w:rsidR="002D0E71" w:rsidRDefault="00000000">
      <w:pPr>
        <w:pStyle w:val="Normal23"/>
        <w:widowControl w:val="0"/>
        <w:spacing w:before="240" w:line="260" w:lineRule="atLeast"/>
      </w:pPr>
      <w:r>
        <w:br/>
      </w:r>
      <w:r>
        <w:rPr>
          <w:rFonts w:ascii="Arial" w:eastAsia="Arial" w:hAnsi="Arial" w:cs="Arial"/>
          <w:color w:val="000000"/>
          <w:sz w:val="20"/>
        </w:rPr>
        <w:t xml:space="preserve"> [*1262]  </w:t>
      </w:r>
      <w:r>
        <w:rPr>
          <w:rFonts w:ascii="Arial" w:eastAsia="Arial" w:hAnsi="Arial" w:cs="Arial"/>
          <w:b/>
          <w:color w:val="000000"/>
          <w:sz w:val="20"/>
        </w:rPr>
        <w:t>I</w:t>
      </w:r>
    </w:p>
    <w:p w14:paraId="0C71583E" w14:textId="77777777" w:rsidR="002D0E71" w:rsidRDefault="00000000">
      <w:pPr>
        <w:pStyle w:val="Normal23"/>
        <w:widowControl w:val="0"/>
        <w:spacing w:before="200" w:line="260" w:lineRule="atLeast"/>
        <w:jc w:val="both"/>
      </w:pPr>
      <w:bookmarkStart w:id="3420" w:name="Bookmark_para_4_22"/>
      <w:bookmarkEnd w:id="3420"/>
      <w:r>
        <w:rPr>
          <w:rFonts w:ascii="Arial" w:eastAsia="Arial" w:hAnsi="Arial" w:cs="Arial"/>
          <w:color w:val="000000"/>
          <w:sz w:val="20"/>
        </w:rPr>
        <w:t>Kohler is disabled; he is a paraplegic and requires the use of a wheelchair to move in public. Several times in May 2011, Kohler visited the BB&amp;B store at the Lake Elsinore Marketplace in Lake Elsinore, California. During those visits he encountered purported architectural barriers, both within the store and in the parking lot of the shopping center, that he claimed impeded his [**4]  ability to fully use the store. Kohler brought suit against BB&amp;B in the U.S. District Court for the Central District of California. Kohler claimed violations of the ADA, 42 U.S.C. §§ 12101—12213, and related state law provisions. In his complaint, Kohler alleged ten purported access barriers; those relevant to this appeal relate to: (1) floor and wall space adjacent to the restroom door; (2) slopes and cross-slopes in the shopping center's parking lot; and (3) the placement and operation of toilet paper and paper towel dispensers within the BB&amp;B's restroom.</w:t>
      </w:r>
    </w:p>
    <w:p w14:paraId="7352F9AB" w14:textId="77777777" w:rsidR="002D0E71" w:rsidRDefault="00000000">
      <w:pPr>
        <w:pStyle w:val="Normal23"/>
        <w:widowControl w:val="0"/>
        <w:spacing w:before="200" w:line="260" w:lineRule="atLeast"/>
        <w:jc w:val="both"/>
      </w:pPr>
      <w:bookmarkStart w:id="3421" w:name="Bookmark_para_5_22"/>
      <w:bookmarkStart w:id="3422" w:name="Bookmark_I5FSPS622SF8M10020000400"/>
      <w:bookmarkEnd w:id="3421"/>
      <w:bookmarkEnd w:id="3422"/>
      <w:r>
        <w:rPr>
          <w:rFonts w:ascii="Arial" w:eastAsia="Arial" w:hAnsi="Arial" w:cs="Arial"/>
          <w:color w:val="000000"/>
          <w:sz w:val="20"/>
        </w:rPr>
        <w:t>The parties filed cross-motions for summary judgment. With respect to the claims of insufficient clearance next to the restroom door, the district court concluded that the ADA Accessibility Guidelines ("Guidelines"), which set out the ADA compliance requirements for physical structures, required only a minimum amount of floor space, rather than both floor and wall space on the pull side of a door. The district court also concluded that BB&amp;B did not "own, lease or operate" the shopping center parking lot, and therefore was not liable for any ADA barriers occurring there. Finally, the district court concluded that Kohler had not asserted an actionable barrier [**5]  with regard to the location of the toilet paper dispenser, as his complaint asserted only violations of state law, and that any violations related to the paper towel dispenser had been rendered moot when BB&amp;B installed a new, compliant dispenser.</w:t>
      </w:r>
      <w:r>
        <w:rPr>
          <w:rFonts w:ascii="Arial" w:eastAsia="Arial" w:hAnsi="Arial" w:cs="Arial"/>
          <w:vertAlign w:val="superscript"/>
        </w:rPr>
        <w:footnoteReference w:customMarkFollows="1" w:id="107"/>
        <w:t>1</w:t>
      </w:r>
      <w:r>
        <w:rPr>
          <w:rFonts w:ascii="Arial" w:eastAsia="Arial" w:hAnsi="Arial" w:cs="Arial"/>
          <w:color w:val="000000"/>
          <w:sz w:val="20"/>
        </w:rPr>
        <w:t xml:space="preserve"> On this basis, the district court denied Kohler's motion and granted BB&amp;B's motion on all of Kohler's ADA claims. The district court declined to exercise supplemental jurisdiction over Kohler's state law claims and dismissed them without prejudice.</w:t>
      </w:r>
    </w:p>
    <w:p w14:paraId="51410956" w14:textId="77777777" w:rsidR="002D0E71" w:rsidRDefault="00000000">
      <w:pPr>
        <w:pStyle w:val="Normal23"/>
        <w:widowControl w:val="0"/>
        <w:spacing w:before="200" w:line="260" w:lineRule="atLeast"/>
        <w:jc w:val="both"/>
      </w:pPr>
      <w:bookmarkStart w:id="3425" w:name="Bookmark_para_6_22"/>
      <w:bookmarkEnd w:id="3425"/>
      <w:r>
        <w:rPr>
          <w:rFonts w:ascii="Arial" w:eastAsia="Arial" w:hAnsi="Arial" w:cs="Arial"/>
          <w:color w:val="000000"/>
          <w:sz w:val="20"/>
        </w:rPr>
        <w:t>BB&amp;B thereafter moved for attorneys' fees as the "prevailing party" under 42 U.S.C. § 12205. The district court concluded that eight of Kohler's ten claims "were, at a minimum, litigated without any foundation." Regarding Kohler's maneuvering space claims, the district court noted that it had described the claims as "illogical" in its summary judgment order, and that Kohler's counsel had unsuccessfully litigated similar claims. Regarding the parking lot claims, the district court [**6]  held that Kohler should have been aware that BB&amp;B did not own, lease or operate the parking lot for approximately the last year, as he had sued the shopping center's landlord and settled with it over the parking lot violations in September 2011. Regarding the toilet paper dispenser claim, the district court concluded that it was frivolous because it alleged a violation of a requirement not found in the ADA. Finally, the district court also concluded that Kohler's paper towel dispenser claim was "filed without any basis in law or fact," because Kohler alleged that operating the dispenser required "tight grasping, pinching or twisting of the wrist" but it was undisputed that he had full use of his hands. The district court made adjustments to BB&amp;B's claimed lodestar, reduced  [*1263]  that amount by twenty percent (to account for the proportional number of claims found frivolous), and awarded BB&amp;B fees of $59,892.</w:t>
      </w:r>
    </w:p>
    <w:p w14:paraId="470FF797" w14:textId="77777777" w:rsidR="002D0E71" w:rsidRDefault="00000000">
      <w:pPr>
        <w:pStyle w:val="Normal23"/>
        <w:widowControl w:val="0"/>
        <w:spacing w:before="200" w:line="260" w:lineRule="atLeast"/>
        <w:jc w:val="both"/>
      </w:pPr>
      <w:bookmarkStart w:id="3426" w:name="Bookmark_para_7_21"/>
      <w:bookmarkEnd w:id="3426"/>
      <w:r>
        <w:rPr>
          <w:rFonts w:ascii="Arial" w:eastAsia="Arial" w:hAnsi="Arial" w:cs="Arial"/>
          <w:color w:val="000000"/>
          <w:sz w:val="20"/>
        </w:rPr>
        <w:t>Kohler timely appealed the district court's judgment, which is now before us.</w:t>
      </w:r>
    </w:p>
    <w:p w14:paraId="4A9A4368" w14:textId="77777777" w:rsidR="002D0E71" w:rsidRDefault="00000000">
      <w:pPr>
        <w:pStyle w:val="Normal23"/>
        <w:widowControl w:val="0"/>
        <w:spacing w:before="240" w:line="260" w:lineRule="atLeast"/>
      </w:pPr>
      <w:r>
        <w:br/>
      </w:r>
      <w:r>
        <w:rPr>
          <w:rFonts w:ascii="Arial" w:eastAsia="Arial" w:hAnsi="Arial" w:cs="Arial"/>
          <w:b/>
          <w:color w:val="000000"/>
          <w:sz w:val="20"/>
        </w:rPr>
        <w:t>II</w:t>
      </w:r>
    </w:p>
    <w:p w14:paraId="1B18C7AC" w14:textId="77777777" w:rsidR="002D0E71" w:rsidRDefault="00000000">
      <w:pPr>
        <w:pStyle w:val="Normal23"/>
        <w:widowControl w:val="0"/>
        <w:spacing w:before="200" w:line="260" w:lineRule="atLeast"/>
        <w:jc w:val="both"/>
      </w:pPr>
      <w:bookmarkStart w:id="3427" w:name="Bookmark_para_8_21"/>
      <w:bookmarkStart w:id="3428" w:name="Bookmark_I5FSPS622SF8M10040000400"/>
      <w:bookmarkStart w:id="3429" w:name="Bookmark_LNHNREFclscc1_18"/>
      <w:bookmarkEnd w:id="3427"/>
      <w:bookmarkEnd w:id="3428"/>
      <w:bookmarkEnd w:id="3429"/>
      <w:r>
        <w:rPr>
          <w:rFonts w:ascii="Arial" w:eastAsia="Arial" w:hAnsi="Arial" w:cs="Arial"/>
          <w:color w:val="000000"/>
          <w:sz w:val="20"/>
        </w:rPr>
        <w:t xml:space="preserve">We review a district court's grant of summary judgment </w:t>
      </w:r>
      <w:r>
        <w:rPr>
          <w:rFonts w:ascii="Arial" w:eastAsia="Arial" w:hAnsi="Arial" w:cs="Arial"/>
          <w:i/>
          <w:color w:val="000000"/>
          <w:sz w:val="20"/>
        </w:rPr>
        <w:t xml:space="preserve">de novo. </w:t>
      </w:r>
      <w:bookmarkStart w:id="3430" w:name="Bookmark_I5FSPS622SF8M10030000400"/>
      <w:bookmarkEnd w:id="3430"/>
      <w:r>
        <w:rPr>
          <w:rFonts w:ascii="Arial" w:eastAsia="Arial" w:hAnsi="Arial" w:cs="Arial"/>
          <w:i/>
          <w:color w:val="000000"/>
          <w:sz w:val="20"/>
        </w:rPr>
        <w:t>Doran v. 7-Eleven, Inc</w:t>
      </w:r>
      <w:r>
        <w:rPr>
          <w:rFonts w:ascii="Arial" w:eastAsia="Arial" w:hAnsi="Arial" w:cs="Arial"/>
          <w:color w:val="000000"/>
          <w:sz w:val="20"/>
        </w:rPr>
        <w:t xml:space="preserve">., 524 F.3d 1034, 1047 (9th Cir. 2008). </w:t>
      </w:r>
      <w:bookmarkStart w:id="3431" w:name="Bookmark_I5FSPS6228T4VN0010000400"/>
      <w:bookmarkEnd w:id="3431"/>
      <w:r>
        <w:rPr>
          <w:rFonts w:ascii="Arial" w:eastAsia="Arial" w:hAnsi="Arial" w:cs="Arial"/>
          <w:color w:val="000000"/>
          <w:sz w:val="20"/>
        </w:rPr>
        <w:t xml:space="preserve">We will uphold a summary judgment if "there is no genuine dispute as to any material fact and the movant is entitled to judgment [**7]  as a matter of law." Fed. R. Civ. P. 56(a). </w:t>
      </w:r>
      <w:bookmarkStart w:id="3432" w:name="Bookmark_LNHNREFclscc2_18"/>
      <w:bookmarkEnd w:id="3432"/>
      <w:r>
        <w:rPr>
          <w:rFonts w:ascii="Arial" w:eastAsia="Arial" w:hAnsi="Arial" w:cs="Arial"/>
          <w:color w:val="000000"/>
          <w:sz w:val="20"/>
        </w:rPr>
        <w:t xml:space="preserve">We may affirm the district court on any basis supported by the record. </w:t>
      </w:r>
      <w:bookmarkStart w:id="3433" w:name="Bookmark_I5FSPS6228T4VN0010000400_2"/>
      <w:bookmarkStart w:id="3434" w:name="Bookmark_I5FSPS622SF8M10050000400"/>
      <w:bookmarkEnd w:id="3433"/>
      <w:bookmarkEnd w:id="3434"/>
      <w:r>
        <w:rPr>
          <w:rFonts w:ascii="Arial" w:eastAsia="Arial" w:hAnsi="Arial" w:cs="Arial"/>
          <w:i/>
          <w:color w:val="000000"/>
          <w:sz w:val="20"/>
        </w:rPr>
        <w:t>Forest Guardians v. U.S. Forest Serv</w:t>
      </w:r>
      <w:r>
        <w:rPr>
          <w:rFonts w:ascii="Arial" w:eastAsia="Arial" w:hAnsi="Arial" w:cs="Arial"/>
          <w:color w:val="000000"/>
          <w:sz w:val="20"/>
        </w:rPr>
        <w:t>., 329 F.3d 1089, 1097 (9th Cir. 2003).</w:t>
      </w:r>
    </w:p>
    <w:p w14:paraId="20B0D1A0" w14:textId="77777777" w:rsidR="002D0E71" w:rsidRDefault="00000000">
      <w:pPr>
        <w:pStyle w:val="Normal23"/>
        <w:widowControl w:val="0"/>
        <w:spacing w:before="200" w:line="260" w:lineRule="atLeast"/>
        <w:jc w:val="both"/>
      </w:pPr>
      <w:bookmarkStart w:id="3435" w:name="Bookmark_para_9_21"/>
      <w:bookmarkStart w:id="3436" w:name="Bookmark_I5FSPS6228T4VN0030000400"/>
      <w:bookmarkStart w:id="3437" w:name="Bookmark_I5FSPS6228T4VN0050000400"/>
      <w:bookmarkStart w:id="3438" w:name="Bookmark_LNHNREFclscc3_18"/>
      <w:bookmarkEnd w:id="3435"/>
      <w:bookmarkEnd w:id="3436"/>
      <w:bookmarkEnd w:id="3437"/>
      <w:bookmarkEnd w:id="3438"/>
      <w:r>
        <w:rPr>
          <w:rFonts w:ascii="Arial" w:eastAsia="Arial" w:hAnsi="Arial" w:cs="Arial"/>
          <w:color w:val="000000"/>
          <w:sz w:val="20"/>
        </w:rPr>
        <w:t xml:space="preserve">We review a grant of attorneys' fees for an abuse of discretion. </w:t>
      </w:r>
      <w:bookmarkStart w:id="3439" w:name="Bookmark_I5FSPS6228T4VN0020000400"/>
      <w:bookmarkEnd w:id="3439"/>
      <w:r>
        <w:rPr>
          <w:rFonts w:ascii="Arial" w:eastAsia="Arial" w:hAnsi="Arial" w:cs="Arial"/>
          <w:i/>
          <w:color w:val="000000"/>
          <w:sz w:val="20"/>
        </w:rPr>
        <w:t>Armstrong v. Davis</w:t>
      </w:r>
      <w:r>
        <w:rPr>
          <w:rFonts w:ascii="Arial" w:eastAsia="Arial" w:hAnsi="Arial" w:cs="Arial"/>
          <w:color w:val="000000"/>
          <w:sz w:val="20"/>
        </w:rPr>
        <w:t xml:space="preserve">, 318 F.3d 965, 970 (9th Cir. 2003). However, "[a] court may abuse its discretion if it uses incorrect legal standards, which we review de novo." </w:t>
      </w:r>
      <w:bookmarkStart w:id="3440" w:name="Bookmark_I5FSPS6228T4VN0040000400"/>
      <w:bookmarkEnd w:id="3440"/>
      <w:r>
        <w:rPr>
          <w:rFonts w:ascii="Arial" w:eastAsia="Arial" w:hAnsi="Arial" w:cs="Arial"/>
          <w:i/>
          <w:color w:val="000000"/>
          <w:sz w:val="20"/>
        </w:rPr>
        <w:t>EEOC v. Bruno's Rest</w:t>
      </w:r>
      <w:r>
        <w:rPr>
          <w:rFonts w:ascii="Arial" w:eastAsia="Arial" w:hAnsi="Arial" w:cs="Arial"/>
          <w:color w:val="000000"/>
          <w:sz w:val="20"/>
        </w:rPr>
        <w:t>., 13 F.3d 285, 287 (9th Cir. 1993)</w:t>
      </w:r>
    </w:p>
    <w:p w14:paraId="3A66AD2F" w14:textId="77777777" w:rsidR="002D0E71" w:rsidRDefault="00000000">
      <w:pPr>
        <w:pStyle w:val="Normal23"/>
        <w:widowControl w:val="0"/>
        <w:spacing w:before="240" w:line="260" w:lineRule="atLeast"/>
      </w:pPr>
      <w:r>
        <w:br/>
      </w:r>
      <w:r>
        <w:rPr>
          <w:rFonts w:ascii="Arial" w:eastAsia="Arial" w:hAnsi="Arial" w:cs="Arial"/>
          <w:b/>
          <w:color w:val="000000"/>
          <w:sz w:val="20"/>
        </w:rPr>
        <w:t>III</w:t>
      </w:r>
    </w:p>
    <w:p w14:paraId="100EB78C" w14:textId="77777777" w:rsidR="002D0E71" w:rsidRDefault="00000000">
      <w:pPr>
        <w:pStyle w:val="Normal23"/>
        <w:widowControl w:val="0"/>
        <w:spacing w:before="200" w:line="260" w:lineRule="atLeast"/>
        <w:jc w:val="both"/>
      </w:pPr>
      <w:bookmarkStart w:id="3441" w:name="Bookmark_para_10_20"/>
      <w:bookmarkStart w:id="3442" w:name="Bookmark_I5FSPS6228T4VP0020000400"/>
      <w:bookmarkEnd w:id="3441"/>
      <w:bookmarkEnd w:id="3442"/>
      <w:r>
        <w:rPr>
          <w:rFonts w:ascii="Arial" w:eastAsia="Arial" w:hAnsi="Arial" w:cs="Arial"/>
          <w:color w:val="000000"/>
          <w:sz w:val="20"/>
        </w:rPr>
        <w:t xml:space="preserve">Congress passed the ADA in 1990 "to provide clear, strong, consistent, enforceable standards addressing discrimination against individuals with disabilities." 42 U.S.C. § 12101(b)(2). </w:t>
      </w:r>
      <w:bookmarkStart w:id="3443" w:name="Bookmark_LNHNREFclscc4_18"/>
      <w:bookmarkEnd w:id="3443"/>
      <w:r>
        <w:rPr>
          <w:rFonts w:ascii="Arial" w:eastAsia="Arial" w:hAnsi="Arial" w:cs="Arial"/>
          <w:color w:val="000000"/>
          <w:sz w:val="20"/>
        </w:rPr>
        <w:t xml:space="preserve">Title III of the ADA prohibits discrimination in public accommodations, stating that "[n]o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 </w:t>
      </w:r>
      <w:bookmarkStart w:id="3444" w:name="Bookmark_I5FSPS6228T4VP0010000400"/>
      <w:bookmarkEnd w:id="3444"/>
      <w:r>
        <w:rPr>
          <w:rFonts w:ascii="Arial" w:eastAsia="Arial" w:hAnsi="Arial" w:cs="Arial"/>
          <w:i/>
          <w:color w:val="000000"/>
          <w:sz w:val="20"/>
        </w:rPr>
        <w:t>Molski v. M.J. Cable, Inc</w:t>
      </w:r>
      <w:r>
        <w:rPr>
          <w:rFonts w:ascii="Arial" w:eastAsia="Arial" w:hAnsi="Arial" w:cs="Arial"/>
          <w:color w:val="000000"/>
          <w:sz w:val="20"/>
        </w:rPr>
        <w:t xml:space="preserve">., 481 F.3d 724, 730 (9th Cir. 2007) (quoting 42 U.S.C. § 12182(a)). Discrimination includes "a failure to remove architectural barriers . . . in existing facilities . . . where such removal is readily achievable." </w:t>
      </w:r>
      <w:r>
        <w:rPr>
          <w:rFonts w:ascii="Arial" w:eastAsia="Arial" w:hAnsi="Arial" w:cs="Arial"/>
          <w:i/>
          <w:color w:val="000000"/>
          <w:sz w:val="20"/>
        </w:rPr>
        <w:t>Id</w:t>
      </w:r>
      <w:r>
        <w:rPr>
          <w:rFonts w:ascii="Arial" w:eastAsia="Arial" w:hAnsi="Arial" w:cs="Arial"/>
          <w:color w:val="000000"/>
          <w:sz w:val="20"/>
        </w:rPr>
        <w:t>. (quoting 42 U.S.C. § 12182(b)(2)(A)(iv)).</w:t>
      </w:r>
    </w:p>
    <w:p w14:paraId="1FA436AD" w14:textId="77777777" w:rsidR="002D0E71" w:rsidRDefault="00000000">
      <w:pPr>
        <w:pStyle w:val="Normal23"/>
        <w:widowControl w:val="0"/>
        <w:spacing w:before="200" w:line="260" w:lineRule="atLeast"/>
        <w:jc w:val="both"/>
      </w:pPr>
      <w:bookmarkStart w:id="3445" w:name="Bookmark_para_11_20"/>
      <w:bookmarkStart w:id="3446" w:name="Bookmark_I5FSPS6228T4VP0040000400"/>
      <w:bookmarkEnd w:id="3445"/>
      <w:bookmarkEnd w:id="3446"/>
      <w:r>
        <w:rPr>
          <w:rFonts w:ascii="Arial" w:eastAsia="Arial" w:hAnsi="Arial" w:cs="Arial"/>
          <w:color w:val="000000"/>
          <w:sz w:val="20"/>
        </w:rPr>
        <w:t>In appealing the summary judgment order, Kohler addresses only two sets of claims: those dealing with maneuvering clearance around the BB&amp;B restroom doors, and those dealing with the slopes and cross-slopes [**8]  in the shopping center parking lot.</w:t>
      </w:r>
      <w:r>
        <w:rPr>
          <w:rFonts w:ascii="Arial" w:eastAsia="Arial" w:hAnsi="Arial" w:cs="Arial"/>
          <w:vertAlign w:val="superscript"/>
        </w:rPr>
        <w:footnoteReference w:customMarkFollows="1" w:id="108"/>
        <w:t>2</w:t>
      </w:r>
    </w:p>
    <w:p w14:paraId="79D242E4" w14:textId="77777777" w:rsidR="002D0E71" w:rsidRDefault="00000000">
      <w:pPr>
        <w:pStyle w:val="Normal23"/>
        <w:widowControl w:val="0"/>
        <w:spacing w:before="240" w:line="260" w:lineRule="atLeast"/>
      </w:pPr>
      <w:r>
        <w:br/>
      </w:r>
      <w:r>
        <w:rPr>
          <w:rFonts w:ascii="Arial" w:eastAsia="Arial" w:hAnsi="Arial" w:cs="Arial"/>
          <w:b/>
          <w:color w:val="000000"/>
          <w:sz w:val="20"/>
        </w:rPr>
        <w:t>A</w:t>
      </w:r>
    </w:p>
    <w:p w14:paraId="125D1FF0" w14:textId="77777777" w:rsidR="002D0E71" w:rsidRDefault="00000000">
      <w:pPr>
        <w:pStyle w:val="Normal23"/>
        <w:widowControl w:val="0"/>
        <w:spacing w:before="200" w:line="260" w:lineRule="atLeast"/>
        <w:jc w:val="both"/>
      </w:pPr>
      <w:bookmarkStart w:id="3449" w:name="Bookmark_para_12_19"/>
      <w:bookmarkStart w:id="3450" w:name="Bookmark_I798GMSJRH5000G7H8T001WY"/>
      <w:bookmarkStart w:id="3451" w:name="Bookmark_I5FSPS6M2D6NXV0010000400"/>
      <w:bookmarkEnd w:id="3449"/>
      <w:bookmarkEnd w:id="3450"/>
      <w:bookmarkEnd w:id="3451"/>
      <w:r>
        <w:rPr>
          <w:rFonts w:ascii="Arial" w:eastAsia="Arial" w:hAnsi="Arial" w:cs="Arial"/>
          <w:color w:val="000000"/>
          <w:sz w:val="20"/>
        </w:rPr>
        <w:t xml:space="preserve">Kohler argues that the Guidelines require at least eighteen inches of clear wall length opposite the hinge side of a door that is pulled open. In </w:t>
      </w:r>
      <w:r>
        <w:rPr>
          <w:rFonts w:ascii="Arial" w:eastAsia="Arial" w:hAnsi="Arial" w:cs="Arial"/>
          <w:i/>
          <w:color w:val="000000"/>
          <w:sz w:val="20"/>
        </w:rPr>
        <w:t>Kohler v. Bed Bath &amp; Beyond of California, LLC</w:t>
      </w:r>
      <w:r>
        <w:rPr>
          <w:rFonts w:ascii="Arial" w:eastAsia="Arial" w:hAnsi="Arial" w:cs="Arial"/>
          <w:color w:val="000000"/>
          <w:sz w:val="20"/>
        </w:rPr>
        <w:t>, No. 12-56727, we rejected the same claim;</w:t>
      </w:r>
      <w:bookmarkStart w:id="3452" w:name="Bookmark_LNHNREFclscc5_18"/>
      <w:bookmarkEnd w:id="3452"/>
      <w:r>
        <w:rPr>
          <w:rFonts w:ascii="Arial" w:eastAsia="Arial" w:hAnsi="Arial" w:cs="Arial"/>
          <w:color w:val="000000"/>
          <w:sz w:val="20"/>
        </w:rPr>
        <w:t xml:space="preserve"> as a matter of law, the Guidelines do not require any length of wall space on the side of the doorframe opposite the hinges. </w:t>
      </w:r>
      <w:bookmarkStart w:id="3453" w:name="Bookmark_I5FSPS6228T4VP0050000400"/>
      <w:bookmarkEnd w:id="3453"/>
      <w:r>
        <w:rPr>
          <w:rFonts w:ascii="Arial" w:eastAsia="Arial" w:hAnsi="Arial" w:cs="Arial"/>
          <w:color w:val="000000"/>
          <w:sz w:val="20"/>
        </w:rPr>
        <w:t>524 F.3d 1034, 2008 U.S. App. LEXIS 9519, at *2-*3 (9th Cir. Feb. 19, 2015). We affirm the grant of summary judgment to BB&amp;B on this claim.</w:t>
      </w:r>
    </w:p>
    <w:p w14:paraId="199EFE73" w14:textId="77777777" w:rsidR="002D0E71" w:rsidRDefault="00000000">
      <w:pPr>
        <w:pStyle w:val="Normal23"/>
        <w:widowControl w:val="0"/>
        <w:spacing w:before="240" w:line="260" w:lineRule="atLeast"/>
      </w:pPr>
      <w:r>
        <w:br/>
      </w:r>
      <w:r>
        <w:rPr>
          <w:rFonts w:ascii="Arial" w:eastAsia="Arial" w:hAnsi="Arial" w:cs="Arial"/>
          <w:b/>
          <w:color w:val="000000"/>
          <w:sz w:val="20"/>
        </w:rPr>
        <w:t>B</w:t>
      </w:r>
    </w:p>
    <w:p w14:paraId="03944777" w14:textId="77777777" w:rsidR="002D0E71" w:rsidRDefault="00000000">
      <w:pPr>
        <w:pStyle w:val="Normal23"/>
        <w:widowControl w:val="0"/>
        <w:spacing w:before="200" w:line="260" w:lineRule="atLeast"/>
        <w:jc w:val="both"/>
      </w:pPr>
      <w:bookmarkStart w:id="3454" w:name="Bookmark_para_13_19"/>
      <w:bookmarkStart w:id="3455" w:name="Bookmark_I798GMSJC9F000G7H8T001NK"/>
      <w:bookmarkStart w:id="3456" w:name="Bookmark_I5FSPS6M2D6NXV0030000400"/>
      <w:bookmarkEnd w:id="3454"/>
      <w:bookmarkEnd w:id="3455"/>
      <w:bookmarkEnd w:id="3456"/>
      <w:r>
        <w:rPr>
          <w:rFonts w:ascii="Arial" w:eastAsia="Arial" w:hAnsi="Arial" w:cs="Arial"/>
          <w:color w:val="000000"/>
          <w:sz w:val="20"/>
        </w:rPr>
        <w:t xml:space="preserve">Kohler claims that the district court erred in determining that BB&amp;B did not lease the parking lot at the shopping center, and that BB&amp;B should have been obligated to remediate purported access  [*1264]  barriers occurring in the parking lot. Further, he contends that BB&amp;B's lease, which defined the parking lot as a "Common Area" and further stated that the "Landlord shall operate, maintain, [**9]  repair and replace the Common Areas . . . [and] shall comply with all applicable Legal Requirements," was an attempt to contract away its ADA liability in violation of our decision in </w:t>
      </w:r>
      <w:bookmarkStart w:id="3457" w:name="Bookmark_I5FSPS6M2D6NXV0020000400"/>
      <w:bookmarkEnd w:id="3457"/>
      <w:r>
        <w:rPr>
          <w:rFonts w:ascii="Arial" w:eastAsia="Arial" w:hAnsi="Arial" w:cs="Arial"/>
          <w:i/>
          <w:color w:val="000000"/>
          <w:sz w:val="20"/>
        </w:rPr>
        <w:t>Botosan v. Paul McNally Real</w:t>
      </w:r>
      <w:r>
        <w:rPr>
          <w:rFonts w:ascii="Arial" w:eastAsia="Arial" w:hAnsi="Arial" w:cs="Arial"/>
          <w:color w:val="000000"/>
          <w:sz w:val="20"/>
        </w:rPr>
        <w:t>., 216 F.3d 827 (9th Cir. 2000). However, Kohler's reliance on that case is misplaced; our decision did not create liability for tenants, or landlords, where the ADA did not already impose it.</w:t>
      </w:r>
    </w:p>
    <w:p w14:paraId="6A8650DB" w14:textId="77777777" w:rsidR="002D0E71" w:rsidRDefault="00000000">
      <w:pPr>
        <w:pStyle w:val="Normal23"/>
        <w:widowControl w:val="0"/>
        <w:spacing w:before="200" w:line="260" w:lineRule="atLeast"/>
        <w:jc w:val="both"/>
      </w:pPr>
      <w:bookmarkStart w:id="3458" w:name="Bookmark_para_14_19"/>
      <w:bookmarkStart w:id="3459" w:name="Bookmark_I5FSPS6M2D6NXV0050000400"/>
      <w:bookmarkEnd w:id="3458"/>
      <w:bookmarkEnd w:id="3459"/>
      <w:r>
        <w:rPr>
          <w:rFonts w:ascii="Arial" w:eastAsia="Arial" w:hAnsi="Arial" w:cs="Arial"/>
          <w:color w:val="000000"/>
          <w:sz w:val="20"/>
        </w:rPr>
        <w:t xml:space="preserve">In </w:t>
      </w:r>
      <w:r>
        <w:rPr>
          <w:rFonts w:ascii="Arial" w:eastAsia="Arial" w:hAnsi="Arial" w:cs="Arial"/>
          <w:i/>
          <w:color w:val="000000"/>
          <w:sz w:val="20"/>
        </w:rPr>
        <w:t>Botosan</w:t>
      </w:r>
      <w:r>
        <w:rPr>
          <w:rFonts w:ascii="Arial" w:eastAsia="Arial" w:hAnsi="Arial" w:cs="Arial"/>
          <w:color w:val="000000"/>
          <w:sz w:val="20"/>
        </w:rPr>
        <w:t xml:space="preserve">, a landlord argued that it could not be held liable for ADA violations on leased property because all ADA compliance responsibility had been shifted to its tenants. </w:t>
      </w:r>
      <w:bookmarkStart w:id="3460" w:name="Bookmark_I5FSPS732D6MTJ0020000400"/>
      <w:bookmarkEnd w:id="3460"/>
      <w:r>
        <w:rPr>
          <w:rFonts w:ascii="Arial" w:eastAsia="Arial" w:hAnsi="Arial" w:cs="Arial"/>
          <w:i/>
          <w:color w:val="000000"/>
          <w:sz w:val="20"/>
        </w:rPr>
        <w:t xml:space="preserve">See </w:t>
      </w:r>
      <w:bookmarkStart w:id="3461" w:name="Bookmark_I5FSPS6M2D6NXV0040000400"/>
      <w:bookmarkEnd w:id="3461"/>
      <w:r>
        <w:rPr>
          <w:rFonts w:ascii="Arial" w:eastAsia="Arial" w:hAnsi="Arial" w:cs="Arial"/>
          <w:i/>
          <w:color w:val="000000"/>
          <w:sz w:val="20"/>
        </w:rPr>
        <w:t>id</w:t>
      </w:r>
      <w:r>
        <w:rPr>
          <w:rFonts w:ascii="Arial" w:eastAsia="Arial" w:hAnsi="Arial" w:cs="Arial"/>
          <w:color w:val="000000"/>
          <w:sz w:val="20"/>
        </w:rPr>
        <w:t xml:space="preserve">. at 832. Examining the text and history of the ADA, as well as its implementing regulations, we concluded that the ADA imposes concurrent obligations on landlords and tenants, and that a landlord, as an owner of the property, should be liable for ADA compliance even on property leased to, and controlled by, a tenant. </w:t>
      </w:r>
      <w:bookmarkStart w:id="3462" w:name="Bookmark_I5FSPS732D6MTJ0020000400_2"/>
      <w:bookmarkEnd w:id="3462"/>
      <w:r>
        <w:rPr>
          <w:rFonts w:ascii="Arial" w:eastAsia="Arial" w:hAnsi="Arial" w:cs="Arial"/>
          <w:i/>
          <w:color w:val="000000"/>
          <w:sz w:val="20"/>
        </w:rPr>
        <w:t xml:space="preserve">See </w:t>
      </w:r>
      <w:bookmarkStart w:id="3463" w:name="Bookmark_I5FSPS732D6MTJ0010000400"/>
      <w:bookmarkEnd w:id="3463"/>
      <w:r>
        <w:rPr>
          <w:rFonts w:ascii="Arial" w:eastAsia="Arial" w:hAnsi="Arial" w:cs="Arial"/>
          <w:i/>
          <w:color w:val="000000"/>
          <w:sz w:val="20"/>
        </w:rPr>
        <w:t>id</w:t>
      </w:r>
      <w:r>
        <w:rPr>
          <w:rFonts w:ascii="Arial" w:eastAsia="Arial" w:hAnsi="Arial" w:cs="Arial"/>
          <w:color w:val="000000"/>
          <w:sz w:val="20"/>
        </w:rPr>
        <w:t>. at 832-34. The landlord could not contract away its responsibility under the ADA.</w:t>
      </w:r>
    </w:p>
    <w:p w14:paraId="3DD8DD57" w14:textId="77777777" w:rsidR="002D0E71" w:rsidRDefault="00000000">
      <w:pPr>
        <w:pStyle w:val="Normal23"/>
        <w:widowControl w:val="0"/>
        <w:spacing w:before="200" w:line="260" w:lineRule="atLeast"/>
        <w:jc w:val="both"/>
      </w:pPr>
      <w:bookmarkStart w:id="3464" w:name="Bookmark_para_15_19"/>
      <w:bookmarkStart w:id="3465" w:name="Bookmark_I798GMSJXM1000G7H8T001X0"/>
      <w:bookmarkStart w:id="3466" w:name="Bookmark_I5FSPS732D6MTJ0040000400"/>
      <w:bookmarkEnd w:id="3464"/>
      <w:bookmarkEnd w:id="3465"/>
      <w:bookmarkEnd w:id="3466"/>
      <w:r>
        <w:rPr>
          <w:rFonts w:ascii="Arial" w:eastAsia="Arial" w:hAnsi="Arial" w:cs="Arial"/>
          <w:color w:val="000000"/>
          <w:sz w:val="20"/>
        </w:rPr>
        <w:t xml:space="preserve">Here, Kohler seeks to extend </w:t>
      </w:r>
      <w:r>
        <w:rPr>
          <w:rFonts w:ascii="Arial" w:eastAsia="Arial" w:hAnsi="Arial" w:cs="Arial"/>
          <w:i/>
          <w:color w:val="000000"/>
          <w:sz w:val="20"/>
        </w:rPr>
        <w:t>Botosan</w:t>
      </w:r>
      <w:r>
        <w:rPr>
          <w:rFonts w:ascii="Arial" w:eastAsia="Arial" w:hAnsi="Arial" w:cs="Arial"/>
          <w:color w:val="000000"/>
          <w:sz w:val="20"/>
        </w:rPr>
        <w:t xml:space="preserve"> to the inverse situation, to extend ADA liability for tenants to those areas of the property controlled by the landlord. But such an extension undermines the fundamental logic of</w:t>
      </w:r>
      <w:bookmarkStart w:id="3467" w:name="Bookmark_I5FSPS732D6MTJ0030000400"/>
      <w:bookmarkEnd w:id="3467"/>
      <w:r>
        <w:rPr>
          <w:rFonts w:ascii="Arial" w:eastAsia="Arial" w:hAnsi="Arial" w:cs="Arial"/>
          <w:color w:val="000000"/>
          <w:sz w:val="20"/>
        </w:rPr>
        <w:t xml:space="preserve"> </w:t>
      </w:r>
      <w:r>
        <w:rPr>
          <w:rFonts w:ascii="Arial" w:eastAsia="Arial" w:hAnsi="Arial" w:cs="Arial"/>
          <w:i/>
          <w:color w:val="000000"/>
          <w:sz w:val="20"/>
        </w:rPr>
        <w:t>Botosan</w:t>
      </w:r>
      <w:r>
        <w:rPr>
          <w:rFonts w:ascii="Arial" w:eastAsia="Arial" w:hAnsi="Arial" w:cs="Arial"/>
          <w:color w:val="000000"/>
          <w:sz w:val="20"/>
        </w:rPr>
        <w:t xml:space="preserve">. BB&amp;B has no liability to contract away on parts of the parking [**10]  lot over which it has no control. </w:t>
      </w:r>
      <w:bookmarkStart w:id="3468" w:name="Bookmark_LNHNREFclscc6_17"/>
      <w:bookmarkEnd w:id="3468"/>
      <w:r>
        <w:rPr>
          <w:rFonts w:ascii="Arial" w:eastAsia="Arial" w:hAnsi="Arial" w:cs="Arial"/>
          <w:color w:val="000000"/>
          <w:sz w:val="20"/>
        </w:rPr>
        <w:t xml:space="preserve">Absent a lease, a landlord remains in full control of an entire property, as its owner. The ADA imposes compliance obligations on "any person who owns, leases (or leases to), or operates a place of public accommodation." 42 U.S.C. § 12182(a). The existence of a lease that delegates control of parts of that property to a tenant has no effect on the landlord's preexisting obligation, because under the ADA, a party is prevented from doing anything "through contractual, licensing, or other arrangements" that it is prevented from doing "directly." 42 U.S.C. § 12182(b)(1)(A)(i). Here, in contrast, BB&amp;B, like any tenant, has no preexisting control of a property. </w:t>
      </w:r>
      <w:bookmarkStart w:id="3469" w:name="Bookmark_I5FSPS7528T40G0010000400"/>
      <w:bookmarkEnd w:id="3469"/>
      <w:r>
        <w:rPr>
          <w:rFonts w:ascii="Arial" w:eastAsia="Arial" w:hAnsi="Arial" w:cs="Arial"/>
          <w:color w:val="000000"/>
          <w:sz w:val="20"/>
        </w:rPr>
        <w:t xml:space="preserve">Absent a lease, it lacks any legal relationship at all to the property. That it takes control of a part of the property, subject to a lease, imposes ADA compliance obligations on it for that part of the property it controls; the landlord's preexisting obligations to the entire property continue unaffected. </w:t>
      </w:r>
      <w:r>
        <w:rPr>
          <w:rFonts w:ascii="Arial" w:eastAsia="Arial" w:hAnsi="Arial" w:cs="Arial"/>
          <w:i/>
          <w:color w:val="000000"/>
          <w:sz w:val="20"/>
        </w:rPr>
        <w:t>Botosan</w:t>
      </w:r>
      <w:r>
        <w:rPr>
          <w:rFonts w:ascii="Arial" w:eastAsia="Arial" w:hAnsi="Arial" w:cs="Arial"/>
          <w:color w:val="000000"/>
          <w:sz w:val="20"/>
        </w:rPr>
        <w:t xml:space="preserve"> allowed a plaintiff to sue both landlord and tenant for ADA violations, confident that one party would be liable for barrier removal notwithstanding the lease provisions; this outcome served the goals of the ADA by "hamper[ing] efforts of a landlord [**11]  and a tenant to evade ADA requirements." </w:t>
      </w:r>
      <w:bookmarkStart w:id="3470" w:name="Bookmark_I5FSPS732D6MTJ0050000400"/>
      <w:bookmarkEnd w:id="3470"/>
      <w:r>
        <w:rPr>
          <w:rFonts w:ascii="Arial" w:eastAsia="Arial" w:hAnsi="Arial" w:cs="Arial"/>
          <w:i/>
          <w:color w:val="000000"/>
          <w:sz w:val="20"/>
        </w:rPr>
        <w:t>Botosan</w:t>
      </w:r>
      <w:r>
        <w:rPr>
          <w:rFonts w:ascii="Arial" w:eastAsia="Arial" w:hAnsi="Arial" w:cs="Arial"/>
          <w:color w:val="000000"/>
          <w:sz w:val="20"/>
        </w:rPr>
        <w:t>, 216 F.3d at 834. But Kohler's reading of our decision would impose upon a single tenant—e.g., the cell phone kiosk operating in a shopping center's lobby—liability for ADA violations occurring at the far end of the shopping center's parking lot; such an outcome serves no purpose other than to magnify the potential targets for an ADA lawsuit.</w:t>
      </w:r>
      <w:r>
        <w:rPr>
          <w:rFonts w:ascii="Arial" w:eastAsia="Arial" w:hAnsi="Arial" w:cs="Arial"/>
          <w:vertAlign w:val="superscript"/>
        </w:rPr>
        <w:footnoteReference w:customMarkFollows="1" w:id="109"/>
        <w:t>3</w:t>
      </w:r>
    </w:p>
    <w:p w14:paraId="43B02F24" w14:textId="77777777" w:rsidR="002D0E71" w:rsidRDefault="00000000">
      <w:pPr>
        <w:pStyle w:val="Normal23"/>
        <w:widowControl w:val="0"/>
        <w:spacing w:before="200" w:line="260" w:lineRule="atLeast"/>
        <w:jc w:val="both"/>
      </w:pPr>
      <w:bookmarkStart w:id="3472" w:name="Bookmark_para_16_19"/>
      <w:bookmarkStart w:id="3473" w:name="Bookmark_I798GMSJ7G9000G7H8T001NJ"/>
      <w:bookmarkStart w:id="3474" w:name="Bookmark_I5FSPS7528T40G0030000400"/>
      <w:bookmarkEnd w:id="3472"/>
      <w:bookmarkEnd w:id="3473"/>
      <w:bookmarkEnd w:id="3474"/>
      <w:r>
        <w:rPr>
          <w:rFonts w:ascii="Arial" w:eastAsia="Arial" w:hAnsi="Arial" w:cs="Arial"/>
          <w:color w:val="000000"/>
          <w:sz w:val="20"/>
        </w:rPr>
        <w:t>Kohler points to the same two provisions of the ADA quoted above to support his argument, but neither is amenable to  [*1265]  the construction he urges. To reiterate,</w:t>
      </w:r>
      <w:bookmarkStart w:id="3475" w:name="Bookmark_LNHNREFclscc7_16"/>
      <w:bookmarkEnd w:id="3475"/>
      <w:r>
        <w:rPr>
          <w:rFonts w:ascii="Arial" w:eastAsia="Arial" w:hAnsi="Arial" w:cs="Arial"/>
          <w:color w:val="000000"/>
          <w:sz w:val="20"/>
        </w:rPr>
        <w:t xml:space="preserve"> § 12182(a) imposes compliance obligations on "any person who owns, leases (or leases to), or operates a place of public accommodation," while § 12182(b)(1)(A)(i) prohibits discrimination, either "directly, or through contractual, licensing, [**12]  or other arrangements." 42 U.S.C. § 12182(a)-(b). However, there is no dispute that both landlords and tenants have compliance obligations under the ADA, and neither provision explains the scope of such an obligation, the crux of the matter here. As in</w:t>
      </w:r>
      <w:bookmarkStart w:id="3476" w:name="Bookmark_I5FSPS7528T40G0020000400"/>
      <w:bookmarkEnd w:id="3476"/>
      <w:r>
        <w:rPr>
          <w:rFonts w:ascii="Arial" w:eastAsia="Arial" w:hAnsi="Arial" w:cs="Arial"/>
          <w:color w:val="000000"/>
          <w:sz w:val="20"/>
        </w:rPr>
        <w:t xml:space="preserve"> </w:t>
      </w:r>
      <w:r>
        <w:rPr>
          <w:rFonts w:ascii="Arial" w:eastAsia="Arial" w:hAnsi="Arial" w:cs="Arial"/>
          <w:i/>
          <w:color w:val="000000"/>
          <w:sz w:val="20"/>
        </w:rPr>
        <w:t>Botosan</w:t>
      </w:r>
      <w:r>
        <w:rPr>
          <w:rFonts w:ascii="Arial" w:eastAsia="Arial" w:hAnsi="Arial" w:cs="Arial"/>
          <w:color w:val="000000"/>
          <w:sz w:val="20"/>
        </w:rPr>
        <w:t>, reference to the legislative history behind each provision suggests a particular construction of that scope. The history behind § 12182(a) explains that the provision</w:t>
      </w:r>
    </w:p>
    <w:p w14:paraId="590D5E6E" w14:textId="77777777" w:rsidR="002D0E71" w:rsidRDefault="00000000">
      <w:pPr>
        <w:pStyle w:val="Normal23"/>
        <w:widowControl w:val="0"/>
        <w:spacing w:line="260" w:lineRule="atLeast"/>
        <w:ind w:left="400"/>
        <w:jc w:val="both"/>
      </w:pPr>
      <w:bookmarkStart w:id="3477" w:name="Bookmark_para_17_18"/>
      <w:bookmarkEnd w:id="3477"/>
      <w:r>
        <w:rPr>
          <w:rFonts w:ascii="Arial" w:eastAsia="Arial" w:hAnsi="Arial" w:cs="Arial"/>
          <w:color w:val="000000"/>
          <w:sz w:val="20"/>
        </w:rPr>
        <w:t>makes it clear that the owner of the building which houses the public accommodation, as well as the owner or operator of the public accommodation itself, has obligations under this Act. For example, if an office building contains a doctor's office, both the owner of the building and the doctor's office are required to make readily achievable alterations. It simply makes no practical sense to require the individual public accommodation, a doctor's office for example, to make readily achievable changes to the public accommodation without requiring the owner to make readily achievable changes to the primary entrance to the building.</w:t>
      </w:r>
    </w:p>
    <w:p w14:paraId="70EC8071" w14:textId="77777777" w:rsidR="002D0E71" w:rsidRDefault="00000000">
      <w:pPr>
        <w:pStyle w:val="Normal23"/>
        <w:widowControl w:val="0"/>
        <w:spacing w:line="260" w:lineRule="atLeast"/>
        <w:jc w:val="both"/>
      </w:pPr>
      <w:r>
        <w:rPr>
          <w:rFonts w:ascii="Arial" w:eastAsia="Arial" w:hAnsi="Arial" w:cs="Arial"/>
          <w:color w:val="000000"/>
          <w:sz w:val="20"/>
        </w:rPr>
        <w:t>H.R. Rep. No. 101-485, pt. III, at 55-56 (1990) (Conf. Rep.). And the history behind § 12182(b) further explains that</w:t>
      </w:r>
    </w:p>
    <w:p w14:paraId="3C087120" w14:textId="77777777" w:rsidR="002D0E71" w:rsidRDefault="00000000">
      <w:pPr>
        <w:pStyle w:val="Normal23"/>
        <w:widowControl w:val="0"/>
        <w:spacing w:before="200" w:line="260" w:lineRule="atLeast"/>
        <w:ind w:left="400"/>
        <w:jc w:val="both"/>
      </w:pPr>
      <w:bookmarkStart w:id="3478" w:name="Bookmark_para_18_18"/>
      <w:bookmarkEnd w:id="3478"/>
      <w:r>
        <w:rPr>
          <w:rFonts w:ascii="Arial" w:eastAsia="Arial" w:hAnsi="Arial" w:cs="Arial"/>
          <w:color w:val="000000"/>
          <w:sz w:val="20"/>
        </w:rPr>
        <w:t xml:space="preserve">the reference to contractual arrangements is to make clear that an entity may not [**13]  do indirectly through contractual arrangements what it is prohibited from doing directly under this Act. </w:t>
      </w:r>
      <w:r>
        <w:rPr>
          <w:rFonts w:ascii="Arial" w:eastAsia="Arial" w:hAnsi="Arial" w:cs="Arial"/>
          <w:i/>
          <w:color w:val="000000"/>
          <w:sz w:val="20"/>
        </w:rPr>
        <w:t>However, it should also be emphasized that this limitation creates no substantive requirements in and of itself</w:t>
      </w:r>
      <w:r>
        <w:rPr>
          <w:rFonts w:ascii="Arial" w:eastAsia="Arial" w:hAnsi="Arial" w:cs="Arial"/>
          <w:color w:val="000000"/>
          <w:sz w:val="20"/>
        </w:rPr>
        <w:t xml:space="preserve">. Thus, for example, a store located in an inaccessible mall or other building, which is operated by another entity, is not liable for the failure of that other entity to comply with this Act by virtue of having a lease or other contract with that entity. This is because, as noted, the store's legal obligations extends [sic] only to individuals in their status as its own clients or customers, not in their status as the clients or customers of other public accommodations. Likewise, of course, a covered entity may not use a contractual provision to reduce any of its obligations under this Act. In sum, </w:t>
      </w:r>
      <w:r>
        <w:rPr>
          <w:rFonts w:ascii="Arial" w:eastAsia="Arial" w:hAnsi="Arial" w:cs="Arial"/>
          <w:i/>
          <w:color w:val="000000"/>
          <w:sz w:val="20"/>
        </w:rPr>
        <w:t>a public accommodation's obligations are not extended</w:t>
      </w:r>
      <w:r>
        <w:rPr>
          <w:rFonts w:ascii="Arial" w:eastAsia="Arial" w:hAnsi="Arial" w:cs="Arial"/>
          <w:color w:val="000000"/>
          <w:sz w:val="20"/>
        </w:rPr>
        <w:t xml:space="preserve"> or changed in any manner by virtue of its lease with the other entity.</w:t>
      </w:r>
    </w:p>
    <w:p w14:paraId="2AE8BF0E" w14:textId="77777777" w:rsidR="002D0E71" w:rsidRDefault="00000000">
      <w:pPr>
        <w:pStyle w:val="Normal23"/>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pt. II at 104 (emphasis added). Taken together, these conference reports from the legislative history highlight the implausibility of Kohler's urged construction of the ADA.</w:t>
      </w:r>
    </w:p>
    <w:p w14:paraId="3DF63B2D" w14:textId="77777777" w:rsidR="002D0E71" w:rsidRDefault="00000000">
      <w:pPr>
        <w:pStyle w:val="Normal23"/>
        <w:widowControl w:val="0"/>
        <w:spacing w:before="200" w:line="260" w:lineRule="atLeast"/>
        <w:jc w:val="both"/>
      </w:pPr>
      <w:bookmarkStart w:id="3479" w:name="Bookmark_para_19_18"/>
      <w:bookmarkEnd w:id="3479"/>
      <w:r>
        <w:rPr>
          <w:rFonts w:ascii="Arial" w:eastAsia="Arial" w:hAnsi="Arial" w:cs="Arial"/>
          <w:color w:val="000000"/>
          <w:sz w:val="20"/>
        </w:rPr>
        <w:t>Our conclusion today is further supported by regulations, promulgated by the Department [**14]  of Justice ("DOJ"), which implement the ADA. Specifically,</w:t>
      </w:r>
      <w:bookmarkStart w:id="3480" w:name="Bookmark_LNHNREFclscc8_16"/>
      <w:bookmarkEnd w:id="3480"/>
      <w:r>
        <w:rPr>
          <w:rFonts w:ascii="Arial" w:eastAsia="Arial" w:hAnsi="Arial" w:cs="Arial"/>
          <w:color w:val="000000"/>
          <w:sz w:val="20"/>
        </w:rPr>
        <w:t xml:space="preserve"> § 36.403, which speaks to the scope of landlord and tenant obligations dealing with what is known as the "path of travel," implies that a tenant's obligations as to ADA compliance are limited to those parts of the property that it controls:</w:t>
      </w:r>
    </w:p>
    <w:p w14:paraId="2A4904F1" w14:textId="77777777" w:rsidR="002D0E71" w:rsidRDefault="00000000">
      <w:pPr>
        <w:pStyle w:val="Normal23"/>
        <w:widowControl w:val="0"/>
        <w:spacing w:line="260" w:lineRule="atLeast"/>
        <w:ind w:left="400"/>
        <w:jc w:val="both"/>
      </w:pPr>
      <w:bookmarkStart w:id="3481" w:name="Bookmark_para_20_16"/>
      <w:bookmarkEnd w:id="3481"/>
      <w:r>
        <w:rPr>
          <w:rFonts w:ascii="Arial" w:eastAsia="Arial" w:hAnsi="Arial" w:cs="Arial"/>
          <w:color w:val="000000"/>
          <w:sz w:val="20"/>
        </w:rPr>
        <w:t>[A]lterations by the tenant in areas that only the tenant occupies do not trigger a path of travel obligation upon the landlord with respect to areas of the facility under the landlord's authority, if those areas are not otherwise being altered.</w:t>
      </w:r>
      <w:r>
        <w:rPr>
          <w:rFonts w:ascii="Arial" w:eastAsia="Arial" w:hAnsi="Arial" w:cs="Arial"/>
          <w:vertAlign w:val="superscript"/>
        </w:rPr>
        <w:footnoteReference w:customMarkFollows="1" w:id="110"/>
        <w:t>4</w:t>
      </w:r>
    </w:p>
    <w:p w14:paraId="4E4F51FD" w14:textId="77777777" w:rsidR="002D0E71" w:rsidRDefault="00000000">
      <w:pPr>
        <w:pStyle w:val="Normal23"/>
        <w:widowControl w:val="0"/>
        <w:spacing w:before="200" w:line="260" w:lineRule="atLeast"/>
        <w:jc w:val="both"/>
      </w:pPr>
      <w:r>
        <w:rPr>
          <w:rFonts w:ascii="Arial" w:eastAsia="Arial" w:hAnsi="Arial" w:cs="Arial"/>
          <w:color w:val="000000"/>
          <w:sz w:val="20"/>
        </w:rPr>
        <w:t xml:space="preserve"> [*1266]  28 C.F.R. § 36.403. This reading is further supported by </w:t>
      </w:r>
      <w:bookmarkStart w:id="3484" w:name="Bookmark_LNHNREFclscc9_15"/>
      <w:bookmarkEnd w:id="3484"/>
      <w:r>
        <w:rPr>
          <w:rFonts w:ascii="Arial" w:eastAsia="Arial" w:hAnsi="Arial" w:cs="Arial"/>
          <w:color w:val="000000"/>
          <w:sz w:val="20"/>
        </w:rPr>
        <w:t>the DOJ's formal interpretation of the regulation in its Technical Assistance Manual, which includes the following scenario:</w:t>
      </w:r>
    </w:p>
    <w:p w14:paraId="540938D7" w14:textId="77777777" w:rsidR="002D0E71" w:rsidRDefault="00000000">
      <w:pPr>
        <w:pStyle w:val="Normal23"/>
        <w:widowControl w:val="0"/>
        <w:spacing w:before="200" w:line="260" w:lineRule="atLeast"/>
        <w:ind w:left="400"/>
        <w:jc w:val="both"/>
      </w:pPr>
      <w:bookmarkStart w:id="3485" w:name="Bookmark_para_21_16"/>
      <w:bookmarkEnd w:id="3485"/>
      <w:r>
        <w:rPr>
          <w:rFonts w:ascii="Arial" w:eastAsia="Arial" w:hAnsi="Arial" w:cs="Arial"/>
          <w:color w:val="000000"/>
          <w:sz w:val="20"/>
        </w:rPr>
        <w:t xml:space="preserve">What if a tenant remodels his store in a manner that would trigger the path of travel obligation, but the tenant has no authority to create an accessible path of travel because the common areas are under the control of the landlord? Does this mean the landlord must now make an accessible path of travel to the remodeled store? No. Alterations by a tenant do not trigger a path of travel obligation for the landlord. </w:t>
      </w:r>
      <w:bookmarkStart w:id="3486" w:name="Bookmark_I5FSPS7528T40G0050000400"/>
      <w:bookmarkEnd w:id="3486"/>
      <w:r>
        <w:rPr>
          <w:rFonts w:ascii="Arial" w:eastAsia="Arial" w:hAnsi="Arial" w:cs="Arial"/>
          <w:i/>
          <w:color w:val="000000"/>
          <w:sz w:val="20"/>
        </w:rPr>
        <w:t>Nor is the tenant required to make changes in areas not under his control</w:t>
      </w:r>
      <w:r>
        <w:rPr>
          <w:rFonts w:ascii="Arial" w:eastAsia="Arial" w:hAnsi="Arial" w:cs="Arial"/>
          <w:color w:val="000000"/>
          <w:sz w:val="20"/>
        </w:rPr>
        <w:t>.</w:t>
      </w:r>
    </w:p>
    <w:p w14:paraId="00D67975" w14:textId="77777777" w:rsidR="002D0E71" w:rsidRDefault="00000000">
      <w:pPr>
        <w:pStyle w:val="Normal23"/>
        <w:widowControl w:val="0"/>
        <w:spacing w:before="200" w:line="260" w:lineRule="atLeast"/>
        <w:jc w:val="both"/>
      </w:pPr>
      <w:bookmarkStart w:id="3487" w:name="Bookmark_I5FSPS7528T40G0050000400_2"/>
      <w:bookmarkEnd w:id="3487"/>
      <w:r>
        <w:rPr>
          <w:rFonts w:ascii="Arial" w:eastAsia="Arial" w:hAnsi="Arial" w:cs="Arial"/>
          <w:color w:val="000000"/>
          <w:sz w:val="20"/>
        </w:rPr>
        <w:t xml:space="preserve">DOJ, Technical Assistance [**15]  Manual on the Americans with Disabilities Act § III—6.2000 (1994) (emphasis added). </w:t>
      </w:r>
      <w:bookmarkStart w:id="3488" w:name="Bookmark_LNHNREFclscc10_15"/>
      <w:bookmarkEnd w:id="3488"/>
      <w:r>
        <w:rPr>
          <w:rFonts w:ascii="Arial" w:eastAsia="Arial" w:hAnsi="Arial" w:cs="Arial"/>
          <w:color w:val="000000"/>
          <w:sz w:val="20"/>
        </w:rPr>
        <w:t xml:space="preserve">"The [DOJ]'s interpretation of its own regulations, such as the Technical Assistance Manual, must also be given substantial deference and will be disregarded only if plainly erroneous or inconsistent with the regulation." </w:t>
      </w:r>
      <w:bookmarkStart w:id="3489" w:name="Bookmark_I5FSPS7528T40G0040000400"/>
      <w:bookmarkEnd w:id="3489"/>
      <w:r>
        <w:rPr>
          <w:rFonts w:ascii="Arial" w:eastAsia="Arial" w:hAnsi="Arial" w:cs="Arial"/>
          <w:i/>
          <w:color w:val="000000"/>
          <w:sz w:val="20"/>
        </w:rPr>
        <w:t>Bay Area Addiction Research &amp; Treatment, Inc. v. City of Antioch</w:t>
      </w:r>
      <w:r>
        <w:rPr>
          <w:rFonts w:ascii="Arial" w:eastAsia="Arial" w:hAnsi="Arial" w:cs="Arial"/>
          <w:color w:val="000000"/>
          <w:sz w:val="20"/>
        </w:rPr>
        <w:t>, 179 F.3d 725, 732 n.11 (9th Cir. 1999) (internal quotation marks omitted). Here, the DOJ's formal interpretation is entirely consistent with the regulation, and we give it the deference it is due.</w:t>
      </w:r>
    </w:p>
    <w:p w14:paraId="3EFE3FD1" w14:textId="77777777" w:rsidR="002D0E71" w:rsidRDefault="00000000">
      <w:pPr>
        <w:pStyle w:val="Normal23"/>
        <w:widowControl w:val="0"/>
        <w:spacing w:before="200" w:line="260" w:lineRule="atLeast"/>
        <w:jc w:val="both"/>
      </w:pPr>
      <w:bookmarkStart w:id="3490" w:name="Bookmark_para_22_16"/>
      <w:bookmarkEnd w:id="3490"/>
      <w:r>
        <w:rPr>
          <w:rFonts w:ascii="Arial" w:eastAsia="Arial" w:hAnsi="Arial" w:cs="Arial"/>
          <w:color w:val="000000"/>
          <w:sz w:val="20"/>
        </w:rPr>
        <w:t xml:space="preserve">We hold that neither the ADA, nor our decision in </w:t>
      </w:r>
      <w:r>
        <w:rPr>
          <w:rFonts w:ascii="Arial" w:eastAsia="Arial" w:hAnsi="Arial" w:cs="Arial"/>
          <w:i/>
          <w:color w:val="000000"/>
          <w:sz w:val="20"/>
        </w:rPr>
        <w:t>Botosan</w:t>
      </w:r>
      <w:r>
        <w:rPr>
          <w:rFonts w:ascii="Arial" w:eastAsia="Arial" w:hAnsi="Arial" w:cs="Arial"/>
          <w:color w:val="000000"/>
          <w:sz w:val="20"/>
        </w:rPr>
        <w:t>, imposes upon tenants liability for ADA violations [**16]  that occur in those areas exclusively under the control of the landlord.</w:t>
      </w:r>
      <w:r>
        <w:rPr>
          <w:rFonts w:ascii="Arial" w:eastAsia="Arial" w:hAnsi="Arial" w:cs="Arial"/>
          <w:vertAlign w:val="superscript"/>
        </w:rPr>
        <w:footnoteReference w:customMarkFollows="1" w:id="111"/>
        <w:t>5</w:t>
      </w:r>
    </w:p>
    <w:p w14:paraId="3AE30540" w14:textId="77777777" w:rsidR="002D0E71" w:rsidRDefault="00000000">
      <w:pPr>
        <w:pStyle w:val="Normal23"/>
        <w:widowControl w:val="0"/>
        <w:spacing w:before="240" w:line="260" w:lineRule="atLeast"/>
      </w:pPr>
      <w:r>
        <w:br/>
      </w:r>
      <w:r>
        <w:rPr>
          <w:rFonts w:ascii="Arial" w:eastAsia="Arial" w:hAnsi="Arial" w:cs="Arial"/>
          <w:b/>
          <w:color w:val="000000"/>
          <w:sz w:val="20"/>
        </w:rPr>
        <w:t>IV</w:t>
      </w:r>
    </w:p>
    <w:p w14:paraId="324D42C4" w14:textId="77777777" w:rsidR="002D0E71" w:rsidRDefault="00000000">
      <w:pPr>
        <w:pStyle w:val="Normal23"/>
        <w:widowControl w:val="0"/>
        <w:spacing w:before="200" w:line="260" w:lineRule="atLeast"/>
        <w:jc w:val="both"/>
      </w:pPr>
      <w:bookmarkStart w:id="3492" w:name="Bookmark_para_23_16"/>
      <w:bookmarkEnd w:id="3492"/>
      <w:r>
        <w:rPr>
          <w:rFonts w:ascii="Arial" w:eastAsia="Arial" w:hAnsi="Arial" w:cs="Arial"/>
          <w:color w:val="000000"/>
          <w:sz w:val="20"/>
        </w:rPr>
        <w:t>Finally, we reverse the district court's award to BB&amp;B of attorneys' fees.</w:t>
      </w:r>
    </w:p>
    <w:p w14:paraId="59071CDD" w14:textId="77777777" w:rsidR="002D0E71" w:rsidRDefault="00000000">
      <w:pPr>
        <w:pStyle w:val="Normal23"/>
        <w:widowControl w:val="0"/>
        <w:spacing w:before="200" w:line="260" w:lineRule="atLeast"/>
        <w:jc w:val="both"/>
      </w:pPr>
      <w:bookmarkStart w:id="3493" w:name="Bookmark_para_24_16"/>
      <w:bookmarkStart w:id="3494" w:name="Bookmark_I5FSPS7C2SF7T70020000400"/>
      <w:bookmarkStart w:id="3495" w:name="Bookmark_I5FSPS7C2SF7T70040000400"/>
      <w:bookmarkStart w:id="3496" w:name="Bookmark_LNHNREFclscc12_13"/>
      <w:bookmarkEnd w:id="3493"/>
      <w:bookmarkEnd w:id="3494"/>
      <w:bookmarkEnd w:id="3495"/>
      <w:bookmarkEnd w:id="3496"/>
      <w:r>
        <w:rPr>
          <w:rFonts w:ascii="Arial" w:eastAsia="Arial" w:hAnsi="Arial" w:cs="Arial"/>
          <w:color w:val="000000"/>
          <w:sz w:val="20"/>
        </w:rPr>
        <w:t xml:space="preserve">The ADA allows a "prevailing party" its fees. 42 U.S.C. § 12205. But while prevailing plaintiffs regularly recover their fees, "policy considerations which support the award of fees to a prevailing plaintiff are not present in the case of a prevailing defendant." </w:t>
      </w:r>
      <w:bookmarkStart w:id="3497" w:name="Bookmark_I5FSPS7C2SF7T70010000400"/>
      <w:bookmarkEnd w:id="3497"/>
      <w:r>
        <w:rPr>
          <w:rFonts w:ascii="Arial" w:eastAsia="Arial" w:hAnsi="Arial" w:cs="Arial"/>
          <w:i/>
          <w:color w:val="000000"/>
          <w:sz w:val="20"/>
        </w:rPr>
        <w:t>Christiansburg Garment Co. v. EEOC</w:t>
      </w:r>
      <w:r>
        <w:rPr>
          <w:rFonts w:ascii="Arial" w:eastAsia="Arial" w:hAnsi="Arial" w:cs="Arial"/>
          <w:color w:val="000000"/>
          <w:sz w:val="20"/>
        </w:rPr>
        <w:t xml:space="preserve">, 434 U.S. 412, 418-19, 98 S. Ct. 694, 54 L. Ed. 2d 648 (1978). Accordingly, "fees should be granted to a defendant [**17]  in a civil rights action only upon a finding that the plaintiff's action was frivolous, unreasonable, or without foundation." </w:t>
      </w:r>
      <w:bookmarkStart w:id="3498" w:name="Bookmark_I5FSPS7C2SF7T70030000400"/>
      <w:bookmarkEnd w:id="3498"/>
      <w:r>
        <w:rPr>
          <w:rFonts w:ascii="Arial" w:eastAsia="Arial" w:hAnsi="Arial" w:cs="Arial"/>
          <w:i/>
          <w:color w:val="000000"/>
          <w:sz w:val="20"/>
        </w:rPr>
        <w:t>Summers v. A. Teichert &amp; Son</w:t>
      </w:r>
      <w:r>
        <w:rPr>
          <w:rFonts w:ascii="Arial" w:eastAsia="Arial" w:hAnsi="Arial" w:cs="Arial"/>
          <w:color w:val="000000"/>
          <w:sz w:val="20"/>
        </w:rPr>
        <w:t>, 127 F.3d 1150, 1154 (9th Cir. 1997) (internal quotation marks omitted).</w:t>
      </w:r>
    </w:p>
    <w:p w14:paraId="00EB24F4" w14:textId="77777777" w:rsidR="002D0E71" w:rsidRDefault="00000000">
      <w:pPr>
        <w:pStyle w:val="Normal23"/>
        <w:widowControl w:val="0"/>
        <w:spacing w:before="200" w:line="260" w:lineRule="atLeast"/>
        <w:jc w:val="both"/>
      </w:pPr>
      <w:bookmarkStart w:id="3499" w:name="Bookmark_para_25_16"/>
      <w:bookmarkStart w:id="3500" w:name="Bookmark_I5FSPS7M2D6N150010000400"/>
      <w:bookmarkStart w:id="3501" w:name="Bookmark_I5FSPS7M2D6N150030000400"/>
      <w:bookmarkEnd w:id="3499"/>
      <w:bookmarkEnd w:id="3500"/>
      <w:bookmarkEnd w:id="3501"/>
      <w:r>
        <w:rPr>
          <w:rFonts w:ascii="Arial" w:eastAsia="Arial" w:hAnsi="Arial" w:cs="Arial"/>
          <w:color w:val="000000"/>
          <w:sz w:val="20"/>
        </w:rPr>
        <w:t xml:space="preserve">The district court erred in concluding that eight of Kohler's ten claims were frivolous. We have repeatedly cautioned that </w:t>
      </w:r>
      <w:bookmarkStart w:id="3502" w:name="Bookmark_LNHNREFclscc13_11"/>
      <w:bookmarkEnd w:id="3502"/>
      <w:r>
        <w:rPr>
          <w:rFonts w:ascii="Arial" w:eastAsia="Arial" w:hAnsi="Arial" w:cs="Arial"/>
          <w:color w:val="000000"/>
          <w:sz w:val="20"/>
        </w:rPr>
        <w:t xml:space="preserve">district courts should not "engage in post hoc reasoning," awarding fees simply "because a plaintiff did not ultimately prevail." </w:t>
      </w:r>
      <w:bookmarkStart w:id="3503" w:name="Bookmark_I5FSPS7C2SF7T70050000400"/>
      <w:bookmarkEnd w:id="3503"/>
      <w:r>
        <w:rPr>
          <w:rFonts w:ascii="Arial" w:eastAsia="Arial" w:hAnsi="Arial" w:cs="Arial"/>
          <w:i/>
          <w:color w:val="000000"/>
          <w:sz w:val="20"/>
        </w:rPr>
        <w:t>Bruno's Rest</w:t>
      </w:r>
      <w:r>
        <w:rPr>
          <w:rFonts w:ascii="Arial" w:eastAsia="Arial" w:hAnsi="Arial" w:cs="Arial"/>
          <w:color w:val="000000"/>
          <w:sz w:val="20"/>
        </w:rPr>
        <w:t xml:space="preserve">., 13 F.3d at 290. </w:t>
      </w:r>
      <w:bookmarkStart w:id="3504" w:name="Bookmark_I5FSPS7M2D6N150050000400"/>
      <w:bookmarkEnd w:id="3504"/>
      <w:r>
        <w:rPr>
          <w:rFonts w:ascii="Arial" w:eastAsia="Arial" w:hAnsi="Arial" w:cs="Arial"/>
          <w:color w:val="000000"/>
          <w:sz w:val="20"/>
        </w:rPr>
        <w:t xml:space="preserve">This  [*1267]  admonition applies even in cases which are resolved at summary judgment because no "reasonable jury could return a verdict in [the plaintiff's] favor." </w:t>
      </w:r>
      <w:r>
        <w:rPr>
          <w:rFonts w:ascii="Arial" w:eastAsia="Arial" w:hAnsi="Arial" w:cs="Arial"/>
          <w:i/>
          <w:color w:val="000000"/>
          <w:sz w:val="20"/>
        </w:rPr>
        <w:t xml:space="preserve">See </w:t>
      </w:r>
      <w:bookmarkStart w:id="3505" w:name="Bookmark_I5FSPS7M2D6N150020000400"/>
      <w:bookmarkEnd w:id="3505"/>
      <w:r>
        <w:rPr>
          <w:rFonts w:ascii="Arial" w:eastAsia="Arial" w:hAnsi="Arial" w:cs="Arial"/>
          <w:i/>
          <w:color w:val="000000"/>
          <w:sz w:val="20"/>
        </w:rPr>
        <w:t>Thomas v. Douglas</w:t>
      </w:r>
      <w:r>
        <w:rPr>
          <w:rFonts w:ascii="Arial" w:eastAsia="Arial" w:hAnsi="Arial" w:cs="Arial"/>
          <w:color w:val="000000"/>
          <w:sz w:val="20"/>
        </w:rPr>
        <w:t xml:space="preserve">, 877 F.2d 1428, 1434 &amp; n.8 (9th Cir. 1989). </w:t>
      </w:r>
      <w:bookmarkStart w:id="3506" w:name="Bookmark_I5FSPS7M2D6N150050000400_2"/>
      <w:bookmarkEnd w:id="3506"/>
      <w:r>
        <w:rPr>
          <w:rFonts w:ascii="Arial" w:eastAsia="Arial" w:hAnsi="Arial" w:cs="Arial"/>
          <w:color w:val="000000"/>
          <w:sz w:val="20"/>
        </w:rPr>
        <w:t xml:space="preserve">Here, Kohler's claims regarding maneuvering space and the liability of a tenant for common areas were not clearly resolved by our prior caselaw interpreting the ADA. Kohler was entitled to bring this suit to seek resolution of these questions. </w:t>
      </w:r>
      <w:r>
        <w:rPr>
          <w:rFonts w:ascii="Arial" w:eastAsia="Arial" w:hAnsi="Arial" w:cs="Arial"/>
          <w:i/>
          <w:color w:val="000000"/>
          <w:sz w:val="20"/>
        </w:rPr>
        <w:t xml:space="preserve">See </w:t>
      </w:r>
      <w:bookmarkStart w:id="3507" w:name="Bookmark_I5FSPS7M2D6N150040000400"/>
      <w:bookmarkEnd w:id="3507"/>
      <w:r>
        <w:rPr>
          <w:rFonts w:ascii="Arial" w:eastAsia="Arial" w:hAnsi="Arial" w:cs="Arial"/>
          <w:i/>
          <w:color w:val="000000"/>
          <w:sz w:val="20"/>
        </w:rPr>
        <w:t>Gibson v. Office of Att'y Gen., State of Cal</w:t>
      </w:r>
      <w:r>
        <w:rPr>
          <w:rFonts w:ascii="Arial" w:eastAsia="Arial" w:hAnsi="Arial" w:cs="Arial"/>
          <w:color w:val="000000"/>
          <w:sz w:val="20"/>
        </w:rPr>
        <w:t>., 561 F.3d 920, 929 (9th Cir. 2009) ("Because Plaintiffs raised a question that was not answered clearly by our precedent, we hold that their claim was not frivolous."). The law grows with clarity for benefit of the public through such actions even if they are not successful.</w:t>
      </w:r>
    </w:p>
    <w:p w14:paraId="57F54FE0" w14:textId="77777777" w:rsidR="002D0E71" w:rsidRDefault="00000000">
      <w:pPr>
        <w:pStyle w:val="Normal23"/>
        <w:widowControl w:val="0"/>
        <w:spacing w:before="200" w:line="260" w:lineRule="atLeast"/>
        <w:jc w:val="both"/>
      </w:pPr>
      <w:bookmarkStart w:id="3508" w:name="Bookmark_para_26_16"/>
      <w:bookmarkStart w:id="3509" w:name="Bookmark_I5FSPS7T2D6N360020000400"/>
      <w:bookmarkEnd w:id="3508"/>
      <w:bookmarkEnd w:id="3509"/>
      <w:r>
        <w:rPr>
          <w:rFonts w:ascii="Arial" w:eastAsia="Arial" w:hAnsi="Arial" w:cs="Arial"/>
          <w:color w:val="000000"/>
          <w:sz w:val="20"/>
        </w:rPr>
        <w:t xml:space="preserve">We also reverse the district court regarding Kohler's paper towel dispenser claim, which was rendered moot by BB&amp;B's voluntary remediation [**18]  of the barrier. Though Kohler may indeed have litigated the claim without foundation, </w:t>
      </w:r>
      <w:bookmarkStart w:id="3510" w:name="Bookmark_LNHNREFclscc14_8"/>
      <w:bookmarkEnd w:id="3510"/>
      <w:r>
        <w:rPr>
          <w:rFonts w:ascii="Arial" w:eastAsia="Arial" w:hAnsi="Arial" w:cs="Arial"/>
          <w:color w:val="000000"/>
          <w:sz w:val="20"/>
        </w:rPr>
        <w:t xml:space="preserve">resolution of a claim via the mooting of any possible relief does not make BB&amp;B a "prevailing party" entitled to fees, as there is no "judicially sanctioned change in the legal relationship of the parties." </w:t>
      </w:r>
      <w:bookmarkStart w:id="3511" w:name="Bookmark_I5FSPS7T2D6N360010000400"/>
      <w:bookmarkEnd w:id="3511"/>
      <w:r>
        <w:rPr>
          <w:rFonts w:ascii="Arial" w:eastAsia="Arial" w:hAnsi="Arial" w:cs="Arial"/>
          <w:i/>
          <w:color w:val="000000"/>
          <w:sz w:val="20"/>
        </w:rPr>
        <w:t>Buckhannon Bd. &amp; Care Home, Inc. v. W. Va. Dep't of Health &amp; Human Resources</w:t>
      </w:r>
      <w:r>
        <w:rPr>
          <w:rFonts w:ascii="Arial" w:eastAsia="Arial" w:hAnsi="Arial" w:cs="Arial"/>
          <w:color w:val="000000"/>
          <w:sz w:val="20"/>
        </w:rPr>
        <w:t>, 532 U.S. 598, 605, 121 S. Ct. 1835, 149 L. Ed. 2d 855 (2001).</w:t>
      </w:r>
    </w:p>
    <w:p w14:paraId="790616CB" w14:textId="77777777" w:rsidR="002D0E71" w:rsidRDefault="00000000">
      <w:pPr>
        <w:pStyle w:val="Normal23"/>
        <w:widowControl w:val="0"/>
        <w:spacing w:before="200" w:line="260" w:lineRule="atLeast"/>
        <w:jc w:val="both"/>
      </w:pPr>
      <w:bookmarkStart w:id="3512" w:name="Bookmark_para_27_16"/>
      <w:bookmarkEnd w:id="3512"/>
      <w:r>
        <w:rPr>
          <w:rFonts w:ascii="Arial" w:eastAsia="Arial" w:hAnsi="Arial" w:cs="Arial"/>
          <w:color w:val="000000"/>
          <w:sz w:val="20"/>
        </w:rPr>
        <w:t xml:space="preserve">Kohler's final claim, related to the toilet paper dispenser, was also not frivolous. Kohler alleged that the dispenser was "difficult—if not impossible—for [him] to reach and use" due to its distance from the front of the toilet. </w:t>
      </w:r>
      <w:bookmarkStart w:id="3513" w:name="Bookmark_LNHNREFclscc15_7"/>
      <w:bookmarkEnd w:id="3513"/>
      <w:r>
        <w:rPr>
          <w:rFonts w:ascii="Arial" w:eastAsia="Arial" w:hAnsi="Arial" w:cs="Arial"/>
          <w:color w:val="000000"/>
          <w:sz w:val="20"/>
        </w:rPr>
        <w:t>The applicable Guideline does require dispensers to be "within reach," though it imposes no requirement that a dispenser be mounted a particular distance from the front of the toilet (only from the floor). 28 C.F.R. Pt. 36, App. D § 4.16.6. Kohler supported his claim by relying on a requirement found in California law, which the district court correctly concluded did not govern an ADA claim. But in this instance, Kohler's claim did not become frivolous simply because he referred to a state law requirement, and we reverse the district court's contrary conclusion.</w:t>
      </w:r>
    </w:p>
    <w:p w14:paraId="79A56DEB" w14:textId="77777777" w:rsidR="002D0E71" w:rsidRDefault="00000000">
      <w:pPr>
        <w:pStyle w:val="Normal23"/>
        <w:widowControl w:val="0"/>
        <w:spacing w:before="240" w:line="260" w:lineRule="atLeast"/>
      </w:pPr>
      <w:r>
        <w:br/>
      </w:r>
      <w:r>
        <w:rPr>
          <w:rFonts w:ascii="Arial" w:eastAsia="Arial" w:hAnsi="Arial" w:cs="Arial"/>
          <w:b/>
          <w:color w:val="000000"/>
          <w:sz w:val="20"/>
        </w:rPr>
        <w:t>V</w:t>
      </w:r>
    </w:p>
    <w:p w14:paraId="5A76BA18" w14:textId="77777777" w:rsidR="002D0E71" w:rsidRDefault="00000000">
      <w:pPr>
        <w:pStyle w:val="Normal23"/>
        <w:widowControl w:val="0"/>
        <w:spacing w:before="200" w:line="260" w:lineRule="atLeast"/>
        <w:jc w:val="both"/>
      </w:pPr>
      <w:bookmarkStart w:id="3514" w:name="Bookmark_para_28_15"/>
      <w:bookmarkEnd w:id="3514"/>
      <w:r>
        <w:rPr>
          <w:rFonts w:ascii="Arial" w:eastAsia="Arial" w:hAnsi="Arial" w:cs="Arial"/>
          <w:color w:val="000000"/>
          <w:sz w:val="20"/>
        </w:rPr>
        <w:t>The district court did not err in granting summary judgment to BB&amp;B on Kohler's ADA claims and we affirm as to summary judgment. But the district [**19]  court erred in determining that any of Kohler's claims were frivolous, and we reverse the award of attorneys' fees. Each party shall bear its own costs.</w:t>
      </w:r>
    </w:p>
    <w:p w14:paraId="17CE0FF3" w14:textId="77777777" w:rsidR="002D0E71" w:rsidRDefault="00000000">
      <w:pPr>
        <w:pStyle w:val="Normal23"/>
        <w:widowControl w:val="0"/>
        <w:spacing w:before="200" w:line="260" w:lineRule="atLeast"/>
        <w:jc w:val="both"/>
      </w:pPr>
      <w:bookmarkStart w:id="3515" w:name="Bookmark_para_29_15"/>
      <w:bookmarkEnd w:id="3515"/>
      <w:r>
        <w:rPr>
          <w:rFonts w:ascii="Arial" w:eastAsia="Arial" w:hAnsi="Arial" w:cs="Arial"/>
          <w:b/>
          <w:color w:val="000000"/>
          <w:sz w:val="20"/>
        </w:rPr>
        <w:t>AFFIRMED in part and REVERSED in part</w:t>
      </w:r>
      <w:r>
        <w:rPr>
          <w:rFonts w:ascii="Arial" w:eastAsia="Arial" w:hAnsi="Arial" w:cs="Arial"/>
          <w:color w:val="000000"/>
          <w:sz w:val="20"/>
        </w:rPr>
        <w:t>.</w:t>
      </w:r>
    </w:p>
    <w:p w14:paraId="57469FF6" w14:textId="77777777" w:rsidR="002D0E71" w:rsidRDefault="002D0E71">
      <w:pPr>
        <w:pStyle w:val="Normal23"/>
      </w:pPr>
    </w:p>
    <w:p w14:paraId="4B739388" w14:textId="0A34D47E" w:rsidR="002D0E71" w:rsidRDefault="00000000">
      <w:pPr>
        <w:pStyle w:val="Normal23"/>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08416" behindDoc="0" locked="0" layoutInCell="1" allowOverlap="1" wp14:anchorId="65ED0202" wp14:editId="3370D1FE">
                <wp:simplePos x="0" y="0"/>
                <wp:positionH relativeFrom="column">
                  <wp:posOffset>0</wp:posOffset>
                </wp:positionH>
                <wp:positionV relativeFrom="paragraph">
                  <wp:posOffset>127000</wp:posOffset>
                </wp:positionV>
                <wp:extent cx="6502400" cy="0"/>
                <wp:effectExtent l="9525" t="12700" r="12700" b="6350"/>
                <wp:wrapNone/>
                <wp:docPr id="1413832125"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B9A48E" id="Line 50"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BEFA937" w14:textId="77777777" w:rsidR="002D0E71" w:rsidRDefault="002D0E71">
      <w:pPr>
        <w:pStyle w:val="Normal24"/>
        <w:sectPr w:rsidR="002D0E71">
          <w:headerReference w:type="even" r:id="rId150"/>
          <w:headerReference w:type="default" r:id="rId151"/>
          <w:footerReference w:type="even" r:id="rId152"/>
          <w:footerReference w:type="default" r:id="rId153"/>
          <w:headerReference w:type="first" r:id="rId154"/>
          <w:footerReference w:type="first" r:id="rId155"/>
          <w:pgSz w:w="12240" w:h="15840"/>
          <w:pgMar w:top="840" w:right="1000" w:bottom="840" w:left="1000" w:header="400" w:footer="400" w:gutter="0"/>
          <w:cols w:space="720"/>
          <w:titlePg/>
        </w:sectPr>
      </w:pPr>
    </w:p>
    <w:p w14:paraId="243B7089" w14:textId="77777777" w:rsidR="002D0E71" w:rsidRDefault="002D0E71">
      <w:pPr>
        <w:pStyle w:val="Normal24"/>
      </w:pPr>
    </w:p>
    <w:p w14:paraId="1758EB2C" w14:textId="77777777" w:rsidR="002D0E71" w:rsidRDefault="00000000">
      <w:pPr>
        <w:pStyle w:val="Heading123"/>
        <w:keepNext w:val="0"/>
        <w:widowControl w:val="0"/>
        <w:spacing w:after="200" w:line="340" w:lineRule="atLeast"/>
        <w:jc w:val="center"/>
      </w:pPr>
      <w:r>
        <w:rPr>
          <w:rFonts w:eastAsia="Arial"/>
          <w:color w:val="000000"/>
          <w:sz w:val="28"/>
        </w:rPr>
        <w:t>Kohler v. Presidio Int'l, Inc.</w:t>
      </w:r>
    </w:p>
    <w:p w14:paraId="4942C1B0" w14:textId="77777777" w:rsidR="002D0E71" w:rsidRDefault="00000000">
      <w:pPr>
        <w:pStyle w:val="Normal24"/>
        <w:widowControl w:val="0"/>
        <w:spacing w:before="120" w:line="260" w:lineRule="atLeast"/>
        <w:jc w:val="center"/>
      </w:pPr>
      <w:r>
        <w:rPr>
          <w:rFonts w:ascii="Arial" w:eastAsia="Arial" w:hAnsi="Arial" w:cs="Arial"/>
          <w:color w:val="000000"/>
          <w:sz w:val="20"/>
        </w:rPr>
        <w:t>United States Court of Appeals for the Ninth Circuit</w:t>
      </w:r>
    </w:p>
    <w:p w14:paraId="210D5A73" w14:textId="77777777" w:rsidR="002D0E71" w:rsidRDefault="00000000">
      <w:pPr>
        <w:pStyle w:val="Normal24"/>
        <w:widowControl w:val="0"/>
        <w:spacing w:before="120" w:line="260" w:lineRule="atLeast"/>
        <w:jc w:val="center"/>
      </w:pPr>
      <w:r>
        <w:rPr>
          <w:rFonts w:ascii="Arial" w:eastAsia="Arial" w:hAnsi="Arial" w:cs="Arial"/>
          <w:color w:val="000000"/>
          <w:sz w:val="20"/>
        </w:rPr>
        <w:t>February 3, 2015, Argued and Submitted, Pasadena, California; March 20, 2015, Filed</w:t>
      </w:r>
    </w:p>
    <w:p w14:paraId="1853BBA1" w14:textId="77777777" w:rsidR="002D0E71" w:rsidRDefault="00000000">
      <w:pPr>
        <w:pStyle w:val="Normal24"/>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13-55808, No. 13-56217</w:t>
      </w:r>
    </w:p>
    <w:p w14:paraId="5F51DEC3" w14:textId="77777777" w:rsidR="002D0E71" w:rsidRDefault="002D0E71">
      <w:pPr>
        <w:pStyle w:val="Normal24"/>
        <w:widowControl w:val="0"/>
        <w:spacing w:line="240" w:lineRule="atLeast"/>
        <w:jc w:val="both"/>
      </w:pPr>
      <w:bookmarkStart w:id="3516" w:name="Bookmark_25"/>
      <w:bookmarkEnd w:id="3516"/>
    </w:p>
    <w:p w14:paraId="62DBBF6C" w14:textId="77777777" w:rsidR="002D0E71" w:rsidRDefault="00000000">
      <w:pPr>
        <w:pStyle w:val="Normal24"/>
        <w:widowControl w:val="0"/>
        <w:spacing w:before="200" w:line="240" w:lineRule="atLeast"/>
      </w:pPr>
      <w:bookmarkStart w:id="3517" w:name="Reporter_23"/>
      <w:bookmarkEnd w:id="3517"/>
      <w:r>
        <w:rPr>
          <w:rFonts w:ascii="Arial" w:eastAsia="Arial" w:hAnsi="Arial" w:cs="Arial"/>
          <w:b/>
          <w:color w:val="000000"/>
          <w:sz w:val="18"/>
        </w:rPr>
        <w:t>Reporter</w:t>
      </w:r>
    </w:p>
    <w:p w14:paraId="234B713F" w14:textId="77777777" w:rsidR="002D0E71" w:rsidRDefault="00000000">
      <w:pPr>
        <w:pStyle w:val="Normal24"/>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782 F.3d 1064 *; 2015 U.S. App. LEXIS 4565 **</w:t>
      </w:r>
    </w:p>
    <w:p w14:paraId="20443DA7" w14:textId="77777777" w:rsidR="002D0E71" w:rsidRDefault="00000000">
      <w:pPr>
        <w:pStyle w:val="Normal24"/>
        <w:widowControl w:val="0"/>
        <w:spacing w:before="120" w:line="260" w:lineRule="atLeast"/>
      </w:pPr>
      <w:r>
        <w:rPr>
          <w:rFonts w:ascii="Arial" w:eastAsia="Arial" w:hAnsi="Arial" w:cs="Arial"/>
          <w:color w:val="000000"/>
          <w:sz w:val="20"/>
        </w:rPr>
        <w:t>CHRIS KOHLER, Plaintiff-Appellant, v. PRESIDIO INTERNATIONAL, INC., DBA Armani Exchange #215, Defendant, EDDIE BAUER, A Delaware LLC, DBA Eddie Bauer Outlet #R162, Defendant-Appellee.CHRIS KOHLER, Plaintiff-Appellee, v. PRESIDIO INTERNATIONAL, INC., DBA Armani Exchange #215, Defendant, EDDIE BAUER, A Delaware LLC, DBA Eddie Bauer Outlet #R162, Defendant-Appellant.</w:t>
      </w:r>
    </w:p>
    <w:p w14:paraId="74FDF93F" w14:textId="77777777" w:rsidR="002D0E71" w:rsidRDefault="00000000">
      <w:pPr>
        <w:pStyle w:val="Normal24"/>
        <w:widowControl w:val="0"/>
        <w:spacing w:before="240" w:line="260" w:lineRule="atLeast"/>
      </w:pPr>
      <w:bookmarkStart w:id="3518" w:name="Subsequent_History_8"/>
      <w:bookmarkEnd w:id="3518"/>
      <w:r>
        <w:rPr>
          <w:rFonts w:ascii="Arial" w:eastAsia="Arial" w:hAnsi="Arial" w:cs="Arial"/>
          <w:b/>
          <w:color w:val="000000"/>
          <w:sz w:val="20"/>
        </w:rPr>
        <w:t>Subsequent History:</w:t>
      </w:r>
      <w:r>
        <w:rPr>
          <w:rFonts w:ascii="Arial" w:eastAsia="Arial" w:hAnsi="Arial" w:cs="Arial"/>
          <w:color w:val="000000"/>
          <w:sz w:val="20"/>
        </w:rPr>
        <w:t> Summary judgment denied by, Summary judgment granted, in part, summary judgment denied, in part by, On remand at Kohler v. Presidio Int'l, Inc., 2016 U.S. Dist. LEXIS 93519 (C.D. Cal., Apr. 19, 2016)</w:t>
      </w:r>
    </w:p>
    <w:p w14:paraId="4E4FCDF6" w14:textId="77777777" w:rsidR="002D0E71" w:rsidRDefault="00000000">
      <w:pPr>
        <w:pStyle w:val="Normal24"/>
        <w:widowControl w:val="0"/>
        <w:spacing w:before="240" w:line="260" w:lineRule="atLeast"/>
        <w:jc w:val="both"/>
      </w:pPr>
      <w:bookmarkStart w:id="3519" w:name="Prior_History_23"/>
      <w:bookmarkEnd w:id="3519"/>
      <w:r>
        <w:rPr>
          <w:rFonts w:ascii="Arial" w:eastAsia="Arial" w:hAnsi="Arial" w:cs="Arial"/>
          <w:b/>
          <w:color w:val="000000"/>
          <w:sz w:val="20"/>
        </w:rPr>
        <w:t>Prior History:</w:t>
      </w:r>
      <w:r>
        <w:rPr>
          <w:rFonts w:ascii="Arial" w:eastAsia="Arial" w:hAnsi="Arial" w:cs="Arial"/>
          <w:color w:val="000000"/>
          <w:sz w:val="20"/>
        </w:rPr>
        <w:t> </w:t>
      </w:r>
      <w:bookmarkStart w:id="3520" w:name="Bookmark_para_1_23"/>
      <w:bookmarkEnd w:id="3520"/>
      <w:r>
        <w:rPr>
          <w:rFonts w:ascii="Arial" w:eastAsia="Arial" w:hAnsi="Arial" w:cs="Arial"/>
          <w:color w:val="000000"/>
          <w:sz w:val="20"/>
        </w:rPr>
        <w:t> [**1] Appeal from the United States District Court for the Central District of California. D.C. No. 2:10-cv-04680-PSG-PJW, D.C. No. 2:10-cv-08952-PSG-PJW. Philip S. Gutierrez, District Judge, Presiding.</w:t>
      </w:r>
    </w:p>
    <w:p w14:paraId="669D3BBE" w14:textId="77777777" w:rsidR="002D0E71" w:rsidRDefault="00000000">
      <w:pPr>
        <w:pStyle w:val="Normal24"/>
        <w:widowControl w:val="0"/>
        <w:spacing w:before="120" w:line="260" w:lineRule="atLeast"/>
      </w:pPr>
      <w:r>
        <w:rPr>
          <w:rFonts w:ascii="Arial" w:eastAsia="Arial" w:hAnsi="Arial" w:cs="Arial"/>
          <w:color w:val="000000"/>
          <w:sz w:val="20"/>
        </w:rPr>
        <w:t>Kohler v. Presidio Int'l, Inc., 2013 U.S. Dist. LEXIS 42816 (C.D. Cal., Mar. 25, 2013)</w:t>
      </w:r>
    </w:p>
    <w:p w14:paraId="3909DF03" w14:textId="77777777" w:rsidR="002D0E71" w:rsidRDefault="00000000">
      <w:pPr>
        <w:pStyle w:val="Normal24"/>
        <w:widowControl w:val="0"/>
        <w:spacing w:before="240" w:line="260" w:lineRule="atLeast"/>
        <w:jc w:val="both"/>
      </w:pPr>
      <w:bookmarkStart w:id="3521" w:name="Disposition_9"/>
      <w:bookmarkEnd w:id="3521"/>
      <w:r>
        <w:rPr>
          <w:rFonts w:ascii="Arial" w:eastAsia="Arial" w:hAnsi="Arial" w:cs="Arial"/>
          <w:b/>
          <w:color w:val="000000"/>
          <w:sz w:val="20"/>
        </w:rPr>
        <w:t>Disposition:</w:t>
      </w:r>
      <w:r>
        <w:rPr>
          <w:rFonts w:ascii="Arial" w:eastAsia="Arial" w:hAnsi="Arial" w:cs="Arial"/>
          <w:color w:val="000000"/>
          <w:sz w:val="20"/>
        </w:rPr>
        <w:t> </w:t>
      </w:r>
      <w:bookmarkStart w:id="3522" w:name="Bookmark_clspara_4_7"/>
      <w:bookmarkEnd w:id="3522"/>
      <w:r>
        <w:rPr>
          <w:rFonts w:ascii="Arial" w:eastAsia="Arial" w:hAnsi="Arial" w:cs="Arial"/>
          <w:color w:val="000000"/>
          <w:sz w:val="20"/>
        </w:rPr>
        <w:t>AFFIRMED IN PART, VACATED AND REMANDED IN PART.</w:t>
      </w:r>
    </w:p>
    <w:p w14:paraId="4ABD3AA6" w14:textId="77777777" w:rsidR="002D0E71" w:rsidRDefault="00000000">
      <w:pPr>
        <w:pStyle w:val="Normal24"/>
        <w:widowControl w:val="0"/>
        <w:spacing w:before="240" w:line="260" w:lineRule="atLeast"/>
      </w:pPr>
      <w:bookmarkStart w:id="3523" w:name="Summary_2"/>
      <w:bookmarkEnd w:id="3523"/>
      <w:r>
        <w:rPr>
          <w:rFonts w:ascii="Arial" w:eastAsia="Arial" w:hAnsi="Arial" w:cs="Arial"/>
          <w:b/>
          <w:color w:val="000000"/>
          <w:sz w:val="20"/>
        </w:rPr>
        <w:t>Summary:</w:t>
      </w:r>
    </w:p>
    <w:p w14:paraId="587FD3DC" w14:textId="77777777" w:rsidR="002D0E71" w:rsidRDefault="00000000">
      <w:pPr>
        <w:pStyle w:val="Normal24"/>
        <w:widowControl w:val="0"/>
        <w:spacing w:before="240" w:line="260" w:lineRule="atLeast"/>
        <w:jc w:val="both"/>
      </w:pPr>
      <w:bookmarkStart w:id="3524" w:name="Bookmark_clspara_5_2"/>
      <w:bookmarkEnd w:id="3524"/>
      <w:r>
        <w:rPr>
          <w:rFonts w:ascii="Arial" w:eastAsia="Arial" w:hAnsi="Arial" w:cs="Arial"/>
          <w:b/>
          <w:color w:val="000000"/>
          <w:sz w:val="20"/>
        </w:rPr>
        <w:t>SUMMARY</w:t>
      </w:r>
      <w:r>
        <w:rPr>
          <w:rFonts w:ascii="Arial" w:eastAsia="Arial" w:hAnsi="Arial" w:cs="Arial"/>
          <w:vertAlign w:val="superscript"/>
        </w:rPr>
        <w:footnoteReference w:customMarkFollows="1" w:id="112"/>
        <w:t>**</w:t>
      </w:r>
    </w:p>
    <w:p w14:paraId="3AEF8BCB" w14:textId="77777777" w:rsidR="002D0E71" w:rsidRDefault="00000000">
      <w:pPr>
        <w:pStyle w:val="Normal24"/>
        <w:widowControl w:val="0"/>
        <w:spacing w:before="240" w:line="260" w:lineRule="atLeast"/>
        <w:jc w:val="both"/>
      </w:pPr>
      <w:bookmarkStart w:id="3526" w:name="Bookmark_clspara_6_2"/>
      <w:bookmarkEnd w:id="3526"/>
      <w:r>
        <w:rPr>
          <w:rFonts w:ascii="Arial" w:eastAsia="Arial" w:hAnsi="Arial" w:cs="Arial"/>
          <w:b/>
          <w:color w:val="000000"/>
          <w:sz w:val="20"/>
        </w:rPr>
        <w:t>Americans with Disabilities Act</w:t>
      </w:r>
    </w:p>
    <w:p w14:paraId="12D2C1AA" w14:textId="77777777" w:rsidR="002D0E71" w:rsidRDefault="00000000">
      <w:pPr>
        <w:pStyle w:val="Normal24"/>
        <w:widowControl w:val="0"/>
        <w:spacing w:before="240" w:line="260" w:lineRule="atLeast"/>
        <w:jc w:val="both"/>
      </w:pPr>
      <w:bookmarkStart w:id="3527" w:name="Bookmark_clspara_7_2"/>
      <w:bookmarkEnd w:id="3527"/>
      <w:r>
        <w:rPr>
          <w:rFonts w:ascii="Arial" w:eastAsia="Arial" w:hAnsi="Arial" w:cs="Arial"/>
          <w:color w:val="000000"/>
          <w:sz w:val="20"/>
        </w:rPr>
        <w:t>The panel affirmed in part and vacated in part the district court's judgment after a bench trial in an action under the Americans with Disabilities Act and California state law.</w:t>
      </w:r>
    </w:p>
    <w:p w14:paraId="3A5C6535" w14:textId="77777777" w:rsidR="002D0E71" w:rsidRDefault="00000000">
      <w:pPr>
        <w:pStyle w:val="Normal24"/>
        <w:widowControl w:val="0"/>
        <w:spacing w:before="240" w:line="260" w:lineRule="atLeast"/>
        <w:jc w:val="both"/>
      </w:pPr>
      <w:bookmarkStart w:id="3528" w:name="Bookmark_clspara_8_2"/>
      <w:bookmarkEnd w:id="3528"/>
      <w:r>
        <w:rPr>
          <w:rFonts w:ascii="Arial" w:eastAsia="Arial" w:hAnsi="Arial" w:cs="Arial"/>
          <w:color w:val="000000"/>
          <w:sz w:val="20"/>
        </w:rPr>
        <w:t xml:space="preserve">Vacating the district court's judgment regarding an alleged violation of an ADA requirement that a store checkout counter be at most thirty-six inches high, the panel held that under </w:t>
      </w:r>
      <w:r>
        <w:rPr>
          <w:rFonts w:ascii="Arial" w:eastAsia="Arial" w:hAnsi="Arial" w:cs="Arial"/>
          <w:i/>
          <w:color w:val="000000"/>
          <w:sz w:val="20"/>
        </w:rPr>
        <w:t>Strong v. Valdez Fine Foods</w:t>
      </w:r>
      <w:r>
        <w:rPr>
          <w:rFonts w:ascii="Arial" w:eastAsia="Arial" w:hAnsi="Arial" w:cs="Arial"/>
          <w:color w:val="000000"/>
          <w:sz w:val="20"/>
        </w:rPr>
        <w:t>, 724 F.3d 1042 (9th Cir. 2013), the plaintiff was not required to present expert evidence of the counter height. The panel held that the store's provision of a clipboard was not an "equivalent facilitation" making the counter "accessible" under California law.</w:t>
      </w:r>
    </w:p>
    <w:p w14:paraId="05A382EA" w14:textId="77777777" w:rsidR="002D0E71" w:rsidRDefault="00000000">
      <w:pPr>
        <w:pStyle w:val="Normal24"/>
        <w:widowControl w:val="0"/>
        <w:spacing w:before="240" w:line="260" w:lineRule="atLeast"/>
        <w:jc w:val="both"/>
      </w:pPr>
      <w:bookmarkStart w:id="3529" w:name="Bookmark_clspara_9_2"/>
      <w:bookmarkEnd w:id="3529"/>
      <w:r>
        <w:rPr>
          <w:rFonts w:ascii="Arial" w:eastAsia="Arial" w:hAnsi="Arial" w:cs="Arial"/>
          <w:color w:val="000000"/>
          <w:sz w:val="20"/>
        </w:rPr>
        <w:t xml:space="preserve">Following </w:t>
      </w:r>
      <w:r>
        <w:rPr>
          <w:rFonts w:ascii="Arial" w:eastAsia="Arial" w:hAnsi="Arial" w:cs="Arial"/>
          <w:i/>
          <w:color w:val="000000"/>
          <w:sz w:val="20"/>
        </w:rPr>
        <w:t>Kohler v. Flava Enters., Inc</w:t>
      </w:r>
      <w:r>
        <w:rPr>
          <w:rFonts w:ascii="Arial" w:eastAsia="Arial" w:hAnsi="Arial" w:cs="Arial"/>
          <w:color w:val="000000"/>
          <w:sz w:val="20"/>
        </w:rPr>
        <w:t>., 779 F.3d 1016, 2015 U.S. App. LEXIS 3594, 2015 WL 968232 (9th Cir. Mar. 6, 2015), the panel held that a dressing room bench that was sixty inches long, rather than forty-eight inches, as required by the 1991 ADA Accessibility Guidelines, qualified as an equivalent facilitation because the plaintiff was able to make a parallel transfer onto it from a wheelchair.</w:t>
      </w:r>
    </w:p>
    <w:p w14:paraId="6CE20A9F" w14:textId="77777777" w:rsidR="002D0E71" w:rsidRDefault="00000000">
      <w:pPr>
        <w:pStyle w:val="Normal24"/>
        <w:widowControl w:val="0"/>
        <w:spacing w:before="240" w:line="260" w:lineRule="atLeast"/>
        <w:jc w:val="both"/>
      </w:pPr>
      <w:bookmarkStart w:id="3530" w:name="Bookmark_clspara_10_2"/>
      <w:bookmarkEnd w:id="3530"/>
      <w:r>
        <w:rPr>
          <w:rFonts w:ascii="Arial" w:eastAsia="Arial" w:hAnsi="Arial" w:cs="Arial"/>
          <w:color w:val="000000"/>
          <w:sz w:val="20"/>
        </w:rPr>
        <w:t>The panel affirmed the district court's ruling that a claim of blocked aisles did not constitute an ADA violation.</w:t>
      </w:r>
    </w:p>
    <w:p w14:paraId="36BE57C5" w14:textId="77777777" w:rsidR="002D0E71" w:rsidRDefault="00000000">
      <w:pPr>
        <w:pStyle w:val="Normal24"/>
        <w:widowControl w:val="0"/>
        <w:spacing w:before="240" w:line="260" w:lineRule="atLeast"/>
        <w:jc w:val="both"/>
      </w:pPr>
      <w:bookmarkStart w:id="3531" w:name="Bookmark_clspara_11_1"/>
      <w:bookmarkEnd w:id="3531"/>
      <w:r>
        <w:rPr>
          <w:rFonts w:ascii="Arial" w:eastAsia="Arial" w:hAnsi="Arial" w:cs="Arial"/>
          <w:color w:val="000000"/>
          <w:sz w:val="20"/>
        </w:rPr>
        <w:t xml:space="preserve">The panel affirmed the district court's denial of the defendant's motion for attorneys' fees under section 55 of the California Disabled Persons Act. The panel held that under </w:t>
      </w:r>
      <w:r>
        <w:rPr>
          <w:rFonts w:ascii="Arial" w:eastAsia="Arial" w:hAnsi="Arial" w:cs="Arial"/>
          <w:i/>
          <w:color w:val="000000"/>
          <w:sz w:val="20"/>
        </w:rPr>
        <w:t>Hubbard v. SoBreck, LLC</w:t>
      </w:r>
      <w:r>
        <w:rPr>
          <w:rFonts w:ascii="Arial" w:eastAsia="Arial" w:hAnsi="Arial" w:cs="Arial"/>
          <w:color w:val="000000"/>
          <w:sz w:val="20"/>
        </w:rPr>
        <w:t>, 554 F.3d 742 (9th Cir. 2009), section 55 was preempted by the ADA's provision of fees for prevailing defendants only in rare circumstances.</w:t>
      </w:r>
    </w:p>
    <w:p w14:paraId="3F39EA85" w14:textId="77777777" w:rsidR="002D0E71" w:rsidRDefault="00000000">
      <w:pPr>
        <w:pStyle w:val="Normal24"/>
        <w:widowControl w:val="0"/>
        <w:spacing w:before="240" w:line="260" w:lineRule="atLeast"/>
      </w:pPr>
      <w:bookmarkStart w:id="3532" w:name="Counsel_23"/>
      <w:bookmarkEnd w:id="3532"/>
      <w:r>
        <w:rPr>
          <w:rFonts w:ascii="Arial" w:eastAsia="Arial" w:hAnsi="Arial" w:cs="Arial"/>
          <w:b/>
          <w:color w:val="000000"/>
          <w:sz w:val="20"/>
        </w:rPr>
        <w:t>Counsel:</w:t>
      </w:r>
      <w:r>
        <w:rPr>
          <w:rFonts w:ascii="Arial" w:eastAsia="Arial" w:hAnsi="Arial" w:cs="Arial"/>
          <w:color w:val="000000"/>
          <w:sz w:val="20"/>
        </w:rPr>
        <w:t> Scottlyn J. Hubbard IV (argued), Law Offices of Lynn Hubbard, Chico, California, for Plaintiff-Appellant/Cross-Appellee.</w:t>
      </w:r>
    </w:p>
    <w:p w14:paraId="2BE6D4DF" w14:textId="77777777" w:rsidR="002D0E71" w:rsidRDefault="00000000">
      <w:pPr>
        <w:pStyle w:val="Normal24"/>
        <w:widowControl w:val="0"/>
        <w:spacing w:before="120" w:line="260" w:lineRule="atLeast"/>
      </w:pPr>
      <w:r>
        <w:rPr>
          <w:rFonts w:ascii="Arial" w:eastAsia="Arial" w:hAnsi="Arial" w:cs="Arial"/>
          <w:color w:val="000000"/>
          <w:sz w:val="20"/>
        </w:rPr>
        <w:t>Jon D. Meer (argued), Myra B. Villamor, and Andrew C. Crane, Seyfarth Shaw LLP, Los Angeles, California, for Defendant-Appellee/Cross-Appellant. [**2] </w:t>
      </w:r>
    </w:p>
    <w:p w14:paraId="51813FB5" w14:textId="77777777" w:rsidR="002D0E71" w:rsidRDefault="00000000">
      <w:pPr>
        <w:pStyle w:val="Normal24"/>
        <w:widowControl w:val="0"/>
        <w:spacing w:before="240" w:line="260" w:lineRule="atLeast"/>
      </w:pPr>
      <w:bookmarkStart w:id="3533" w:name="Judges_23"/>
      <w:bookmarkEnd w:id="3533"/>
      <w:r>
        <w:rPr>
          <w:rFonts w:ascii="Arial" w:eastAsia="Arial" w:hAnsi="Arial" w:cs="Arial"/>
          <w:b/>
          <w:color w:val="000000"/>
          <w:sz w:val="20"/>
        </w:rPr>
        <w:t>Judges:</w:t>
      </w:r>
      <w:r>
        <w:rPr>
          <w:rFonts w:ascii="Arial" w:eastAsia="Arial" w:hAnsi="Arial" w:cs="Arial"/>
          <w:color w:val="000000"/>
          <w:sz w:val="20"/>
        </w:rPr>
        <w:t> Before: Stephen Reinhardt and Ronald M. Gould, Circuit Judges, and J. Frederick Motz,</w:t>
      </w:r>
      <w:r>
        <w:rPr>
          <w:rFonts w:ascii="Arial" w:eastAsia="Arial" w:hAnsi="Arial" w:cs="Arial"/>
          <w:vertAlign w:val="superscript"/>
        </w:rPr>
        <w:footnoteReference w:customMarkFollows="1" w:id="113"/>
        <w:t>*</w:t>
      </w:r>
      <w:r>
        <w:rPr>
          <w:rFonts w:ascii="Arial" w:eastAsia="Arial" w:hAnsi="Arial" w:cs="Arial"/>
          <w:color w:val="000000"/>
          <w:sz w:val="20"/>
        </w:rPr>
        <w:t xml:space="preserve"> Senior District Judge. Opinion by Judge Motz.</w:t>
      </w:r>
    </w:p>
    <w:p w14:paraId="6675F4A5" w14:textId="77777777" w:rsidR="002D0E71" w:rsidRDefault="00000000">
      <w:pPr>
        <w:pStyle w:val="Normal24"/>
        <w:widowControl w:val="0"/>
        <w:spacing w:before="240" w:line="260" w:lineRule="atLeast"/>
      </w:pPr>
      <w:bookmarkStart w:id="3535" w:name="Opinion_by_16"/>
      <w:bookmarkEnd w:id="3535"/>
      <w:r>
        <w:rPr>
          <w:rFonts w:ascii="Arial" w:eastAsia="Arial" w:hAnsi="Arial" w:cs="Arial"/>
          <w:b/>
          <w:color w:val="000000"/>
          <w:sz w:val="20"/>
        </w:rPr>
        <w:t>Opinion by:</w:t>
      </w:r>
      <w:r>
        <w:rPr>
          <w:rFonts w:ascii="Arial" w:eastAsia="Arial" w:hAnsi="Arial" w:cs="Arial"/>
          <w:color w:val="000000"/>
          <w:sz w:val="20"/>
        </w:rPr>
        <w:t> J. Frederick Motz</w:t>
      </w:r>
    </w:p>
    <w:p w14:paraId="56373B60" w14:textId="77777777" w:rsidR="002D0E71" w:rsidRDefault="00000000">
      <w:pPr>
        <w:pStyle w:val="Normal24"/>
        <w:keepNext/>
        <w:widowControl w:val="0"/>
        <w:spacing w:before="240" w:line="340" w:lineRule="atLeast"/>
      </w:pPr>
      <w:bookmarkStart w:id="3536" w:name="Opinion_23"/>
      <w:bookmarkEnd w:id="3536"/>
      <w:r>
        <w:rPr>
          <w:rFonts w:ascii="Arial" w:eastAsia="Arial" w:hAnsi="Arial" w:cs="Arial"/>
          <w:b/>
          <w:color w:val="000000"/>
          <w:sz w:val="28"/>
        </w:rPr>
        <w:t>Opinion</w:t>
      </w:r>
    </w:p>
    <w:p w14:paraId="1FEDBF1F" w14:textId="183EB442" w:rsidR="002D0E71" w:rsidRDefault="002939DF">
      <w:pPr>
        <w:pStyle w:val="Normal24"/>
        <w:spacing w:line="60" w:lineRule="exact"/>
      </w:pPr>
      <w:r>
        <w:rPr>
          <w:noProof/>
        </w:rPr>
        <mc:AlternateContent>
          <mc:Choice Requires="wps">
            <w:drawing>
              <wp:anchor distT="0" distB="0" distL="114300" distR="114300" simplePos="0" relativeHeight="251709440" behindDoc="0" locked="0" layoutInCell="1" allowOverlap="1" wp14:anchorId="5072E150" wp14:editId="5A8AC1EE">
                <wp:simplePos x="0" y="0"/>
                <wp:positionH relativeFrom="column">
                  <wp:posOffset>0</wp:posOffset>
                </wp:positionH>
                <wp:positionV relativeFrom="paragraph">
                  <wp:posOffset>25400</wp:posOffset>
                </wp:positionV>
                <wp:extent cx="3187700" cy="0"/>
                <wp:effectExtent l="19050" t="15875" r="12700" b="12700"/>
                <wp:wrapTopAndBottom/>
                <wp:docPr id="168775591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76519" id="Line 51"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EC9DBA7" w14:textId="77777777" w:rsidR="002D0E71" w:rsidRDefault="002D0E71">
      <w:pPr>
        <w:pStyle w:val="Normal24"/>
      </w:pPr>
    </w:p>
    <w:p w14:paraId="20FC9C3E" w14:textId="77777777" w:rsidR="002D0E71" w:rsidRDefault="00000000">
      <w:pPr>
        <w:pStyle w:val="Normal24"/>
        <w:widowControl w:val="0"/>
        <w:spacing w:before="200" w:line="260" w:lineRule="atLeast"/>
        <w:jc w:val="both"/>
      </w:pPr>
      <w:bookmarkStart w:id="3537" w:name="Bookmark_para_2_23"/>
      <w:bookmarkEnd w:id="3537"/>
      <w:r>
        <w:rPr>
          <w:rFonts w:ascii="Arial" w:eastAsia="Arial" w:hAnsi="Arial" w:cs="Arial"/>
          <w:color w:val="000000"/>
          <w:sz w:val="20"/>
        </w:rPr>
        <w:t> [*1067]  MOTZ, Senior District Judge:</w:t>
      </w:r>
    </w:p>
    <w:p w14:paraId="1602B2B2" w14:textId="77777777" w:rsidR="002D0E71" w:rsidRDefault="00000000">
      <w:pPr>
        <w:pStyle w:val="Normal24"/>
        <w:widowControl w:val="0"/>
        <w:spacing w:before="200" w:line="260" w:lineRule="atLeast"/>
        <w:jc w:val="both"/>
      </w:pPr>
      <w:bookmarkStart w:id="3538" w:name="Bookmark_para_3_23"/>
      <w:bookmarkEnd w:id="3538"/>
      <w:r>
        <w:rPr>
          <w:rFonts w:ascii="Arial" w:eastAsia="Arial" w:hAnsi="Arial" w:cs="Arial"/>
          <w:color w:val="000000"/>
          <w:sz w:val="20"/>
        </w:rPr>
        <w:t>Chris Kohler appeals the district court's rulings in favor of defendant Eddie Bauer following a bench trial on Kohler's claims under the "Americans with Disabilities Act" ("ADA"). [**3]  Eddie Bauer cross-appeals the district court's denial of its motion for attorneys' fees. We vacate and remand in part and affirm in part.</w:t>
      </w:r>
    </w:p>
    <w:p w14:paraId="008E04AD" w14:textId="77777777" w:rsidR="002D0E71" w:rsidRDefault="00000000">
      <w:pPr>
        <w:pStyle w:val="Normal24"/>
        <w:widowControl w:val="0"/>
        <w:spacing w:before="120" w:line="260" w:lineRule="atLeast"/>
      </w:pPr>
      <w:r>
        <w:rPr>
          <w:rFonts w:ascii="Arial" w:eastAsia="Arial" w:hAnsi="Arial" w:cs="Arial"/>
          <w:color w:val="000000"/>
          <w:sz w:val="20"/>
        </w:rPr>
        <w:t>I.</w:t>
      </w:r>
    </w:p>
    <w:p w14:paraId="63560230" w14:textId="77777777" w:rsidR="002D0E71" w:rsidRDefault="00000000">
      <w:pPr>
        <w:pStyle w:val="Normal24"/>
        <w:widowControl w:val="0"/>
        <w:spacing w:before="200" w:line="260" w:lineRule="atLeast"/>
        <w:jc w:val="both"/>
      </w:pPr>
      <w:bookmarkStart w:id="3539" w:name="Bookmark_para_4_23"/>
      <w:bookmarkEnd w:id="3539"/>
      <w:r>
        <w:rPr>
          <w:rFonts w:ascii="Arial" w:eastAsia="Arial" w:hAnsi="Arial" w:cs="Arial"/>
          <w:color w:val="000000"/>
          <w:sz w:val="20"/>
        </w:rPr>
        <w:t>Kohler is disabled and uses a wheelchair. In June 2010, Kohler visited an Eddie Bauer Outlet store in Cabazon, California and purchased a shirt. Kohler alleges that while shopping he encountered a series of obstacles that prevented his full use and enjoyment of the store. The three obstacles that are relevant to this appeal were: (1) checkout counters that exceeded a permissible height, (2) a bench in the dressing room that exceeded the length required by the ADA, and (3) blocked aisles that prevented his free movement throughout the store.</w:t>
      </w:r>
    </w:p>
    <w:p w14:paraId="759EE51F" w14:textId="77777777" w:rsidR="002D0E71" w:rsidRDefault="00000000">
      <w:pPr>
        <w:pStyle w:val="Normal24"/>
        <w:widowControl w:val="0"/>
        <w:spacing w:before="200" w:line="260" w:lineRule="atLeast"/>
        <w:jc w:val="both"/>
      </w:pPr>
      <w:bookmarkStart w:id="3540" w:name="Bookmark_para_5_23"/>
      <w:bookmarkStart w:id="3541" w:name="Bookmark_I5FRVGWN28T40T0020000400"/>
      <w:bookmarkEnd w:id="3540"/>
      <w:bookmarkEnd w:id="3541"/>
      <w:r>
        <w:rPr>
          <w:rFonts w:ascii="Arial" w:eastAsia="Arial" w:hAnsi="Arial" w:cs="Arial"/>
          <w:color w:val="000000"/>
          <w:sz w:val="20"/>
        </w:rPr>
        <w:t xml:space="preserve">Six days after his visit, Kohler brought suit against Eddie Bauer for violations of the ADA, the California Disabled Persons Act ("CDPA"), the California Unruh Act, and the California Health and Safety Code. After denying Eddie Bauer's motion for summary judgment, the district court held a two-day bench trial. The district court then issued an opinion holding that Kohler had not proven a violation of the ADA or California law stemming from the three barriers. </w:t>
      </w:r>
      <w:bookmarkStart w:id="3542" w:name="Bookmark_I5FRVGWN28T40T0010000400"/>
      <w:bookmarkEnd w:id="3542"/>
      <w:r>
        <w:rPr>
          <w:rFonts w:ascii="Arial" w:eastAsia="Arial" w:hAnsi="Arial" w:cs="Arial"/>
          <w:i/>
          <w:color w:val="000000"/>
          <w:sz w:val="20"/>
        </w:rPr>
        <w:t>Kohler v. Presidio Int'l, Inc</w:t>
      </w:r>
      <w:r>
        <w:rPr>
          <w:rFonts w:ascii="Arial" w:eastAsia="Arial" w:hAnsi="Arial" w:cs="Arial"/>
          <w:color w:val="000000"/>
          <w:sz w:val="20"/>
        </w:rPr>
        <w:t>., CV. 10-4680 PSG PJWX, 2013 U.S. Dist. LEXIS 42816, 2013 WL 1246801 (C.D. Cal. Mar. 25, 2013). Kohler appeals [**4]  each ruling.</w:t>
      </w:r>
    </w:p>
    <w:p w14:paraId="6BC8BAF7" w14:textId="77777777" w:rsidR="002D0E71" w:rsidRDefault="00000000">
      <w:pPr>
        <w:pStyle w:val="Normal24"/>
        <w:widowControl w:val="0"/>
        <w:spacing w:before="200" w:line="260" w:lineRule="atLeast"/>
        <w:jc w:val="both"/>
      </w:pPr>
      <w:bookmarkStart w:id="3543" w:name="Bookmark_para_6_23"/>
      <w:bookmarkStart w:id="3544" w:name="Bookmark_I5FRVGWN28T40T0040000400"/>
      <w:bookmarkEnd w:id="3543"/>
      <w:bookmarkEnd w:id="3544"/>
      <w:r>
        <w:rPr>
          <w:rFonts w:ascii="Arial" w:eastAsia="Arial" w:hAnsi="Arial" w:cs="Arial"/>
          <w:color w:val="000000"/>
          <w:sz w:val="20"/>
        </w:rPr>
        <w:t xml:space="preserve">Following the district court's ruling, Eddie Bauer filed a motion for attorneys' fees under the CDPA, section 55. </w:t>
      </w:r>
      <w:bookmarkStart w:id="3545" w:name="Bookmark_I5FRVGWN28T40V0010000400"/>
      <w:bookmarkEnd w:id="3545"/>
      <w:r>
        <w:rPr>
          <w:rFonts w:ascii="Arial" w:eastAsia="Arial" w:hAnsi="Arial" w:cs="Arial"/>
          <w:color w:val="000000"/>
          <w:sz w:val="20"/>
        </w:rPr>
        <w:t xml:space="preserve">The district judge denied the motion on the grounds that the California law was preempted by the ADA's fee shifting provision. </w:t>
      </w:r>
      <w:r>
        <w:rPr>
          <w:rFonts w:ascii="Arial" w:eastAsia="Arial" w:hAnsi="Arial" w:cs="Arial"/>
          <w:i/>
          <w:color w:val="000000"/>
          <w:sz w:val="20"/>
        </w:rPr>
        <w:t xml:space="preserve">See </w:t>
      </w:r>
      <w:r>
        <w:rPr>
          <w:rFonts w:ascii="Arial" w:eastAsia="Arial" w:hAnsi="Arial" w:cs="Arial"/>
          <w:color w:val="000000"/>
          <w:sz w:val="20"/>
        </w:rPr>
        <w:t xml:space="preserve"> [*1068]  </w:t>
      </w:r>
      <w:bookmarkStart w:id="3546" w:name="Bookmark_I5FRVGWN28T40T0030000400"/>
      <w:bookmarkEnd w:id="3546"/>
      <w:r>
        <w:rPr>
          <w:rFonts w:ascii="Arial" w:eastAsia="Arial" w:hAnsi="Arial" w:cs="Arial"/>
          <w:i/>
          <w:color w:val="000000"/>
          <w:sz w:val="20"/>
        </w:rPr>
        <w:t>Hubbard v. SoBreck, LLC</w:t>
      </w:r>
      <w:r>
        <w:rPr>
          <w:rFonts w:ascii="Arial" w:eastAsia="Arial" w:hAnsi="Arial" w:cs="Arial"/>
          <w:color w:val="000000"/>
          <w:sz w:val="20"/>
        </w:rPr>
        <w:t xml:space="preserve">, 554 F.3d 742 (9th Cir. 2009) ("SoBreck"). </w:t>
      </w:r>
      <w:bookmarkStart w:id="3547" w:name="Bookmark_I5FRVGWN28T40V0010000400_2"/>
      <w:bookmarkEnd w:id="3547"/>
      <w:r>
        <w:rPr>
          <w:rFonts w:ascii="Arial" w:eastAsia="Arial" w:hAnsi="Arial" w:cs="Arial"/>
          <w:color w:val="000000"/>
          <w:sz w:val="20"/>
        </w:rPr>
        <w:t xml:space="preserve">Eddie Bauer asks this panel to reconsider that holding in light of </w:t>
      </w:r>
      <w:bookmarkStart w:id="3548" w:name="Bookmark_I5FRVGWN28T40T0050000400"/>
      <w:bookmarkEnd w:id="3548"/>
      <w:r>
        <w:rPr>
          <w:rFonts w:ascii="Arial" w:eastAsia="Arial" w:hAnsi="Arial" w:cs="Arial"/>
          <w:i/>
          <w:color w:val="000000"/>
          <w:sz w:val="20"/>
        </w:rPr>
        <w:t>Jankey v. Song Koo Lee</w:t>
      </w:r>
      <w:r>
        <w:rPr>
          <w:rFonts w:ascii="Arial" w:eastAsia="Arial" w:hAnsi="Arial" w:cs="Arial"/>
          <w:color w:val="000000"/>
          <w:sz w:val="20"/>
        </w:rPr>
        <w:t>, 55 Cal. 4th 1038, 150 Cal. Rptr. 3d 191, 290 P.3d 187 (2012) ("</w:t>
      </w:r>
      <w:r>
        <w:rPr>
          <w:rFonts w:ascii="Arial" w:eastAsia="Arial" w:hAnsi="Arial" w:cs="Arial"/>
          <w:i/>
          <w:color w:val="000000"/>
          <w:sz w:val="20"/>
        </w:rPr>
        <w:t>Jankey</w:t>
      </w:r>
      <w:r>
        <w:rPr>
          <w:rFonts w:ascii="Arial" w:eastAsia="Arial" w:hAnsi="Arial" w:cs="Arial"/>
          <w:color w:val="000000"/>
          <w:sz w:val="20"/>
        </w:rPr>
        <w:t>").</w:t>
      </w:r>
    </w:p>
    <w:p w14:paraId="0EB9745E" w14:textId="77777777" w:rsidR="002D0E71" w:rsidRDefault="00000000">
      <w:pPr>
        <w:pStyle w:val="Normal24"/>
        <w:widowControl w:val="0"/>
        <w:spacing w:before="120" w:line="260" w:lineRule="atLeast"/>
      </w:pPr>
      <w:r>
        <w:rPr>
          <w:rFonts w:ascii="Arial" w:eastAsia="Arial" w:hAnsi="Arial" w:cs="Arial"/>
          <w:color w:val="000000"/>
          <w:sz w:val="20"/>
        </w:rPr>
        <w:t>II.</w:t>
      </w:r>
    </w:p>
    <w:p w14:paraId="7BB1FD81" w14:textId="77777777" w:rsidR="002D0E71" w:rsidRDefault="00000000">
      <w:pPr>
        <w:pStyle w:val="Normal24"/>
        <w:widowControl w:val="0"/>
        <w:spacing w:before="200" w:line="260" w:lineRule="atLeast"/>
        <w:jc w:val="both"/>
      </w:pPr>
      <w:bookmarkStart w:id="3549" w:name="Bookmark_para_7_22"/>
      <w:bookmarkStart w:id="3550" w:name="Bookmark_I5FRVGWN28T40V0030000400"/>
      <w:bookmarkStart w:id="3551" w:name="Bookmark_I5FRVGWN28T40V0050000400"/>
      <w:bookmarkStart w:id="3552" w:name="Bookmark_I5FRVGWN2D6N6P0020000400"/>
      <w:bookmarkStart w:id="3553" w:name="Bookmark_LNHNREFclscc1_19"/>
      <w:bookmarkEnd w:id="3549"/>
      <w:bookmarkEnd w:id="3550"/>
      <w:bookmarkEnd w:id="3551"/>
      <w:bookmarkEnd w:id="3552"/>
      <w:bookmarkEnd w:id="3553"/>
      <w:r>
        <w:rPr>
          <w:rFonts w:ascii="Arial" w:eastAsia="Arial" w:hAnsi="Arial" w:cs="Arial"/>
          <w:color w:val="000000"/>
          <w:sz w:val="20"/>
        </w:rPr>
        <w:t xml:space="preserve">"Following a bench trial, the judge's findings of facts are reviewed for clear error." </w:t>
      </w:r>
      <w:bookmarkStart w:id="3554" w:name="Bookmark_I5FRVGWN28T40V0020000400"/>
      <w:bookmarkEnd w:id="3554"/>
      <w:r>
        <w:rPr>
          <w:rFonts w:ascii="Arial" w:eastAsia="Arial" w:hAnsi="Arial" w:cs="Arial"/>
          <w:i/>
          <w:color w:val="000000"/>
          <w:sz w:val="20"/>
        </w:rPr>
        <w:t>Lentini v. Cal. Ctr. for the Arts, Escondido</w:t>
      </w:r>
      <w:r>
        <w:rPr>
          <w:rFonts w:ascii="Arial" w:eastAsia="Arial" w:hAnsi="Arial" w:cs="Arial"/>
          <w:color w:val="000000"/>
          <w:sz w:val="20"/>
        </w:rPr>
        <w:t xml:space="preserve">, 370 F.3d 837, 843 (9th Cir. 2004). Under this "significantly deferential" standard, "we will accept the lower court's findings of fact unless we are left with the definite and firm conviction that a mistake has been committed." </w:t>
      </w:r>
      <w:r>
        <w:rPr>
          <w:rFonts w:ascii="Arial" w:eastAsia="Arial" w:hAnsi="Arial" w:cs="Arial"/>
          <w:i/>
          <w:color w:val="000000"/>
          <w:sz w:val="20"/>
        </w:rPr>
        <w:t>Id</w:t>
      </w:r>
      <w:r>
        <w:rPr>
          <w:rFonts w:ascii="Arial" w:eastAsia="Arial" w:hAnsi="Arial" w:cs="Arial"/>
          <w:color w:val="000000"/>
          <w:sz w:val="20"/>
        </w:rPr>
        <w:t xml:space="preserve">. (quoting </w:t>
      </w:r>
      <w:bookmarkStart w:id="3555" w:name="Bookmark_I5FRVGWN28T40V0040000400"/>
      <w:bookmarkEnd w:id="3555"/>
      <w:r>
        <w:rPr>
          <w:rFonts w:ascii="Arial" w:eastAsia="Arial" w:hAnsi="Arial" w:cs="Arial"/>
          <w:i/>
          <w:color w:val="000000"/>
          <w:sz w:val="20"/>
        </w:rPr>
        <w:t>N. Queen Inc. v. Kinnear</w:t>
      </w:r>
      <w:r>
        <w:rPr>
          <w:rFonts w:ascii="Arial" w:eastAsia="Arial" w:hAnsi="Arial" w:cs="Arial"/>
          <w:color w:val="000000"/>
          <w:sz w:val="20"/>
        </w:rPr>
        <w:t xml:space="preserve">, 298 F.3d 1090, 1095 (9th Cir. 2002)). </w:t>
      </w:r>
      <w:bookmarkStart w:id="3556" w:name="Bookmark_I5FRVGWN2D6N6P0040000400"/>
      <w:bookmarkEnd w:id="3556"/>
      <w:r>
        <w:rPr>
          <w:rFonts w:ascii="Arial" w:eastAsia="Arial" w:hAnsi="Arial" w:cs="Arial"/>
          <w:color w:val="000000"/>
          <w:sz w:val="20"/>
        </w:rPr>
        <w:t xml:space="preserve">The lower court's conclusions of law are reviewed </w:t>
      </w:r>
      <w:r>
        <w:rPr>
          <w:rFonts w:ascii="Arial" w:eastAsia="Arial" w:hAnsi="Arial" w:cs="Arial"/>
          <w:i/>
          <w:color w:val="000000"/>
          <w:sz w:val="20"/>
        </w:rPr>
        <w:t xml:space="preserve">de novo. </w:t>
      </w:r>
      <w:bookmarkStart w:id="3557" w:name="Bookmark_I5FRVGWN2D6N6P0010000400"/>
      <w:bookmarkEnd w:id="3557"/>
      <w:r>
        <w:rPr>
          <w:rFonts w:ascii="Arial" w:eastAsia="Arial" w:hAnsi="Arial" w:cs="Arial"/>
          <w:i/>
          <w:color w:val="000000"/>
          <w:sz w:val="20"/>
        </w:rPr>
        <w:t>Love v. Associated Newspapers, Ltd</w:t>
      </w:r>
      <w:r>
        <w:rPr>
          <w:rFonts w:ascii="Arial" w:eastAsia="Arial" w:hAnsi="Arial" w:cs="Arial"/>
          <w:color w:val="000000"/>
          <w:sz w:val="20"/>
        </w:rPr>
        <w:t xml:space="preserve">., 611 F.3d 601, 614 (9th Cir. 2010). </w:t>
      </w:r>
      <w:bookmarkStart w:id="3558" w:name="Bookmark_I5FRVGWN2D6N6P0040000400_2"/>
      <w:bookmarkStart w:id="3559" w:name="Bookmark_LNHNREFclscc2_19"/>
      <w:bookmarkEnd w:id="3558"/>
      <w:bookmarkEnd w:id="3559"/>
      <w:r>
        <w:rPr>
          <w:rFonts w:ascii="Arial" w:eastAsia="Arial" w:hAnsi="Arial" w:cs="Arial"/>
          <w:color w:val="000000"/>
          <w:sz w:val="20"/>
        </w:rPr>
        <w:t xml:space="preserve">A district court's decision to deny a motion for attorneys' fees is reviewed for abuse of discretion. </w:t>
      </w:r>
      <w:bookmarkStart w:id="3560" w:name="Bookmark_I5FRVGWN2D6N6P0030000400"/>
      <w:bookmarkEnd w:id="3560"/>
      <w:r>
        <w:rPr>
          <w:rFonts w:ascii="Arial" w:eastAsia="Arial" w:hAnsi="Arial" w:cs="Arial"/>
          <w:i/>
          <w:color w:val="000000"/>
          <w:sz w:val="20"/>
        </w:rPr>
        <w:t>Skaff v. Meridien N. Am. Beverly Hills, LLC</w:t>
      </w:r>
      <w:r>
        <w:rPr>
          <w:rFonts w:ascii="Arial" w:eastAsia="Arial" w:hAnsi="Arial" w:cs="Arial"/>
          <w:color w:val="000000"/>
          <w:sz w:val="20"/>
        </w:rPr>
        <w:t>, 506 F.3d 832, 837 (9th Cir. 2007).</w:t>
      </w:r>
    </w:p>
    <w:p w14:paraId="76574960" w14:textId="77777777" w:rsidR="002D0E71" w:rsidRDefault="00000000">
      <w:pPr>
        <w:pStyle w:val="Normal24"/>
        <w:widowControl w:val="0"/>
        <w:spacing w:before="120" w:line="260" w:lineRule="atLeast"/>
      </w:pPr>
      <w:r>
        <w:rPr>
          <w:rFonts w:ascii="Arial" w:eastAsia="Arial" w:hAnsi="Arial" w:cs="Arial"/>
          <w:color w:val="000000"/>
          <w:sz w:val="20"/>
        </w:rPr>
        <w:t>III.</w:t>
      </w:r>
    </w:p>
    <w:p w14:paraId="0DA6F079" w14:textId="77777777" w:rsidR="002D0E71" w:rsidRDefault="00000000">
      <w:pPr>
        <w:pStyle w:val="Normal24"/>
        <w:widowControl w:val="0"/>
        <w:spacing w:before="200" w:line="260" w:lineRule="atLeast"/>
        <w:jc w:val="both"/>
      </w:pPr>
      <w:bookmarkStart w:id="3561" w:name="Bookmark_para_8_22"/>
      <w:bookmarkStart w:id="3562" w:name="Bookmark_LNHNREFclscc3_19"/>
      <w:bookmarkEnd w:id="3561"/>
      <w:bookmarkEnd w:id="3562"/>
      <w:r>
        <w:rPr>
          <w:rFonts w:ascii="Arial" w:eastAsia="Arial" w:hAnsi="Arial" w:cs="Arial"/>
          <w:color w:val="000000"/>
          <w:sz w:val="20"/>
        </w:rPr>
        <w:t xml:space="preserve">The ADA requires that counters be thirty-six inches high. 28 C.F.R. Pt. 36, App. D § 7.2(1). </w:t>
      </w:r>
      <w:bookmarkStart w:id="3563" w:name="Bookmark_I5FRVGWN28T40W0010000400"/>
      <w:bookmarkEnd w:id="3563"/>
      <w:r>
        <w:rPr>
          <w:rFonts w:ascii="Arial" w:eastAsia="Arial" w:hAnsi="Arial" w:cs="Arial"/>
          <w:color w:val="000000"/>
          <w:sz w:val="20"/>
        </w:rPr>
        <w:t xml:space="preserve">Kohler alleged that the checkout counter at Eddie Bauer was higher than this requirement. The district judge concluded that Kohler had not offered sufficient evidence to prove a violation. On appeal, Kohler challenges the judge's ruling in light of this court's decision in </w:t>
      </w:r>
      <w:bookmarkStart w:id="3564" w:name="Bookmark_I5FRVGWN2D6N6P0050000400"/>
      <w:bookmarkEnd w:id="3564"/>
      <w:r>
        <w:rPr>
          <w:rFonts w:ascii="Arial" w:eastAsia="Arial" w:hAnsi="Arial" w:cs="Arial"/>
          <w:i/>
          <w:color w:val="000000"/>
          <w:sz w:val="20"/>
        </w:rPr>
        <w:t>Strong v. Valdez Fine Foods</w:t>
      </w:r>
      <w:r>
        <w:rPr>
          <w:rFonts w:ascii="Arial" w:eastAsia="Arial" w:hAnsi="Arial" w:cs="Arial"/>
          <w:color w:val="000000"/>
          <w:sz w:val="20"/>
        </w:rPr>
        <w:t>, 724 F.3d 1042 (9th Cir. 2013).</w:t>
      </w:r>
    </w:p>
    <w:p w14:paraId="58640A87" w14:textId="77777777" w:rsidR="002D0E71" w:rsidRDefault="00000000">
      <w:pPr>
        <w:pStyle w:val="Normal24"/>
        <w:widowControl w:val="0"/>
        <w:spacing w:before="200" w:line="260" w:lineRule="atLeast"/>
        <w:jc w:val="both"/>
      </w:pPr>
      <w:bookmarkStart w:id="3565" w:name="Bookmark_para_9_22"/>
      <w:bookmarkEnd w:id="3565"/>
      <w:r>
        <w:rPr>
          <w:rFonts w:ascii="Arial" w:eastAsia="Arial" w:hAnsi="Arial" w:cs="Arial"/>
          <w:color w:val="000000"/>
          <w:sz w:val="20"/>
        </w:rPr>
        <w:t xml:space="preserve">Kohler attempted to admit photographic evidence exhibiting the [**5]  height of the counter, but he failed to disclose the photographs thirty days prior to trial and they were excluded. </w:t>
      </w:r>
      <w:bookmarkStart w:id="3566" w:name="Bookmark_I5FRVGWN28T40W0030000400"/>
      <w:bookmarkEnd w:id="3566"/>
      <w:r>
        <w:rPr>
          <w:rFonts w:ascii="Arial" w:eastAsia="Arial" w:hAnsi="Arial" w:cs="Arial"/>
          <w:color w:val="000000"/>
          <w:sz w:val="20"/>
        </w:rPr>
        <w:t xml:space="preserve">This ruling is not challenged on appeal. To prove a violation then, Kohler offered his own opinion at trial. He testified that he "believe[d]" the counter was thirty-nine inches high. </w:t>
      </w:r>
      <w:bookmarkStart w:id="3567" w:name="Bookmark_I5FRVGWN28T40W0020000400"/>
      <w:bookmarkEnd w:id="3567"/>
      <w:r>
        <w:rPr>
          <w:rFonts w:ascii="Arial" w:eastAsia="Arial" w:hAnsi="Arial" w:cs="Arial"/>
          <w:i/>
          <w:color w:val="000000"/>
          <w:sz w:val="20"/>
        </w:rPr>
        <w:t>Kohler</w:t>
      </w:r>
      <w:r>
        <w:rPr>
          <w:rFonts w:ascii="Arial" w:eastAsia="Arial" w:hAnsi="Arial" w:cs="Arial"/>
          <w:color w:val="000000"/>
          <w:sz w:val="20"/>
        </w:rPr>
        <w:t xml:space="preserve">, 2013 U.S. Dist. LEXIS 42816, 2013 WL 1246801, at *2. He reached this conclusion by approximating that his lap is roughly twenty-seven inches high and that the counter was higher than a foot above his lap. </w:t>
      </w:r>
      <w:r>
        <w:rPr>
          <w:rFonts w:ascii="Arial" w:eastAsia="Arial" w:hAnsi="Arial" w:cs="Arial"/>
          <w:i/>
          <w:color w:val="000000"/>
          <w:sz w:val="20"/>
        </w:rPr>
        <w:t>Id</w:t>
      </w:r>
      <w:r>
        <w:rPr>
          <w:rFonts w:ascii="Arial" w:eastAsia="Arial" w:hAnsi="Arial" w:cs="Arial"/>
          <w:color w:val="000000"/>
          <w:sz w:val="20"/>
        </w:rPr>
        <w:t xml:space="preserve">. Kohler also testified that he was able to purchase a shirt from the store on his visit—the cashier took the shirt off his lap and he paid with cash. </w:t>
      </w:r>
      <w:r>
        <w:rPr>
          <w:rFonts w:ascii="Arial" w:eastAsia="Arial" w:hAnsi="Arial" w:cs="Arial"/>
          <w:i/>
          <w:color w:val="000000"/>
          <w:sz w:val="20"/>
        </w:rPr>
        <w:t>Id</w:t>
      </w:r>
      <w:r>
        <w:rPr>
          <w:rFonts w:ascii="Arial" w:eastAsia="Arial" w:hAnsi="Arial" w:cs="Arial"/>
          <w:color w:val="000000"/>
          <w:sz w:val="20"/>
        </w:rPr>
        <w:t>.</w:t>
      </w:r>
    </w:p>
    <w:p w14:paraId="10F4BC35" w14:textId="77777777" w:rsidR="002D0E71" w:rsidRDefault="00000000">
      <w:pPr>
        <w:pStyle w:val="Normal24"/>
        <w:widowControl w:val="0"/>
        <w:spacing w:before="200" w:line="260" w:lineRule="atLeast"/>
        <w:jc w:val="both"/>
      </w:pPr>
      <w:bookmarkStart w:id="3568" w:name="Bookmark_para_10_21"/>
      <w:bookmarkEnd w:id="3568"/>
      <w:r>
        <w:rPr>
          <w:rFonts w:ascii="Arial" w:eastAsia="Arial" w:hAnsi="Arial" w:cs="Arial"/>
          <w:color w:val="000000"/>
          <w:sz w:val="20"/>
        </w:rPr>
        <w:t xml:space="preserve">In its defense, Sarah Miluso, a store manager, testified to the policies of Eddie Bauer's stores. She stated "that it is the Store's policy to try and approach customers as they are heading towards the checkout stations and take the articles of clothing from their hands." </w:t>
      </w:r>
      <w:r>
        <w:rPr>
          <w:rFonts w:ascii="Arial" w:eastAsia="Arial" w:hAnsi="Arial" w:cs="Arial"/>
          <w:i/>
          <w:color w:val="000000"/>
          <w:sz w:val="20"/>
        </w:rPr>
        <w:t>Id</w:t>
      </w:r>
      <w:r>
        <w:rPr>
          <w:rFonts w:ascii="Arial" w:eastAsia="Arial" w:hAnsi="Arial" w:cs="Arial"/>
          <w:color w:val="000000"/>
          <w:sz w:val="20"/>
        </w:rPr>
        <w:t>.</w:t>
      </w:r>
    </w:p>
    <w:p w14:paraId="17E4E498" w14:textId="77777777" w:rsidR="002D0E71" w:rsidRDefault="00000000">
      <w:pPr>
        <w:pStyle w:val="Normal24"/>
        <w:widowControl w:val="0"/>
        <w:spacing w:before="200" w:line="260" w:lineRule="atLeast"/>
        <w:jc w:val="both"/>
      </w:pPr>
      <w:bookmarkStart w:id="3569" w:name="Bookmark_para_11_21"/>
      <w:bookmarkStart w:id="3570" w:name="Bookmark_I5FRVGWN28T40W0050000400"/>
      <w:bookmarkStart w:id="3571" w:name="Bookmark_I4GW5RVTCXM000RKF9P000WM"/>
      <w:bookmarkStart w:id="3572" w:name="Bookmark_I5FRVGWN2D6N6R0020000400"/>
      <w:bookmarkEnd w:id="3569"/>
      <w:bookmarkEnd w:id="3570"/>
      <w:bookmarkEnd w:id="3571"/>
      <w:bookmarkEnd w:id="3572"/>
      <w:r>
        <w:rPr>
          <w:rFonts w:ascii="Arial" w:eastAsia="Arial" w:hAnsi="Arial" w:cs="Arial"/>
          <w:color w:val="000000"/>
          <w:sz w:val="20"/>
        </w:rPr>
        <w:t xml:space="preserve">The district court found that Kohler had not met his burden. In so holding, the court noted that </w:t>
      </w:r>
      <w:bookmarkStart w:id="3573" w:name="Bookmark_LNHNREFclscc4_19"/>
      <w:bookmarkEnd w:id="3573"/>
      <w:r>
        <w:rPr>
          <w:rFonts w:ascii="Arial" w:eastAsia="Arial" w:hAnsi="Arial" w:cs="Arial"/>
          <w:color w:val="000000"/>
          <w:sz w:val="20"/>
        </w:rPr>
        <w:t xml:space="preserve">"courts generally require measurements to demonstrate ADA violations." </w:t>
      </w:r>
      <w:bookmarkStart w:id="3574" w:name="Bookmark_I5FRVGWN28T40W0040000400"/>
      <w:bookmarkEnd w:id="3574"/>
      <w:r>
        <w:rPr>
          <w:rFonts w:ascii="Arial" w:eastAsia="Arial" w:hAnsi="Arial" w:cs="Arial"/>
          <w:color w:val="000000"/>
          <w:sz w:val="20"/>
        </w:rPr>
        <w:t xml:space="preserve">2013 U.S. Dist. LEXIS 42816, [WL] at *8. The court also cited the district court opinion in Strong, suggesting that even if the plaintiff had provided additional detail, "it would be insufficient [**6]  to demonstrate the existence of actionable barriers because Plaintiff does not assert he is an ADA expert or is otherwise qualified to opine whether certain conditions constitute barriers within the meaning of the Act." </w:t>
      </w:r>
      <w:r>
        <w:rPr>
          <w:rFonts w:ascii="Arial" w:eastAsia="Arial" w:hAnsi="Arial" w:cs="Arial"/>
          <w:i/>
          <w:color w:val="000000"/>
          <w:sz w:val="20"/>
        </w:rPr>
        <w:t>Id</w:t>
      </w:r>
      <w:r>
        <w:rPr>
          <w:rFonts w:ascii="Arial" w:eastAsia="Arial" w:hAnsi="Arial" w:cs="Arial"/>
          <w:color w:val="000000"/>
          <w:sz w:val="20"/>
        </w:rPr>
        <w:t xml:space="preserve">. (quoting </w:t>
      </w:r>
      <w:bookmarkStart w:id="3575" w:name="Bookmark_I5FRVGWN2D6N6R0010000400"/>
      <w:bookmarkEnd w:id="3575"/>
      <w:r>
        <w:rPr>
          <w:rFonts w:ascii="Arial" w:eastAsia="Arial" w:hAnsi="Arial" w:cs="Arial"/>
          <w:i/>
          <w:color w:val="000000"/>
          <w:sz w:val="20"/>
        </w:rPr>
        <w:t>Strong v. Valdez Fine Food</w:t>
      </w:r>
      <w:r>
        <w:rPr>
          <w:rFonts w:ascii="Arial" w:eastAsia="Arial" w:hAnsi="Arial" w:cs="Arial"/>
          <w:color w:val="000000"/>
          <w:sz w:val="20"/>
        </w:rPr>
        <w:t>, 09-CV-01278 MMA, 2011 U.S. Dist. LEXIS 10999, 2011 WL 455285, at *7—8 (S.D. Cal. 2011).</w:t>
      </w:r>
    </w:p>
    <w:p w14:paraId="43225C8E" w14:textId="77777777" w:rsidR="002D0E71" w:rsidRDefault="00000000">
      <w:pPr>
        <w:pStyle w:val="Normal24"/>
        <w:widowControl w:val="0"/>
        <w:spacing w:before="200" w:line="260" w:lineRule="atLeast"/>
        <w:jc w:val="both"/>
      </w:pPr>
      <w:bookmarkStart w:id="3576" w:name="Bookmark_para_12_20"/>
      <w:bookmarkStart w:id="3577" w:name="Bookmark_I5FRVGWN2D6N6R0040000400"/>
      <w:bookmarkEnd w:id="3576"/>
      <w:bookmarkEnd w:id="3577"/>
      <w:r>
        <w:rPr>
          <w:rFonts w:ascii="Arial" w:eastAsia="Arial" w:hAnsi="Arial" w:cs="Arial"/>
          <w:color w:val="000000"/>
          <w:sz w:val="20"/>
        </w:rPr>
        <w:t xml:space="preserve">This district court opinion in </w:t>
      </w:r>
      <w:r>
        <w:rPr>
          <w:rFonts w:ascii="Arial" w:eastAsia="Arial" w:hAnsi="Arial" w:cs="Arial"/>
          <w:i/>
          <w:color w:val="000000"/>
          <w:sz w:val="20"/>
        </w:rPr>
        <w:t>Strong</w:t>
      </w:r>
      <w:r>
        <w:rPr>
          <w:rFonts w:ascii="Arial" w:eastAsia="Arial" w:hAnsi="Arial" w:cs="Arial"/>
          <w:color w:val="000000"/>
          <w:sz w:val="20"/>
        </w:rPr>
        <w:t xml:space="preserve"> was reversed by this court. </w:t>
      </w:r>
      <w:bookmarkStart w:id="3578" w:name="Bookmark_I5FRVGWN2SF8D20010000400"/>
      <w:bookmarkEnd w:id="3578"/>
      <w:r>
        <w:rPr>
          <w:rFonts w:ascii="Arial" w:eastAsia="Arial" w:hAnsi="Arial" w:cs="Arial"/>
          <w:i/>
          <w:color w:val="000000"/>
          <w:sz w:val="20"/>
        </w:rPr>
        <w:t xml:space="preserve">See </w:t>
      </w:r>
      <w:bookmarkStart w:id="3579" w:name="Bookmark_I5FRVGWN2D6N6R0030000400"/>
      <w:bookmarkEnd w:id="3579"/>
      <w:r>
        <w:rPr>
          <w:rFonts w:ascii="Arial" w:eastAsia="Arial" w:hAnsi="Arial" w:cs="Arial"/>
          <w:i/>
          <w:color w:val="000000"/>
          <w:sz w:val="20"/>
        </w:rPr>
        <w:t>Strong</w:t>
      </w:r>
      <w:r>
        <w:rPr>
          <w:rFonts w:ascii="Arial" w:eastAsia="Arial" w:hAnsi="Arial" w:cs="Arial"/>
          <w:color w:val="000000"/>
          <w:sz w:val="20"/>
        </w:rPr>
        <w:t>, 724 F.3d 1042. The opinion makes clear that</w:t>
      </w:r>
      <w:bookmarkStart w:id="3580" w:name="Bookmark_LNHNREFclscc5_19"/>
      <w:bookmarkEnd w:id="3580"/>
      <w:r>
        <w:rPr>
          <w:rFonts w:ascii="Arial" w:eastAsia="Arial" w:hAnsi="Arial" w:cs="Arial"/>
          <w:color w:val="000000"/>
          <w:sz w:val="20"/>
        </w:rPr>
        <w:t xml:space="preserve"> an ADA plaintiff is not required to provide "specialized or technical knowledge" through an expert witness to prove a violation. </w:t>
      </w:r>
      <w:bookmarkStart w:id="3581" w:name="Bookmark_I5FRVGWN2SF8D20010000400_2"/>
      <w:bookmarkStart w:id="3582" w:name="Bookmark_I5FRVGWN2SF8D20030000400"/>
      <w:bookmarkStart w:id="3583" w:name="Bookmark_I5FRVGWN2D6N6R0050000400"/>
      <w:bookmarkEnd w:id="3581"/>
      <w:bookmarkEnd w:id="3582"/>
      <w:bookmarkEnd w:id="3583"/>
      <w:r>
        <w:rPr>
          <w:rFonts w:ascii="Arial" w:eastAsia="Arial" w:hAnsi="Arial" w:cs="Arial"/>
          <w:i/>
          <w:color w:val="000000"/>
          <w:sz w:val="20"/>
        </w:rPr>
        <w:t>Id</w:t>
      </w:r>
      <w:r>
        <w:rPr>
          <w:rFonts w:ascii="Arial" w:eastAsia="Arial" w:hAnsi="Arial" w:cs="Arial"/>
          <w:color w:val="000000"/>
          <w:sz w:val="20"/>
        </w:rPr>
        <w:t xml:space="preserve">. at 1046. </w:t>
      </w:r>
      <w:bookmarkStart w:id="3584" w:name="Bookmark_I5FRVGWN2SF8D20030000400_2"/>
      <w:bookmarkEnd w:id="3584"/>
      <w:r>
        <w:rPr>
          <w:rFonts w:ascii="Arial" w:eastAsia="Arial" w:hAnsi="Arial" w:cs="Arial"/>
          <w:color w:val="000000"/>
          <w:sz w:val="20"/>
        </w:rPr>
        <w:t xml:space="preserve">The court also noted that "[i]t's commonly understood that lay witnesses may estimate size, weight, distance, speed and time even when those qualities could be measured precisely" and that disabled persons, who  [*1069]  "daily navigate[] the world in a wheelchair" were particularly qualified to opine on the accessibility of facilities they visit. </w:t>
      </w:r>
      <w:bookmarkStart w:id="3585" w:name="Bookmark_I5FRVGWN2SF8D20050000400"/>
      <w:bookmarkStart w:id="3586" w:name="Bookmark_I5FRVGWN2SF8D20020000400"/>
      <w:bookmarkEnd w:id="3585"/>
      <w:bookmarkEnd w:id="3586"/>
      <w:r>
        <w:rPr>
          <w:rFonts w:ascii="Arial" w:eastAsia="Arial" w:hAnsi="Arial" w:cs="Arial"/>
          <w:i/>
          <w:color w:val="000000"/>
          <w:sz w:val="20"/>
        </w:rPr>
        <w:t>Id</w:t>
      </w:r>
      <w:r>
        <w:rPr>
          <w:rFonts w:ascii="Arial" w:eastAsia="Arial" w:hAnsi="Arial" w:cs="Arial"/>
          <w:color w:val="000000"/>
          <w:sz w:val="20"/>
        </w:rPr>
        <w:t xml:space="preserve">. at 1046. </w:t>
      </w:r>
      <w:bookmarkStart w:id="3587" w:name="Bookmark_I5FRVGWN2SF8D20050000400_2"/>
      <w:bookmarkEnd w:id="3587"/>
      <w:r>
        <w:rPr>
          <w:rFonts w:ascii="Arial" w:eastAsia="Arial" w:hAnsi="Arial" w:cs="Arial"/>
          <w:color w:val="000000"/>
          <w:sz w:val="20"/>
        </w:rPr>
        <w:t xml:space="preserve">Although </w:t>
      </w:r>
      <w:r>
        <w:rPr>
          <w:rFonts w:ascii="Arial" w:eastAsia="Arial" w:hAnsi="Arial" w:cs="Arial"/>
          <w:i/>
          <w:color w:val="000000"/>
          <w:sz w:val="20"/>
        </w:rPr>
        <w:t>Strong</w:t>
      </w:r>
      <w:r>
        <w:rPr>
          <w:rFonts w:ascii="Arial" w:eastAsia="Arial" w:hAnsi="Arial" w:cs="Arial"/>
          <w:color w:val="000000"/>
          <w:sz w:val="20"/>
        </w:rPr>
        <w:t xml:space="preserve"> itself involved a motion for summary judgment, the opinion did not limit its holding to that posture. </w:t>
      </w:r>
      <w:bookmarkStart w:id="3588" w:name="Bookmark_I5FRVGWN2SF8D20040000400"/>
      <w:bookmarkEnd w:id="3588"/>
      <w:r>
        <w:rPr>
          <w:rFonts w:ascii="Arial" w:eastAsia="Arial" w:hAnsi="Arial" w:cs="Arial"/>
          <w:i/>
          <w:color w:val="000000"/>
          <w:sz w:val="20"/>
        </w:rPr>
        <w:t>Id</w:t>
      </w:r>
      <w:r>
        <w:rPr>
          <w:rFonts w:ascii="Arial" w:eastAsia="Arial" w:hAnsi="Arial" w:cs="Arial"/>
          <w:color w:val="000000"/>
          <w:sz w:val="20"/>
        </w:rPr>
        <w:t>. at 1046—47 (</w:t>
      </w:r>
      <w:bookmarkStart w:id="3589" w:name="Bookmark_LNHNREFclscc6_18"/>
      <w:bookmarkEnd w:id="3589"/>
      <w:r>
        <w:rPr>
          <w:rFonts w:ascii="Arial" w:eastAsia="Arial" w:hAnsi="Arial" w:cs="Arial"/>
          <w:color w:val="000000"/>
          <w:sz w:val="20"/>
        </w:rPr>
        <w:t>"a jury is perfectly capable of understanding . . . [listing ADA violations]").</w:t>
      </w:r>
    </w:p>
    <w:p w14:paraId="18459C6A" w14:textId="77777777" w:rsidR="002D0E71" w:rsidRDefault="00000000">
      <w:pPr>
        <w:pStyle w:val="Normal24"/>
        <w:widowControl w:val="0"/>
        <w:spacing w:before="200" w:line="260" w:lineRule="atLeast"/>
        <w:jc w:val="both"/>
      </w:pPr>
      <w:bookmarkStart w:id="3590" w:name="Bookmark_para_13_20"/>
      <w:bookmarkEnd w:id="3590"/>
      <w:r>
        <w:rPr>
          <w:rFonts w:ascii="Arial" w:eastAsia="Arial" w:hAnsi="Arial" w:cs="Arial"/>
          <w:color w:val="000000"/>
          <w:sz w:val="20"/>
        </w:rPr>
        <w:t xml:space="preserve">We vacate and remand with instructions for the district court to reconsider in light of </w:t>
      </w:r>
      <w:r>
        <w:rPr>
          <w:rFonts w:ascii="Arial" w:eastAsia="Arial" w:hAnsi="Arial" w:cs="Arial"/>
          <w:i/>
          <w:color w:val="000000"/>
          <w:sz w:val="20"/>
        </w:rPr>
        <w:t>Strong</w:t>
      </w:r>
      <w:r>
        <w:rPr>
          <w:rFonts w:ascii="Arial" w:eastAsia="Arial" w:hAnsi="Arial" w:cs="Arial"/>
          <w:color w:val="000000"/>
          <w:sz w:val="20"/>
        </w:rPr>
        <w:t>. We do not opine on the sufficiency of Kohler's testimony—</w:t>
      </w:r>
      <w:bookmarkStart w:id="3591" w:name="Bookmark_LNHNREFclscc7_17"/>
      <w:bookmarkEnd w:id="3591"/>
      <w:r>
        <w:rPr>
          <w:rFonts w:ascii="Arial" w:eastAsia="Arial" w:hAnsi="Arial" w:cs="Arial"/>
          <w:color w:val="000000"/>
          <w:sz w:val="20"/>
        </w:rPr>
        <w:t>it is [**7]  the trial judge who must weigh the credibility and weight of the evidence as presented. We only vacate given his reliance on a decision that has been overturned.</w:t>
      </w:r>
      <w:r>
        <w:rPr>
          <w:rFonts w:ascii="Arial" w:eastAsia="Arial" w:hAnsi="Arial" w:cs="Arial"/>
          <w:vertAlign w:val="superscript"/>
        </w:rPr>
        <w:footnoteReference w:customMarkFollows="1" w:id="114"/>
        <w:t>1</w:t>
      </w:r>
    </w:p>
    <w:p w14:paraId="418E4668" w14:textId="77777777" w:rsidR="002D0E71" w:rsidRDefault="00000000">
      <w:pPr>
        <w:pStyle w:val="Normal24"/>
        <w:widowControl w:val="0"/>
        <w:spacing w:before="120" w:line="260" w:lineRule="atLeast"/>
      </w:pPr>
      <w:r>
        <w:rPr>
          <w:rFonts w:ascii="Arial" w:eastAsia="Arial" w:hAnsi="Arial" w:cs="Arial"/>
          <w:color w:val="000000"/>
          <w:sz w:val="20"/>
        </w:rPr>
        <w:t>IV.</w:t>
      </w:r>
    </w:p>
    <w:p w14:paraId="0A2FCA98" w14:textId="77777777" w:rsidR="002D0E71" w:rsidRDefault="00000000">
      <w:pPr>
        <w:pStyle w:val="Normal24"/>
        <w:widowControl w:val="0"/>
        <w:spacing w:before="200" w:line="260" w:lineRule="atLeast"/>
        <w:jc w:val="both"/>
      </w:pPr>
      <w:bookmarkStart w:id="3596" w:name="Bookmark_para_14_20"/>
      <w:bookmarkStart w:id="3597" w:name="Bookmark_I5FRVGWN28T40X0040000400"/>
      <w:bookmarkStart w:id="3598" w:name="Bookmark_I5FRVGX92HM61Y0030000400"/>
      <w:bookmarkStart w:id="3599" w:name="Bookmark_LNHNREFclscc9_16"/>
      <w:bookmarkEnd w:id="3596"/>
      <w:bookmarkEnd w:id="3597"/>
      <w:bookmarkEnd w:id="3598"/>
      <w:bookmarkEnd w:id="3599"/>
      <w:r>
        <w:rPr>
          <w:rFonts w:ascii="Arial" w:eastAsia="Arial" w:hAnsi="Arial" w:cs="Arial"/>
          <w:color w:val="000000"/>
          <w:sz w:val="20"/>
        </w:rPr>
        <w:t xml:space="preserve">Title 24 of the California Regulatory Code does not provide a precise height for checkout counters, only that they be "accessible." Cal. Reg. Code tit. 24, § 1110B1.2. The district court interpreted this to require either compliance with the ADA's thirty-six inch height requirement or that the store provides "clipboards consistently available to customers with disabilities to ensure accessibility." </w:t>
      </w:r>
      <w:bookmarkStart w:id="3600" w:name="Bookmark_I5FRVGWN28T40X0030000400"/>
      <w:bookmarkEnd w:id="3600"/>
      <w:r>
        <w:rPr>
          <w:rFonts w:ascii="Arial" w:eastAsia="Arial" w:hAnsi="Arial" w:cs="Arial"/>
          <w:i/>
          <w:color w:val="000000"/>
          <w:sz w:val="20"/>
        </w:rPr>
        <w:t>Kohler</w:t>
      </w:r>
      <w:r>
        <w:rPr>
          <w:rFonts w:ascii="Arial" w:eastAsia="Arial" w:hAnsi="Arial" w:cs="Arial"/>
          <w:color w:val="000000"/>
          <w:sz w:val="20"/>
        </w:rPr>
        <w:t xml:space="preserve">, 2013 U.S. Dist. LEXIS 42816, 2013 WL 1246801, at *10 (citing </w:t>
      </w:r>
      <w:bookmarkStart w:id="3601" w:name="Bookmark_I5FRVGWN28T40X0050000400"/>
      <w:bookmarkEnd w:id="3601"/>
      <w:r>
        <w:rPr>
          <w:rFonts w:ascii="Arial" w:eastAsia="Arial" w:hAnsi="Arial" w:cs="Arial"/>
          <w:i/>
          <w:color w:val="000000"/>
          <w:sz w:val="20"/>
        </w:rPr>
        <w:t>Lieber v. Macy's W., Inc</w:t>
      </w:r>
      <w:r>
        <w:rPr>
          <w:rFonts w:ascii="Arial" w:eastAsia="Arial" w:hAnsi="Arial" w:cs="Arial"/>
          <w:color w:val="000000"/>
          <w:sz w:val="20"/>
        </w:rPr>
        <w:t xml:space="preserve">., 80 F. Supp. 2d 1065, 1075 (N.D. Cal. 1999). An Eddie Bauer store manager testified that it was the store's policy to have clipboards available to customers. </w:t>
      </w:r>
      <w:bookmarkStart w:id="3602" w:name="Bookmark_I5FRVGX92HM61Y0020000400"/>
      <w:bookmarkEnd w:id="3602"/>
      <w:r>
        <w:rPr>
          <w:rFonts w:ascii="Arial" w:eastAsia="Arial" w:hAnsi="Arial" w:cs="Arial"/>
          <w:color w:val="000000"/>
          <w:sz w:val="20"/>
        </w:rPr>
        <w:t>2013 U.S. Dist. LEXIS 42816, [WL] at *3. As a result, the district court found the store in compliance with Title 24.</w:t>
      </w:r>
    </w:p>
    <w:p w14:paraId="667BCF48" w14:textId="77777777" w:rsidR="002D0E71" w:rsidRDefault="00000000">
      <w:pPr>
        <w:pStyle w:val="Normal24"/>
        <w:widowControl w:val="0"/>
        <w:spacing w:before="200" w:line="260" w:lineRule="atLeast"/>
        <w:jc w:val="both"/>
      </w:pPr>
      <w:bookmarkStart w:id="3603" w:name="Bookmark_para_15_20"/>
      <w:bookmarkEnd w:id="3603"/>
      <w:r>
        <w:rPr>
          <w:rFonts w:ascii="Arial" w:eastAsia="Arial" w:hAnsi="Arial" w:cs="Arial"/>
          <w:color w:val="000000"/>
          <w:sz w:val="20"/>
        </w:rPr>
        <w:t xml:space="preserve">We do not agree. </w:t>
      </w:r>
      <w:bookmarkStart w:id="3604" w:name="Bookmark_LNHNREFclscc10_16"/>
      <w:bookmarkEnd w:id="3604"/>
      <w:r>
        <w:rPr>
          <w:rFonts w:ascii="Arial" w:eastAsia="Arial" w:hAnsi="Arial" w:cs="Arial"/>
          <w:color w:val="000000"/>
          <w:sz w:val="20"/>
        </w:rPr>
        <w:t xml:space="preserve">A [**8]  technical assistance manual promulgated by the Department of Justice to interpret the ADA Accessibility Guidelines ("ADAAG") states that the use of a clipboard in lieu of lowered counters is permitted only as a temporary measure, "until more permanent changes can be made." U.S. Dep't of Justice, </w:t>
      </w:r>
      <w:r>
        <w:rPr>
          <w:rFonts w:ascii="Arial" w:eastAsia="Arial" w:hAnsi="Arial" w:cs="Arial"/>
          <w:i/>
          <w:color w:val="000000"/>
          <w:sz w:val="20"/>
        </w:rPr>
        <w:t>ADA Update: a Primer for Small Business</w:t>
      </w:r>
      <w:r>
        <w:rPr>
          <w:rFonts w:ascii="Arial" w:eastAsia="Arial" w:hAnsi="Arial" w:cs="Arial"/>
          <w:color w:val="000000"/>
          <w:sz w:val="20"/>
        </w:rPr>
        <w:t>.</w:t>
      </w:r>
    </w:p>
    <w:p w14:paraId="36CBE17C" w14:textId="77777777" w:rsidR="002D0E71" w:rsidRDefault="00000000">
      <w:pPr>
        <w:pStyle w:val="Normal24"/>
        <w:widowControl w:val="0"/>
        <w:spacing w:before="200" w:line="260" w:lineRule="atLeast"/>
        <w:jc w:val="both"/>
      </w:pPr>
      <w:bookmarkStart w:id="3605" w:name="Bookmark_para_16_20"/>
      <w:bookmarkStart w:id="3606" w:name="Bookmark_I5FRVGX92HM61Y0050000400"/>
      <w:bookmarkEnd w:id="3605"/>
      <w:bookmarkEnd w:id="3606"/>
      <w:r>
        <w:rPr>
          <w:rFonts w:ascii="Arial" w:eastAsia="Arial" w:hAnsi="Arial" w:cs="Arial"/>
          <w:color w:val="000000"/>
          <w:sz w:val="20"/>
        </w:rPr>
        <w:t xml:space="preserve">We have repeatedly held that </w:t>
      </w:r>
      <w:bookmarkStart w:id="3607" w:name="Bookmark_LNHNREFclscc11_14"/>
      <w:bookmarkEnd w:id="3607"/>
      <w:r>
        <w:rPr>
          <w:rFonts w:ascii="Arial" w:eastAsia="Arial" w:hAnsi="Arial" w:cs="Arial"/>
          <w:color w:val="000000"/>
          <w:sz w:val="20"/>
        </w:rPr>
        <w:t xml:space="preserve">manuals promulgated by the Department of Justice to interpret the ADAAG, are "entitled to substantial deference" and "will be disregarded only if plainly erroneous or inconsistent with the regulation." </w:t>
      </w:r>
      <w:bookmarkStart w:id="3608" w:name="Bookmark_I5FRVGX92HM61Y0040000400"/>
      <w:bookmarkEnd w:id="3608"/>
      <w:r>
        <w:rPr>
          <w:rFonts w:ascii="Arial" w:eastAsia="Arial" w:hAnsi="Arial" w:cs="Arial"/>
          <w:i/>
          <w:color w:val="000000"/>
          <w:sz w:val="20"/>
        </w:rPr>
        <w:t>Miller v. Cal. Speedway Corp</w:t>
      </w:r>
      <w:r>
        <w:rPr>
          <w:rFonts w:ascii="Arial" w:eastAsia="Arial" w:hAnsi="Arial" w:cs="Arial"/>
          <w:color w:val="000000"/>
          <w:sz w:val="20"/>
        </w:rPr>
        <w:t xml:space="preserve">., 536 F.3d 1020, 1028 (9th Cir. 2008) (internal quotation omitted). Furthermore, </w:t>
      </w:r>
      <w:bookmarkStart w:id="3609" w:name="Bookmark_LNHNREFclscc12_14"/>
      <w:bookmarkEnd w:id="3609"/>
      <w:r>
        <w:rPr>
          <w:rFonts w:ascii="Arial" w:eastAsia="Arial" w:hAnsi="Arial" w:cs="Arial"/>
          <w:color w:val="000000"/>
          <w:sz w:val="20"/>
        </w:rPr>
        <w:t>section 4450 of the California Government Code, which implements Title 24, explicitly states:</w:t>
      </w:r>
    </w:p>
    <w:p w14:paraId="46963434" w14:textId="77777777" w:rsidR="002D0E71" w:rsidRDefault="00000000">
      <w:pPr>
        <w:pStyle w:val="Normal24"/>
        <w:widowControl w:val="0"/>
        <w:spacing w:line="260" w:lineRule="atLeast"/>
        <w:ind w:left="400"/>
        <w:jc w:val="both"/>
      </w:pPr>
      <w:bookmarkStart w:id="3610" w:name="Bookmark_para_17_19"/>
      <w:bookmarkStart w:id="3611" w:name="Bookmark_I5FRVGX92HM61Y0050000400_2"/>
      <w:bookmarkEnd w:id="3610"/>
      <w:bookmarkEnd w:id="3611"/>
      <w:r>
        <w:rPr>
          <w:rFonts w:ascii="Arial" w:eastAsia="Arial" w:hAnsi="Arial" w:cs="Arial"/>
          <w:color w:val="000000"/>
          <w:sz w:val="20"/>
        </w:rPr>
        <w:t>In no case shall the State Architect's regulations and building standards prescribe a lesser standard of accessibility or usability than provided by the Accessibility Guidelines prepared by the federal Access Board as adopted by the United States Department of Justice to implement the Americans with Disabilities Act of 1990 (Public Law 101-336).</w:t>
      </w:r>
    </w:p>
    <w:p w14:paraId="0B5D86C9" w14:textId="77777777" w:rsidR="002D0E71" w:rsidRDefault="00000000">
      <w:pPr>
        <w:pStyle w:val="Normal24"/>
        <w:widowControl w:val="0"/>
        <w:spacing w:before="200" w:line="260" w:lineRule="atLeast"/>
        <w:jc w:val="both"/>
      </w:pPr>
      <w:bookmarkStart w:id="3612" w:name="Bookmark_para_18_19"/>
      <w:bookmarkStart w:id="3613" w:name="Bookmark_I5FRVGX92SF8K70020000400"/>
      <w:bookmarkEnd w:id="3612"/>
      <w:bookmarkEnd w:id="3613"/>
      <w:r>
        <w:rPr>
          <w:rFonts w:ascii="Arial" w:eastAsia="Arial" w:hAnsi="Arial" w:cs="Arial"/>
          <w:color w:val="000000"/>
          <w:sz w:val="20"/>
        </w:rPr>
        <w:t>Cal. Gov't Code § 4450. Accordingly, we must hold accommodations to a greater or equal standard than the ADAAG requires.</w:t>
      </w:r>
      <w:r>
        <w:rPr>
          <w:rFonts w:ascii="Arial" w:eastAsia="Arial" w:hAnsi="Arial" w:cs="Arial"/>
          <w:vertAlign w:val="superscript"/>
        </w:rPr>
        <w:footnoteReference w:customMarkFollows="1" w:id="115"/>
        <w:t>2</w:t>
      </w:r>
      <w:r>
        <w:rPr>
          <w:rFonts w:ascii="Arial" w:eastAsia="Arial" w:hAnsi="Arial" w:cs="Arial"/>
          <w:color w:val="000000"/>
          <w:sz w:val="20"/>
        </w:rPr>
        <w:t xml:space="preserve"> Of course, if on remand the district court finds that Eddie Bauer's counter was thirty-six inches high (or lower), [**9]  than the counter would be accessible under Title 24 and a consideration of the clipboards as an "equivalent facilitation" would not be necessary.</w:t>
      </w:r>
    </w:p>
    <w:p w14:paraId="1E0882F8" w14:textId="77777777" w:rsidR="002D0E71" w:rsidRDefault="00000000">
      <w:pPr>
        <w:pStyle w:val="Normal24"/>
        <w:widowControl w:val="0"/>
        <w:spacing w:before="240" w:line="260" w:lineRule="atLeast"/>
      </w:pPr>
      <w:r>
        <w:br/>
      </w:r>
      <w:r>
        <w:rPr>
          <w:rFonts w:ascii="Arial" w:eastAsia="Arial" w:hAnsi="Arial" w:cs="Arial"/>
          <w:color w:val="000000"/>
          <w:sz w:val="20"/>
        </w:rPr>
        <w:t> [*1070]  V.</w:t>
      </w:r>
    </w:p>
    <w:p w14:paraId="4795358A" w14:textId="77777777" w:rsidR="002D0E71" w:rsidRDefault="00000000">
      <w:pPr>
        <w:pStyle w:val="Normal24"/>
        <w:widowControl w:val="0"/>
        <w:spacing w:before="200" w:line="260" w:lineRule="atLeast"/>
        <w:jc w:val="both"/>
      </w:pPr>
      <w:bookmarkStart w:id="3616" w:name="Bookmark_para_19_19"/>
      <w:bookmarkStart w:id="3617" w:name="Bookmark_I5FRVGX92SF8K70040000400"/>
      <w:bookmarkEnd w:id="3616"/>
      <w:bookmarkEnd w:id="3617"/>
      <w:r>
        <w:rPr>
          <w:rFonts w:ascii="Arial" w:eastAsia="Arial" w:hAnsi="Arial" w:cs="Arial"/>
          <w:color w:val="000000"/>
          <w:sz w:val="20"/>
        </w:rPr>
        <w:t xml:space="preserve">Kohler also challenges the district court's ruling that the bench in Eddie Bauer's accessible dressing room, which is sixty inches long, does not violate the ADA. The district court held that although the 1991 ADAAG provide that a dressing room bench "shall be" forty-eight inches, the sixty inch bench qualified as an "equivalent facilitation" because Kohler was able to make a parallel transfer onto it. This court affirms that holding and relies upon the reasoning provided in a related case from this sitting that addresses the same issue. </w:t>
      </w:r>
      <w:r>
        <w:rPr>
          <w:rFonts w:ascii="Arial" w:eastAsia="Arial" w:hAnsi="Arial" w:cs="Arial"/>
          <w:i/>
          <w:color w:val="000000"/>
          <w:sz w:val="20"/>
        </w:rPr>
        <w:t xml:space="preserve">See </w:t>
      </w:r>
      <w:bookmarkStart w:id="3618" w:name="Bookmark_I5FRVGX92SF8K70030000400"/>
      <w:bookmarkEnd w:id="3618"/>
      <w:r>
        <w:rPr>
          <w:rFonts w:ascii="Arial" w:eastAsia="Arial" w:hAnsi="Arial" w:cs="Arial"/>
          <w:i/>
          <w:color w:val="000000"/>
          <w:sz w:val="20"/>
        </w:rPr>
        <w:t>Kohler v. Flava Enters., Inc</w:t>
      </w:r>
      <w:r>
        <w:rPr>
          <w:rFonts w:ascii="Arial" w:eastAsia="Arial" w:hAnsi="Arial" w:cs="Arial"/>
          <w:color w:val="000000"/>
          <w:sz w:val="20"/>
        </w:rPr>
        <w:t>., 779 F.3d 1016, 2015 U.S. App. LEXIS 3594, 2015 WL 968232 (9th Cir. Mar. 6, 2015).</w:t>
      </w:r>
    </w:p>
    <w:p w14:paraId="4233D9FB" w14:textId="77777777" w:rsidR="002D0E71" w:rsidRDefault="00000000">
      <w:pPr>
        <w:pStyle w:val="Normal24"/>
        <w:widowControl w:val="0"/>
        <w:spacing w:before="120" w:line="260" w:lineRule="atLeast"/>
      </w:pPr>
      <w:r>
        <w:rPr>
          <w:rFonts w:ascii="Arial" w:eastAsia="Arial" w:hAnsi="Arial" w:cs="Arial"/>
          <w:color w:val="000000"/>
          <w:sz w:val="20"/>
        </w:rPr>
        <w:t>VI.</w:t>
      </w:r>
    </w:p>
    <w:p w14:paraId="5A3E4CC5" w14:textId="77777777" w:rsidR="002D0E71" w:rsidRDefault="00000000">
      <w:pPr>
        <w:pStyle w:val="Normal24"/>
        <w:widowControl w:val="0"/>
        <w:spacing w:before="200" w:line="260" w:lineRule="atLeast"/>
        <w:jc w:val="both"/>
      </w:pPr>
      <w:bookmarkStart w:id="3619" w:name="Bookmark_para_20_17"/>
      <w:bookmarkEnd w:id="3619"/>
      <w:r>
        <w:rPr>
          <w:rFonts w:ascii="Arial" w:eastAsia="Arial" w:hAnsi="Arial" w:cs="Arial"/>
          <w:color w:val="000000"/>
          <w:sz w:val="20"/>
        </w:rPr>
        <w:t xml:space="preserve">Kohler appeals the district court's ruling that his claim of blocked aisles did not constitute an ADA violation. Kohler argues that the district court violated </w:t>
      </w:r>
      <w:r>
        <w:rPr>
          <w:rFonts w:ascii="Arial" w:eastAsia="Arial" w:hAnsi="Arial" w:cs="Arial"/>
          <w:i/>
          <w:color w:val="000000"/>
          <w:sz w:val="20"/>
        </w:rPr>
        <w:t>Strong</w:t>
      </w:r>
      <w:r>
        <w:rPr>
          <w:rFonts w:ascii="Arial" w:eastAsia="Arial" w:hAnsi="Arial" w:cs="Arial"/>
          <w:color w:val="000000"/>
          <w:sz w:val="20"/>
        </w:rPr>
        <w:t xml:space="preserve"> by refusing to consider Kohler's testimony and that the store "cannot rely upon the hoped-for existence of a kindly store clerk" to excuse ADA violations.</w:t>
      </w:r>
    </w:p>
    <w:p w14:paraId="2314128F" w14:textId="77777777" w:rsidR="002D0E71" w:rsidRDefault="00000000">
      <w:pPr>
        <w:pStyle w:val="Normal24"/>
        <w:widowControl w:val="0"/>
        <w:spacing w:before="200" w:line="260" w:lineRule="atLeast"/>
        <w:jc w:val="both"/>
      </w:pPr>
      <w:bookmarkStart w:id="3620" w:name="Bookmark_para_21_17"/>
      <w:bookmarkStart w:id="3621" w:name="Bookmark_I5FRVGX928T4600010000400"/>
      <w:bookmarkEnd w:id="3620"/>
      <w:bookmarkEnd w:id="3621"/>
      <w:r>
        <w:rPr>
          <w:rFonts w:ascii="Arial" w:eastAsia="Arial" w:hAnsi="Arial" w:cs="Arial"/>
          <w:color w:val="000000"/>
          <w:sz w:val="20"/>
        </w:rPr>
        <w:t xml:space="preserve">The district judge did consider Kohler's testimony. The district court found that Kohler testified [**10]  that "there was too much clothing on the floor" during his June 16, 2010 visit to the store which made it difficult for him to maneuver. </w:t>
      </w:r>
      <w:bookmarkStart w:id="3622" w:name="Bookmark_I5FRVGX928T4600030000400"/>
      <w:bookmarkStart w:id="3623" w:name="Bookmark_I5FRVGX92SF8K70050000400"/>
      <w:bookmarkEnd w:id="3622"/>
      <w:bookmarkEnd w:id="3623"/>
      <w:r>
        <w:rPr>
          <w:rFonts w:ascii="Arial" w:eastAsia="Arial" w:hAnsi="Arial" w:cs="Arial"/>
          <w:i/>
          <w:color w:val="000000"/>
          <w:sz w:val="20"/>
        </w:rPr>
        <w:t>Kohler</w:t>
      </w:r>
      <w:r>
        <w:rPr>
          <w:rFonts w:ascii="Arial" w:eastAsia="Arial" w:hAnsi="Arial" w:cs="Arial"/>
          <w:color w:val="000000"/>
          <w:sz w:val="20"/>
        </w:rPr>
        <w:t xml:space="preserve">, 2013 U.S. Dist. LEXIS 42816, 2013 WL 1246801, at *4, 13. </w:t>
      </w:r>
      <w:bookmarkStart w:id="3624" w:name="Bookmark_I5FRVGX928T4600030000400_2"/>
      <w:bookmarkEnd w:id="3624"/>
      <w:r>
        <w:rPr>
          <w:rFonts w:ascii="Arial" w:eastAsia="Arial" w:hAnsi="Arial" w:cs="Arial"/>
          <w:color w:val="000000"/>
          <w:sz w:val="20"/>
        </w:rPr>
        <w:t xml:space="preserve">The district court also found that on a subsequent visit to the store, Kohler was able to maneuver. </w:t>
      </w:r>
      <w:r>
        <w:rPr>
          <w:rFonts w:ascii="Arial" w:eastAsia="Arial" w:hAnsi="Arial" w:cs="Arial"/>
          <w:i/>
          <w:color w:val="000000"/>
          <w:sz w:val="20"/>
        </w:rPr>
        <w:t>Id</w:t>
      </w:r>
      <w:r>
        <w:rPr>
          <w:rFonts w:ascii="Arial" w:eastAsia="Arial" w:hAnsi="Arial" w:cs="Arial"/>
          <w:color w:val="000000"/>
          <w:sz w:val="20"/>
        </w:rPr>
        <w:t xml:space="preserve">. The court determined that this "vague" testimony, together with the store manager's testimony that the store has a policy of maintaining forty-eight inch aisles and clearing any merchandise from the floor, was not sufficient to show a "significant loss of selling or serving space" as required by the ADA. </w:t>
      </w:r>
      <w:bookmarkStart w:id="3625" w:name="Bookmark_I5FRVGX928T4600020000400"/>
      <w:bookmarkEnd w:id="3625"/>
      <w:r>
        <w:rPr>
          <w:rFonts w:ascii="Arial" w:eastAsia="Arial" w:hAnsi="Arial" w:cs="Arial"/>
          <w:color w:val="000000"/>
          <w:sz w:val="20"/>
        </w:rPr>
        <w:t xml:space="preserve">2013 U.S. Dist. LEXIS 42816, [WL] at *13. Given that the court did not completely exclude Kohler's testimony, its determination did not run afoul of </w:t>
      </w:r>
      <w:r>
        <w:rPr>
          <w:rFonts w:ascii="Arial" w:eastAsia="Arial" w:hAnsi="Arial" w:cs="Arial"/>
          <w:i/>
          <w:color w:val="000000"/>
          <w:sz w:val="20"/>
        </w:rPr>
        <w:t>Strong</w:t>
      </w:r>
      <w:r>
        <w:rPr>
          <w:rFonts w:ascii="Arial" w:eastAsia="Arial" w:hAnsi="Arial" w:cs="Arial"/>
          <w:color w:val="000000"/>
          <w:sz w:val="20"/>
        </w:rPr>
        <w:t>. For this reason, we affirm.</w:t>
      </w:r>
      <w:r>
        <w:rPr>
          <w:rFonts w:ascii="Arial" w:eastAsia="Arial" w:hAnsi="Arial" w:cs="Arial"/>
          <w:vertAlign w:val="superscript"/>
        </w:rPr>
        <w:footnoteReference w:customMarkFollows="1" w:id="116"/>
        <w:t>3</w:t>
      </w:r>
    </w:p>
    <w:p w14:paraId="5418CE7E" w14:textId="77777777" w:rsidR="002D0E71" w:rsidRDefault="00000000">
      <w:pPr>
        <w:pStyle w:val="Normal24"/>
        <w:widowControl w:val="0"/>
        <w:spacing w:before="120" w:line="260" w:lineRule="atLeast"/>
      </w:pPr>
      <w:r>
        <w:rPr>
          <w:rFonts w:ascii="Arial" w:eastAsia="Arial" w:hAnsi="Arial" w:cs="Arial"/>
          <w:color w:val="000000"/>
          <w:sz w:val="20"/>
        </w:rPr>
        <w:t>VII.</w:t>
      </w:r>
    </w:p>
    <w:p w14:paraId="56B689BE" w14:textId="77777777" w:rsidR="002D0E71" w:rsidRDefault="00000000">
      <w:pPr>
        <w:pStyle w:val="Normal24"/>
        <w:widowControl w:val="0"/>
        <w:spacing w:before="200" w:line="260" w:lineRule="atLeast"/>
        <w:jc w:val="both"/>
      </w:pPr>
      <w:bookmarkStart w:id="3630" w:name="Bookmark_para_22_17"/>
      <w:bookmarkStart w:id="3631" w:name="Bookmark_I5FRVGX92D6NCT0020000400"/>
      <w:bookmarkEnd w:id="3630"/>
      <w:bookmarkEnd w:id="3631"/>
      <w:r>
        <w:rPr>
          <w:rFonts w:ascii="Arial" w:eastAsia="Arial" w:hAnsi="Arial" w:cs="Arial"/>
          <w:color w:val="000000"/>
          <w:sz w:val="20"/>
        </w:rPr>
        <w:t xml:space="preserve">Eddie Bauer cross-appeals the district court's denial of its motion for attorneys' fees under CDPA section 55. The district court relied upon this court's 2009 opinion in </w:t>
      </w:r>
      <w:r>
        <w:rPr>
          <w:rFonts w:ascii="Arial" w:eastAsia="Arial" w:hAnsi="Arial" w:cs="Arial"/>
          <w:i/>
          <w:color w:val="000000"/>
          <w:sz w:val="20"/>
        </w:rPr>
        <w:t>SoBreck</w:t>
      </w:r>
      <w:r>
        <w:rPr>
          <w:rFonts w:ascii="Arial" w:eastAsia="Arial" w:hAnsi="Arial" w:cs="Arial"/>
          <w:color w:val="000000"/>
          <w:sz w:val="20"/>
        </w:rPr>
        <w:t xml:space="preserve">, which held that the </w:t>
      </w:r>
      <w:bookmarkStart w:id="3632" w:name="Bookmark_LNHNREFclscc13_12"/>
      <w:bookmarkEnd w:id="3632"/>
      <w:r>
        <w:rPr>
          <w:rFonts w:ascii="Arial" w:eastAsia="Arial" w:hAnsi="Arial" w:cs="Arial"/>
          <w:color w:val="000000"/>
          <w:sz w:val="20"/>
        </w:rPr>
        <w:t xml:space="preserve">section 55's provision providing for mandatory fees for both parties was preempted by the ADA's provision providing for fees for prevailing defendants only in rare circumstances. </w:t>
      </w:r>
      <w:r>
        <w:rPr>
          <w:rFonts w:ascii="Arial" w:eastAsia="Arial" w:hAnsi="Arial" w:cs="Arial"/>
          <w:i/>
          <w:color w:val="000000"/>
          <w:sz w:val="20"/>
        </w:rPr>
        <w:t xml:space="preserve">See </w:t>
      </w:r>
      <w:bookmarkStart w:id="3633" w:name="Bookmark_I5FRVGX92D6NCT0010000400"/>
      <w:bookmarkEnd w:id="3633"/>
      <w:r>
        <w:rPr>
          <w:rFonts w:ascii="Arial" w:eastAsia="Arial" w:hAnsi="Arial" w:cs="Arial"/>
          <w:i/>
          <w:color w:val="000000"/>
          <w:sz w:val="20"/>
        </w:rPr>
        <w:t>SoBreck</w:t>
      </w:r>
      <w:r>
        <w:rPr>
          <w:rFonts w:ascii="Arial" w:eastAsia="Arial" w:hAnsi="Arial" w:cs="Arial"/>
          <w:color w:val="000000"/>
          <w:sz w:val="20"/>
        </w:rPr>
        <w:t xml:space="preserve">, 554 F.3d at 744-45. Eddie Bauer asks us to reconsider and overrule that holding in light of </w:t>
      </w:r>
      <w:r>
        <w:rPr>
          <w:rFonts w:ascii="Arial" w:eastAsia="Arial" w:hAnsi="Arial" w:cs="Arial"/>
          <w:i/>
          <w:color w:val="000000"/>
          <w:sz w:val="20"/>
        </w:rPr>
        <w:t>Jankey</w:t>
      </w:r>
      <w:r>
        <w:rPr>
          <w:rFonts w:ascii="Arial" w:eastAsia="Arial" w:hAnsi="Arial" w:cs="Arial"/>
          <w:color w:val="000000"/>
          <w:sz w:val="20"/>
        </w:rPr>
        <w:t>, which held to the contrary. We decline to do so.</w:t>
      </w:r>
    </w:p>
    <w:p w14:paraId="33CF334A" w14:textId="77777777" w:rsidR="002D0E71" w:rsidRDefault="00000000">
      <w:pPr>
        <w:pStyle w:val="Normal24"/>
        <w:widowControl w:val="0"/>
        <w:spacing w:before="200" w:line="260" w:lineRule="atLeast"/>
        <w:jc w:val="both"/>
      </w:pPr>
      <w:bookmarkStart w:id="3634" w:name="Bookmark_para_23_17"/>
      <w:bookmarkStart w:id="3635" w:name="Bookmark_I5FRVGX92D6NCT0040000400"/>
      <w:bookmarkEnd w:id="3634"/>
      <w:bookmarkEnd w:id="3635"/>
      <w:r>
        <w:rPr>
          <w:rFonts w:ascii="Arial" w:eastAsia="Arial" w:hAnsi="Arial" w:cs="Arial"/>
          <w:color w:val="000000"/>
          <w:sz w:val="20"/>
        </w:rPr>
        <w:t xml:space="preserve">First, the principles of stare decisis caution against such a departure. </w:t>
      </w:r>
      <w:bookmarkStart w:id="3636" w:name="Bookmark_LNHNREFclscc14_9"/>
      <w:bookmarkEnd w:id="3636"/>
      <w:r>
        <w:rPr>
          <w:rFonts w:ascii="Arial" w:eastAsia="Arial" w:hAnsi="Arial" w:cs="Arial"/>
          <w:color w:val="000000"/>
          <w:sz w:val="20"/>
        </w:rPr>
        <w:t xml:space="preserve">We will not overrule the decision of a prior panel of our court absent an </w:t>
      </w:r>
      <w:r>
        <w:rPr>
          <w:rFonts w:ascii="Arial" w:eastAsia="Arial" w:hAnsi="Arial" w:cs="Arial"/>
          <w:i/>
          <w:color w:val="000000"/>
          <w:sz w:val="20"/>
        </w:rPr>
        <w:t>en banc</w:t>
      </w:r>
      <w:r>
        <w:rPr>
          <w:rFonts w:ascii="Arial" w:eastAsia="Arial" w:hAnsi="Arial" w:cs="Arial"/>
          <w:color w:val="000000"/>
          <w:sz w:val="20"/>
        </w:rPr>
        <w:t xml:space="preserve"> proceeding, or a demonstrable change in the underlying law. </w:t>
      </w:r>
      <w:r>
        <w:rPr>
          <w:rFonts w:ascii="Arial" w:eastAsia="Arial" w:hAnsi="Arial" w:cs="Arial"/>
          <w:i/>
          <w:color w:val="000000"/>
          <w:sz w:val="20"/>
        </w:rPr>
        <w:t xml:space="preserve">See </w:t>
      </w:r>
      <w:bookmarkStart w:id="3637" w:name="Bookmark_I5FRVGX92D6NCT0030000400"/>
      <w:bookmarkEnd w:id="3637"/>
      <w:r>
        <w:rPr>
          <w:rFonts w:ascii="Arial" w:eastAsia="Arial" w:hAnsi="Arial" w:cs="Arial"/>
          <w:i/>
          <w:color w:val="000000"/>
          <w:sz w:val="20"/>
        </w:rPr>
        <w:t>In re Watts</w:t>
      </w:r>
      <w:r>
        <w:rPr>
          <w:rFonts w:ascii="Arial" w:eastAsia="Arial" w:hAnsi="Arial" w:cs="Arial"/>
          <w:color w:val="000000"/>
          <w:sz w:val="20"/>
        </w:rPr>
        <w:t>, 298 F.3d 1077, 1083—84 (9th Cir. 2002) (O'Scannlain, J., concurring).</w:t>
      </w:r>
    </w:p>
    <w:p w14:paraId="2EEF5BA0" w14:textId="77777777" w:rsidR="002D0E71" w:rsidRDefault="00000000">
      <w:pPr>
        <w:pStyle w:val="Normal24"/>
        <w:widowControl w:val="0"/>
        <w:spacing w:before="200" w:line="260" w:lineRule="atLeast"/>
        <w:jc w:val="both"/>
      </w:pPr>
      <w:bookmarkStart w:id="3638" w:name="Bookmark_para_24_17"/>
      <w:bookmarkEnd w:id="3638"/>
      <w:r>
        <w:rPr>
          <w:rFonts w:ascii="Arial" w:eastAsia="Arial" w:hAnsi="Arial" w:cs="Arial"/>
          <w:color w:val="000000"/>
          <w:sz w:val="20"/>
        </w:rPr>
        <w:t xml:space="preserve">Second, Eddie Bauer's argument that </w:t>
      </w:r>
      <w:r>
        <w:rPr>
          <w:rFonts w:ascii="Arial" w:eastAsia="Arial" w:hAnsi="Arial" w:cs="Arial"/>
          <w:i/>
          <w:color w:val="000000"/>
          <w:sz w:val="20"/>
        </w:rPr>
        <w:t>SoBreck</w:t>
      </w:r>
      <w:r>
        <w:rPr>
          <w:rFonts w:ascii="Arial" w:eastAsia="Arial" w:hAnsi="Arial" w:cs="Arial"/>
          <w:color w:val="000000"/>
          <w:sz w:val="20"/>
        </w:rPr>
        <w:t xml:space="preserve"> is no longer binding given a change in the California statute is not persuasive. Eddie Bauer highlights the 2009 amendments to the CDPA, which require plaintiffs seeking monetary damages to  [*1071]  prove that he or she "experience difficulty, discomfort, or embarrassment because of the violation." Cal. Civ. Code § 55.56(c). What it fails to note, however, is that this [**12]  amendment explicitly applies only to "grounds for awards for statutory damages" and references distinct portions of the CDPA (sections 52 and 54.3) that provide causes of action for monetary damages. </w:t>
      </w:r>
      <w:bookmarkStart w:id="3639" w:name="Bookmark_I5FRVGX92D6NCV0010000400"/>
      <w:bookmarkEnd w:id="3639"/>
      <w:r>
        <w:rPr>
          <w:rFonts w:ascii="Arial" w:eastAsia="Arial" w:hAnsi="Arial" w:cs="Arial"/>
          <w:i/>
          <w:color w:val="000000"/>
          <w:sz w:val="20"/>
        </w:rPr>
        <w:t>See</w:t>
      </w:r>
      <w:r>
        <w:rPr>
          <w:rFonts w:ascii="Arial" w:eastAsia="Arial" w:hAnsi="Arial" w:cs="Arial"/>
          <w:color w:val="000000"/>
          <w:sz w:val="20"/>
        </w:rPr>
        <w:t xml:space="preserve"> Cal. Civ. Code § 55.56. </w:t>
      </w:r>
      <w:bookmarkStart w:id="3640" w:name="Bookmark_I4GW5RVTVNS000RKF9P000WR"/>
      <w:bookmarkStart w:id="3641" w:name="Bookmark_I5FRVGX92D6NCV0030000400"/>
      <w:bookmarkEnd w:id="3640"/>
      <w:bookmarkEnd w:id="3641"/>
      <w:r>
        <w:rPr>
          <w:rFonts w:ascii="Arial" w:eastAsia="Arial" w:hAnsi="Arial" w:cs="Arial"/>
          <w:color w:val="000000"/>
          <w:sz w:val="20"/>
        </w:rPr>
        <w:t xml:space="preserve">Section 55, in contrast, is "part of the Disabled Person Act, but . . . an independent basis for relief" that only provides for injunctive relief. </w:t>
      </w:r>
      <w:bookmarkStart w:id="3642" w:name="Bookmark_I5FRVGX92D6NCT0050000400"/>
      <w:bookmarkEnd w:id="3642"/>
      <w:r>
        <w:rPr>
          <w:rFonts w:ascii="Arial" w:eastAsia="Arial" w:hAnsi="Arial" w:cs="Arial"/>
          <w:i/>
          <w:color w:val="000000"/>
          <w:sz w:val="20"/>
        </w:rPr>
        <w:t>Jankey</w:t>
      </w:r>
      <w:r>
        <w:rPr>
          <w:rFonts w:ascii="Arial" w:eastAsia="Arial" w:hAnsi="Arial" w:cs="Arial"/>
          <w:color w:val="000000"/>
          <w:sz w:val="20"/>
        </w:rPr>
        <w:t xml:space="preserve">, 290 P.3d at 191. </w:t>
      </w:r>
      <w:bookmarkStart w:id="3643" w:name="Bookmark_I5FRVGX92D6NCV0030000400_2"/>
      <w:bookmarkEnd w:id="3643"/>
      <w:r>
        <w:rPr>
          <w:rFonts w:ascii="Arial" w:eastAsia="Arial" w:hAnsi="Arial" w:cs="Arial"/>
          <w:color w:val="000000"/>
          <w:sz w:val="20"/>
        </w:rPr>
        <w:t>It was therefore not affected by the 2009 amendments to the CDPA. The conflict identified by this court in</w:t>
      </w:r>
      <w:bookmarkStart w:id="3644" w:name="Bookmark_I5FRVGX92D6NCV0020000400"/>
      <w:bookmarkEnd w:id="3644"/>
      <w:r>
        <w:rPr>
          <w:rFonts w:ascii="Arial" w:eastAsia="Arial" w:hAnsi="Arial" w:cs="Arial"/>
          <w:color w:val="000000"/>
          <w:sz w:val="20"/>
        </w:rPr>
        <w:t xml:space="preserve"> </w:t>
      </w:r>
      <w:r>
        <w:rPr>
          <w:rFonts w:ascii="Arial" w:eastAsia="Arial" w:hAnsi="Arial" w:cs="Arial"/>
          <w:i/>
          <w:color w:val="000000"/>
          <w:sz w:val="20"/>
        </w:rPr>
        <w:t>SoBreck</w:t>
      </w:r>
      <w:r>
        <w:rPr>
          <w:rFonts w:ascii="Arial" w:eastAsia="Arial" w:hAnsi="Arial" w:cs="Arial"/>
          <w:color w:val="000000"/>
          <w:sz w:val="20"/>
        </w:rPr>
        <w:t xml:space="preserve"> still exists. As a result, we affirm the district court's finding that section 55's provision for mandatory attorneys' fees is preempted by the ADA, and that attorneys' fees are therefore unavailable in this case.</w:t>
      </w:r>
      <w:r>
        <w:rPr>
          <w:rFonts w:ascii="Arial" w:eastAsia="Arial" w:hAnsi="Arial" w:cs="Arial"/>
          <w:vertAlign w:val="superscript"/>
        </w:rPr>
        <w:footnoteReference w:customMarkFollows="1" w:id="117"/>
        <w:t>4</w:t>
      </w:r>
    </w:p>
    <w:p w14:paraId="2F9AD661" w14:textId="77777777" w:rsidR="002D0E71" w:rsidRDefault="00000000">
      <w:pPr>
        <w:pStyle w:val="Normal24"/>
        <w:widowControl w:val="0"/>
        <w:spacing w:before="120" w:line="260" w:lineRule="atLeast"/>
      </w:pPr>
      <w:r>
        <w:rPr>
          <w:rFonts w:ascii="Arial" w:eastAsia="Arial" w:hAnsi="Arial" w:cs="Arial"/>
          <w:color w:val="000000"/>
          <w:sz w:val="20"/>
        </w:rPr>
        <w:t>VIII.</w:t>
      </w:r>
    </w:p>
    <w:p w14:paraId="621F0521" w14:textId="77777777" w:rsidR="002D0E71" w:rsidRDefault="00000000">
      <w:pPr>
        <w:pStyle w:val="Normal24"/>
        <w:widowControl w:val="0"/>
        <w:spacing w:before="200" w:line="260" w:lineRule="atLeast"/>
        <w:jc w:val="both"/>
      </w:pPr>
      <w:bookmarkStart w:id="3649" w:name="Bookmark_para_25_17"/>
      <w:bookmarkEnd w:id="3649"/>
      <w:r>
        <w:rPr>
          <w:rFonts w:ascii="Arial" w:eastAsia="Arial" w:hAnsi="Arial" w:cs="Arial"/>
          <w:color w:val="000000"/>
          <w:sz w:val="20"/>
        </w:rPr>
        <w:t>We vacate and remand the district court's ruling with respect to the counters under the ADA, and reverse and remand the ruling under Title 24. We affirm the district court's rulings on the bench, the blocked aisles, and the attorneys' [**13]  fees.</w:t>
      </w:r>
    </w:p>
    <w:p w14:paraId="5B149E2D" w14:textId="77777777" w:rsidR="002D0E71" w:rsidRDefault="00000000">
      <w:pPr>
        <w:pStyle w:val="Normal24"/>
        <w:widowControl w:val="0"/>
        <w:spacing w:before="200" w:line="260" w:lineRule="atLeast"/>
        <w:jc w:val="both"/>
      </w:pPr>
      <w:bookmarkStart w:id="3650" w:name="Bookmark_para_26_17"/>
      <w:bookmarkEnd w:id="3650"/>
      <w:r>
        <w:rPr>
          <w:rFonts w:ascii="Arial" w:eastAsia="Arial" w:hAnsi="Arial" w:cs="Arial"/>
          <w:b/>
          <w:color w:val="000000"/>
          <w:sz w:val="20"/>
        </w:rPr>
        <w:t>AFFIRMED IN PART, VACATED AND REMANDED IN PART</w:t>
      </w:r>
      <w:r>
        <w:rPr>
          <w:rFonts w:ascii="Arial" w:eastAsia="Arial" w:hAnsi="Arial" w:cs="Arial"/>
          <w:color w:val="000000"/>
          <w:sz w:val="20"/>
        </w:rPr>
        <w:t>.</w:t>
      </w:r>
    </w:p>
    <w:p w14:paraId="4105005C" w14:textId="77777777" w:rsidR="002D0E71" w:rsidRDefault="00000000">
      <w:pPr>
        <w:pStyle w:val="Normal24"/>
        <w:widowControl w:val="0"/>
        <w:spacing w:before="200" w:line="260" w:lineRule="atLeast"/>
        <w:jc w:val="both"/>
      </w:pPr>
      <w:bookmarkStart w:id="3651" w:name="Bookmark_para_27_17"/>
      <w:bookmarkEnd w:id="3651"/>
      <w:r>
        <w:rPr>
          <w:rFonts w:ascii="Arial" w:eastAsia="Arial" w:hAnsi="Arial" w:cs="Arial"/>
          <w:color w:val="000000"/>
          <w:sz w:val="20"/>
        </w:rPr>
        <w:t>The parties shall bear their own costs on appeal.</w:t>
      </w:r>
    </w:p>
    <w:p w14:paraId="77EBA55B" w14:textId="77777777" w:rsidR="002D0E71" w:rsidRDefault="002D0E71">
      <w:pPr>
        <w:pStyle w:val="Normal24"/>
      </w:pPr>
    </w:p>
    <w:p w14:paraId="26338F64" w14:textId="17708FC0" w:rsidR="002D0E71" w:rsidRDefault="00000000">
      <w:pPr>
        <w:pStyle w:val="Normal24"/>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10464" behindDoc="0" locked="0" layoutInCell="1" allowOverlap="1" wp14:anchorId="623AAB0D" wp14:editId="475EB5C8">
                <wp:simplePos x="0" y="0"/>
                <wp:positionH relativeFrom="column">
                  <wp:posOffset>0</wp:posOffset>
                </wp:positionH>
                <wp:positionV relativeFrom="paragraph">
                  <wp:posOffset>127000</wp:posOffset>
                </wp:positionV>
                <wp:extent cx="6502400" cy="0"/>
                <wp:effectExtent l="9525" t="12700" r="12700" b="6350"/>
                <wp:wrapNone/>
                <wp:docPr id="1420002375"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BC146" id="Line 52"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310C892" w14:textId="77777777" w:rsidR="002D0E71" w:rsidRDefault="002D0E71">
      <w:pPr>
        <w:pStyle w:val="Normal25"/>
        <w:sectPr w:rsidR="002D0E71">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gutter="0"/>
          <w:cols w:space="720"/>
          <w:titlePg/>
        </w:sectPr>
      </w:pPr>
    </w:p>
    <w:p w14:paraId="55EB4954" w14:textId="77777777" w:rsidR="002D0E71" w:rsidRDefault="002D0E71">
      <w:pPr>
        <w:pStyle w:val="Normal25"/>
      </w:pPr>
    </w:p>
    <w:p w14:paraId="3E68EF83" w14:textId="77777777" w:rsidR="002D0E71" w:rsidRDefault="00000000">
      <w:pPr>
        <w:pStyle w:val="Heading124"/>
        <w:keepNext w:val="0"/>
        <w:widowControl w:val="0"/>
        <w:spacing w:after="200" w:line="340" w:lineRule="atLeast"/>
        <w:jc w:val="center"/>
      </w:pPr>
      <w:r>
        <w:rPr>
          <w:rFonts w:eastAsia="Arial"/>
          <w:color w:val="000000"/>
          <w:sz w:val="28"/>
        </w:rPr>
        <w:t>Kohler v. Flava Enters.</w:t>
      </w:r>
    </w:p>
    <w:p w14:paraId="5AB93FD1" w14:textId="77777777" w:rsidR="002D0E71" w:rsidRDefault="00000000">
      <w:pPr>
        <w:pStyle w:val="Normal25"/>
        <w:widowControl w:val="0"/>
        <w:spacing w:before="120" w:line="260" w:lineRule="atLeast"/>
        <w:jc w:val="center"/>
      </w:pPr>
      <w:r>
        <w:rPr>
          <w:rFonts w:ascii="Arial" w:eastAsia="Arial" w:hAnsi="Arial" w:cs="Arial"/>
          <w:color w:val="000000"/>
          <w:sz w:val="20"/>
        </w:rPr>
        <w:t>United States Court of Appeals for the Ninth Circuit</w:t>
      </w:r>
    </w:p>
    <w:p w14:paraId="0FD21CDB" w14:textId="77777777" w:rsidR="002D0E71" w:rsidRDefault="00000000">
      <w:pPr>
        <w:pStyle w:val="Normal25"/>
        <w:widowControl w:val="0"/>
        <w:spacing w:before="120" w:line="260" w:lineRule="atLeast"/>
        <w:jc w:val="center"/>
      </w:pPr>
      <w:r>
        <w:rPr>
          <w:rFonts w:ascii="Arial" w:eastAsia="Arial" w:hAnsi="Arial" w:cs="Arial"/>
          <w:color w:val="000000"/>
          <w:sz w:val="20"/>
        </w:rPr>
        <w:t>February 3, 2015, Argued and Submitted, Pasadena, California; March 6, 2015, Filed</w:t>
      </w:r>
    </w:p>
    <w:p w14:paraId="0AA9AE91" w14:textId="77777777" w:rsidR="002D0E71" w:rsidRDefault="00000000">
      <w:pPr>
        <w:pStyle w:val="Normal25"/>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11-56814, No. 12-55518</w:t>
      </w:r>
    </w:p>
    <w:p w14:paraId="2A9A9C36" w14:textId="77777777" w:rsidR="002D0E71" w:rsidRDefault="002D0E71">
      <w:pPr>
        <w:pStyle w:val="Normal25"/>
        <w:widowControl w:val="0"/>
        <w:spacing w:line="240" w:lineRule="atLeast"/>
        <w:jc w:val="both"/>
      </w:pPr>
      <w:bookmarkStart w:id="3652" w:name="Bookmark_26"/>
      <w:bookmarkEnd w:id="3652"/>
    </w:p>
    <w:p w14:paraId="08678B8D" w14:textId="77777777" w:rsidR="002D0E71" w:rsidRDefault="00000000">
      <w:pPr>
        <w:pStyle w:val="Normal25"/>
        <w:widowControl w:val="0"/>
        <w:spacing w:before="200" w:line="240" w:lineRule="atLeast"/>
      </w:pPr>
      <w:bookmarkStart w:id="3653" w:name="Reporter_24"/>
      <w:bookmarkEnd w:id="3653"/>
      <w:r>
        <w:rPr>
          <w:rFonts w:ascii="Arial" w:eastAsia="Arial" w:hAnsi="Arial" w:cs="Arial"/>
          <w:b/>
          <w:color w:val="000000"/>
          <w:sz w:val="18"/>
        </w:rPr>
        <w:t>Reporter</w:t>
      </w:r>
    </w:p>
    <w:p w14:paraId="07616217" w14:textId="77777777" w:rsidR="002D0E71" w:rsidRDefault="00000000">
      <w:pPr>
        <w:pStyle w:val="Normal25"/>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779 F.3d 1016 *; 2015 U.S. App. LEXIS 3594 **</w:t>
      </w:r>
    </w:p>
    <w:p w14:paraId="3DFCB2DE" w14:textId="77777777" w:rsidR="002D0E71" w:rsidRDefault="00000000">
      <w:pPr>
        <w:pStyle w:val="Normal25"/>
        <w:widowControl w:val="0"/>
        <w:spacing w:before="120" w:line="260" w:lineRule="atLeast"/>
      </w:pPr>
      <w:r>
        <w:rPr>
          <w:rFonts w:ascii="Arial" w:eastAsia="Arial" w:hAnsi="Arial" w:cs="Arial"/>
          <w:color w:val="000000"/>
          <w:sz w:val="20"/>
        </w:rPr>
        <w:t>CHRIS KOHLER, Plaintiff-Appellant, v. FLAVA ENTERPRISES, INC., Defendant-Appellee.</w:t>
      </w:r>
    </w:p>
    <w:p w14:paraId="2266D66D" w14:textId="77777777" w:rsidR="002D0E71" w:rsidRDefault="00000000">
      <w:pPr>
        <w:pStyle w:val="Normal25"/>
        <w:widowControl w:val="0"/>
        <w:spacing w:before="240" w:line="260" w:lineRule="atLeast"/>
        <w:jc w:val="both"/>
      </w:pPr>
      <w:bookmarkStart w:id="3654" w:name="Prior_History_24"/>
      <w:bookmarkEnd w:id="3654"/>
      <w:r>
        <w:rPr>
          <w:rFonts w:ascii="Arial" w:eastAsia="Arial" w:hAnsi="Arial" w:cs="Arial"/>
          <w:b/>
          <w:color w:val="000000"/>
          <w:sz w:val="20"/>
        </w:rPr>
        <w:t>Prior History:</w:t>
      </w:r>
      <w:r>
        <w:rPr>
          <w:rFonts w:ascii="Arial" w:eastAsia="Arial" w:hAnsi="Arial" w:cs="Arial"/>
          <w:color w:val="000000"/>
          <w:sz w:val="20"/>
        </w:rPr>
        <w:t> </w:t>
      </w:r>
      <w:bookmarkStart w:id="3655" w:name="Bookmark_para_1_24"/>
      <w:bookmarkEnd w:id="3655"/>
      <w:r>
        <w:rPr>
          <w:rFonts w:ascii="Arial" w:eastAsia="Arial" w:hAnsi="Arial" w:cs="Arial"/>
          <w:color w:val="000000"/>
          <w:sz w:val="20"/>
        </w:rPr>
        <w:t> [**1] Appeal from the United States District Court for the Southern District of California. D.C. NO. 3:10-cv-00730-IEG-NLS. D.C. NO. 3:10-cv-00730-IEG-NLS. Irma E. Gonzalez, District Judge, Presiding.</w:t>
      </w:r>
    </w:p>
    <w:p w14:paraId="5E3CDD07" w14:textId="77777777" w:rsidR="002D0E71" w:rsidRDefault="00000000">
      <w:pPr>
        <w:pStyle w:val="Normal25"/>
        <w:widowControl w:val="0"/>
        <w:spacing w:before="120" w:line="260" w:lineRule="atLeast"/>
      </w:pPr>
      <w:r>
        <w:rPr>
          <w:rFonts w:ascii="Arial" w:eastAsia="Arial" w:hAnsi="Arial" w:cs="Arial"/>
          <w:color w:val="000000"/>
          <w:sz w:val="20"/>
        </w:rPr>
        <w:t>Kohler v. Flava Enters., 2012 U.S. Dist. LEXIS 17261 (S.D. Cal., Feb. 13, 2012)</w:t>
      </w:r>
    </w:p>
    <w:p w14:paraId="5FF82FAE" w14:textId="77777777" w:rsidR="002D0E71" w:rsidRDefault="00000000">
      <w:pPr>
        <w:pStyle w:val="Normal25"/>
        <w:widowControl w:val="0"/>
        <w:spacing w:before="120" w:line="260" w:lineRule="atLeast"/>
      </w:pPr>
      <w:r>
        <w:rPr>
          <w:rFonts w:ascii="Arial" w:eastAsia="Arial" w:hAnsi="Arial" w:cs="Arial"/>
          <w:color w:val="000000"/>
          <w:sz w:val="20"/>
        </w:rPr>
        <w:t>Kohler v. Flava Enters., 826 F. Supp. 2d 1221, 2011 U.S. Dist. LEXIS 140306 (S.D. Cal., 2011)</w:t>
      </w:r>
    </w:p>
    <w:p w14:paraId="4F4A13C1" w14:textId="77777777" w:rsidR="002D0E71" w:rsidRDefault="00000000">
      <w:pPr>
        <w:pStyle w:val="Normal25"/>
        <w:widowControl w:val="0"/>
        <w:spacing w:before="240" w:line="260" w:lineRule="atLeast"/>
      </w:pPr>
      <w:bookmarkStart w:id="3656" w:name="Counsel_24"/>
      <w:bookmarkEnd w:id="3656"/>
      <w:r>
        <w:rPr>
          <w:rFonts w:ascii="Arial" w:eastAsia="Arial" w:hAnsi="Arial" w:cs="Arial"/>
          <w:b/>
          <w:color w:val="000000"/>
          <w:sz w:val="20"/>
        </w:rPr>
        <w:t>Counsel:</w:t>
      </w:r>
      <w:r>
        <w:rPr>
          <w:rFonts w:ascii="Arial" w:eastAsia="Arial" w:hAnsi="Arial" w:cs="Arial"/>
          <w:color w:val="000000"/>
          <w:sz w:val="20"/>
        </w:rPr>
        <w:t> Scottlyn J. Hubbard IV (argued), Law Offices of Lynn Hubbard, Chico, California, for Plaintiff-Appellant/Cross-Appellee.</w:t>
      </w:r>
    </w:p>
    <w:p w14:paraId="67E4C261" w14:textId="77777777" w:rsidR="002D0E71" w:rsidRDefault="00000000">
      <w:pPr>
        <w:pStyle w:val="Normal25"/>
        <w:widowControl w:val="0"/>
        <w:spacing w:before="120" w:line="260" w:lineRule="atLeast"/>
      </w:pPr>
      <w:r>
        <w:rPr>
          <w:rFonts w:ascii="Arial" w:eastAsia="Arial" w:hAnsi="Arial" w:cs="Arial"/>
          <w:color w:val="000000"/>
          <w:sz w:val="20"/>
        </w:rPr>
        <w:t>David Warren Peters (argued), California Justice Alliance, APC, San Diego, California, for Defendant-Appellee/Cross-Appellant.</w:t>
      </w:r>
    </w:p>
    <w:p w14:paraId="4E01F953" w14:textId="77777777" w:rsidR="002D0E71" w:rsidRDefault="00000000">
      <w:pPr>
        <w:pStyle w:val="Normal25"/>
        <w:widowControl w:val="0"/>
        <w:spacing w:before="240" w:line="260" w:lineRule="atLeast"/>
      </w:pPr>
      <w:bookmarkStart w:id="3657" w:name="Judges_24"/>
      <w:bookmarkEnd w:id="3657"/>
      <w:r>
        <w:rPr>
          <w:rFonts w:ascii="Arial" w:eastAsia="Arial" w:hAnsi="Arial" w:cs="Arial"/>
          <w:b/>
          <w:color w:val="000000"/>
          <w:sz w:val="20"/>
        </w:rPr>
        <w:t>Judges:</w:t>
      </w:r>
      <w:r>
        <w:rPr>
          <w:rFonts w:ascii="Arial" w:eastAsia="Arial" w:hAnsi="Arial" w:cs="Arial"/>
          <w:color w:val="000000"/>
          <w:sz w:val="20"/>
        </w:rPr>
        <w:t> Before: Stephen Reinhardt and Ronald M. Gould, Circuit Judges and J. Frederick Motz, Senior District Judge.</w:t>
      </w:r>
      <w:r>
        <w:rPr>
          <w:rFonts w:ascii="Arial" w:eastAsia="Arial" w:hAnsi="Arial" w:cs="Arial"/>
          <w:vertAlign w:val="superscript"/>
        </w:rPr>
        <w:footnoteReference w:customMarkFollows="1" w:id="118"/>
        <w:t>*</w:t>
      </w:r>
      <w:r>
        <w:rPr>
          <w:rFonts w:ascii="Arial" w:eastAsia="Arial" w:hAnsi="Arial" w:cs="Arial"/>
          <w:color w:val="000000"/>
          <w:sz w:val="20"/>
        </w:rPr>
        <w:t xml:space="preserve"> Opinion by Judge Motz.</w:t>
      </w:r>
    </w:p>
    <w:p w14:paraId="3CC6C92F" w14:textId="77777777" w:rsidR="002D0E71" w:rsidRDefault="00000000">
      <w:pPr>
        <w:pStyle w:val="Normal25"/>
        <w:widowControl w:val="0"/>
        <w:spacing w:before="240" w:line="260" w:lineRule="atLeast"/>
      </w:pPr>
      <w:bookmarkStart w:id="3659" w:name="Opinion_by_17"/>
      <w:bookmarkEnd w:id="3659"/>
      <w:r>
        <w:rPr>
          <w:rFonts w:ascii="Arial" w:eastAsia="Arial" w:hAnsi="Arial" w:cs="Arial"/>
          <w:b/>
          <w:color w:val="000000"/>
          <w:sz w:val="20"/>
        </w:rPr>
        <w:t>Opinion by:</w:t>
      </w:r>
      <w:r>
        <w:rPr>
          <w:rFonts w:ascii="Arial" w:eastAsia="Arial" w:hAnsi="Arial" w:cs="Arial"/>
          <w:color w:val="000000"/>
          <w:sz w:val="20"/>
        </w:rPr>
        <w:t> Motz</w:t>
      </w:r>
    </w:p>
    <w:p w14:paraId="3120D65C" w14:textId="77777777" w:rsidR="002D0E71" w:rsidRDefault="00000000">
      <w:pPr>
        <w:pStyle w:val="Normal25"/>
        <w:keepNext/>
        <w:widowControl w:val="0"/>
        <w:spacing w:before="240" w:line="340" w:lineRule="atLeast"/>
      </w:pPr>
      <w:bookmarkStart w:id="3660" w:name="Opinion_24"/>
      <w:bookmarkEnd w:id="3660"/>
      <w:r>
        <w:rPr>
          <w:rFonts w:ascii="Arial" w:eastAsia="Arial" w:hAnsi="Arial" w:cs="Arial"/>
          <w:b/>
          <w:color w:val="000000"/>
          <w:sz w:val="28"/>
        </w:rPr>
        <w:t>Opinion</w:t>
      </w:r>
    </w:p>
    <w:p w14:paraId="53CC496F" w14:textId="459EBFED" w:rsidR="002D0E71" w:rsidRDefault="002939DF">
      <w:pPr>
        <w:pStyle w:val="Normal25"/>
        <w:spacing w:line="60" w:lineRule="exact"/>
      </w:pPr>
      <w:r>
        <w:rPr>
          <w:noProof/>
        </w:rPr>
        <mc:AlternateContent>
          <mc:Choice Requires="wps">
            <w:drawing>
              <wp:anchor distT="0" distB="0" distL="114300" distR="114300" simplePos="0" relativeHeight="251711488" behindDoc="0" locked="0" layoutInCell="1" allowOverlap="1" wp14:anchorId="7FC10EA0" wp14:editId="14D189C3">
                <wp:simplePos x="0" y="0"/>
                <wp:positionH relativeFrom="column">
                  <wp:posOffset>0</wp:posOffset>
                </wp:positionH>
                <wp:positionV relativeFrom="paragraph">
                  <wp:posOffset>25400</wp:posOffset>
                </wp:positionV>
                <wp:extent cx="3187700" cy="0"/>
                <wp:effectExtent l="19050" t="15875" r="12700" b="12700"/>
                <wp:wrapTopAndBottom/>
                <wp:docPr id="759868761"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5A4331" id="Line 53"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5F2A0223" w14:textId="77777777" w:rsidR="002D0E71" w:rsidRDefault="002D0E71">
      <w:pPr>
        <w:pStyle w:val="Normal25"/>
        <w:spacing w:line="120" w:lineRule="exact"/>
      </w:pPr>
    </w:p>
    <w:p w14:paraId="69A0D83F" w14:textId="77777777" w:rsidR="002D0E71" w:rsidRDefault="00000000">
      <w:pPr>
        <w:pStyle w:val="Normal25"/>
        <w:widowControl w:val="0"/>
        <w:spacing w:before="240" w:line="260" w:lineRule="atLeast"/>
      </w:pPr>
      <w:r>
        <w:br/>
      </w:r>
      <w:r>
        <w:rPr>
          <w:rFonts w:ascii="Arial" w:eastAsia="Arial" w:hAnsi="Arial" w:cs="Arial"/>
          <w:b/>
          <w:color w:val="000000"/>
          <w:sz w:val="20"/>
        </w:rPr>
        <w:t>SUMMARY</w:t>
      </w:r>
      <w:r>
        <w:rPr>
          <w:rFonts w:ascii="Arial" w:eastAsia="Arial" w:hAnsi="Arial" w:cs="Arial"/>
          <w:vertAlign w:val="superscript"/>
        </w:rPr>
        <w:footnoteReference w:customMarkFollows="1" w:id="119"/>
        <w:t>**</w:t>
      </w:r>
    </w:p>
    <w:p w14:paraId="5A94D96D" w14:textId="77777777" w:rsidR="002D0E71" w:rsidRDefault="00000000">
      <w:pPr>
        <w:pStyle w:val="Normal25"/>
        <w:widowControl w:val="0"/>
        <w:spacing w:before="240" w:line="260" w:lineRule="atLeast"/>
      </w:pPr>
      <w:r>
        <w:br/>
      </w:r>
      <w:r>
        <w:rPr>
          <w:rFonts w:ascii="Arial" w:eastAsia="Arial" w:hAnsi="Arial" w:cs="Arial"/>
          <w:b/>
          <w:color w:val="000000"/>
          <w:sz w:val="20"/>
        </w:rPr>
        <w:t>Americans with Disabilities Act</w:t>
      </w:r>
    </w:p>
    <w:p w14:paraId="1B66240F" w14:textId="77777777" w:rsidR="002D0E71" w:rsidRDefault="00000000">
      <w:pPr>
        <w:pStyle w:val="Normal25"/>
        <w:widowControl w:val="0"/>
        <w:spacing w:before="200" w:line="260" w:lineRule="atLeast"/>
        <w:jc w:val="both"/>
      </w:pPr>
      <w:bookmarkStart w:id="3662" w:name="Bookmark_para_2_24"/>
      <w:bookmarkEnd w:id="3662"/>
      <w:r>
        <w:rPr>
          <w:rFonts w:ascii="Arial" w:eastAsia="Arial" w:hAnsi="Arial" w:cs="Arial"/>
          <w:color w:val="000000"/>
          <w:sz w:val="20"/>
        </w:rPr>
        <w:t>The panel affirmed the district court's grant of summary judgment and its denial of attorneys' fees in an action under Title III of the Americans with Disabilities Act.</w:t>
      </w:r>
    </w:p>
    <w:p w14:paraId="388217C9" w14:textId="77777777" w:rsidR="002D0E71" w:rsidRDefault="00000000">
      <w:pPr>
        <w:pStyle w:val="Normal25"/>
        <w:widowControl w:val="0"/>
        <w:spacing w:before="200" w:line="260" w:lineRule="atLeast"/>
        <w:jc w:val="both"/>
      </w:pPr>
      <w:bookmarkStart w:id="3663" w:name="Bookmark_para_3_24"/>
      <w:bookmarkEnd w:id="3663"/>
      <w:r>
        <w:rPr>
          <w:rFonts w:ascii="Arial" w:eastAsia="Arial" w:hAnsi="Arial" w:cs="Arial"/>
          <w:color w:val="000000"/>
          <w:sz w:val="20"/>
        </w:rPr>
        <w:t>Affirming the district court's summary judgment in favor of the defendant, the panel held that a dressing room bench longer than forty-eight inches complied [**2]  with the 1991 version of the ADA Accessibility Guidelines even though the arrangement of the bench prevented the plaintiff from making a diagonal transfer onto the bench from his wheelchair. The panel held that the bench did not comply with the ADAAG's mandate but nonetheless qualified as an "equivalent facilitation" because the plaintiff could make a parallel transfer. Because the bench thus complied with the 1991 standards and had not been altered since March 15, 2012, it fell within a safe harbor and was not required to comply with the newer ADAAG standards promulgated in 2010.</w:t>
      </w:r>
    </w:p>
    <w:p w14:paraId="71D746AB" w14:textId="77777777" w:rsidR="002D0E71" w:rsidRDefault="00000000">
      <w:pPr>
        <w:pStyle w:val="Normal25"/>
        <w:widowControl w:val="0"/>
        <w:spacing w:before="200" w:line="260" w:lineRule="atLeast"/>
        <w:jc w:val="both"/>
      </w:pPr>
      <w:bookmarkStart w:id="3664" w:name="Bookmark_para_4_24"/>
      <w:bookmarkEnd w:id="3664"/>
      <w:r>
        <w:rPr>
          <w:rFonts w:ascii="Arial" w:eastAsia="Arial" w:hAnsi="Arial" w:cs="Arial"/>
          <w:color w:val="000000"/>
          <w:sz w:val="20"/>
        </w:rPr>
        <w:t>The panel also affirmed the district court's denial of defendant's motion for attorneys' fees under the ADA and 28 U.S.C. § 1927.</w:t>
      </w:r>
    </w:p>
    <w:p w14:paraId="6ABF075A" w14:textId="77777777" w:rsidR="002D0E71" w:rsidRDefault="00000000">
      <w:pPr>
        <w:pStyle w:val="Normal25"/>
        <w:widowControl w:val="0"/>
        <w:spacing w:before="240" w:line="260" w:lineRule="atLeast"/>
      </w:pPr>
      <w:r>
        <w:br/>
      </w:r>
      <w:r>
        <w:rPr>
          <w:rFonts w:ascii="Arial" w:eastAsia="Arial" w:hAnsi="Arial" w:cs="Arial"/>
          <w:color w:val="000000"/>
          <w:sz w:val="20"/>
        </w:rPr>
        <w:t xml:space="preserve"> [*1018]  </w:t>
      </w:r>
      <w:r>
        <w:rPr>
          <w:rFonts w:ascii="Arial" w:eastAsia="Arial" w:hAnsi="Arial" w:cs="Arial"/>
          <w:b/>
          <w:color w:val="000000"/>
          <w:sz w:val="20"/>
        </w:rPr>
        <w:t>OPINION</w:t>
      </w:r>
    </w:p>
    <w:p w14:paraId="3D8A0400" w14:textId="77777777" w:rsidR="002D0E71" w:rsidRDefault="00000000">
      <w:pPr>
        <w:pStyle w:val="Normal25"/>
        <w:widowControl w:val="0"/>
        <w:spacing w:before="200" w:line="260" w:lineRule="atLeast"/>
        <w:jc w:val="both"/>
      </w:pPr>
      <w:bookmarkStart w:id="3665" w:name="Bookmark_para_5_24"/>
      <w:bookmarkEnd w:id="3665"/>
      <w:r>
        <w:rPr>
          <w:rFonts w:ascii="Arial" w:eastAsia="Arial" w:hAnsi="Arial" w:cs="Arial"/>
          <w:color w:val="000000"/>
          <w:sz w:val="20"/>
        </w:rPr>
        <w:t>MOTZ, Senior District Judge:</w:t>
      </w:r>
    </w:p>
    <w:p w14:paraId="72C85AF3" w14:textId="77777777" w:rsidR="002D0E71" w:rsidRDefault="00000000">
      <w:pPr>
        <w:pStyle w:val="Normal25"/>
        <w:widowControl w:val="0"/>
        <w:spacing w:before="200" w:line="260" w:lineRule="atLeast"/>
        <w:jc w:val="both"/>
      </w:pPr>
      <w:bookmarkStart w:id="3666" w:name="Bookmark_para_6_24"/>
      <w:bookmarkEnd w:id="3666"/>
      <w:r>
        <w:rPr>
          <w:rFonts w:ascii="Arial" w:eastAsia="Arial" w:hAnsi="Arial" w:cs="Arial"/>
          <w:color w:val="000000"/>
          <w:sz w:val="20"/>
        </w:rPr>
        <w:t>Chris Kohler appeals the district court's grant of summary judgment to defendant Flava Enterprises Inc. ("Flava"), on Kohler's claim under Title III of the Americans with Disabilities Act ("ADA"). Kohler appeals only the district court's conclusion that a dressing room bench longer than forty-eight inches complies with the Americans with Disabilities Act Accessibility Guidelines ("ADAAG"). We affirm. Flava cross-appeals the district court's denial of Flava's motion [**3]  for attorneys' fees. We affirm the district court's ruling on attorneys' fees.</w:t>
      </w:r>
    </w:p>
    <w:p w14:paraId="0B560C26" w14:textId="77777777" w:rsidR="002D0E71" w:rsidRDefault="00000000">
      <w:pPr>
        <w:pStyle w:val="Normal25"/>
        <w:widowControl w:val="0"/>
        <w:spacing w:before="120" w:line="260" w:lineRule="atLeast"/>
      </w:pPr>
      <w:r>
        <w:rPr>
          <w:rFonts w:ascii="Arial" w:eastAsia="Arial" w:hAnsi="Arial" w:cs="Arial"/>
          <w:color w:val="000000"/>
          <w:sz w:val="20"/>
        </w:rPr>
        <w:t>I.</w:t>
      </w:r>
    </w:p>
    <w:p w14:paraId="7F1CC89F" w14:textId="77777777" w:rsidR="002D0E71" w:rsidRDefault="00000000">
      <w:pPr>
        <w:pStyle w:val="Normal25"/>
        <w:widowControl w:val="0"/>
        <w:spacing w:before="200" w:line="260" w:lineRule="atLeast"/>
        <w:jc w:val="both"/>
      </w:pPr>
      <w:bookmarkStart w:id="3667" w:name="Bookmark_para_7_23"/>
      <w:bookmarkEnd w:id="3667"/>
      <w:r>
        <w:rPr>
          <w:rFonts w:ascii="Arial" w:eastAsia="Arial" w:hAnsi="Arial" w:cs="Arial"/>
          <w:color w:val="000000"/>
          <w:sz w:val="20"/>
        </w:rPr>
        <w:t>Kohler is disabled and uses a wheelchair. In February 2010 he visited Flava's retail clothing store "House of Flava" to browse and try on clothing. While doing so, he allegedly encountered various barriers that interfered with his ability to use and enjoy "House of Flava." The barrier he encountered that is relevant to this appeal was a bench in the dressing room that was longer than forty-eight inches and ran along the entire length of the dressing room wall. This arrangement prevented Kohler from making a diagonal transfer onto the bench from his wheelchair.</w:t>
      </w:r>
    </w:p>
    <w:p w14:paraId="0E496C28" w14:textId="77777777" w:rsidR="002D0E71" w:rsidRDefault="00000000">
      <w:pPr>
        <w:pStyle w:val="Normal25"/>
        <w:widowControl w:val="0"/>
        <w:spacing w:before="200" w:line="260" w:lineRule="atLeast"/>
        <w:jc w:val="both"/>
      </w:pPr>
      <w:bookmarkStart w:id="3668" w:name="Bookmark_para_8_23"/>
      <w:bookmarkStart w:id="3669" w:name="Bookmark_I5FN31M32SF8MP0020000400"/>
      <w:bookmarkEnd w:id="3668"/>
      <w:bookmarkEnd w:id="3669"/>
      <w:r>
        <w:rPr>
          <w:rFonts w:ascii="Arial" w:eastAsia="Arial" w:hAnsi="Arial" w:cs="Arial"/>
          <w:color w:val="000000"/>
          <w:sz w:val="20"/>
        </w:rPr>
        <w:t xml:space="preserve">Kohler filed suit against Flava alleging violations of Title III of the ADA; the California Disabled Persons Act ("DPA"), Cal. Civ. Code § 54; the Unruh Civil Rights Act, Cal. Civ. Code § 51; and the California Health and Safety Code. The parties filed cross-motions for summary judgment. The district court granted Flava's motion for summary judgment on all of Kohler's ADA claims, and declined to exercise jurisdiction over his state law claims. </w:t>
      </w:r>
      <w:bookmarkStart w:id="3670" w:name="Bookmark_I5FN31M32SF8MP0010000400"/>
      <w:bookmarkEnd w:id="3670"/>
      <w:r>
        <w:rPr>
          <w:rFonts w:ascii="Arial" w:eastAsia="Arial" w:hAnsi="Arial" w:cs="Arial"/>
          <w:i/>
          <w:color w:val="000000"/>
          <w:sz w:val="20"/>
        </w:rPr>
        <w:t>Kohler v. Flava Enters., Inc</w:t>
      </w:r>
      <w:r>
        <w:rPr>
          <w:rFonts w:ascii="Arial" w:eastAsia="Arial" w:hAnsi="Arial" w:cs="Arial"/>
          <w:color w:val="000000"/>
          <w:sz w:val="20"/>
        </w:rPr>
        <w:t>., 826 F. Supp. 2d 1221 (S.D. Cal. 2011). Flava timely appealed only the district court's ruling with respect to the bench length.</w:t>
      </w:r>
    </w:p>
    <w:p w14:paraId="31C6FFB1" w14:textId="77777777" w:rsidR="002D0E71" w:rsidRDefault="00000000">
      <w:pPr>
        <w:pStyle w:val="Normal25"/>
        <w:widowControl w:val="0"/>
        <w:spacing w:before="200" w:line="260" w:lineRule="atLeast"/>
        <w:jc w:val="both"/>
      </w:pPr>
      <w:bookmarkStart w:id="3671" w:name="Bookmark_para_9_23"/>
      <w:bookmarkEnd w:id="3671"/>
      <w:r>
        <w:rPr>
          <w:rFonts w:ascii="Arial" w:eastAsia="Arial" w:hAnsi="Arial" w:cs="Arial"/>
          <w:color w:val="000000"/>
          <w:sz w:val="20"/>
        </w:rPr>
        <w:t>Following the district court's grant of summary judgment, [**4]  Flava filed a motion for attorneys' fees, litigation expenses, and costs under the ADA, 42 U.S.C. § 12205; Section 1927, 28 U.S.C. § 1927; and the "inherent power of the court." Flava argued that Kohler's lawsuit was frivolous. The district court denied Flava's motion and Flava timely cross-appealed that decision.</w:t>
      </w:r>
    </w:p>
    <w:p w14:paraId="3A4BF5E1" w14:textId="77777777" w:rsidR="002D0E71" w:rsidRDefault="00000000">
      <w:pPr>
        <w:pStyle w:val="Normal25"/>
        <w:widowControl w:val="0"/>
        <w:spacing w:before="120" w:line="260" w:lineRule="atLeast"/>
      </w:pPr>
      <w:r>
        <w:rPr>
          <w:rFonts w:ascii="Arial" w:eastAsia="Arial" w:hAnsi="Arial" w:cs="Arial"/>
          <w:color w:val="000000"/>
          <w:sz w:val="20"/>
        </w:rPr>
        <w:t>II.</w:t>
      </w:r>
    </w:p>
    <w:p w14:paraId="0F2484A5" w14:textId="77777777" w:rsidR="002D0E71" w:rsidRDefault="00000000">
      <w:pPr>
        <w:pStyle w:val="Normal25"/>
        <w:widowControl w:val="0"/>
        <w:spacing w:before="200" w:line="260" w:lineRule="atLeast"/>
        <w:jc w:val="both"/>
      </w:pPr>
      <w:bookmarkStart w:id="3672" w:name="Bookmark_para_10_22"/>
      <w:bookmarkStart w:id="3673" w:name="Bookmark_I5FN31M32SF8MP0040000400"/>
      <w:bookmarkStart w:id="3674" w:name="Bookmark_I5FN31M32N1RT60010000400"/>
      <w:bookmarkStart w:id="3675" w:name="Bookmark_LNHNREFclscc1_20"/>
      <w:bookmarkEnd w:id="3672"/>
      <w:bookmarkEnd w:id="3673"/>
      <w:bookmarkEnd w:id="3674"/>
      <w:bookmarkEnd w:id="3675"/>
      <w:r>
        <w:rPr>
          <w:rFonts w:ascii="Arial" w:eastAsia="Arial" w:hAnsi="Arial" w:cs="Arial"/>
          <w:color w:val="000000"/>
          <w:sz w:val="20"/>
        </w:rPr>
        <w:t xml:space="preserve">We review the granting of summary judgment </w:t>
      </w:r>
      <w:r>
        <w:rPr>
          <w:rFonts w:ascii="Arial" w:eastAsia="Arial" w:hAnsi="Arial" w:cs="Arial"/>
          <w:i/>
          <w:color w:val="000000"/>
          <w:sz w:val="20"/>
        </w:rPr>
        <w:t xml:space="preserve">de novo. </w:t>
      </w:r>
      <w:bookmarkStart w:id="3676" w:name="Bookmark_I5FN31M32SF8MP0030000400"/>
      <w:bookmarkEnd w:id="3676"/>
      <w:r>
        <w:rPr>
          <w:rFonts w:ascii="Arial" w:eastAsia="Arial" w:hAnsi="Arial" w:cs="Arial"/>
          <w:i/>
          <w:color w:val="000000"/>
          <w:sz w:val="20"/>
        </w:rPr>
        <w:t>Curley v. City of North Las Vegas</w:t>
      </w:r>
      <w:r>
        <w:rPr>
          <w:rFonts w:ascii="Arial" w:eastAsia="Arial" w:hAnsi="Arial" w:cs="Arial"/>
          <w:color w:val="000000"/>
          <w:sz w:val="20"/>
        </w:rPr>
        <w:t xml:space="preserve">, 772 F.3d 629, 631 (9th Cir. 2014). </w:t>
      </w:r>
      <w:bookmarkStart w:id="3677" w:name="Bookmark_LNHNREFclscc2_20"/>
      <w:bookmarkEnd w:id="3677"/>
      <w:r>
        <w:rPr>
          <w:rFonts w:ascii="Arial" w:eastAsia="Arial" w:hAnsi="Arial" w:cs="Arial"/>
          <w:color w:val="000000"/>
          <w:sz w:val="20"/>
        </w:rPr>
        <w:t xml:space="preserve">A district court's decision to deny a motion for attorneys' fees is reviewed for abuse of discretion. </w:t>
      </w:r>
      <w:bookmarkStart w:id="3678" w:name="Bookmark_I5FN31M32SF8MP0050000400"/>
      <w:bookmarkEnd w:id="3678"/>
      <w:r>
        <w:rPr>
          <w:rFonts w:ascii="Arial" w:eastAsia="Arial" w:hAnsi="Arial" w:cs="Arial"/>
          <w:i/>
          <w:color w:val="000000"/>
          <w:sz w:val="20"/>
        </w:rPr>
        <w:t>Skaff v. Meridien N. Am. Beverly Hills, LLC</w:t>
      </w:r>
      <w:r>
        <w:rPr>
          <w:rFonts w:ascii="Arial" w:eastAsia="Arial" w:hAnsi="Arial" w:cs="Arial"/>
          <w:color w:val="000000"/>
          <w:sz w:val="20"/>
        </w:rPr>
        <w:t>, 506 F.3d 832, 837 (9th Cir. 2007).</w:t>
      </w:r>
    </w:p>
    <w:p w14:paraId="0701617F" w14:textId="77777777" w:rsidR="002D0E71" w:rsidRDefault="00000000">
      <w:pPr>
        <w:pStyle w:val="Normal25"/>
        <w:widowControl w:val="0"/>
        <w:spacing w:before="120" w:line="260" w:lineRule="atLeast"/>
      </w:pPr>
      <w:r>
        <w:rPr>
          <w:rFonts w:ascii="Arial" w:eastAsia="Arial" w:hAnsi="Arial" w:cs="Arial"/>
          <w:color w:val="000000"/>
          <w:sz w:val="20"/>
        </w:rPr>
        <w:t>III.</w:t>
      </w:r>
    </w:p>
    <w:p w14:paraId="5B05F76A" w14:textId="77777777" w:rsidR="002D0E71" w:rsidRDefault="00000000">
      <w:pPr>
        <w:pStyle w:val="Normal25"/>
        <w:widowControl w:val="0"/>
        <w:spacing w:before="200" w:line="260" w:lineRule="atLeast"/>
        <w:jc w:val="both"/>
      </w:pPr>
      <w:bookmarkStart w:id="3679" w:name="Bookmark_para_11_22"/>
      <w:bookmarkStart w:id="3680" w:name="Bookmark_I5FN31M32N1RT60030000400"/>
      <w:bookmarkStart w:id="3681" w:name="Bookmark_LNHNREFclscc3_20"/>
      <w:bookmarkEnd w:id="3679"/>
      <w:bookmarkEnd w:id="3680"/>
      <w:bookmarkEnd w:id="3681"/>
      <w:r>
        <w:rPr>
          <w:rFonts w:ascii="Arial" w:eastAsia="Arial" w:hAnsi="Arial" w:cs="Arial"/>
          <w:color w:val="000000"/>
          <w:sz w:val="20"/>
        </w:rPr>
        <w:t xml:space="preserve">Title III of the ADA requires public accommodations to provide equal access to disabled patrons. 42 U.S.C. § 12182(a). To clarify what constitutes "equal access" in specific circumstances, the Department of Justice has promulgated the Accessibility Guidelines ("ADAAG") that specify precise structural requirements. </w:t>
      </w:r>
      <w:r>
        <w:rPr>
          <w:rFonts w:ascii="Arial" w:eastAsia="Arial" w:hAnsi="Arial" w:cs="Arial"/>
          <w:i/>
          <w:color w:val="000000"/>
          <w:sz w:val="20"/>
        </w:rPr>
        <w:t xml:space="preserve">See, e.g., </w:t>
      </w:r>
      <w:bookmarkStart w:id="3682" w:name="Bookmark_I5FN31M32N1RT60020000400"/>
      <w:bookmarkEnd w:id="3682"/>
      <w:r>
        <w:rPr>
          <w:rFonts w:ascii="Arial" w:eastAsia="Arial" w:hAnsi="Arial" w:cs="Arial"/>
          <w:i/>
          <w:color w:val="000000"/>
          <w:sz w:val="20"/>
        </w:rPr>
        <w:t>Chapman v. Pier I Imports (U.S.) Inc</w:t>
      </w:r>
      <w:r>
        <w:rPr>
          <w:rFonts w:ascii="Arial" w:eastAsia="Arial" w:hAnsi="Arial" w:cs="Arial"/>
          <w:color w:val="000000"/>
          <w:sz w:val="20"/>
        </w:rPr>
        <w:t>., 631 F.3d 939, 945 (9th Cir. 2011) (en banc). Regarding dressing room benches, the 1991 ADAAG standards require that:</w:t>
      </w:r>
    </w:p>
    <w:p w14:paraId="0EF172C8" w14:textId="77777777" w:rsidR="002D0E71" w:rsidRDefault="00000000">
      <w:pPr>
        <w:pStyle w:val="Normal25"/>
        <w:widowControl w:val="0"/>
        <w:spacing w:before="200" w:line="260" w:lineRule="atLeast"/>
        <w:ind w:left="400"/>
        <w:jc w:val="both"/>
      </w:pPr>
      <w:bookmarkStart w:id="3683" w:name="Bookmark_para_12_21"/>
      <w:bookmarkEnd w:id="3683"/>
      <w:r>
        <w:rPr>
          <w:rFonts w:ascii="Arial" w:eastAsia="Arial" w:hAnsi="Arial" w:cs="Arial"/>
          <w:color w:val="000000"/>
          <w:sz w:val="20"/>
        </w:rPr>
        <w:t xml:space="preserve"> [*1019]  </w:t>
      </w:r>
      <w:bookmarkStart w:id="3684" w:name="Bookmark_LNHNREFclscc4_20"/>
      <w:bookmarkEnd w:id="3684"/>
      <w:r>
        <w:rPr>
          <w:rFonts w:ascii="Arial" w:eastAsia="Arial" w:hAnsi="Arial" w:cs="Arial"/>
          <w:color w:val="000000"/>
          <w:sz w:val="20"/>
        </w:rPr>
        <w:t xml:space="preserve">[E]very accessible dressing room </w:t>
      </w:r>
      <w:r>
        <w:rPr>
          <w:rFonts w:ascii="Arial" w:eastAsia="Arial" w:hAnsi="Arial" w:cs="Arial"/>
          <w:i/>
          <w:color w:val="000000"/>
          <w:sz w:val="20"/>
        </w:rPr>
        <w:t>shall have a 24 in by 48 in</w:t>
      </w:r>
      <w:r>
        <w:rPr>
          <w:rFonts w:ascii="Arial" w:eastAsia="Arial" w:hAnsi="Arial" w:cs="Arial"/>
          <w:color w:val="000000"/>
          <w:sz w:val="20"/>
        </w:rPr>
        <w:t xml:space="preserve"> . . . bench fixed to the wall along the longer dimension. . . . Clear floor space shall be provided alongside the bench to allow a person using a wheelchair to </w:t>
      </w:r>
      <w:r>
        <w:rPr>
          <w:rFonts w:ascii="Arial" w:eastAsia="Arial" w:hAnsi="Arial" w:cs="Arial"/>
          <w:i/>
          <w:color w:val="000000"/>
          <w:sz w:val="20"/>
        </w:rPr>
        <w:t>make a parallel transfer</w:t>
      </w:r>
      <w:r>
        <w:rPr>
          <w:rFonts w:ascii="Arial" w:eastAsia="Arial" w:hAnsi="Arial" w:cs="Arial"/>
          <w:color w:val="000000"/>
          <w:sz w:val="20"/>
        </w:rPr>
        <w:t xml:space="preserve"> onto the bench.</w:t>
      </w:r>
    </w:p>
    <w:p w14:paraId="5FCD0AE4" w14:textId="77777777" w:rsidR="002D0E71" w:rsidRDefault="00000000">
      <w:pPr>
        <w:pStyle w:val="Normal25"/>
        <w:widowControl w:val="0"/>
        <w:spacing w:line="260" w:lineRule="atLeast"/>
        <w:jc w:val="both"/>
      </w:pPr>
      <w:r>
        <w:rPr>
          <w:rFonts w:ascii="Arial" w:eastAsia="Arial" w:hAnsi="Arial" w:cs="Arial"/>
          <w:color w:val="000000"/>
          <w:sz w:val="20"/>
        </w:rPr>
        <w:t>28 C.F.R. Pt. 36, App. A § 4.35.4 (emphasis added).</w:t>
      </w:r>
    </w:p>
    <w:p w14:paraId="5827BB6C" w14:textId="77777777" w:rsidR="002D0E71" w:rsidRDefault="00000000">
      <w:pPr>
        <w:pStyle w:val="Normal25"/>
        <w:widowControl w:val="0"/>
        <w:spacing w:before="200" w:line="260" w:lineRule="atLeast"/>
        <w:jc w:val="both"/>
      </w:pPr>
      <w:bookmarkStart w:id="3685" w:name="Bookmark_para_13_21"/>
      <w:bookmarkStart w:id="3686" w:name="Bookmark_LNHNREFclscc5_20"/>
      <w:bookmarkEnd w:id="3685"/>
      <w:bookmarkEnd w:id="3686"/>
      <w:r>
        <w:rPr>
          <w:rFonts w:ascii="Arial" w:eastAsia="Arial" w:hAnsi="Arial" w:cs="Arial"/>
          <w:color w:val="000000"/>
          <w:sz w:val="20"/>
        </w:rPr>
        <w:t xml:space="preserve">The 1991 ADAAG also contain an "equivalent facilitation" provision. </w:t>
      </w:r>
      <w:r>
        <w:rPr>
          <w:rFonts w:ascii="Arial" w:eastAsia="Arial" w:hAnsi="Arial" w:cs="Arial"/>
          <w:i/>
          <w:color w:val="000000"/>
          <w:sz w:val="20"/>
        </w:rPr>
        <w:t>See id</w:t>
      </w:r>
      <w:r>
        <w:rPr>
          <w:rFonts w:ascii="Arial" w:eastAsia="Arial" w:hAnsi="Arial" w:cs="Arial"/>
          <w:color w:val="000000"/>
          <w:sz w:val="20"/>
        </w:rPr>
        <w:t xml:space="preserve">. Pt. 36, App. D § 2.2. This allows [**5]  "[d]epartures from particular technical and scoping requirements" of the ADAAG, if those variations "provide substantially equivalent or greater access to and usability of the facility." </w:t>
      </w:r>
      <w:r>
        <w:rPr>
          <w:rFonts w:ascii="Arial" w:eastAsia="Arial" w:hAnsi="Arial" w:cs="Arial"/>
          <w:i/>
          <w:color w:val="000000"/>
          <w:sz w:val="20"/>
        </w:rPr>
        <w:t>Id</w:t>
      </w:r>
      <w:r>
        <w:rPr>
          <w:rFonts w:ascii="Arial" w:eastAsia="Arial" w:hAnsi="Arial" w:cs="Arial"/>
          <w:color w:val="000000"/>
          <w:sz w:val="20"/>
        </w:rPr>
        <w:t>. Pt. 36, App. A § 2.2.</w:t>
      </w:r>
    </w:p>
    <w:p w14:paraId="074DFBF9" w14:textId="77777777" w:rsidR="002D0E71" w:rsidRDefault="00000000">
      <w:pPr>
        <w:pStyle w:val="Normal25"/>
        <w:widowControl w:val="0"/>
        <w:spacing w:before="200" w:line="260" w:lineRule="atLeast"/>
        <w:jc w:val="both"/>
      </w:pPr>
      <w:bookmarkStart w:id="3687" w:name="Bookmark_para_14_21"/>
      <w:bookmarkEnd w:id="3687"/>
      <w:r>
        <w:rPr>
          <w:rFonts w:ascii="Arial" w:eastAsia="Arial" w:hAnsi="Arial" w:cs="Arial"/>
          <w:color w:val="000000"/>
          <w:sz w:val="20"/>
        </w:rPr>
        <w:t>The parties stipulate that the bench is longer than the required forty-eight inches. Given the ADAAG's use of the word "shall," it is clear that the bench does not comply with the guideline's mandate. The issue is then whether the bench qualifies as an "equivalent facilitation" under the ADAAG. We conclude that it does.</w:t>
      </w:r>
    </w:p>
    <w:p w14:paraId="55C83BD9" w14:textId="77777777" w:rsidR="002D0E71" w:rsidRDefault="00000000">
      <w:pPr>
        <w:pStyle w:val="Normal25"/>
        <w:widowControl w:val="0"/>
        <w:spacing w:before="200" w:line="260" w:lineRule="atLeast"/>
        <w:jc w:val="both"/>
      </w:pPr>
      <w:bookmarkStart w:id="3688" w:name="Bookmark_para_15_21"/>
      <w:bookmarkStart w:id="3689" w:name="Bookmark_I5FN31M32N1RT60050000400"/>
      <w:bookmarkEnd w:id="3688"/>
      <w:bookmarkEnd w:id="3689"/>
      <w:r>
        <w:rPr>
          <w:rFonts w:ascii="Arial" w:eastAsia="Arial" w:hAnsi="Arial" w:cs="Arial"/>
          <w:color w:val="000000"/>
          <w:sz w:val="20"/>
        </w:rPr>
        <w:t xml:space="preserve">The key fact is that Kohler admitted he could perform a parallel transfer onto the bench in Flava's store. </w:t>
      </w:r>
      <w:r>
        <w:rPr>
          <w:rFonts w:ascii="Arial" w:eastAsia="Arial" w:hAnsi="Arial" w:cs="Arial"/>
          <w:i/>
          <w:color w:val="000000"/>
          <w:sz w:val="20"/>
        </w:rPr>
        <w:t xml:space="preserve">See </w:t>
      </w:r>
      <w:bookmarkStart w:id="3690" w:name="Bookmark_I5FN31M32N1RT60040000400"/>
      <w:bookmarkEnd w:id="3690"/>
      <w:r>
        <w:rPr>
          <w:rFonts w:ascii="Arial" w:eastAsia="Arial" w:hAnsi="Arial" w:cs="Arial"/>
          <w:i/>
          <w:color w:val="000000"/>
          <w:sz w:val="20"/>
        </w:rPr>
        <w:t>Kohler</w:t>
      </w:r>
      <w:r>
        <w:rPr>
          <w:rFonts w:ascii="Arial" w:eastAsia="Arial" w:hAnsi="Arial" w:cs="Arial"/>
          <w:color w:val="000000"/>
          <w:sz w:val="20"/>
        </w:rPr>
        <w:t xml:space="preserve">, 826 F. Supp. 2d at 1230 (citing Kohler's deposition). </w:t>
      </w:r>
      <w:bookmarkStart w:id="3691" w:name="Bookmark_LNHNREFclscc6_19"/>
      <w:bookmarkEnd w:id="3691"/>
      <w:r>
        <w:rPr>
          <w:rFonts w:ascii="Arial" w:eastAsia="Arial" w:hAnsi="Arial" w:cs="Arial"/>
          <w:color w:val="000000"/>
          <w:sz w:val="20"/>
        </w:rPr>
        <w:t xml:space="preserve">The guidelines only require that a person "using a wheelchair" be able "to make a parallel transfer onto the bench." 28 C.F.R. Pt. 36, App. A § 4.35.4. Given Kohler's ability to do so, the bench at Flava "provide[s] substantially equivalent or greater access" to him. </w:t>
      </w:r>
      <w:r>
        <w:rPr>
          <w:rFonts w:ascii="Arial" w:eastAsia="Arial" w:hAnsi="Arial" w:cs="Arial"/>
          <w:i/>
          <w:color w:val="000000"/>
          <w:sz w:val="20"/>
        </w:rPr>
        <w:t>Id</w:t>
      </w:r>
      <w:r>
        <w:rPr>
          <w:rFonts w:ascii="Arial" w:eastAsia="Arial" w:hAnsi="Arial" w:cs="Arial"/>
          <w:color w:val="000000"/>
          <w:sz w:val="20"/>
        </w:rPr>
        <w:t>. Pt. 36, App. A, § 2.2. Accordingly, it qualifies as an equivalent facilitation.</w:t>
      </w:r>
    </w:p>
    <w:p w14:paraId="7DACDD1A" w14:textId="77777777" w:rsidR="002D0E71" w:rsidRDefault="00000000">
      <w:pPr>
        <w:pStyle w:val="Normal25"/>
        <w:widowControl w:val="0"/>
        <w:spacing w:before="200" w:line="260" w:lineRule="atLeast"/>
        <w:jc w:val="both"/>
      </w:pPr>
      <w:bookmarkStart w:id="3692" w:name="Bookmark_para_16_21"/>
      <w:bookmarkEnd w:id="3692"/>
      <w:r>
        <w:rPr>
          <w:rFonts w:ascii="Arial" w:eastAsia="Arial" w:hAnsi="Arial" w:cs="Arial"/>
          <w:color w:val="000000"/>
          <w:sz w:val="20"/>
        </w:rPr>
        <w:t xml:space="preserve">Kohler attempts to avoid this conclusion with two arguments. First, he claims that he did not receive adequate notice because Flava did not properly plead equivalent facilitation as an affirmative defense. The district court rejected this [**6]  argument, and we agree. Flava pleaded in its answer that its store was compliant due to its use of "alternative methods" of accessibility. This term does stem from a distinct portion of the ADA apart from the equivalent facilitation. </w:t>
      </w:r>
      <w:r>
        <w:rPr>
          <w:rFonts w:ascii="Arial" w:eastAsia="Arial" w:hAnsi="Arial" w:cs="Arial"/>
          <w:i/>
          <w:color w:val="000000"/>
          <w:sz w:val="20"/>
        </w:rPr>
        <w:t>Compare</w:t>
      </w:r>
      <w:r>
        <w:rPr>
          <w:rFonts w:ascii="Arial" w:eastAsia="Arial" w:hAnsi="Arial" w:cs="Arial"/>
          <w:color w:val="000000"/>
          <w:sz w:val="20"/>
        </w:rPr>
        <w:t xml:space="preserve"> 42 U.S.C. § 12182(b)(2)(A)(v) (alternative methods) </w:t>
      </w:r>
      <w:r>
        <w:rPr>
          <w:rFonts w:ascii="Arial" w:eastAsia="Arial" w:hAnsi="Arial" w:cs="Arial"/>
          <w:i/>
          <w:color w:val="000000"/>
          <w:sz w:val="20"/>
        </w:rPr>
        <w:t>with</w:t>
      </w:r>
      <w:r>
        <w:rPr>
          <w:rFonts w:ascii="Arial" w:eastAsia="Arial" w:hAnsi="Arial" w:cs="Arial"/>
          <w:color w:val="000000"/>
          <w:sz w:val="20"/>
        </w:rPr>
        <w:t xml:space="preserve"> 28 C.F.R. Pt. 36, App. A § 2.2 (equivalent facilitation). Nonetheless, </w:t>
      </w:r>
      <w:bookmarkStart w:id="3693" w:name="Bookmark_LNHNREFclscc7_18"/>
      <w:bookmarkEnd w:id="3693"/>
      <w:r>
        <w:rPr>
          <w:rFonts w:ascii="Arial" w:eastAsia="Arial" w:hAnsi="Arial" w:cs="Arial"/>
          <w:color w:val="000000"/>
          <w:sz w:val="20"/>
        </w:rPr>
        <w:t xml:space="preserve">the "fair notice" required by the pleading standards only requires describing the defense in "general terms." 5 Charles Alan Wright &amp; Arthur R. Miller, </w:t>
      </w:r>
      <w:r>
        <w:rPr>
          <w:rFonts w:ascii="Arial" w:eastAsia="Arial" w:hAnsi="Arial" w:cs="Arial"/>
          <w:i/>
          <w:color w:val="000000"/>
          <w:sz w:val="20"/>
        </w:rPr>
        <w:t>Federal Practice and Procedure</w:t>
      </w:r>
      <w:r>
        <w:rPr>
          <w:rFonts w:ascii="Arial" w:eastAsia="Arial" w:hAnsi="Arial" w:cs="Arial"/>
          <w:color w:val="000000"/>
          <w:sz w:val="20"/>
        </w:rPr>
        <w:t xml:space="preserve"> § 1274 (3d ed. 1998). We will not disturb the district court's finding that Kohler received sufficient notice.</w:t>
      </w:r>
    </w:p>
    <w:p w14:paraId="6BAB3683" w14:textId="77777777" w:rsidR="002D0E71" w:rsidRDefault="00000000">
      <w:pPr>
        <w:pStyle w:val="Normal25"/>
        <w:widowControl w:val="0"/>
        <w:spacing w:before="200" w:line="260" w:lineRule="atLeast"/>
        <w:jc w:val="both"/>
      </w:pPr>
      <w:bookmarkStart w:id="3694" w:name="Bookmark_para_17_20"/>
      <w:bookmarkEnd w:id="3694"/>
      <w:r>
        <w:rPr>
          <w:rFonts w:ascii="Arial" w:eastAsia="Arial" w:hAnsi="Arial" w:cs="Arial"/>
          <w:color w:val="000000"/>
          <w:sz w:val="20"/>
        </w:rPr>
        <w:t xml:space="preserve">Second, Kohler argues that because the bench is not exactly forty-eight inches, it does not comply with the 1991 ADAAG and must comply with the newer ADAAG guidelines promulgated in 2010. </w:t>
      </w:r>
      <w:bookmarkStart w:id="3695" w:name="Bookmark_LNHNREFclscc8_18"/>
      <w:bookmarkEnd w:id="3695"/>
      <w:r>
        <w:rPr>
          <w:rFonts w:ascii="Arial" w:eastAsia="Arial" w:hAnsi="Arial" w:cs="Arial"/>
          <w:color w:val="000000"/>
          <w:sz w:val="20"/>
        </w:rPr>
        <w:t>The 2010 guidelines require that "seats [] are 42 inches [] long minimum," and that a minimum of "30 inches . . . by 48 inches" of clear space is provided at the end of the bench. 36 C.F.R. Pt. 1191, App. D §§ 305, 903. Clear space at the end of the bench allows disabled persons the ability to make a distinct maneuver, known as a diagonal transfer, onto the bench.</w:t>
      </w:r>
    </w:p>
    <w:p w14:paraId="22573A66" w14:textId="77777777" w:rsidR="002D0E71" w:rsidRDefault="00000000">
      <w:pPr>
        <w:pStyle w:val="Normal25"/>
        <w:widowControl w:val="0"/>
        <w:spacing w:before="200" w:line="260" w:lineRule="atLeast"/>
        <w:jc w:val="both"/>
      </w:pPr>
      <w:bookmarkStart w:id="3696" w:name="Bookmark_para_18_20"/>
      <w:bookmarkEnd w:id="3696"/>
      <w:r>
        <w:rPr>
          <w:rFonts w:ascii="Arial" w:eastAsia="Arial" w:hAnsi="Arial" w:cs="Arial"/>
          <w:color w:val="000000"/>
          <w:sz w:val="20"/>
        </w:rPr>
        <w:t xml:space="preserve">Kohler's argument misinterprets the statutory scheme. </w:t>
      </w:r>
      <w:bookmarkStart w:id="3697" w:name="Bookmark_LNHNREFclscc9_17"/>
      <w:bookmarkEnd w:id="3697"/>
      <w:r>
        <w:rPr>
          <w:rFonts w:ascii="Arial" w:eastAsia="Arial" w:hAnsi="Arial" w:cs="Arial"/>
          <w:color w:val="000000"/>
          <w:sz w:val="20"/>
        </w:rPr>
        <w:t xml:space="preserve">The 2010 guidelines went into [**7]  effect on March 15, 2012. </w:t>
      </w:r>
      <w:r>
        <w:rPr>
          <w:rFonts w:ascii="Arial" w:eastAsia="Arial" w:hAnsi="Arial" w:cs="Arial"/>
          <w:i/>
          <w:color w:val="000000"/>
          <w:sz w:val="20"/>
        </w:rPr>
        <w:t>See</w:t>
      </w:r>
      <w:r>
        <w:rPr>
          <w:rFonts w:ascii="Arial" w:eastAsia="Arial" w:hAnsi="Arial" w:cs="Arial"/>
          <w:color w:val="000000"/>
          <w:sz w:val="20"/>
        </w:rPr>
        <w:t xml:space="preserve"> 28 C.F.R. § 36.304(d)(2)(ii)(B). The guidelines explicitly contain a "safe harbor" provision, however, which provides that accommodations, which have not been altered in existing facilities on or after March 15, 2012, and that complied with the 1991 guidelines, are not required to be modified to conform to the 2010 standards. 28 C.F.R. § 36.304(d)(2)(i).</w:t>
      </w:r>
    </w:p>
    <w:p w14:paraId="076829CF" w14:textId="77777777" w:rsidR="002D0E71" w:rsidRDefault="00000000">
      <w:pPr>
        <w:pStyle w:val="Normal25"/>
        <w:widowControl w:val="0"/>
        <w:spacing w:before="200" w:line="260" w:lineRule="atLeast"/>
        <w:jc w:val="both"/>
      </w:pPr>
      <w:bookmarkStart w:id="3698" w:name="Bookmark_para_19_20"/>
      <w:bookmarkEnd w:id="3698"/>
      <w:r>
        <w:rPr>
          <w:rFonts w:ascii="Arial" w:eastAsia="Arial" w:hAnsi="Arial" w:cs="Arial"/>
          <w:color w:val="000000"/>
          <w:sz w:val="20"/>
        </w:rPr>
        <w:t xml:space="preserve">Kohler's argument then must be that if the bench is an "equivalent facilitation" under the 1991 standards, it is non-compliant, and as a result, it is required to comply with the 2010 standards.  [*1020]  But Kohler has not cited </w:t>
      </w:r>
      <w:bookmarkStart w:id="3699" w:name="Bookmark_LNHNREFclscc10_17"/>
      <w:bookmarkEnd w:id="3699"/>
      <w:r>
        <w:rPr>
          <w:rFonts w:ascii="Arial" w:eastAsia="Arial" w:hAnsi="Arial" w:cs="Arial"/>
          <w:color w:val="000000"/>
          <w:sz w:val="20"/>
        </w:rPr>
        <w:t>any authority which indicates that an "equivalent facilitation" is non-compliant. By definition, an equivalent facilitation provides "equal or greater access" to disabled patrons—it cannot provide less access. 28 C.F.R. Pt. 36, App. A § 2.2. To say that such a facilitation is non-compliant would undermine Congress's objective in including the "equivalent facilitation" provision in the ADA.</w:t>
      </w:r>
      <w:r>
        <w:rPr>
          <w:rFonts w:ascii="Arial" w:eastAsia="Arial" w:hAnsi="Arial" w:cs="Arial"/>
          <w:vertAlign w:val="superscript"/>
        </w:rPr>
        <w:footnoteReference w:customMarkFollows="1" w:id="120"/>
        <w:t>1</w:t>
      </w:r>
      <w:r>
        <w:rPr>
          <w:rFonts w:ascii="Arial" w:eastAsia="Arial" w:hAnsi="Arial" w:cs="Arial"/>
          <w:color w:val="000000"/>
          <w:sz w:val="20"/>
        </w:rPr>
        <w:t xml:space="preserve"> We thus hold that a longer bench that permits patrons to complete a parallel transfer is an equivalent facilitation under the 1991 ADAAG. </w:t>
      </w:r>
      <w:bookmarkStart w:id="3701" w:name="Bookmark_I5FN31M32N1RT70020000400"/>
      <w:bookmarkEnd w:id="3701"/>
      <w:r>
        <w:rPr>
          <w:rFonts w:ascii="Arial" w:eastAsia="Arial" w:hAnsi="Arial" w:cs="Arial"/>
          <w:color w:val="000000"/>
          <w:sz w:val="20"/>
        </w:rPr>
        <w:t xml:space="preserve">For accommodations that have not been altered since March 15, 2012, the facilities are not required to be equipped to allow a diagonal transfer. This ruling [**8]  makes explicit what a panel of this court suggested in an unpublished decision in 2014. </w:t>
      </w:r>
      <w:r>
        <w:rPr>
          <w:rFonts w:ascii="Arial" w:eastAsia="Arial" w:hAnsi="Arial" w:cs="Arial"/>
          <w:i/>
          <w:color w:val="000000"/>
          <w:sz w:val="20"/>
        </w:rPr>
        <w:t xml:space="preserve">See </w:t>
      </w:r>
      <w:bookmarkStart w:id="3702" w:name="Bookmark_I5FN31M32N1RT70010000400"/>
      <w:bookmarkEnd w:id="3702"/>
      <w:r>
        <w:rPr>
          <w:rFonts w:ascii="Arial" w:eastAsia="Arial" w:hAnsi="Arial" w:cs="Arial"/>
          <w:i/>
          <w:color w:val="000000"/>
          <w:sz w:val="20"/>
        </w:rPr>
        <w:t>Martinez v. Columbia Sportswear USA Corp</w:t>
      </w:r>
      <w:r>
        <w:rPr>
          <w:rFonts w:ascii="Arial" w:eastAsia="Arial" w:hAnsi="Arial" w:cs="Arial"/>
          <w:color w:val="000000"/>
          <w:sz w:val="20"/>
        </w:rPr>
        <w:t>., 553 F. App'x 760, 762 (9th Cir. 2014).</w:t>
      </w:r>
      <w:r>
        <w:rPr>
          <w:rFonts w:ascii="Arial" w:eastAsia="Arial" w:hAnsi="Arial" w:cs="Arial"/>
          <w:vertAlign w:val="superscript"/>
        </w:rPr>
        <w:footnoteReference w:customMarkFollows="1" w:id="121"/>
        <w:t>2</w:t>
      </w:r>
    </w:p>
    <w:p w14:paraId="42189A01" w14:textId="77777777" w:rsidR="002D0E71" w:rsidRDefault="00000000">
      <w:pPr>
        <w:pStyle w:val="Normal25"/>
        <w:widowControl w:val="0"/>
        <w:spacing w:before="120" w:line="260" w:lineRule="atLeast"/>
      </w:pPr>
      <w:r>
        <w:rPr>
          <w:rFonts w:ascii="Arial" w:eastAsia="Arial" w:hAnsi="Arial" w:cs="Arial"/>
          <w:color w:val="000000"/>
          <w:sz w:val="20"/>
        </w:rPr>
        <w:t>IV.</w:t>
      </w:r>
    </w:p>
    <w:p w14:paraId="44D8EDDB" w14:textId="77777777" w:rsidR="002D0E71" w:rsidRDefault="00000000">
      <w:pPr>
        <w:pStyle w:val="Normal25"/>
        <w:widowControl w:val="0"/>
        <w:spacing w:before="200" w:line="260" w:lineRule="atLeast"/>
        <w:jc w:val="both"/>
      </w:pPr>
      <w:bookmarkStart w:id="3709" w:name="Bookmark_para_20_18"/>
      <w:bookmarkStart w:id="3710" w:name="Bookmark_I5FN31M32SF8MR0030000400"/>
      <w:bookmarkEnd w:id="3709"/>
      <w:bookmarkEnd w:id="3710"/>
      <w:r>
        <w:rPr>
          <w:rFonts w:ascii="Arial" w:eastAsia="Arial" w:hAnsi="Arial" w:cs="Arial"/>
          <w:color w:val="000000"/>
          <w:sz w:val="20"/>
        </w:rPr>
        <w:t xml:space="preserve">We affirm the district court's denial of Flava's motion for attorneys' fees. Flava seeks attorneys' fees under the ADA. </w:t>
      </w:r>
      <w:r>
        <w:rPr>
          <w:rFonts w:ascii="Arial" w:eastAsia="Arial" w:hAnsi="Arial" w:cs="Arial"/>
          <w:i/>
          <w:color w:val="000000"/>
          <w:sz w:val="20"/>
        </w:rPr>
        <w:t>See</w:t>
      </w:r>
      <w:r>
        <w:rPr>
          <w:rFonts w:ascii="Arial" w:eastAsia="Arial" w:hAnsi="Arial" w:cs="Arial"/>
          <w:color w:val="000000"/>
          <w:sz w:val="20"/>
        </w:rPr>
        <w:t xml:space="preserve"> 42 U.S.C. § 12205. </w:t>
      </w:r>
      <w:bookmarkStart w:id="3711" w:name="Bookmark_LNHNREFclscc11_15"/>
      <w:bookmarkEnd w:id="3711"/>
      <w:r>
        <w:rPr>
          <w:rFonts w:ascii="Arial" w:eastAsia="Arial" w:hAnsi="Arial" w:cs="Arial"/>
          <w:color w:val="000000"/>
          <w:sz w:val="20"/>
        </w:rPr>
        <w:t xml:space="preserve">We have held that civil defendants can be awarded fees under this statute only in exceptional circumstances. </w:t>
      </w:r>
      <w:bookmarkStart w:id="3712" w:name="Bookmark_I5FN31M32SF8MR0020000400"/>
      <w:bookmarkEnd w:id="3712"/>
      <w:r>
        <w:rPr>
          <w:rFonts w:ascii="Arial" w:eastAsia="Arial" w:hAnsi="Arial" w:cs="Arial"/>
          <w:i/>
          <w:color w:val="000000"/>
          <w:sz w:val="20"/>
        </w:rPr>
        <w:t>Summers v. Teichert</w:t>
      </w:r>
      <w:r>
        <w:rPr>
          <w:rFonts w:ascii="Arial" w:eastAsia="Arial" w:hAnsi="Arial" w:cs="Arial"/>
          <w:color w:val="000000"/>
          <w:sz w:val="20"/>
        </w:rPr>
        <w:t xml:space="preserve">, 127 F.3d 1150, 1154 (9th Cir. 1997). Such circumstances include complaints that are "frivolous, unreasonable, or without foundation." </w:t>
      </w:r>
      <w:r>
        <w:rPr>
          <w:rFonts w:ascii="Arial" w:eastAsia="Arial" w:hAnsi="Arial" w:cs="Arial"/>
          <w:i/>
          <w:color w:val="000000"/>
          <w:sz w:val="20"/>
        </w:rPr>
        <w:t>Id</w:t>
      </w:r>
      <w:r>
        <w:rPr>
          <w:rFonts w:ascii="Arial" w:eastAsia="Arial" w:hAnsi="Arial" w:cs="Arial"/>
          <w:color w:val="000000"/>
          <w:sz w:val="20"/>
        </w:rPr>
        <w:t>. (internal citation omitted).</w:t>
      </w:r>
    </w:p>
    <w:p w14:paraId="5129CE10" w14:textId="77777777" w:rsidR="002D0E71" w:rsidRDefault="00000000">
      <w:pPr>
        <w:pStyle w:val="Normal25"/>
        <w:widowControl w:val="0"/>
        <w:spacing w:before="200" w:line="260" w:lineRule="atLeast"/>
        <w:jc w:val="both"/>
      </w:pPr>
      <w:bookmarkStart w:id="3713" w:name="Bookmark_para_21_18"/>
      <w:bookmarkEnd w:id="3713"/>
      <w:r>
        <w:rPr>
          <w:rFonts w:ascii="Arial" w:eastAsia="Arial" w:hAnsi="Arial" w:cs="Arial"/>
          <w:color w:val="000000"/>
          <w:sz w:val="20"/>
        </w:rPr>
        <w:t>Kohler's claims were not frivolous. The claims resulted in us interpreting a provision of the ADA for the first time in a published opinion and clarifying a question with split district court decisions. Kohler was entitled to bring this suit to seek resolution of this question.</w:t>
      </w:r>
    </w:p>
    <w:p w14:paraId="4BD31E0B" w14:textId="77777777" w:rsidR="002D0E71" w:rsidRDefault="00000000">
      <w:pPr>
        <w:pStyle w:val="Normal25"/>
        <w:widowControl w:val="0"/>
        <w:spacing w:before="200" w:line="260" w:lineRule="atLeast"/>
        <w:jc w:val="both"/>
      </w:pPr>
      <w:bookmarkStart w:id="3714" w:name="Bookmark_para_22_18"/>
      <w:bookmarkStart w:id="3715" w:name="Bookmark_I5FN31M32SF8MR0050000400"/>
      <w:bookmarkEnd w:id="3714"/>
      <w:bookmarkEnd w:id="3715"/>
      <w:r>
        <w:rPr>
          <w:rFonts w:ascii="Arial" w:eastAsia="Arial" w:hAnsi="Arial" w:cs="Arial"/>
          <w:color w:val="000000"/>
          <w:sz w:val="20"/>
        </w:rPr>
        <w:t xml:space="preserve">Flava also seeks fees under 28 U.S.C. § 1927. </w:t>
      </w:r>
      <w:bookmarkStart w:id="3716" w:name="Bookmark_LNHNREFclscc12_15"/>
      <w:bookmarkEnd w:id="3716"/>
      <w:r>
        <w:rPr>
          <w:rFonts w:ascii="Arial" w:eastAsia="Arial" w:hAnsi="Arial" w:cs="Arial"/>
          <w:color w:val="000000"/>
          <w:sz w:val="20"/>
        </w:rPr>
        <w:t xml:space="preserve">This statute requires proving that the opposing party acted with "subjective bad faith." </w:t>
      </w:r>
      <w:bookmarkStart w:id="3717" w:name="Bookmark_I5FN31M32SF8MR0040000400"/>
      <w:bookmarkEnd w:id="3717"/>
      <w:r>
        <w:rPr>
          <w:rFonts w:ascii="Arial" w:eastAsia="Arial" w:hAnsi="Arial" w:cs="Arial"/>
          <w:i/>
          <w:color w:val="000000"/>
          <w:sz w:val="20"/>
        </w:rPr>
        <w:t>New Alaska Dev. Corp. v. Guetschow</w:t>
      </w:r>
      <w:r>
        <w:rPr>
          <w:rFonts w:ascii="Arial" w:eastAsia="Arial" w:hAnsi="Arial" w:cs="Arial"/>
          <w:color w:val="000000"/>
          <w:sz w:val="20"/>
        </w:rPr>
        <w:t xml:space="preserve">, 869 F.2d 1298, 1306 (9th Cir. 1989); </w:t>
      </w:r>
      <w:r>
        <w:rPr>
          <w:rFonts w:ascii="Arial" w:eastAsia="Arial" w:hAnsi="Arial" w:cs="Arial"/>
          <w:i/>
          <w:color w:val="000000"/>
          <w:sz w:val="20"/>
        </w:rPr>
        <w:t xml:space="preserve">see also </w:t>
      </w:r>
      <w:bookmarkStart w:id="3718" w:name="Bookmark_I5FN31M328T4140010000400"/>
      <w:bookmarkEnd w:id="3718"/>
      <w:r>
        <w:rPr>
          <w:rFonts w:ascii="Arial" w:eastAsia="Arial" w:hAnsi="Arial" w:cs="Arial"/>
          <w:i/>
          <w:color w:val="000000"/>
          <w:sz w:val="20"/>
        </w:rPr>
        <w:t>Estate of Blas v. Winkler</w:t>
      </w:r>
      <w:r>
        <w:rPr>
          <w:rFonts w:ascii="Arial" w:eastAsia="Arial" w:hAnsi="Arial" w:cs="Arial"/>
          <w:color w:val="000000"/>
          <w:sz w:val="20"/>
        </w:rPr>
        <w:t>, 792 F.2d 858, 860 (9th Cir. 1986) ("Bad faith is present when an attorney knowingly or recklessly raises a frivolous argument . . . or argues a meritorious claim for the purpose of harassing an opponent . . . .") (internal citations omitted).</w:t>
      </w:r>
    </w:p>
    <w:p w14:paraId="7D346ADA" w14:textId="77777777" w:rsidR="002D0E71" w:rsidRDefault="00000000">
      <w:pPr>
        <w:pStyle w:val="Normal25"/>
        <w:widowControl w:val="0"/>
        <w:spacing w:before="200" w:line="260" w:lineRule="atLeast"/>
        <w:jc w:val="both"/>
      </w:pPr>
      <w:bookmarkStart w:id="3719" w:name="Bookmark_para_23_18"/>
      <w:bookmarkEnd w:id="3719"/>
      <w:r>
        <w:rPr>
          <w:rFonts w:ascii="Arial" w:eastAsia="Arial" w:hAnsi="Arial" w:cs="Arial"/>
          <w:color w:val="000000"/>
          <w:sz w:val="20"/>
        </w:rPr>
        <w:t>Flava makes allegations of subjective bad faith but there is no evidence in the record to support its claims. [**10]  Moreover, nothing in the record would substantiate sanctions under the court's inherent power. Accordingly, the district court's ruling on the fees is affirmed.</w:t>
      </w:r>
    </w:p>
    <w:p w14:paraId="5EF42BBF" w14:textId="77777777" w:rsidR="002D0E71" w:rsidRDefault="00000000">
      <w:pPr>
        <w:pStyle w:val="Normal25"/>
        <w:widowControl w:val="0"/>
        <w:spacing w:before="240" w:line="260" w:lineRule="atLeast"/>
      </w:pPr>
      <w:r>
        <w:br/>
      </w:r>
      <w:r>
        <w:rPr>
          <w:rFonts w:ascii="Arial" w:eastAsia="Arial" w:hAnsi="Arial" w:cs="Arial"/>
          <w:color w:val="000000"/>
          <w:sz w:val="20"/>
        </w:rPr>
        <w:t> [*1021]  V.</w:t>
      </w:r>
    </w:p>
    <w:p w14:paraId="583F36A5" w14:textId="77777777" w:rsidR="002D0E71" w:rsidRDefault="00000000">
      <w:pPr>
        <w:pStyle w:val="Normal25"/>
        <w:widowControl w:val="0"/>
        <w:spacing w:before="200" w:line="260" w:lineRule="atLeast"/>
        <w:jc w:val="both"/>
      </w:pPr>
      <w:bookmarkStart w:id="3720" w:name="Bookmark_para_24_18"/>
      <w:bookmarkEnd w:id="3720"/>
      <w:r>
        <w:rPr>
          <w:rFonts w:ascii="Arial" w:eastAsia="Arial" w:hAnsi="Arial" w:cs="Arial"/>
          <w:color w:val="000000"/>
          <w:sz w:val="20"/>
        </w:rPr>
        <w:t>The district court did not err in granting summary judgment to Flava and in denying Flava's motion for attorneys' fees.</w:t>
      </w:r>
    </w:p>
    <w:p w14:paraId="0C20463D" w14:textId="77777777" w:rsidR="002D0E71" w:rsidRDefault="00000000">
      <w:pPr>
        <w:pStyle w:val="Normal25"/>
        <w:widowControl w:val="0"/>
        <w:spacing w:before="200" w:line="260" w:lineRule="atLeast"/>
        <w:jc w:val="both"/>
      </w:pPr>
      <w:bookmarkStart w:id="3721" w:name="Bookmark_para_25_18"/>
      <w:bookmarkEnd w:id="3721"/>
      <w:r>
        <w:rPr>
          <w:rFonts w:ascii="Arial" w:eastAsia="Arial" w:hAnsi="Arial" w:cs="Arial"/>
          <w:b/>
          <w:color w:val="000000"/>
          <w:sz w:val="20"/>
        </w:rPr>
        <w:t>AFFIRMED</w:t>
      </w:r>
      <w:r>
        <w:rPr>
          <w:rFonts w:ascii="Arial" w:eastAsia="Arial" w:hAnsi="Arial" w:cs="Arial"/>
          <w:color w:val="000000"/>
          <w:sz w:val="20"/>
        </w:rPr>
        <w:t>.</w:t>
      </w:r>
    </w:p>
    <w:p w14:paraId="4D335406" w14:textId="77777777" w:rsidR="002D0E71" w:rsidRDefault="002D0E71">
      <w:pPr>
        <w:pStyle w:val="Normal25"/>
      </w:pPr>
    </w:p>
    <w:p w14:paraId="452B370E" w14:textId="3A958321" w:rsidR="002D0E71" w:rsidRDefault="00000000">
      <w:pPr>
        <w:pStyle w:val="Normal25"/>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12512" behindDoc="0" locked="0" layoutInCell="1" allowOverlap="1" wp14:anchorId="2C5B0876" wp14:editId="42C5D552">
                <wp:simplePos x="0" y="0"/>
                <wp:positionH relativeFrom="column">
                  <wp:posOffset>0</wp:posOffset>
                </wp:positionH>
                <wp:positionV relativeFrom="paragraph">
                  <wp:posOffset>127000</wp:posOffset>
                </wp:positionV>
                <wp:extent cx="6502400" cy="0"/>
                <wp:effectExtent l="9525" t="12700" r="12700" b="6350"/>
                <wp:wrapNone/>
                <wp:docPr id="1555628904"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87499A" id="Line 54"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5EBFBDD" w14:textId="77777777" w:rsidR="002D0E71" w:rsidRDefault="002D0E71">
      <w:pPr>
        <w:pStyle w:val="Normal26"/>
        <w:sectPr w:rsidR="002D0E71">
          <w:headerReference w:type="even" r:id="rId162"/>
          <w:headerReference w:type="default" r:id="rId163"/>
          <w:footerReference w:type="even" r:id="rId164"/>
          <w:footerReference w:type="default" r:id="rId165"/>
          <w:headerReference w:type="first" r:id="rId166"/>
          <w:footerReference w:type="first" r:id="rId167"/>
          <w:pgSz w:w="12240" w:h="15840"/>
          <w:pgMar w:top="840" w:right="1000" w:bottom="840" w:left="1000" w:header="400" w:footer="400" w:gutter="0"/>
          <w:cols w:space="720"/>
          <w:titlePg/>
        </w:sectPr>
      </w:pPr>
    </w:p>
    <w:p w14:paraId="692A16B6" w14:textId="77777777" w:rsidR="002D0E71" w:rsidRDefault="002D0E71">
      <w:pPr>
        <w:pStyle w:val="Normal26"/>
      </w:pPr>
    </w:p>
    <w:p w14:paraId="0EB6449F" w14:textId="77777777" w:rsidR="002D0E71" w:rsidRDefault="00000000">
      <w:pPr>
        <w:pStyle w:val="Heading125"/>
        <w:keepNext w:val="0"/>
        <w:widowControl w:val="0"/>
        <w:spacing w:after="200" w:line="340" w:lineRule="atLeast"/>
        <w:jc w:val="center"/>
      </w:pPr>
      <w:r>
        <w:rPr>
          <w:rFonts w:eastAsia="Arial"/>
          <w:color w:val="000000"/>
          <w:sz w:val="28"/>
        </w:rPr>
        <w:t>Chapman v. Pier 1 Imps. (U.S.) Inc.</w:t>
      </w:r>
    </w:p>
    <w:p w14:paraId="01734EF3" w14:textId="77777777" w:rsidR="002D0E71" w:rsidRDefault="00000000">
      <w:pPr>
        <w:pStyle w:val="Normal26"/>
        <w:widowControl w:val="0"/>
        <w:spacing w:before="120" w:line="260" w:lineRule="atLeast"/>
        <w:jc w:val="center"/>
      </w:pPr>
      <w:r>
        <w:rPr>
          <w:rFonts w:ascii="Arial" w:eastAsia="Arial" w:hAnsi="Arial" w:cs="Arial"/>
          <w:color w:val="000000"/>
          <w:sz w:val="20"/>
        </w:rPr>
        <w:t>United States Court of Appeals for the Ninth Circuit</w:t>
      </w:r>
    </w:p>
    <w:p w14:paraId="3FA862D2" w14:textId="77777777" w:rsidR="002D0E71" w:rsidRDefault="00000000">
      <w:pPr>
        <w:pStyle w:val="Normal26"/>
        <w:widowControl w:val="0"/>
        <w:spacing w:before="120" w:line="260" w:lineRule="atLeast"/>
        <w:jc w:val="center"/>
      </w:pPr>
      <w:r>
        <w:rPr>
          <w:rFonts w:ascii="Arial" w:eastAsia="Arial" w:hAnsi="Arial" w:cs="Arial"/>
          <w:color w:val="000000"/>
          <w:sz w:val="20"/>
        </w:rPr>
        <w:t>November 19, 2014, Argued and Submitted, San Francisco, California; March 5, 2015, Filed</w:t>
      </w:r>
    </w:p>
    <w:p w14:paraId="39E3E204" w14:textId="77777777" w:rsidR="002D0E71" w:rsidRDefault="00000000">
      <w:pPr>
        <w:pStyle w:val="Normal26"/>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12-16857</w:t>
      </w:r>
    </w:p>
    <w:p w14:paraId="76627C95" w14:textId="77777777" w:rsidR="002D0E71" w:rsidRDefault="002D0E71">
      <w:pPr>
        <w:pStyle w:val="Normal26"/>
        <w:widowControl w:val="0"/>
        <w:spacing w:line="240" w:lineRule="atLeast"/>
        <w:jc w:val="both"/>
      </w:pPr>
      <w:bookmarkStart w:id="3722" w:name="Bookmark_27"/>
      <w:bookmarkEnd w:id="3722"/>
    </w:p>
    <w:p w14:paraId="3B5244C2" w14:textId="77777777" w:rsidR="002D0E71" w:rsidRDefault="00000000">
      <w:pPr>
        <w:pStyle w:val="Normal26"/>
        <w:widowControl w:val="0"/>
        <w:spacing w:before="200" w:line="240" w:lineRule="atLeast"/>
      </w:pPr>
      <w:bookmarkStart w:id="3723" w:name="Reporter_25"/>
      <w:bookmarkEnd w:id="3723"/>
      <w:r>
        <w:rPr>
          <w:rFonts w:ascii="Arial" w:eastAsia="Arial" w:hAnsi="Arial" w:cs="Arial"/>
          <w:b/>
          <w:color w:val="000000"/>
          <w:sz w:val="18"/>
        </w:rPr>
        <w:t>Reporter</w:t>
      </w:r>
    </w:p>
    <w:p w14:paraId="5E249E37" w14:textId="77777777" w:rsidR="002D0E71" w:rsidRDefault="00000000">
      <w:pPr>
        <w:pStyle w:val="Normal26"/>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779 F.3d 1001 *; 2015 U.S. App. LEXIS 3535 **</w:t>
      </w:r>
    </w:p>
    <w:p w14:paraId="3DD698B8" w14:textId="77777777" w:rsidR="002D0E71" w:rsidRDefault="00000000">
      <w:pPr>
        <w:pStyle w:val="Normal26"/>
        <w:widowControl w:val="0"/>
        <w:spacing w:before="120" w:line="260" w:lineRule="atLeast"/>
      </w:pPr>
      <w:r>
        <w:rPr>
          <w:rFonts w:ascii="Arial" w:eastAsia="Arial" w:hAnsi="Arial" w:cs="Arial"/>
          <w:color w:val="000000"/>
          <w:sz w:val="20"/>
        </w:rPr>
        <w:t>BYRON CHAPMAN, Plaintiff-Appellee, v. PIER 1 IMPORTS (U.S.) INC., DBA PIER 1 IMPORTS #1132, Defendant-Appellant.</w:t>
      </w:r>
    </w:p>
    <w:p w14:paraId="6CADA488" w14:textId="77777777" w:rsidR="002D0E71" w:rsidRDefault="00000000">
      <w:pPr>
        <w:pStyle w:val="Normal26"/>
        <w:widowControl w:val="0"/>
        <w:spacing w:before="240" w:line="260" w:lineRule="atLeast"/>
      </w:pPr>
      <w:bookmarkStart w:id="3724" w:name="Subsequent_History_9"/>
      <w:bookmarkEnd w:id="3724"/>
      <w:r>
        <w:rPr>
          <w:rFonts w:ascii="Arial" w:eastAsia="Arial" w:hAnsi="Arial" w:cs="Arial"/>
          <w:b/>
          <w:color w:val="000000"/>
          <w:sz w:val="20"/>
        </w:rPr>
        <w:t>Subsequent History:</w:t>
      </w:r>
      <w:r>
        <w:rPr>
          <w:rFonts w:ascii="Arial" w:eastAsia="Arial" w:hAnsi="Arial" w:cs="Arial"/>
          <w:color w:val="000000"/>
          <w:sz w:val="20"/>
        </w:rPr>
        <w:t> Costs and fees proceeding at, Motion granted by Chapman v. Pier 1 Imps. (U.S.), Inc., 2017 U.S. Dist. LEXIS 37257 (E.D. Cal., Mar. 14, 2017)</w:t>
      </w:r>
    </w:p>
    <w:p w14:paraId="5C8DDF81" w14:textId="77777777" w:rsidR="002D0E71" w:rsidRDefault="00000000">
      <w:pPr>
        <w:pStyle w:val="Normal26"/>
        <w:widowControl w:val="0"/>
        <w:spacing w:before="240" w:line="260" w:lineRule="atLeast"/>
        <w:jc w:val="both"/>
      </w:pPr>
      <w:bookmarkStart w:id="3725" w:name="Prior_History_25"/>
      <w:bookmarkEnd w:id="3725"/>
      <w:r>
        <w:rPr>
          <w:rFonts w:ascii="Arial" w:eastAsia="Arial" w:hAnsi="Arial" w:cs="Arial"/>
          <w:b/>
          <w:color w:val="000000"/>
          <w:sz w:val="20"/>
        </w:rPr>
        <w:t>Prior History:</w:t>
      </w:r>
      <w:r>
        <w:rPr>
          <w:rFonts w:ascii="Arial" w:eastAsia="Arial" w:hAnsi="Arial" w:cs="Arial"/>
          <w:color w:val="000000"/>
          <w:sz w:val="20"/>
        </w:rPr>
        <w:t> </w:t>
      </w:r>
      <w:bookmarkStart w:id="3726" w:name="Bookmark_para_1_25"/>
      <w:bookmarkEnd w:id="3726"/>
      <w:r>
        <w:rPr>
          <w:rFonts w:ascii="Arial" w:eastAsia="Arial" w:hAnsi="Arial" w:cs="Arial"/>
          <w:color w:val="000000"/>
          <w:sz w:val="20"/>
        </w:rPr>
        <w:t> [**1] Appeal from the United States District Court for the Eastern District of California. D.C. No. 2:04-cv-01339-LKK-DAD. Lawrence K. Karlton, Senior District Judge, Presiding.</w:t>
      </w:r>
    </w:p>
    <w:p w14:paraId="49C4397F" w14:textId="77777777" w:rsidR="002D0E71" w:rsidRDefault="00000000">
      <w:pPr>
        <w:pStyle w:val="Normal26"/>
        <w:widowControl w:val="0"/>
        <w:spacing w:before="120" w:line="260" w:lineRule="atLeast"/>
      </w:pPr>
      <w:r>
        <w:rPr>
          <w:rFonts w:ascii="Arial" w:eastAsia="Arial" w:hAnsi="Arial" w:cs="Arial"/>
          <w:color w:val="000000"/>
          <w:sz w:val="20"/>
        </w:rPr>
        <w:t>Chapman v. Pier 1 Imps. (U.S.) Inc., 870 F. Supp. 2d 995, 2012 U.S. Dist. LEXIS 89228 (E.D. Cal., 2012)</w:t>
      </w:r>
    </w:p>
    <w:p w14:paraId="07DE8A9E" w14:textId="77777777" w:rsidR="002D0E71" w:rsidRDefault="00000000">
      <w:pPr>
        <w:pStyle w:val="Normal26"/>
        <w:widowControl w:val="0"/>
        <w:spacing w:before="240" w:line="260" w:lineRule="atLeast"/>
        <w:jc w:val="both"/>
      </w:pPr>
      <w:bookmarkStart w:id="3727" w:name="Disposition_10"/>
      <w:bookmarkEnd w:id="3727"/>
      <w:r>
        <w:rPr>
          <w:rFonts w:ascii="Arial" w:eastAsia="Arial" w:hAnsi="Arial" w:cs="Arial"/>
          <w:b/>
          <w:color w:val="000000"/>
          <w:sz w:val="20"/>
        </w:rPr>
        <w:t>Disposition:</w:t>
      </w:r>
      <w:r>
        <w:rPr>
          <w:rFonts w:ascii="Arial" w:eastAsia="Arial" w:hAnsi="Arial" w:cs="Arial"/>
          <w:color w:val="000000"/>
          <w:sz w:val="20"/>
        </w:rPr>
        <w:t> </w:t>
      </w:r>
      <w:bookmarkStart w:id="3728" w:name="Bookmark_clspara_4_8"/>
      <w:bookmarkEnd w:id="3728"/>
      <w:r>
        <w:rPr>
          <w:rFonts w:ascii="Arial" w:eastAsia="Arial" w:hAnsi="Arial" w:cs="Arial"/>
          <w:color w:val="000000"/>
          <w:sz w:val="20"/>
        </w:rPr>
        <w:t>AFFIRMED IN PART, REVERSED IN PART, AND REMANDED.</w:t>
      </w:r>
    </w:p>
    <w:p w14:paraId="7F787BD4" w14:textId="77777777" w:rsidR="002D0E71" w:rsidRDefault="00000000">
      <w:pPr>
        <w:pStyle w:val="Normal26"/>
        <w:widowControl w:val="0"/>
        <w:spacing w:before="240" w:line="260" w:lineRule="atLeast"/>
      </w:pPr>
      <w:bookmarkStart w:id="3729" w:name="Summary_3"/>
      <w:bookmarkEnd w:id="3729"/>
      <w:r>
        <w:rPr>
          <w:rFonts w:ascii="Arial" w:eastAsia="Arial" w:hAnsi="Arial" w:cs="Arial"/>
          <w:b/>
          <w:color w:val="000000"/>
          <w:sz w:val="20"/>
        </w:rPr>
        <w:t>Summary:</w:t>
      </w:r>
    </w:p>
    <w:p w14:paraId="4C336934" w14:textId="77777777" w:rsidR="002D0E71" w:rsidRDefault="00000000">
      <w:pPr>
        <w:pStyle w:val="Normal26"/>
        <w:widowControl w:val="0"/>
        <w:spacing w:before="240" w:line="260" w:lineRule="atLeast"/>
        <w:jc w:val="both"/>
      </w:pPr>
      <w:bookmarkStart w:id="3730" w:name="Bookmark_clspara_5_3"/>
      <w:bookmarkEnd w:id="3730"/>
      <w:r>
        <w:rPr>
          <w:rFonts w:ascii="Arial" w:eastAsia="Arial" w:hAnsi="Arial" w:cs="Arial"/>
          <w:b/>
          <w:color w:val="000000"/>
          <w:sz w:val="20"/>
        </w:rPr>
        <w:t>SUMMARY</w:t>
      </w:r>
      <w:r>
        <w:rPr>
          <w:rFonts w:ascii="Arial" w:eastAsia="Arial" w:hAnsi="Arial" w:cs="Arial"/>
          <w:vertAlign w:val="superscript"/>
        </w:rPr>
        <w:footnoteReference w:customMarkFollows="1" w:id="122"/>
        <w:t>**</w:t>
      </w:r>
    </w:p>
    <w:p w14:paraId="6B57CD06" w14:textId="77777777" w:rsidR="002D0E71" w:rsidRDefault="00000000">
      <w:pPr>
        <w:pStyle w:val="Normal26"/>
        <w:widowControl w:val="0"/>
        <w:spacing w:before="240" w:line="260" w:lineRule="atLeast"/>
        <w:jc w:val="both"/>
      </w:pPr>
      <w:bookmarkStart w:id="3732" w:name="Bookmark_clspara_6_3"/>
      <w:bookmarkEnd w:id="3732"/>
      <w:r>
        <w:rPr>
          <w:rFonts w:ascii="Arial" w:eastAsia="Arial" w:hAnsi="Arial" w:cs="Arial"/>
          <w:b/>
          <w:color w:val="000000"/>
          <w:sz w:val="20"/>
        </w:rPr>
        <w:t>Americans with Disabilities Act</w:t>
      </w:r>
    </w:p>
    <w:p w14:paraId="226156EB" w14:textId="77777777" w:rsidR="002D0E71" w:rsidRDefault="00000000">
      <w:pPr>
        <w:pStyle w:val="Normal26"/>
        <w:widowControl w:val="0"/>
        <w:spacing w:before="240" w:line="260" w:lineRule="atLeast"/>
        <w:jc w:val="both"/>
      </w:pPr>
      <w:bookmarkStart w:id="3733" w:name="Bookmark_clspara_7_3"/>
      <w:bookmarkEnd w:id="3733"/>
      <w:r>
        <w:rPr>
          <w:rFonts w:ascii="Arial" w:eastAsia="Arial" w:hAnsi="Arial" w:cs="Arial"/>
          <w:color w:val="000000"/>
          <w:sz w:val="20"/>
        </w:rPr>
        <w:t>The panel affirmed in part and reversed in part the district court's summary judgment in favor of the plaintiff in an action under Title III of the Americans with Disabilities Act.</w:t>
      </w:r>
    </w:p>
    <w:p w14:paraId="0B50330A" w14:textId="77777777" w:rsidR="002D0E71" w:rsidRDefault="00000000">
      <w:pPr>
        <w:pStyle w:val="Normal26"/>
        <w:widowControl w:val="0"/>
        <w:spacing w:before="240" w:line="260" w:lineRule="atLeast"/>
        <w:jc w:val="both"/>
      </w:pPr>
      <w:bookmarkStart w:id="3734" w:name="Bookmark_clspara_8_3"/>
      <w:bookmarkEnd w:id="3734"/>
      <w:r>
        <w:rPr>
          <w:rFonts w:ascii="Arial" w:eastAsia="Arial" w:hAnsi="Arial" w:cs="Arial"/>
          <w:color w:val="000000"/>
          <w:sz w:val="20"/>
        </w:rPr>
        <w:t>The district court held that the obstructions in shopping aisles and on a sales counter that the plaintiff encountered on numerous visits to a Pier 1 store violated his rights under the ADA, and entered a permanent injunction against Pier 1.</w:t>
      </w:r>
    </w:p>
    <w:p w14:paraId="1EC2CCEB" w14:textId="77777777" w:rsidR="002D0E71" w:rsidRDefault="00000000">
      <w:pPr>
        <w:pStyle w:val="Normal26"/>
        <w:widowControl w:val="0"/>
        <w:spacing w:before="240" w:line="260" w:lineRule="atLeast"/>
        <w:jc w:val="both"/>
      </w:pPr>
      <w:bookmarkStart w:id="3735" w:name="Bookmark_clspara_9_3"/>
      <w:bookmarkEnd w:id="3735"/>
      <w:r>
        <w:rPr>
          <w:rFonts w:ascii="Arial" w:eastAsia="Arial" w:hAnsi="Arial" w:cs="Arial"/>
          <w:color w:val="000000"/>
          <w:sz w:val="20"/>
        </w:rPr>
        <w:t>Affirming in part, the panel held that the obstructed aisles the plaintiff encountered were not permissible "isolated or temporary interruptions in . . . access" under the ADA Accessibility Guidelines, 28 C.F.R. § 36.211(b), because the evidence demonstrated that Pier 1 repeatedly failed to maintain accessible routes in its store.</w:t>
      </w:r>
    </w:p>
    <w:p w14:paraId="323C1562" w14:textId="77777777" w:rsidR="002D0E71" w:rsidRDefault="00000000">
      <w:pPr>
        <w:pStyle w:val="Normal26"/>
        <w:widowControl w:val="0"/>
        <w:spacing w:before="240" w:line="260" w:lineRule="atLeast"/>
        <w:jc w:val="both"/>
      </w:pPr>
      <w:bookmarkStart w:id="3736" w:name="Bookmark_clspara_10_3"/>
      <w:bookmarkEnd w:id="3736"/>
      <w:r>
        <w:rPr>
          <w:rFonts w:ascii="Arial" w:eastAsia="Arial" w:hAnsi="Arial" w:cs="Arial"/>
          <w:color w:val="000000"/>
          <w:sz w:val="20"/>
        </w:rPr>
        <w:t>The panel reversed, however, the district court's grant of summary judgment on [**2]  the plaintiff's claim as to an accessible sales counter. The panel remanded to the district court to modify the injunction consistent with its opinion.</w:t>
      </w:r>
    </w:p>
    <w:p w14:paraId="460D2B6A" w14:textId="77777777" w:rsidR="002D0E71" w:rsidRDefault="00000000">
      <w:pPr>
        <w:pStyle w:val="Normal26"/>
        <w:widowControl w:val="0"/>
        <w:spacing w:before="240" w:line="260" w:lineRule="atLeast"/>
      </w:pPr>
      <w:bookmarkStart w:id="3737" w:name="Counsel_25"/>
      <w:bookmarkEnd w:id="3737"/>
      <w:r>
        <w:rPr>
          <w:rFonts w:ascii="Arial" w:eastAsia="Arial" w:hAnsi="Arial" w:cs="Arial"/>
          <w:b/>
          <w:color w:val="000000"/>
          <w:sz w:val="20"/>
        </w:rPr>
        <w:t>Counsel:</w:t>
      </w:r>
      <w:r>
        <w:rPr>
          <w:rFonts w:ascii="Arial" w:eastAsia="Arial" w:hAnsi="Arial" w:cs="Arial"/>
          <w:color w:val="000000"/>
          <w:sz w:val="20"/>
        </w:rPr>
        <w:t> Minh N. Vu (argued), Seyfarth Shaw LLP, Washington, D.C.; Eden Anderson, Seyfarth Shaw LLP, San Francisco, California, for Defendant-Appellant.</w:t>
      </w:r>
    </w:p>
    <w:p w14:paraId="0247610C" w14:textId="77777777" w:rsidR="002D0E71" w:rsidRDefault="00000000">
      <w:pPr>
        <w:pStyle w:val="Normal26"/>
        <w:widowControl w:val="0"/>
        <w:spacing w:before="120" w:line="260" w:lineRule="atLeast"/>
      </w:pPr>
      <w:r>
        <w:rPr>
          <w:rFonts w:ascii="Arial" w:eastAsia="Arial" w:hAnsi="Arial" w:cs="Arial"/>
          <w:color w:val="000000"/>
          <w:sz w:val="20"/>
        </w:rPr>
        <w:t>Scottlyn J Hubbard IV, Law Offices of Lynn Hubbard, Chico, California, for Plaintiff-Appellee.</w:t>
      </w:r>
    </w:p>
    <w:p w14:paraId="0762AD2E" w14:textId="77777777" w:rsidR="002D0E71" w:rsidRDefault="00000000">
      <w:pPr>
        <w:pStyle w:val="Normal26"/>
        <w:widowControl w:val="0"/>
        <w:spacing w:before="240" w:line="260" w:lineRule="atLeast"/>
      </w:pPr>
      <w:bookmarkStart w:id="3738" w:name="Judges_25"/>
      <w:bookmarkEnd w:id="3738"/>
      <w:r>
        <w:rPr>
          <w:rFonts w:ascii="Arial" w:eastAsia="Arial" w:hAnsi="Arial" w:cs="Arial"/>
          <w:b/>
          <w:color w:val="000000"/>
          <w:sz w:val="20"/>
        </w:rPr>
        <w:t>Judges:</w:t>
      </w:r>
      <w:r>
        <w:rPr>
          <w:rFonts w:ascii="Arial" w:eastAsia="Arial" w:hAnsi="Arial" w:cs="Arial"/>
          <w:color w:val="000000"/>
          <w:sz w:val="20"/>
        </w:rPr>
        <w:t> Before: Marsha S. Berzon and Johnnie B. Rawlinson, Circuit Judges, and Elaine E. Bucklo, Senior District Judge.</w:t>
      </w:r>
      <w:r>
        <w:rPr>
          <w:rFonts w:ascii="Arial" w:eastAsia="Arial" w:hAnsi="Arial" w:cs="Arial"/>
          <w:vertAlign w:val="superscript"/>
        </w:rPr>
        <w:footnoteReference w:customMarkFollows="1" w:id="123"/>
        <w:t>*</w:t>
      </w:r>
      <w:r>
        <w:rPr>
          <w:rFonts w:ascii="Arial" w:eastAsia="Arial" w:hAnsi="Arial" w:cs="Arial"/>
          <w:color w:val="000000"/>
          <w:sz w:val="20"/>
        </w:rPr>
        <w:t xml:space="preserve"> Opinion by Judge Berzon.</w:t>
      </w:r>
    </w:p>
    <w:p w14:paraId="6F9A6A71" w14:textId="77777777" w:rsidR="002D0E71" w:rsidRDefault="00000000">
      <w:pPr>
        <w:pStyle w:val="Normal26"/>
        <w:widowControl w:val="0"/>
        <w:spacing w:before="240" w:line="260" w:lineRule="atLeast"/>
      </w:pPr>
      <w:bookmarkStart w:id="3740" w:name="Opinion_by_18"/>
      <w:bookmarkEnd w:id="3740"/>
      <w:r>
        <w:rPr>
          <w:rFonts w:ascii="Arial" w:eastAsia="Arial" w:hAnsi="Arial" w:cs="Arial"/>
          <w:b/>
          <w:color w:val="000000"/>
          <w:sz w:val="20"/>
        </w:rPr>
        <w:t>Opinion by:</w:t>
      </w:r>
      <w:r>
        <w:rPr>
          <w:rFonts w:ascii="Arial" w:eastAsia="Arial" w:hAnsi="Arial" w:cs="Arial"/>
          <w:color w:val="000000"/>
          <w:sz w:val="20"/>
        </w:rPr>
        <w:t> Berzon</w:t>
      </w:r>
    </w:p>
    <w:p w14:paraId="11F272BF" w14:textId="77777777" w:rsidR="002D0E71" w:rsidRDefault="00000000">
      <w:pPr>
        <w:pStyle w:val="Normal26"/>
        <w:keepNext/>
        <w:widowControl w:val="0"/>
        <w:spacing w:before="240" w:line="340" w:lineRule="atLeast"/>
      </w:pPr>
      <w:bookmarkStart w:id="3741" w:name="Opinion_25"/>
      <w:bookmarkEnd w:id="3741"/>
      <w:r>
        <w:rPr>
          <w:rFonts w:ascii="Arial" w:eastAsia="Arial" w:hAnsi="Arial" w:cs="Arial"/>
          <w:b/>
          <w:color w:val="000000"/>
          <w:sz w:val="28"/>
        </w:rPr>
        <w:t>Opinion</w:t>
      </w:r>
    </w:p>
    <w:p w14:paraId="1D28BDC4" w14:textId="0CA017A4" w:rsidR="002D0E71" w:rsidRDefault="002939DF">
      <w:pPr>
        <w:pStyle w:val="Normal26"/>
        <w:spacing w:line="60" w:lineRule="exact"/>
      </w:pPr>
      <w:r>
        <w:rPr>
          <w:noProof/>
        </w:rPr>
        <mc:AlternateContent>
          <mc:Choice Requires="wps">
            <w:drawing>
              <wp:anchor distT="0" distB="0" distL="114300" distR="114300" simplePos="0" relativeHeight="251713536" behindDoc="0" locked="0" layoutInCell="1" allowOverlap="1" wp14:anchorId="3B6065EB" wp14:editId="1B259A60">
                <wp:simplePos x="0" y="0"/>
                <wp:positionH relativeFrom="column">
                  <wp:posOffset>0</wp:posOffset>
                </wp:positionH>
                <wp:positionV relativeFrom="paragraph">
                  <wp:posOffset>25400</wp:posOffset>
                </wp:positionV>
                <wp:extent cx="3187700" cy="0"/>
                <wp:effectExtent l="19050" t="15875" r="12700" b="12700"/>
                <wp:wrapTopAndBottom/>
                <wp:docPr id="1042865954"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66E478" id="Line 55"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F04BA68" w14:textId="77777777" w:rsidR="002D0E71" w:rsidRDefault="002D0E71">
      <w:pPr>
        <w:pStyle w:val="Normal26"/>
      </w:pPr>
    </w:p>
    <w:p w14:paraId="336FF615" w14:textId="77777777" w:rsidR="002D0E71" w:rsidRDefault="00000000">
      <w:pPr>
        <w:pStyle w:val="Normal26"/>
        <w:widowControl w:val="0"/>
        <w:spacing w:before="200" w:line="260" w:lineRule="atLeast"/>
        <w:jc w:val="both"/>
      </w:pPr>
      <w:bookmarkStart w:id="3742" w:name="Bookmark_para_2_25"/>
      <w:bookmarkEnd w:id="3742"/>
      <w:r>
        <w:rPr>
          <w:rFonts w:ascii="Arial" w:eastAsia="Arial" w:hAnsi="Arial" w:cs="Arial"/>
          <w:color w:val="000000"/>
          <w:sz w:val="20"/>
        </w:rPr>
        <w:t> [*1002]  BERZON, Circuit Judge:</w:t>
      </w:r>
    </w:p>
    <w:p w14:paraId="69405659" w14:textId="77777777" w:rsidR="002D0E71" w:rsidRDefault="00000000">
      <w:pPr>
        <w:pStyle w:val="Normal26"/>
        <w:widowControl w:val="0"/>
        <w:spacing w:before="200" w:line="260" w:lineRule="atLeast"/>
        <w:jc w:val="both"/>
      </w:pPr>
      <w:bookmarkStart w:id="3743" w:name="Bookmark_para_3_25"/>
      <w:bookmarkEnd w:id="3743"/>
      <w:r>
        <w:rPr>
          <w:rFonts w:ascii="Arial" w:eastAsia="Arial" w:hAnsi="Arial" w:cs="Arial"/>
          <w:color w:val="000000"/>
          <w:sz w:val="20"/>
        </w:rPr>
        <w:t xml:space="preserve">Byron Chapman, a wheelchair user, challenged numerous alleged barriers to access at Pier 1 Imports (U.S.) Inc.'s store in Vacaville, California (the "Store") in a suit first filed in 2004. Chapman claimed that the alleged barriers denied him "full and equal" access to the Store in violation of the Americans with Disabilities Act ("ADA" or "the Act"). 42 U.S.C. § 12182(a). Seven years later, after an appeal to this Court, the district court held that the obstructions in shopping aisles and on sales counters Chapman encountered [**3]  on numerous visits to the Store violated his rights under Title III of the ADA, 42 U.S.C. § 12181 </w:t>
      </w:r>
      <w:r>
        <w:rPr>
          <w:rFonts w:ascii="Arial" w:eastAsia="Arial" w:hAnsi="Arial" w:cs="Arial"/>
          <w:i/>
          <w:color w:val="000000"/>
          <w:sz w:val="20"/>
        </w:rPr>
        <w:t>et seq</w:t>
      </w:r>
      <w:r>
        <w:rPr>
          <w:rFonts w:ascii="Arial" w:eastAsia="Arial" w:hAnsi="Arial" w:cs="Arial"/>
          <w:color w:val="000000"/>
          <w:sz w:val="20"/>
        </w:rPr>
        <w:t>. Having so concluded, the court granted Chapman's  [*1003]  motion for summary judgment and enjoined Pier 1 from obstructing its aisles and counters in the future.</w:t>
      </w:r>
    </w:p>
    <w:p w14:paraId="643D828D" w14:textId="77777777" w:rsidR="002D0E71" w:rsidRDefault="00000000">
      <w:pPr>
        <w:pStyle w:val="Normal26"/>
        <w:widowControl w:val="0"/>
        <w:spacing w:before="200" w:line="260" w:lineRule="atLeast"/>
        <w:jc w:val="both"/>
      </w:pPr>
      <w:bookmarkStart w:id="3744" w:name="Bookmark_para_4_25"/>
      <w:bookmarkEnd w:id="3744"/>
      <w:r>
        <w:rPr>
          <w:rFonts w:ascii="Arial" w:eastAsia="Arial" w:hAnsi="Arial" w:cs="Arial"/>
          <w:color w:val="000000"/>
          <w:sz w:val="20"/>
        </w:rPr>
        <w:t>Pier 1 appeals, arguing that the alleged obstructions are "temporary" barriers to access under the ADA's implementing regulations and so do not violate Chapman's rights under the Act. 28 C.F.R. § 36.211(b). We affirm in part, reverse in part, and remand.</w:t>
      </w:r>
    </w:p>
    <w:p w14:paraId="26C63C7B" w14:textId="77777777" w:rsidR="002D0E71" w:rsidRDefault="00000000">
      <w:pPr>
        <w:pStyle w:val="Normal26"/>
        <w:widowControl w:val="0"/>
        <w:spacing w:before="240" w:line="260" w:lineRule="atLeast"/>
      </w:pPr>
      <w:r>
        <w:br/>
      </w:r>
      <w:r>
        <w:rPr>
          <w:rFonts w:ascii="Arial" w:eastAsia="Arial" w:hAnsi="Arial" w:cs="Arial"/>
          <w:b/>
          <w:color w:val="000000"/>
          <w:sz w:val="20"/>
        </w:rPr>
        <w:t>I. Background</w:t>
      </w:r>
    </w:p>
    <w:p w14:paraId="1E0B0BAF" w14:textId="77777777" w:rsidR="002D0E71" w:rsidRDefault="00000000">
      <w:pPr>
        <w:pStyle w:val="Normal26"/>
        <w:widowControl w:val="0"/>
        <w:spacing w:before="200" w:line="260" w:lineRule="atLeast"/>
        <w:jc w:val="both"/>
      </w:pPr>
      <w:bookmarkStart w:id="3745" w:name="Bookmark_para_5_25"/>
      <w:bookmarkEnd w:id="3745"/>
      <w:r>
        <w:rPr>
          <w:rFonts w:ascii="Arial" w:eastAsia="Arial" w:hAnsi="Arial" w:cs="Arial"/>
          <w:color w:val="000000"/>
          <w:sz w:val="20"/>
        </w:rPr>
        <w:t xml:space="preserve">This appeal is another chapter in this case's lengthy history. Byron Chapman is disabled by a spinal cord injury and requires the use of a motorized wheelchair when traveling in public. In July 2004, Chapman sued Pier 1 under the ADA, 42 U.S.C. § 12181 </w:t>
      </w:r>
      <w:r>
        <w:rPr>
          <w:rFonts w:ascii="Arial" w:eastAsia="Arial" w:hAnsi="Arial" w:cs="Arial"/>
          <w:i/>
          <w:color w:val="000000"/>
          <w:sz w:val="20"/>
        </w:rPr>
        <w:t>et seq</w:t>
      </w:r>
      <w:r>
        <w:rPr>
          <w:rFonts w:ascii="Arial" w:eastAsia="Arial" w:hAnsi="Arial" w:cs="Arial"/>
          <w:color w:val="000000"/>
          <w:sz w:val="20"/>
        </w:rPr>
        <w:t xml:space="preserve">., the Disabled Persons Act, Cal. Civ. Code § 54 </w:t>
      </w:r>
      <w:r>
        <w:rPr>
          <w:rFonts w:ascii="Arial" w:eastAsia="Arial" w:hAnsi="Arial" w:cs="Arial"/>
          <w:i/>
          <w:color w:val="000000"/>
          <w:sz w:val="20"/>
        </w:rPr>
        <w:t>et seq</w:t>
      </w:r>
      <w:r>
        <w:rPr>
          <w:rFonts w:ascii="Arial" w:eastAsia="Arial" w:hAnsi="Arial" w:cs="Arial"/>
          <w:color w:val="000000"/>
          <w:sz w:val="20"/>
        </w:rPr>
        <w:t xml:space="preserve">., and the Unruh Civil Rights Act, Cal. Civ. Code § 51 </w:t>
      </w:r>
      <w:r>
        <w:rPr>
          <w:rFonts w:ascii="Arial" w:eastAsia="Arial" w:hAnsi="Arial" w:cs="Arial"/>
          <w:i/>
          <w:color w:val="000000"/>
          <w:sz w:val="20"/>
        </w:rPr>
        <w:t>et seq</w:t>
      </w:r>
      <w:r>
        <w:rPr>
          <w:rFonts w:ascii="Arial" w:eastAsia="Arial" w:hAnsi="Arial" w:cs="Arial"/>
          <w:color w:val="000000"/>
          <w:sz w:val="20"/>
        </w:rPr>
        <w:t>.</w:t>
      </w:r>
      <w:r>
        <w:rPr>
          <w:rFonts w:ascii="Arial" w:eastAsia="Arial" w:hAnsi="Arial" w:cs="Arial"/>
          <w:vertAlign w:val="superscript"/>
        </w:rPr>
        <w:footnoteReference w:customMarkFollows="1" w:id="124"/>
        <w:t>1</w:t>
      </w:r>
      <w:r>
        <w:rPr>
          <w:rFonts w:ascii="Arial" w:eastAsia="Arial" w:hAnsi="Arial" w:cs="Arial"/>
          <w:color w:val="000000"/>
          <w:sz w:val="20"/>
        </w:rPr>
        <w:t xml:space="preserve"> Chapman's 2004 Complaint requested injunctive relief requiring the Store to remove numerous barriers. Some of those barriers Chapman had personally encountered during his visits to the Store; others he had not, but, he alleged, they might impede his access during future visits. The challenged barriers — both those he had encountered and those he had not — were listed in an "Accessibility Survey" [**4]  attached to the Complaint.</w:t>
      </w:r>
    </w:p>
    <w:p w14:paraId="28CBF99D" w14:textId="77777777" w:rsidR="002D0E71" w:rsidRDefault="00000000">
      <w:pPr>
        <w:pStyle w:val="Normal26"/>
        <w:widowControl w:val="0"/>
        <w:spacing w:before="200" w:line="260" w:lineRule="atLeast"/>
        <w:jc w:val="both"/>
      </w:pPr>
      <w:bookmarkStart w:id="3748" w:name="Bookmark_para_6_25"/>
      <w:bookmarkStart w:id="3749" w:name="Bookmark_I5FMN28N2HM6MG0020000400"/>
      <w:bookmarkEnd w:id="3748"/>
      <w:bookmarkEnd w:id="3749"/>
      <w:r>
        <w:rPr>
          <w:rFonts w:ascii="Arial" w:eastAsia="Arial" w:hAnsi="Arial" w:cs="Arial"/>
          <w:color w:val="000000"/>
          <w:sz w:val="20"/>
        </w:rPr>
        <w:t xml:space="preserve">The parties filed cross-motions for summary judgment. </w:t>
      </w:r>
      <w:bookmarkStart w:id="3750" w:name="Bookmark_I5FMN28N2HM6MG0040000400"/>
      <w:bookmarkEnd w:id="3750"/>
      <w:r>
        <w:rPr>
          <w:rFonts w:ascii="Arial" w:eastAsia="Arial" w:hAnsi="Arial" w:cs="Arial"/>
          <w:color w:val="000000"/>
          <w:sz w:val="20"/>
        </w:rPr>
        <w:t xml:space="preserve">Chapman's motion appended a new and separate list of unencountered barriers identified by his accessibility expert, Joe Card. </w:t>
      </w:r>
      <w:r>
        <w:rPr>
          <w:rFonts w:ascii="Arial" w:eastAsia="Arial" w:hAnsi="Arial" w:cs="Arial"/>
          <w:i/>
          <w:color w:val="000000"/>
          <w:sz w:val="20"/>
        </w:rPr>
        <w:t xml:space="preserve">See </w:t>
      </w:r>
      <w:bookmarkStart w:id="3751" w:name="Bookmark_I5FMN28N2HM6MG0010000400"/>
      <w:bookmarkEnd w:id="3751"/>
      <w:r>
        <w:rPr>
          <w:rFonts w:ascii="Arial" w:eastAsia="Arial" w:hAnsi="Arial" w:cs="Arial"/>
          <w:i/>
          <w:color w:val="000000"/>
          <w:sz w:val="20"/>
        </w:rPr>
        <w:t>Chapman v. Pier 1 Imports (U.S.) Inc</w:t>
      </w:r>
      <w:r>
        <w:rPr>
          <w:rFonts w:ascii="Arial" w:eastAsia="Arial" w:hAnsi="Arial" w:cs="Arial"/>
          <w:color w:val="000000"/>
          <w:sz w:val="20"/>
        </w:rPr>
        <w:t xml:space="preserve">., 631 F.3d 939, 943—44 (9th Cir. 2011) (en banc). The district court granted summary judgment for Pier 1 as to many of the challenged barriers, but ruled for Chapman as to seven barriers listed in the Card Report, none of which Chapman had personally encountered at the Store. </w:t>
      </w:r>
      <w:bookmarkStart w:id="3752" w:name="Bookmark_I5FMN28N2HM6MG0040000400_2"/>
      <w:bookmarkEnd w:id="3752"/>
      <w:r>
        <w:rPr>
          <w:rFonts w:ascii="Arial" w:eastAsia="Arial" w:hAnsi="Arial" w:cs="Arial"/>
          <w:i/>
          <w:color w:val="000000"/>
          <w:sz w:val="20"/>
        </w:rPr>
        <w:t xml:space="preserve">See </w:t>
      </w:r>
      <w:bookmarkStart w:id="3753" w:name="Bookmark_I5FMN28N2HM6MG0030000400"/>
      <w:bookmarkEnd w:id="3753"/>
      <w:r>
        <w:rPr>
          <w:rFonts w:ascii="Arial" w:eastAsia="Arial" w:hAnsi="Arial" w:cs="Arial"/>
          <w:i/>
          <w:color w:val="000000"/>
          <w:sz w:val="20"/>
        </w:rPr>
        <w:t>id</w:t>
      </w:r>
      <w:r>
        <w:rPr>
          <w:rFonts w:ascii="Arial" w:eastAsia="Arial" w:hAnsi="Arial" w:cs="Arial"/>
          <w:color w:val="000000"/>
          <w:sz w:val="20"/>
        </w:rPr>
        <w:t>. at 944.</w:t>
      </w:r>
    </w:p>
    <w:p w14:paraId="3433C8FD" w14:textId="77777777" w:rsidR="002D0E71" w:rsidRDefault="00000000">
      <w:pPr>
        <w:pStyle w:val="Normal26"/>
        <w:widowControl w:val="0"/>
        <w:spacing w:before="200" w:line="260" w:lineRule="atLeast"/>
        <w:jc w:val="both"/>
      </w:pPr>
      <w:bookmarkStart w:id="3754" w:name="Bookmark_para_7_24"/>
      <w:bookmarkStart w:id="3755" w:name="Bookmark_I5FMN28N2SF8490010000400"/>
      <w:bookmarkEnd w:id="3754"/>
      <w:bookmarkEnd w:id="3755"/>
      <w:r>
        <w:rPr>
          <w:rFonts w:ascii="Arial" w:eastAsia="Arial" w:hAnsi="Arial" w:cs="Arial"/>
          <w:color w:val="000000"/>
          <w:sz w:val="20"/>
        </w:rPr>
        <w:t xml:space="preserve">Pier 1's position on appeal was that Chapman did not have Article III standing to challenge unencountered alleged barriers. Sitting en banc, we "clarif[ied] that when an ADA plaintiff has suffered an injury-in-fact by encountering a barrier that deprives him of full and equal enjoyment of the facility due to his particular disability, he has standing to sue for injunctive [**5]  relief as to that barrier and other barriers related to his disability, even if he is not deterred from returning to the public accommodation at issue." </w:t>
      </w:r>
      <w:bookmarkStart w:id="3756" w:name="Bookmark_I5FMN28N2HM6MG0050000400"/>
      <w:bookmarkEnd w:id="3756"/>
      <w:r>
        <w:rPr>
          <w:rFonts w:ascii="Arial" w:eastAsia="Arial" w:hAnsi="Arial" w:cs="Arial"/>
          <w:i/>
          <w:color w:val="000000"/>
          <w:sz w:val="20"/>
        </w:rPr>
        <w:t>Id</w:t>
      </w:r>
      <w:r>
        <w:rPr>
          <w:rFonts w:ascii="Arial" w:eastAsia="Arial" w:hAnsi="Arial" w:cs="Arial"/>
          <w:color w:val="000000"/>
          <w:sz w:val="20"/>
        </w:rPr>
        <w:t xml:space="preserve">. at 944. </w:t>
      </w:r>
      <w:bookmarkStart w:id="3757" w:name="Bookmark_I5FMN28N2SF8490030000400"/>
      <w:bookmarkEnd w:id="3757"/>
      <w:r>
        <w:rPr>
          <w:rFonts w:ascii="Arial" w:eastAsia="Arial" w:hAnsi="Arial" w:cs="Arial"/>
          <w:color w:val="000000"/>
          <w:sz w:val="20"/>
        </w:rPr>
        <w:t xml:space="preserve">But, we held, Chapman still lacked standing under this standard to litigate his ADA claim. </w:t>
      </w:r>
      <w:bookmarkStart w:id="3758" w:name="Bookmark_I5FMN28N2SF8490030000400_2"/>
      <w:bookmarkEnd w:id="3758"/>
      <w:r>
        <w:rPr>
          <w:rFonts w:ascii="Arial" w:eastAsia="Arial" w:hAnsi="Arial" w:cs="Arial"/>
          <w:color w:val="000000"/>
          <w:sz w:val="20"/>
        </w:rPr>
        <w:t xml:space="preserve">His complaint, we explained, did not allege "which, if any, of the alleged violations deprived him of the same full and equal access that a person who is not wheelchair bound would enjoy . . . [or] identify how any of the alleged violations threatens to deprive him of full and equal access due to his disability if he were to return to the Store, or how any of them deter him from visiting the Store due to his disability." </w:t>
      </w:r>
      <w:bookmarkStart w:id="3759" w:name="Bookmark_I5FMN28N2SF8490020000400"/>
      <w:bookmarkEnd w:id="3759"/>
      <w:r>
        <w:rPr>
          <w:rFonts w:ascii="Arial" w:eastAsia="Arial" w:hAnsi="Arial" w:cs="Arial"/>
          <w:i/>
          <w:color w:val="000000"/>
          <w:sz w:val="20"/>
        </w:rPr>
        <w:t>Id</w:t>
      </w:r>
      <w:r>
        <w:rPr>
          <w:rFonts w:ascii="Arial" w:eastAsia="Arial" w:hAnsi="Arial" w:cs="Arial"/>
          <w:color w:val="000000"/>
          <w:sz w:val="20"/>
        </w:rPr>
        <w:t>. at 955. We therefore vacated the grant of summary judgment and remanded to the district court.</w:t>
      </w:r>
    </w:p>
    <w:p w14:paraId="41B25A4B" w14:textId="77777777" w:rsidR="002D0E71" w:rsidRDefault="00000000">
      <w:pPr>
        <w:pStyle w:val="Normal26"/>
        <w:widowControl w:val="0"/>
        <w:spacing w:before="200" w:line="260" w:lineRule="atLeast"/>
        <w:jc w:val="both"/>
      </w:pPr>
      <w:bookmarkStart w:id="3760" w:name="Bookmark_para_8_24"/>
      <w:bookmarkEnd w:id="3760"/>
      <w:r>
        <w:rPr>
          <w:rFonts w:ascii="Arial" w:eastAsia="Arial" w:hAnsi="Arial" w:cs="Arial"/>
          <w:color w:val="000000"/>
          <w:sz w:val="20"/>
        </w:rPr>
        <w:t>After remand, Chapman filed a Second Amended Complaint, alleging that on numerous visits to the Store he had encountered two specific barriers violative of his rights under the ADA. First, he alleged, the Store's "customer service counter for disabled patrons" was cluttered by merchandise, a condition which prevented customers with disabilities from easily purchasing  [*1004]  items. Second, he claimed, the Store did not maintain accessible routes [**6]  for wheelchair users, as the Store's aisles were often obstructed with merchandise and other items. According to Chapman, these barriers interfered with his ability to "use and enjoy the goods, services, privileges, and accommodations offered at the store," and denied him "full and equal access." Moreover, he alleged, Pier 1 "knew that these elements and areas of the stores were inaccessible, violate state and federal law, and interfere with (or deny) access to the physically disabled."</w:t>
      </w:r>
    </w:p>
    <w:p w14:paraId="723EB48D" w14:textId="77777777" w:rsidR="002D0E71" w:rsidRDefault="00000000">
      <w:pPr>
        <w:pStyle w:val="Normal26"/>
        <w:widowControl w:val="0"/>
        <w:spacing w:before="200" w:line="260" w:lineRule="atLeast"/>
        <w:jc w:val="both"/>
      </w:pPr>
      <w:bookmarkStart w:id="3761" w:name="Bookmark_para_9_24"/>
      <w:bookmarkEnd w:id="3761"/>
      <w:r>
        <w:rPr>
          <w:rFonts w:ascii="Arial" w:eastAsia="Arial" w:hAnsi="Arial" w:cs="Arial"/>
          <w:color w:val="000000"/>
          <w:sz w:val="20"/>
        </w:rPr>
        <w:t>Pier 1 once again filed a motion for summary judgment, this time contending that any obstructions of the sales counter or the store aisles were "temporary," and so not violations of the ADA. More specifically, Pier 1 argued that the obstructions at the Store fell within the scope of DOJ regulations providing that "isolated or temporary" obstructions to accessibility do not violate the ADA. In support of its motion for summary judgment, Pier 1 submitted declarations by Kim R. Blackseth, Pier 1's disability accessibility expert, and Tracy Snow, the Store's manager since November 2004.</w:t>
      </w:r>
    </w:p>
    <w:p w14:paraId="6AA18619" w14:textId="77777777" w:rsidR="002D0E71" w:rsidRDefault="00000000">
      <w:pPr>
        <w:pStyle w:val="Normal26"/>
        <w:widowControl w:val="0"/>
        <w:spacing w:before="200" w:line="260" w:lineRule="atLeast"/>
        <w:jc w:val="both"/>
      </w:pPr>
      <w:bookmarkStart w:id="3762" w:name="Bookmark_para_10_23"/>
      <w:bookmarkEnd w:id="3762"/>
      <w:r>
        <w:rPr>
          <w:rFonts w:ascii="Arial" w:eastAsia="Arial" w:hAnsi="Arial" w:cs="Arial"/>
          <w:color w:val="000000"/>
          <w:sz w:val="20"/>
        </w:rPr>
        <w:t>Blackseth stated in his expert report that (1) on the date of his inspection, the Store's customer service counter was "clear [**7]  of goods"; (2) the "aisles throughout the store were the required minimum 36" wide and clear of goods"; and (3) he was "able to navigate the aisles in [his] electric Invacare wheelchair." The report contained photographs from the November 2011 inspection, depicting three aisles clear of obstructions.</w:t>
      </w:r>
    </w:p>
    <w:p w14:paraId="51A2571B" w14:textId="77777777" w:rsidR="002D0E71" w:rsidRDefault="00000000">
      <w:pPr>
        <w:pStyle w:val="Normal26"/>
        <w:widowControl w:val="0"/>
        <w:spacing w:before="200" w:line="260" w:lineRule="atLeast"/>
        <w:jc w:val="both"/>
      </w:pPr>
      <w:bookmarkStart w:id="3763" w:name="Bookmark_para_11_23"/>
      <w:bookmarkEnd w:id="3763"/>
      <w:r>
        <w:rPr>
          <w:rFonts w:ascii="Arial" w:eastAsia="Arial" w:hAnsi="Arial" w:cs="Arial"/>
          <w:color w:val="000000"/>
          <w:sz w:val="20"/>
        </w:rPr>
        <w:t>According to Snow's declaration, she had "been a part of Pier 1 [sic] efforts to assist its mobility-impaired customers and to ensure the stores aisles are 36 inches wide, pursuant to Pier 1's policy." Snow explained that the Store's monthly merchandise plans directing employees on how to place merchandise for display "always include an instruction to maintain an aisle-width of at least 36 inches for the shopping aisles." She went on to report that because customers commonly move merchandise around the Store, and because Store employees must move merchandise for customers or for stocking purposes, the Store "ha[d] adopted a number of strategies for ensuring the Store's shopping aisles" remained accessible — for example, directing that employees regularly walk around the Store with a yard stick to measure the width of Store aisles. Moreover, Snow stated, she and two other managers had personally [**8]  measured all the shopping aisles at the Store, finding each to be at least 36 inches wide.</w:t>
      </w:r>
    </w:p>
    <w:p w14:paraId="5BF48178" w14:textId="77777777" w:rsidR="002D0E71" w:rsidRDefault="00000000">
      <w:pPr>
        <w:pStyle w:val="Normal26"/>
        <w:widowControl w:val="0"/>
        <w:spacing w:before="200" w:line="260" w:lineRule="atLeast"/>
        <w:jc w:val="both"/>
      </w:pPr>
      <w:bookmarkStart w:id="3764" w:name="Bookmark_para_12_22"/>
      <w:bookmarkEnd w:id="3764"/>
      <w:r>
        <w:rPr>
          <w:rFonts w:ascii="Arial" w:eastAsia="Arial" w:hAnsi="Arial" w:cs="Arial"/>
          <w:color w:val="000000"/>
          <w:sz w:val="20"/>
        </w:rPr>
        <w:t>Chapman opposed Pier 1's motion and filed a crossmotion for summary judgment. He explained that on each of his eleven visits to the Store in 2011 and 2012, aisles were obstructed by merchandise or other items, such that "there were times that [he] could not reach or get to certain items, height or not, due to the aisles being blocked." Additionally, on at least on two occasions, the store's accessible sales counter, designed to be used by Pier 1 customers using wheelchairs, was cluttered with objects.</w:t>
      </w:r>
    </w:p>
    <w:p w14:paraId="4E17D08E" w14:textId="77777777" w:rsidR="002D0E71" w:rsidRDefault="00000000">
      <w:pPr>
        <w:pStyle w:val="Normal26"/>
        <w:widowControl w:val="0"/>
        <w:spacing w:before="200" w:line="260" w:lineRule="atLeast"/>
        <w:jc w:val="both"/>
      </w:pPr>
      <w:bookmarkStart w:id="3765" w:name="Bookmark_para_13_22"/>
      <w:bookmarkEnd w:id="3765"/>
      <w:r>
        <w:rPr>
          <w:rFonts w:ascii="Arial" w:eastAsia="Arial" w:hAnsi="Arial" w:cs="Arial"/>
          <w:color w:val="000000"/>
          <w:sz w:val="20"/>
        </w:rPr>
        <w:t>Chapman enlisted expert Joe Card once again to support his position. Card inspected the Store's aisles and accessible counter and reported numerous obstructions. Relying upon a number of photographs he had taken of alleged barriers, as well as his wife's declaration and the Card report, Chapman argued that there is no genuine dispute of material fact concerning whether merchandise blocked accessible routes and counters during his eleven visits to the store. He contended that these barriers were "not temporary, isolated occurrences . . . but, rather, a systematic pattern of abuse against the disabled." [**9] </w:t>
      </w:r>
    </w:p>
    <w:p w14:paraId="02A8AA03" w14:textId="77777777" w:rsidR="002D0E71" w:rsidRDefault="00000000">
      <w:pPr>
        <w:pStyle w:val="Normal26"/>
        <w:widowControl w:val="0"/>
        <w:spacing w:before="200" w:line="260" w:lineRule="atLeast"/>
        <w:jc w:val="both"/>
      </w:pPr>
      <w:bookmarkStart w:id="3766" w:name="Bookmark_para_14_22"/>
      <w:bookmarkEnd w:id="3766"/>
      <w:r>
        <w:rPr>
          <w:rFonts w:ascii="Arial" w:eastAsia="Arial" w:hAnsi="Arial" w:cs="Arial"/>
          <w:color w:val="000000"/>
          <w:sz w:val="20"/>
        </w:rPr>
        <w:t> [*1005]  The district court denied Pier 1's motion for summary judgment and granted summary judgment to Chapman. First, the district court rejected Pier 1's argument that the ADA does not apply to movable obstructions, because Chapman himself, or store employees upon request, could clear the items.</w:t>
      </w:r>
      <w:r>
        <w:rPr>
          <w:rFonts w:ascii="Arial" w:eastAsia="Arial" w:hAnsi="Arial" w:cs="Arial"/>
          <w:vertAlign w:val="superscript"/>
        </w:rPr>
        <w:footnoteReference w:customMarkFollows="1" w:id="125"/>
        <w:t>2</w:t>
      </w:r>
      <w:r>
        <w:rPr>
          <w:rFonts w:ascii="Arial" w:eastAsia="Arial" w:hAnsi="Arial" w:cs="Arial"/>
          <w:color w:val="000000"/>
          <w:sz w:val="20"/>
        </w:rPr>
        <w:t xml:space="preserve"> "DOJ commentaries — and the ADA itself — refer to an obligation that defendant bears," the court observed, and the ADA was intended "to </w:t>
      </w:r>
      <w:r>
        <w:rPr>
          <w:rFonts w:ascii="Arial" w:eastAsia="Arial" w:hAnsi="Arial" w:cs="Arial"/>
          <w:i/>
          <w:color w:val="000000"/>
          <w:sz w:val="20"/>
        </w:rPr>
        <w:t>eliminate</w:t>
      </w:r>
      <w:r>
        <w:rPr>
          <w:rFonts w:ascii="Arial" w:eastAsia="Arial" w:hAnsi="Arial" w:cs="Arial"/>
          <w:color w:val="000000"/>
          <w:sz w:val="20"/>
        </w:rPr>
        <w:t xml:space="preserve"> the stereotype of the helpless disabled person completely reliant on the assistance of able-bodied persons to come to their rescue." Therefore, the court ruled, accessible facilities "must be </w:t>
      </w:r>
      <w:r>
        <w:rPr>
          <w:rFonts w:ascii="Arial" w:eastAsia="Arial" w:hAnsi="Arial" w:cs="Arial"/>
          <w:i/>
          <w:color w:val="000000"/>
          <w:sz w:val="20"/>
        </w:rPr>
        <w:t>maintained</w:t>
      </w:r>
      <w:r>
        <w:rPr>
          <w:rFonts w:ascii="Arial" w:eastAsia="Arial" w:hAnsi="Arial" w:cs="Arial"/>
          <w:color w:val="000000"/>
          <w:sz w:val="20"/>
        </w:rPr>
        <w:t xml:space="preserve"> in a condition that allows a disabled person to actually use them."</w:t>
      </w:r>
    </w:p>
    <w:p w14:paraId="1B8EE113" w14:textId="77777777" w:rsidR="002D0E71" w:rsidRDefault="00000000">
      <w:pPr>
        <w:pStyle w:val="Normal26"/>
        <w:widowControl w:val="0"/>
        <w:spacing w:before="200" w:line="260" w:lineRule="atLeast"/>
        <w:jc w:val="both"/>
      </w:pPr>
      <w:bookmarkStart w:id="3768" w:name="Bookmark_para_15_22"/>
      <w:bookmarkEnd w:id="3768"/>
      <w:r>
        <w:rPr>
          <w:rFonts w:ascii="Arial" w:eastAsia="Arial" w:hAnsi="Arial" w:cs="Arial"/>
          <w:color w:val="000000"/>
          <w:sz w:val="20"/>
        </w:rPr>
        <w:t xml:space="preserve">The district court then turned to Pier 1's defense that the barriers were only "temporary," and so did [**10]  not violate the ADA. Noting that the applicable ADA regulations exempt liability for "isolated or temporary" interruptions in the availability of accessible features, the district court explained that applicable interpretive authorities indicate that "'[t]emporary,' as used in this context, is closer to 'transitory,' that is, an object that is unavoidably placed in the aisle, but with the intention of removing it as soon as possible." For instance, Pier 1's defense would be applicable where "boxes [were] temporarily placed in an accessible route </w:t>
      </w:r>
      <w:r>
        <w:rPr>
          <w:rFonts w:ascii="Arial" w:eastAsia="Arial" w:hAnsi="Arial" w:cs="Arial"/>
          <w:i/>
          <w:color w:val="000000"/>
          <w:sz w:val="20"/>
        </w:rPr>
        <w:t>while being moved</w:t>
      </w:r>
      <w:r>
        <w:rPr>
          <w:rFonts w:ascii="Arial" w:eastAsia="Arial" w:hAnsi="Arial" w:cs="Arial"/>
          <w:color w:val="000000"/>
          <w:sz w:val="20"/>
        </w:rPr>
        <w:t xml:space="preserve"> from, say, 'the hall to the storage room.'" The district court found that Chapman's declaration and his expert report sufficiently established that the barriers Chapman encountered at the Store were not "transitory" in this sense.</w:t>
      </w:r>
    </w:p>
    <w:p w14:paraId="535D6148" w14:textId="77777777" w:rsidR="002D0E71" w:rsidRDefault="00000000">
      <w:pPr>
        <w:pStyle w:val="Normal26"/>
        <w:widowControl w:val="0"/>
        <w:spacing w:before="200" w:line="260" w:lineRule="atLeast"/>
        <w:jc w:val="both"/>
      </w:pPr>
      <w:bookmarkStart w:id="3769" w:name="Bookmark_para_16_22"/>
      <w:bookmarkEnd w:id="3769"/>
      <w:r>
        <w:rPr>
          <w:rFonts w:ascii="Arial" w:eastAsia="Arial" w:hAnsi="Arial" w:cs="Arial"/>
          <w:color w:val="000000"/>
          <w:sz w:val="20"/>
        </w:rPr>
        <w:t>After determining that Pier 1 failed to establish any other defense or genuine dispute of fact, the district court granted summary judgment to Chapman on his ADA claim and the dependent state law claims. The district court accordingly issued a permanent injunction enjoining Pier 1 from (1) blocking its aisles with merchandise or other items, "except for the unavoidable transitory blockages caused by re-stocking [**11]  and similar activities"; and (2) cluttering its accessible sales counter with materials other than the "unavoidable transitory clutter resulting from the current use of that counter to check-out merchandise." Pier 1 timely appealed.</w:t>
      </w:r>
    </w:p>
    <w:p w14:paraId="4069EDA9" w14:textId="77777777" w:rsidR="002D0E71" w:rsidRDefault="00000000">
      <w:pPr>
        <w:pStyle w:val="Normal26"/>
        <w:widowControl w:val="0"/>
        <w:spacing w:before="240" w:line="260" w:lineRule="atLeast"/>
      </w:pPr>
      <w:r>
        <w:br/>
      </w:r>
      <w:r>
        <w:rPr>
          <w:rFonts w:ascii="Arial" w:eastAsia="Arial" w:hAnsi="Arial" w:cs="Arial"/>
          <w:b/>
          <w:color w:val="000000"/>
          <w:sz w:val="20"/>
        </w:rPr>
        <w:t>II. Statutory and Regulatory Provisions</w:t>
      </w:r>
    </w:p>
    <w:p w14:paraId="3ACF3274" w14:textId="77777777" w:rsidR="002D0E71" w:rsidRDefault="00000000">
      <w:pPr>
        <w:pStyle w:val="Normal26"/>
        <w:widowControl w:val="0"/>
        <w:spacing w:before="200" w:line="260" w:lineRule="atLeast"/>
        <w:jc w:val="both"/>
      </w:pPr>
      <w:bookmarkStart w:id="3770" w:name="Bookmark_para_17_21"/>
      <w:bookmarkStart w:id="3771" w:name="Bookmark_I5FMN28N2SF8490050000400"/>
      <w:bookmarkStart w:id="3772" w:name="Bookmark_LNHNREFclscc2_21"/>
      <w:bookmarkEnd w:id="3770"/>
      <w:bookmarkEnd w:id="3771"/>
      <w:bookmarkEnd w:id="3772"/>
      <w:r>
        <w:rPr>
          <w:rFonts w:ascii="Arial" w:eastAsia="Arial" w:hAnsi="Arial" w:cs="Arial"/>
          <w:color w:val="000000"/>
          <w:sz w:val="20"/>
        </w:rPr>
        <w:t xml:space="preserve">The ADA "provide[s] a clear and comprehensive national mandate for the elimination of discrimination against individuals with disabilities." 42 U.S.C. § 12101(b)(1). Title III of the Act, at issue here, "prohibits discrimination against the disabled in the full and equal enjoyment of public accommodations." </w:t>
      </w:r>
      <w:bookmarkStart w:id="3773" w:name="Bookmark_I5FMN28N2SF8490040000400"/>
      <w:bookmarkEnd w:id="3773"/>
      <w:r>
        <w:rPr>
          <w:rFonts w:ascii="Arial" w:eastAsia="Arial" w:hAnsi="Arial" w:cs="Arial"/>
          <w:i/>
          <w:color w:val="000000"/>
          <w:sz w:val="20"/>
        </w:rPr>
        <w:t>Spector v. Norwegian Cruise Line Ltd</w:t>
      </w:r>
      <w:r>
        <w:rPr>
          <w:rFonts w:ascii="Arial" w:eastAsia="Arial" w:hAnsi="Arial" w:cs="Arial"/>
          <w:color w:val="000000"/>
          <w:sz w:val="20"/>
        </w:rPr>
        <w:t xml:space="preserve">., 545 U.S. 119, 128, 125 S. Ct. 2169, 162 L. Ed. 2d 97 (2005) (citing 42 U.S.C. § 12182(a)). Retail stores, like Pier 1, are public accommodations. 42 U.S.C. § 12181(7)(E). The general anti-discrimination prohibitions of Title III, </w:t>
      </w:r>
      <w:r>
        <w:rPr>
          <w:rFonts w:ascii="Arial" w:eastAsia="Arial" w:hAnsi="Arial" w:cs="Arial"/>
          <w:i/>
          <w:color w:val="000000"/>
          <w:sz w:val="20"/>
        </w:rPr>
        <w:t>id</w:t>
      </w:r>
      <w:r>
        <w:rPr>
          <w:rFonts w:ascii="Arial" w:eastAsia="Arial" w:hAnsi="Arial" w:cs="Arial"/>
          <w:color w:val="000000"/>
          <w:sz w:val="20"/>
        </w:rPr>
        <w:t xml:space="preserve">. § 12182(b)(1), are supplemented by various, specific prohibitions, including requirements that entities providing public accommodations must (1) make "reasonable modifications in polices, practices, or procedures, when such modifications are necessary" to provide persons with disabilities full and equal enjoyment, </w:t>
      </w:r>
      <w:r>
        <w:rPr>
          <w:rFonts w:ascii="Arial" w:eastAsia="Arial" w:hAnsi="Arial" w:cs="Arial"/>
          <w:i/>
          <w:color w:val="000000"/>
          <w:sz w:val="20"/>
        </w:rPr>
        <w:t>id</w:t>
      </w:r>
      <w:r>
        <w:rPr>
          <w:rFonts w:ascii="Arial" w:eastAsia="Arial" w:hAnsi="Arial" w:cs="Arial"/>
          <w:color w:val="000000"/>
          <w:sz w:val="20"/>
        </w:rPr>
        <w:t xml:space="preserve">. § 12182(b)(2)(A)(ii); (2) "remove architectural barriers . . . in existing facilities . . . where such removal is readily achievable," </w:t>
      </w:r>
      <w:r>
        <w:rPr>
          <w:rFonts w:ascii="Arial" w:eastAsia="Arial" w:hAnsi="Arial" w:cs="Arial"/>
          <w:i/>
          <w:color w:val="000000"/>
          <w:sz w:val="20"/>
        </w:rPr>
        <w:t>id</w:t>
      </w:r>
      <w:r>
        <w:rPr>
          <w:rFonts w:ascii="Arial" w:eastAsia="Arial" w:hAnsi="Arial" w:cs="Arial"/>
          <w:color w:val="000000"/>
          <w:sz w:val="20"/>
        </w:rPr>
        <w:t xml:space="preserve">. § 12182(b)(2)(A)(iv); and (3) "design and construct facilities . . . that are readily  [*1006]  accessible to and usable by individuals [**12]  with disabilities," </w:t>
      </w:r>
      <w:r>
        <w:rPr>
          <w:rFonts w:ascii="Arial" w:eastAsia="Arial" w:hAnsi="Arial" w:cs="Arial"/>
          <w:i/>
          <w:color w:val="000000"/>
          <w:sz w:val="20"/>
        </w:rPr>
        <w:t>id</w:t>
      </w:r>
      <w:r>
        <w:rPr>
          <w:rFonts w:ascii="Arial" w:eastAsia="Arial" w:hAnsi="Arial" w:cs="Arial"/>
          <w:color w:val="000000"/>
          <w:sz w:val="20"/>
        </w:rPr>
        <w:t>. § 12183(a)(1).</w:t>
      </w:r>
    </w:p>
    <w:p w14:paraId="39CF5F9D" w14:textId="77777777" w:rsidR="002D0E71" w:rsidRDefault="00000000">
      <w:pPr>
        <w:pStyle w:val="Normal26"/>
        <w:widowControl w:val="0"/>
        <w:spacing w:before="200" w:line="260" w:lineRule="atLeast"/>
        <w:jc w:val="both"/>
      </w:pPr>
      <w:bookmarkStart w:id="3774" w:name="Bookmark_para_18_21"/>
      <w:bookmarkStart w:id="3775" w:name="Bookmark_I5FMN28N2SF84B0020000400"/>
      <w:bookmarkStart w:id="3776" w:name="Bookmark_I5FMN28N2N1RGM0010000400"/>
      <w:bookmarkStart w:id="3777" w:name="Bookmark_LNHNREFclscc3_21"/>
      <w:bookmarkEnd w:id="3774"/>
      <w:bookmarkEnd w:id="3775"/>
      <w:bookmarkEnd w:id="3776"/>
      <w:bookmarkEnd w:id="3777"/>
      <w:r>
        <w:rPr>
          <w:rFonts w:ascii="Arial" w:eastAsia="Arial" w:hAnsi="Arial" w:cs="Arial"/>
          <w:color w:val="000000"/>
          <w:sz w:val="20"/>
        </w:rPr>
        <w:t xml:space="preserve">The regulations implementing ADA Title III, </w:t>
      </w:r>
      <w:r>
        <w:rPr>
          <w:rFonts w:ascii="Arial" w:eastAsia="Arial" w:hAnsi="Arial" w:cs="Arial"/>
          <w:i/>
          <w:color w:val="000000"/>
          <w:sz w:val="20"/>
        </w:rPr>
        <w:t>see id</w:t>
      </w:r>
      <w:r>
        <w:rPr>
          <w:rFonts w:ascii="Arial" w:eastAsia="Arial" w:hAnsi="Arial" w:cs="Arial"/>
          <w:color w:val="000000"/>
          <w:sz w:val="20"/>
        </w:rPr>
        <w:t xml:space="preserve">. §12186(b), require that a public accommodation "maintain in operable working condition those features of facilities and equipment that are required to be readily accessible to and usable by persons with disabilities by the Act or this part." 28 C.F.R. § 36.211(a). "Whether a facility is 'readily accessible' is defined, in part, by the ADA Accessibility Guidelines ('ADAAG')," which "lay out the technical structural requirements of places of public accommodation." </w:t>
      </w:r>
      <w:bookmarkStart w:id="3778" w:name="Bookmark_I5FMN28N2SF84B0010000400"/>
      <w:bookmarkEnd w:id="3778"/>
      <w:r>
        <w:rPr>
          <w:rFonts w:ascii="Arial" w:eastAsia="Arial" w:hAnsi="Arial" w:cs="Arial"/>
          <w:i/>
          <w:color w:val="000000"/>
          <w:sz w:val="20"/>
        </w:rPr>
        <w:t>Chapman</w:t>
      </w:r>
      <w:r>
        <w:rPr>
          <w:rFonts w:ascii="Arial" w:eastAsia="Arial" w:hAnsi="Arial" w:cs="Arial"/>
          <w:color w:val="000000"/>
          <w:sz w:val="20"/>
        </w:rPr>
        <w:t xml:space="preserve">, 631 F.3d at 945 (internal citations and quotation marks omitted); </w:t>
      </w:r>
      <w:r>
        <w:rPr>
          <w:rFonts w:ascii="Arial" w:eastAsia="Arial" w:hAnsi="Arial" w:cs="Arial"/>
          <w:i/>
          <w:color w:val="000000"/>
          <w:sz w:val="20"/>
        </w:rPr>
        <w:t>see</w:t>
      </w:r>
      <w:r>
        <w:rPr>
          <w:rFonts w:ascii="Arial" w:eastAsia="Arial" w:hAnsi="Arial" w:cs="Arial"/>
          <w:color w:val="000000"/>
          <w:sz w:val="20"/>
        </w:rPr>
        <w:t xml:space="preserve"> 28 C.F.R. pt. 36, app. A (1991 ADAAG Standards).</w:t>
      </w:r>
      <w:r>
        <w:rPr>
          <w:rFonts w:ascii="Arial" w:eastAsia="Arial" w:hAnsi="Arial" w:cs="Arial"/>
          <w:vertAlign w:val="superscript"/>
        </w:rPr>
        <w:footnoteReference w:customMarkFollows="1" w:id="126"/>
        <w:t>3</w:t>
      </w:r>
      <w:r>
        <w:rPr>
          <w:rFonts w:ascii="Arial" w:eastAsia="Arial" w:hAnsi="Arial" w:cs="Arial"/>
          <w:color w:val="000000"/>
          <w:sz w:val="20"/>
        </w:rPr>
        <w:t xml:space="preserve"> "The ADAAG's requirements are as precise as they are thorough, and the difference between compliance and noncompliance with the standard of full and equal enjoyment established by the ADA is often a matter of inches." </w:t>
      </w:r>
      <w:bookmarkStart w:id="3780" w:name="Bookmark_I5FMN28N2SF84B0030000400"/>
      <w:bookmarkEnd w:id="3780"/>
      <w:r>
        <w:rPr>
          <w:rFonts w:ascii="Arial" w:eastAsia="Arial" w:hAnsi="Arial" w:cs="Arial"/>
          <w:i/>
          <w:color w:val="000000"/>
          <w:sz w:val="20"/>
        </w:rPr>
        <w:t>Chapman</w:t>
      </w:r>
      <w:r>
        <w:rPr>
          <w:rFonts w:ascii="Arial" w:eastAsia="Arial" w:hAnsi="Arial" w:cs="Arial"/>
          <w:color w:val="000000"/>
          <w:sz w:val="20"/>
        </w:rPr>
        <w:t xml:space="preserve">, 631 F.3d at 945—46. "We have held that 'obedience to the spirit of the ADA' does not excuse noncompliance with the ADAAG's requirements." </w:t>
      </w:r>
      <w:bookmarkStart w:id="3781" w:name="Bookmark_I5FMN28N2SF84B0050000400"/>
      <w:bookmarkEnd w:id="3781"/>
      <w:r>
        <w:rPr>
          <w:rFonts w:ascii="Arial" w:eastAsia="Arial" w:hAnsi="Arial" w:cs="Arial"/>
          <w:i/>
          <w:color w:val="000000"/>
          <w:sz w:val="20"/>
        </w:rPr>
        <w:t>Id</w:t>
      </w:r>
      <w:r>
        <w:rPr>
          <w:rFonts w:ascii="Arial" w:eastAsia="Arial" w:hAnsi="Arial" w:cs="Arial"/>
          <w:color w:val="000000"/>
          <w:sz w:val="20"/>
        </w:rPr>
        <w:t xml:space="preserve">. at 945 (quoting </w:t>
      </w:r>
      <w:bookmarkStart w:id="3782" w:name="Bookmark_I5FMN28N2N1RGM0020000400"/>
      <w:bookmarkEnd w:id="3782"/>
      <w:r>
        <w:rPr>
          <w:rFonts w:ascii="Arial" w:eastAsia="Arial" w:hAnsi="Arial" w:cs="Arial"/>
          <w:i/>
          <w:color w:val="000000"/>
          <w:sz w:val="20"/>
        </w:rPr>
        <w:t>Long v. Coast Resorts, Inc</w:t>
      </w:r>
      <w:r>
        <w:rPr>
          <w:rFonts w:ascii="Arial" w:eastAsia="Arial" w:hAnsi="Arial" w:cs="Arial"/>
          <w:color w:val="000000"/>
          <w:sz w:val="20"/>
        </w:rPr>
        <w:t>., 267 F.3d 918, 923 (9th Cir. 2001)).</w:t>
      </w:r>
    </w:p>
    <w:p w14:paraId="6393CAD9" w14:textId="77777777" w:rsidR="002D0E71" w:rsidRDefault="00000000">
      <w:pPr>
        <w:pStyle w:val="Normal26"/>
        <w:widowControl w:val="0"/>
        <w:spacing w:before="200" w:line="260" w:lineRule="atLeast"/>
        <w:jc w:val="both"/>
      </w:pPr>
      <w:bookmarkStart w:id="3783" w:name="Bookmark_para_19_21"/>
      <w:bookmarkEnd w:id="3783"/>
      <w:r>
        <w:rPr>
          <w:rFonts w:ascii="Arial" w:eastAsia="Arial" w:hAnsi="Arial" w:cs="Arial"/>
          <w:color w:val="000000"/>
          <w:sz w:val="20"/>
        </w:rPr>
        <w:t xml:space="preserve">Three regulatory requirements underlie the current dispute. </w:t>
      </w:r>
      <w:bookmarkStart w:id="3784" w:name="Bookmark_LNHNREFclscc4_21"/>
      <w:bookmarkEnd w:id="3784"/>
      <w:r>
        <w:rPr>
          <w:rFonts w:ascii="Arial" w:eastAsia="Arial" w:hAnsi="Arial" w:cs="Arial"/>
          <w:color w:val="000000"/>
          <w:sz w:val="20"/>
        </w:rPr>
        <w:t xml:space="preserve">The ADAAG provide that "[t]he minimum clear width of an accessible route shall be 36 in[ches]." 28 C.F.R. pt. 36, app. A, § 4.3.3. The ADAAG also specify that, "[i]n department stores and miscellaneous retail [**13]  stores where counters have cash registers and are provided for sales or distribution of goods or services to the public, at least one of each type shall have a portion of the counter which is at least 36 in (915mm) in length with a maximum height of 36 in (915 mm) above the finish floor." </w:t>
      </w:r>
      <w:r>
        <w:rPr>
          <w:rFonts w:ascii="Arial" w:eastAsia="Arial" w:hAnsi="Arial" w:cs="Arial"/>
          <w:i/>
          <w:color w:val="000000"/>
          <w:sz w:val="20"/>
        </w:rPr>
        <w:t>Id</w:t>
      </w:r>
      <w:r>
        <w:rPr>
          <w:rFonts w:ascii="Arial" w:eastAsia="Arial" w:hAnsi="Arial" w:cs="Arial"/>
          <w:color w:val="000000"/>
          <w:sz w:val="20"/>
        </w:rPr>
        <w:t xml:space="preserve">., § 7.2(1). Finally, the generally applicable regulations explain that the requirement that public accommodations maintain "readily accessible" facilities and equipment "does not prohibit isolated or </w:t>
      </w:r>
      <w:r>
        <w:rPr>
          <w:rFonts w:ascii="Arial" w:eastAsia="Arial" w:hAnsi="Arial" w:cs="Arial"/>
          <w:i/>
          <w:color w:val="000000"/>
          <w:sz w:val="20"/>
        </w:rPr>
        <w:t>temporary interruptions</w:t>
      </w:r>
      <w:r>
        <w:rPr>
          <w:rFonts w:ascii="Arial" w:eastAsia="Arial" w:hAnsi="Arial" w:cs="Arial"/>
          <w:color w:val="000000"/>
          <w:sz w:val="20"/>
        </w:rPr>
        <w:t xml:space="preserve"> in service or access due to maintenance or repairs." 28 C.F.R. § 36.211(b) (emphasis added). The parties' disagreement centers on the latter provision as applied to the aisle clearance width and accessible counter requirements.</w:t>
      </w:r>
    </w:p>
    <w:p w14:paraId="37D9C53E" w14:textId="77777777" w:rsidR="002D0E71" w:rsidRDefault="00000000">
      <w:pPr>
        <w:pStyle w:val="Normal26"/>
        <w:widowControl w:val="0"/>
        <w:spacing w:before="200" w:line="260" w:lineRule="atLeast"/>
        <w:jc w:val="both"/>
      </w:pPr>
      <w:bookmarkStart w:id="3785" w:name="Bookmark_para_20_19"/>
      <w:bookmarkStart w:id="3786" w:name="Bookmark_I5FMN28N2N1RGM0050000400"/>
      <w:bookmarkStart w:id="3787" w:name="Bookmark_I5FMN28N28T4BY0010000400"/>
      <w:bookmarkStart w:id="3788" w:name="Bookmark_LNHNREFclscc5_21"/>
      <w:bookmarkEnd w:id="3785"/>
      <w:bookmarkEnd w:id="3786"/>
      <w:bookmarkEnd w:id="3787"/>
      <w:bookmarkEnd w:id="3788"/>
      <w:r>
        <w:rPr>
          <w:rFonts w:ascii="Arial" w:eastAsia="Arial" w:hAnsi="Arial" w:cs="Arial"/>
          <w:color w:val="000000"/>
          <w:sz w:val="20"/>
        </w:rPr>
        <w:t>Fleshing out the import of § 36.211(b), the Technical Assistance Manual ("Manual")</w:t>
      </w:r>
      <w:r>
        <w:rPr>
          <w:rFonts w:ascii="Arial" w:eastAsia="Arial" w:hAnsi="Arial" w:cs="Arial"/>
          <w:vertAlign w:val="superscript"/>
        </w:rPr>
        <w:footnoteReference w:customMarkFollows="1" w:id="127"/>
        <w:t>4</w:t>
      </w:r>
      <w:r>
        <w:rPr>
          <w:rFonts w:ascii="Arial" w:eastAsia="Arial" w:hAnsi="Arial" w:cs="Arial"/>
          <w:color w:val="000000"/>
          <w:sz w:val="20"/>
        </w:rPr>
        <w:t xml:space="preserve"> published by the DOJ "pursuant to Title III's directive to provide technical assistance to covered entities," </w:t>
      </w:r>
      <w:bookmarkStart w:id="3790" w:name="Bookmark_I5FMN28N2N1RGM0040000400"/>
      <w:bookmarkEnd w:id="3790"/>
      <w:r>
        <w:rPr>
          <w:rFonts w:ascii="Arial" w:eastAsia="Arial" w:hAnsi="Arial" w:cs="Arial"/>
          <w:i/>
          <w:color w:val="000000"/>
          <w:sz w:val="20"/>
        </w:rPr>
        <w:t>Miller v. California Speedway Corp</w:t>
      </w:r>
      <w:r>
        <w:rPr>
          <w:rFonts w:ascii="Arial" w:eastAsia="Arial" w:hAnsi="Arial" w:cs="Arial"/>
          <w:color w:val="000000"/>
          <w:sz w:val="20"/>
        </w:rPr>
        <w:t>., 536 F.3d 1020, 1026 (9th Cir. 2008), provides that "[w]here a public accommodation must provide an accessible route, the route must remain accessible and not blocked by obstacles such as furniture, filing cabinets, or potted plants," Manual § III-3.7000.</w:t>
      </w:r>
      <w:r>
        <w:rPr>
          <w:rFonts w:ascii="Arial" w:eastAsia="Arial" w:hAnsi="Arial" w:cs="Arial"/>
          <w:vertAlign w:val="superscript"/>
        </w:rPr>
        <w:footnoteReference w:customMarkFollows="1" w:id="128"/>
        <w:t>5</w:t>
      </w:r>
      <w:r>
        <w:rPr>
          <w:rFonts w:ascii="Arial" w:eastAsia="Arial" w:hAnsi="Arial" w:cs="Arial"/>
          <w:color w:val="000000"/>
          <w:sz w:val="20"/>
        </w:rPr>
        <w:t xml:space="preserve"> It also explains that "[a]n isolated instance of placement of an object on an accessible route [**14]  would not be a violation, if the object is promptly removed." </w:t>
      </w:r>
      <w:r>
        <w:rPr>
          <w:rFonts w:ascii="Arial" w:eastAsia="Arial" w:hAnsi="Arial" w:cs="Arial"/>
          <w:i/>
          <w:color w:val="000000"/>
          <w:sz w:val="20"/>
        </w:rPr>
        <w:t>Id</w:t>
      </w:r>
      <w:r>
        <w:rPr>
          <w:rFonts w:ascii="Arial" w:eastAsia="Arial" w:hAnsi="Arial" w:cs="Arial"/>
          <w:color w:val="000000"/>
          <w:sz w:val="20"/>
        </w:rPr>
        <w:t xml:space="preserve">. DOJ commentaries to the final rule revising Title III's implementing regulations similarly note that "a temporary interruption that blocks an accessible route, such as restocking of shelves," is permitted by § 36.211(b). </w:t>
      </w:r>
      <w:bookmarkStart w:id="3793" w:name="Bookmark_I5FMN28N2D6NTB0010000400"/>
      <w:bookmarkEnd w:id="3793"/>
      <w:r>
        <w:rPr>
          <w:rFonts w:ascii="Arial" w:eastAsia="Arial" w:hAnsi="Arial" w:cs="Arial"/>
          <w:color w:val="000000"/>
          <w:sz w:val="20"/>
        </w:rPr>
        <w:t>75 Fed. Reg. 56,236, 56,270 (Sept. 15, 2010).</w:t>
      </w:r>
      <w:r>
        <w:rPr>
          <w:rFonts w:ascii="Arial" w:eastAsia="Arial" w:hAnsi="Arial" w:cs="Arial"/>
          <w:vertAlign w:val="superscript"/>
        </w:rPr>
        <w:footnoteReference w:customMarkFollows="1" w:id="129"/>
        <w:t>6</w:t>
      </w:r>
      <w:r>
        <w:rPr>
          <w:rFonts w:ascii="Arial" w:eastAsia="Arial" w:hAnsi="Arial" w:cs="Arial"/>
          <w:color w:val="000000"/>
          <w:sz w:val="20"/>
        </w:rPr>
        <w:t xml:space="preserve">  [*1007]  Like the Manual, the commentaries recognize that "accessible routes" or "other feature[s]" cannot be "built in compliance with the ADA, only to be blocked or changed later so that it is inaccessible," </w:t>
      </w:r>
      <w:bookmarkStart w:id="3800" w:name="Bookmark_I5FMN28N2D6NTB0030000400"/>
      <w:bookmarkEnd w:id="3800"/>
      <w:r>
        <w:rPr>
          <w:rFonts w:ascii="Arial" w:eastAsia="Arial" w:hAnsi="Arial" w:cs="Arial"/>
          <w:color w:val="000000"/>
          <w:sz w:val="20"/>
        </w:rPr>
        <w:t>73 Fed. Reg. 34,508, 34,523 (June 17, 2008):</w:t>
      </w:r>
    </w:p>
    <w:p w14:paraId="3870B045" w14:textId="77777777" w:rsidR="002D0E71" w:rsidRDefault="00000000">
      <w:pPr>
        <w:pStyle w:val="Normal26"/>
        <w:widowControl w:val="0"/>
        <w:spacing w:line="260" w:lineRule="atLeast"/>
        <w:ind w:left="400"/>
        <w:jc w:val="both"/>
      </w:pPr>
      <w:bookmarkStart w:id="3801" w:name="Bookmark_para_21_19"/>
      <w:bookmarkStart w:id="3802" w:name="Bookmark_I5FMN28N2N1RGM0050000400_2"/>
      <w:bookmarkStart w:id="3803" w:name="Bookmark_LNHNREFclscc6_20"/>
      <w:bookmarkEnd w:id="3801"/>
      <w:bookmarkEnd w:id="3802"/>
      <w:bookmarkEnd w:id="3803"/>
      <w:r>
        <w:rPr>
          <w:rFonts w:ascii="Arial" w:eastAsia="Arial" w:hAnsi="Arial" w:cs="Arial"/>
          <w:color w:val="000000"/>
          <w:sz w:val="20"/>
        </w:rPr>
        <w:t>A common problem observed by the Department is that covered facilities do not maintain accessible routes. For example, the accessible routes in offices or stores are commonly obstructed by boxes, potted plants, display racks, or other items so that the routes are inaccessible to people who use wheelchairs. Under the ADA, the accessible route must be maintained and, therefore, these items are required to be removed. If the items are placed there temporarily—for example, if an office receives multiple boxes of supplies and is moving them from the hall to the storage room—then § 36.211(b) excuses such "isolated or temporary interruptions."</w:t>
      </w:r>
    </w:p>
    <w:p w14:paraId="56270B40" w14:textId="77777777" w:rsidR="002D0E71" w:rsidRDefault="00000000">
      <w:pPr>
        <w:pStyle w:val="Normal26"/>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w:t>
      </w:r>
    </w:p>
    <w:p w14:paraId="32E77B54" w14:textId="77777777" w:rsidR="002D0E71" w:rsidRDefault="00000000">
      <w:pPr>
        <w:pStyle w:val="Normal26"/>
        <w:widowControl w:val="0"/>
        <w:spacing w:before="200" w:line="260" w:lineRule="atLeast"/>
        <w:jc w:val="both"/>
      </w:pPr>
      <w:bookmarkStart w:id="3804" w:name="Bookmark_para_22_19"/>
      <w:bookmarkStart w:id="3805" w:name="Bookmark_I5FMN28N2SF84C0020000400"/>
      <w:bookmarkEnd w:id="3804"/>
      <w:bookmarkEnd w:id="3805"/>
      <w:r>
        <w:rPr>
          <w:rFonts w:ascii="Arial" w:eastAsia="Arial" w:hAnsi="Arial" w:cs="Arial"/>
          <w:color w:val="000000"/>
          <w:sz w:val="20"/>
        </w:rPr>
        <w:t xml:space="preserve">Also of some relevance, at least by analogy, is the DOJ's guidance with respect to the maintenance of equipment. </w:t>
      </w:r>
      <w:bookmarkStart w:id="3806" w:name="Bookmark_LNHNREFclscc7_19"/>
      <w:bookmarkEnd w:id="3806"/>
      <w:r>
        <w:rPr>
          <w:rFonts w:ascii="Arial" w:eastAsia="Arial" w:hAnsi="Arial" w:cs="Arial"/>
          <w:color w:val="000000"/>
          <w:sz w:val="20"/>
        </w:rPr>
        <w:t xml:space="preserve">The Manual explains that, while mechanical failures in "equipment such as elevators or automatic doors" are bound to happen, "the obligation to ensure that facilities are readily accessible to and usable by individuals with disabilities would be violated, if repairs are not made promptly or if improper or inadequate maintenance causes repeated and persistent failures." Manual § III-3.7000. Likewise, the DOJ commentaries to the rule implementing Title III state that, while "temporary obstructions or isolated instances of mechanical failure would not be considered violations of the [ADA]," "allowing obstructions or 'out of service' equipment </w:t>
      </w:r>
      <w:r>
        <w:rPr>
          <w:rFonts w:ascii="Arial" w:eastAsia="Arial" w:hAnsi="Arial" w:cs="Arial"/>
          <w:i/>
          <w:color w:val="000000"/>
          <w:sz w:val="20"/>
        </w:rPr>
        <w:t>to persist beyond a reasonable period of time</w:t>
      </w:r>
      <w:r>
        <w:rPr>
          <w:rFonts w:ascii="Arial" w:eastAsia="Arial" w:hAnsi="Arial" w:cs="Arial"/>
          <w:color w:val="000000"/>
          <w:sz w:val="20"/>
        </w:rPr>
        <w:t xml:space="preserve"> would violate this part, as would repeated mechanical failures due to [**16]  improper or inadequate maintenance." </w:t>
      </w:r>
      <w:bookmarkStart w:id="3807" w:name="Bookmark_I5FMN28N2SF84C0010000400"/>
      <w:bookmarkEnd w:id="3807"/>
      <w:r>
        <w:rPr>
          <w:rFonts w:ascii="Arial" w:eastAsia="Arial" w:hAnsi="Arial" w:cs="Arial"/>
          <w:color w:val="000000"/>
          <w:sz w:val="20"/>
        </w:rPr>
        <w:t>56 Fed. Reg. 35,544, 35,562 (July 26, 1991) (emphasis added).</w:t>
      </w:r>
    </w:p>
    <w:p w14:paraId="757320A0" w14:textId="77777777" w:rsidR="002D0E71" w:rsidRDefault="00000000">
      <w:pPr>
        <w:pStyle w:val="Normal26"/>
        <w:widowControl w:val="0"/>
        <w:spacing w:before="240" w:line="260" w:lineRule="atLeast"/>
      </w:pPr>
      <w:r>
        <w:br/>
      </w:r>
      <w:r>
        <w:rPr>
          <w:rFonts w:ascii="Arial" w:eastAsia="Arial" w:hAnsi="Arial" w:cs="Arial"/>
          <w:b/>
          <w:color w:val="000000"/>
          <w:sz w:val="20"/>
        </w:rPr>
        <w:t>III. Analysis</w:t>
      </w:r>
    </w:p>
    <w:p w14:paraId="5CB79588" w14:textId="77777777" w:rsidR="002D0E71" w:rsidRDefault="00000000">
      <w:pPr>
        <w:pStyle w:val="Normal26"/>
        <w:widowControl w:val="0"/>
        <w:spacing w:before="240" w:line="260" w:lineRule="atLeast"/>
      </w:pPr>
      <w:r>
        <w:br/>
      </w:r>
      <w:r>
        <w:rPr>
          <w:rFonts w:ascii="Arial" w:eastAsia="Arial" w:hAnsi="Arial" w:cs="Arial"/>
          <w:b/>
          <w:color w:val="000000"/>
          <w:sz w:val="20"/>
        </w:rPr>
        <w:t>A. Aisles</w:t>
      </w:r>
    </w:p>
    <w:p w14:paraId="09F0628B" w14:textId="77777777" w:rsidR="002D0E71" w:rsidRDefault="00000000">
      <w:pPr>
        <w:pStyle w:val="Normal26"/>
        <w:widowControl w:val="0"/>
        <w:spacing w:before="200" w:line="260" w:lineRule="atLeast"/>
        <w:jc w:val="both"/>
      </w:pPr>
      <w:bookmarkStart w:id="3808" w:name="Bookmark_para_23_19"/>
      <w:bookmarkEnd w:id="3808"/>
      <w:r>
        <w:rPr>
          <w:rFonts w:ascii="Arial" w:eastAsia="Arial" w:hAnsi="Arial" w:cs="Arial"/>
          <w:color w:val="000000"/>
          <w:sz w:val="20"/>
        </w:rPr>
        <w:t>Applying the interpretive aids just summarized, we conclude, as did the district court, that the obstructed aisles Chapman encountered while visiting the Store were not "isolated or temporary interruptions in . . . access" under 28 C.F.R. § 36.211(b).</w:t>
      </w:r>
    </w:p>
    <w:p w14:paraId="660123B1" w14:textId="77777777" w:rsidR="002D0E71" w:rsidRDefault="00000000">
      <w:pPr>
        <w:pStyle w:val="Normal26"/>
        <w:widowControl w:val="0"/>
        <w:spacing w:before="200" w:line="260" w:lineRule="atLeast"/>
        <w:jc w:val="both"/>
      </w:pPr>
      <w:bookmarkStart w:id="3809" w:name="Bookmark_para_24_19"/>
      <w:bookmarkEnd w:id="3809"/>
      <w:r>
        <w:rPr>
          <w:rFonts w:ascii="Arial" w:eastAsia="Arial" w:hAnsi="Arial" w:cs="Arial"/>
          <w:color w:val="000000"/>
          <w:sz w:val="20"/>
        </w:rPr>
        <w:t xml:space="preserve">Chapman encountered several obstructed and blocked aisles on </w:t>
      </w:r>
      <w:r>
        <w:rPr>
          <w:rFonts w:ascii="Arial" w:eastAsia="Arial" w:hAnsi="Arial" w:cs="Arial"/>
          <w:i/>
          <w:color w:val="000000"/>
          <w:sz w:val="20"/>
        </w:rPr>
        <w:t>each</w:t>
      </w:r>
      <w:r>
        <w:rPr>
          <w:rFonts w:ascii="Arial" w:eastAsia="Arial" w:hAnsi="Arial" w:cs="Arial"/>
          <w:color w:val="000000"/>
          <w:sz w:val="20"/>
        </w:rPr>
        <w:t xml:space="preserve"> of eleven separate visits to the Store in 2011 and 2012. The photographs Chapman submitted with his declaration depict a number of aisles that contain merchandise or other items, resulting in a functional width measurably less than the 36 inches required under the ADAAG. Many of the aisles appear inaccessible due to the presence of large items, such as furniture (armchairs and tables), or display racks holding merchandise and ladders. Some of the aisles blocked to wheelchair users would have been accessible to nondisabled customers, who could have walked around or along the side of the blockage.</w:t>
      </w:r>
    </w:p>
    <w:p w14:paraId="54C33C27" w14:textId="77777777" w:rsidR="002D0E71" w:rsidRDefault="00000000">
      <w:pPr>
        <w:pStyle w:val="Normal26"/>
        <w:widowControl w:val="0"/>
        <w:spacing w:before="200" w:line="260" w:lineRule="atLeast"/>
        <w:jc w:val="both"/>
      </w:pPr>
      <w:bookmarkStart w:id="3810" w:name="Bookmark_para_25_19"/>
      <w:bookmarkEnd w:id="3810"/>
      <w:r>
        <w:rPr>
          <w:rFonts w:ascii="Arial" w:eastAsia="Arial" w:hAnsi="Arial" w:cs="Arial"/>
          <w:color w:val="000000"/>
          <w:sz w:val="20"/>
        </w:rPr>
        <w:t>Additionally, Card's expert report notes that when he visited the Store — on a different day than Chapman's visits — he "witnessed a number of aisles blocked by merchandise or reduced in width below 36 inches." The photographs [**17]  Card took during his November 3, 2011, inspection confirm that some of the aisles were blocked to wheelchair users.</w:t>
      </w:r>
    </w:p>
    <w:p w14:paraId="60E791DC" w14:textId="77777777" w:rsidR="002D0E71" w:rsidRDefault="00000000">
      <w:pPr>
        <w:pStyle w:val="Normal26"/>
        <w:widowControl w:val="0"/>
        <w:spacing w:before="200" w:line="260" w:lineRule="atLeast"/>
        <w:jc w:val="both"/>
      </w:pPr>
      <w:bookmarkStart w:id="3811" w:name="Bookmark_para_26_18"/>
      <w:bookmarkEnd w:id="3811"/>
      <w:r>
        <w:rPr>
          <w:rFonts w:ascii="Arial" w:eastAsia="Arial" w:hAnsi="Arial" w:cs="Arial"/>
          <w:color w:val="000000"/>
          <w:sz w:val="20"/>
        </w:rPr>
        <w:t>To dispute this evidence, Pier 1 submitted, first, an expert report. The report states that, on two inspections of the Store in October and November 2011, the "aisles throughout the store were the required minimum 36" wide and clear of goods," and that the expert was "able to navigate the aisles in [his] electric Invacare wheelchair." That the Store's aisles were clear on two visits by Pier 1's expert does not  [*1008]  create a triable issue of fact as to the state of the aisles on the eleven occasions when Chapman visited the Store in 2011 and 2012. If those occasions are sufficient to demonstrate noncompliance with the ADA — as we ultimately conclude they are — it does not matter that there was compliance on two occasions when Pier 1's hired expert inspected the Store.</w:t>
      </w:r>
    </w:p>
    <w:p w14:paraId="2ED3A221" w14:textId="77777777" w:rsidR="002D0E71" w:rsidRDefault="00000000">
      <w:pPr>
        <w:pStyle w:val="Normal26"/>
        <w:widowControl w:val="0"/>
        <w:spacing w:before="200" w:line="260" w:lineRule="atLeast"/>
        <w:jc w:val="both"/>
      </w:pPr>
      <w:bookmarkStart w:id="3812" w:name="Bookmark_para_27_18"/>
      <w:bookmarkEnd w:id="3812"/>
      <w:r>
        <w:rPr>
          <w:rFonts w:ascii="Arial" w:eastAsia="Arial" w:hAnsi="Arial" w:cs="Arial"/>
          <w:color w:val="000000"/>
          <w:sz w:val="20"/>
        </w:rPr>
        <w:t>Pier 1's other factual submission in support of its summary judgment motion is the Snow Declaration. That Declaration, Pier 1 maintains, shows that the Store had "policies and procedures" in place to ensure that the aisles remained unobstructed by merchandise, and so "undisputably established that any items that [**18]  were in the aisles or on the accessible check-out counter were 'transitory' or 'in transit' to their proper location."</w:t>
      </w:r>
      <w:r>
        <w:rPr>
          <w:rFonts w:ascii="Arial" w:eastAsia="Arial" w:hAnsi="Arial" w:cs="Arial"/>
          <w:vertAlign w:val="superscript"/>
        </w:rPr>
        <w:footnoteReference w:customMarkFollows="1" w:id="130"/>
        <w:t>7</w:t>
      </w:r>
    </w:p>
    <w:p w14:paraId="07FF9379" w14:textId="77777777" w:rsidR="002D0E71" w:rsidRDefault="00000000">
      <w:pPr>
        <w:pStyle w:val="Normal26"/>
        <w:widowControl w:val="0"/>
        <w:spacing w:before="200" w:line="260" w:lineRule="atLeast"/>
        <w:jc w:val="both"/>
      </w:pPr>
      <w:bookmarkStart w:id="3814" w:name="Bookmark_para_28_16"/>
      <w:bookmarkEnd w:id="3814"/>
      <w:r>
        <w:rPr>
          <w:rFonts w:ascii="Arial" w:eastAsia="Arial" w:hAnsi="Arial" w:cs="Arial"/>
          <w:color w:val="000000"/>
          <w:sz w:val="20"/>
        </w:rPr>
        <w:t>The existence of policies designed to limit obstructions does not establish that the obstructions that Chapman encountered were "temporary." Instead, Chapman's evidence demonstrates that these policies and procedures were either ineffective in preventing frequent blocking of the aisles or honored in the breach.</w:t>
      </w:r>
    </w:p>
    <w:p w14:paraId="72C9475F" w14:textId="77777777" w:rsidR="002D0E71" w:rsidRDefault="00000000">
      <w:pPr>
        <w:pStyle w:val="Normal26"/>
        <w:widowControl w:val="0"/>
        <w:spacing w:before="200" w:line="260" w:lineRule="atLeast"/>
        <w:jc w:val="both"/>
      </w:pPr>
      <w:bookmarkStart w:id="3815" w:name="Bookmark_para_29_16"/>
      <w:bookmarkStart w:id="3816" w:name="Bookmark_I5FMN28N2SF84C0040000400"/>
      <w:bookmarkEnd w:id="3815"/>
      <w:bookmarkEnd w:id="3816"/>
      <w:r>
        <w:rPr>
          <w:rFonts w:ascii="Arial" w:eastAsia="Arial" w:hAnsi="Arial" w:cs="Arial"/>
          <w:color w:val="000000"/>
          <w:sz w:val="20"/>
        </w:rPr>
        <w:t xml:space="preserve">Moreover, as the district court observed, "the Snow Declaration . . . did not ascribe the aisle blockages to merchandise stocking," but to the fact that any obstructions would be moved on request or in time. </w:t>
      </w:r>
      <w:bookmarkStart w:id="3817" w:name="Bookmark_LNHNREFclscc8_19"/>
      <w:bookmarkEnd w:id="3817"/>
      <w:r>
        <w:rPr>
          <w:rFonts w:ascii="Arial" w:eastAsia="Arial" w:hAnsi="Arial" w:cs="Arial"/>
          <w:color w:val="000000"/>
          <w:sz w:val="20"/>
        </w:rPr>
        <w:t xml:space="preserve">The DOJ interpretive authorities make clear that the presence of items in aisles is not "temporary" for the purposes of § 36.211(b) just because the obstructing items in the aisles were placed there by customers and would have been moved on request or eventually. The presence of blocking items was fairly frequent during [**19]  Chapman's visits to the Store, not a single or isolated occurrence. Nor is there any indication that the interruption of access was "due to maintenance or repairs," </w:t>
      </w:r>
      <w:r>
        <w:rPr>
          <w:rFonts w:ascii="Arial" w:eastAsia="Arial" w:hAnsi="Arial" w:cs="Arial"/>
          <w:i/>
          <w:color w:val="000000"/>
          <w:sz w:val="20"/>
        </w:rPr>
        <w:t>id</w:t>
      </w:r>
      <w:r>
        <w:rPr>
          <w:rFonts w:ascii="Arial" w:eastAsia="Arial" w:hAnsi="Arial" w:cs="Arial"/>
          <w:color w:val="000000"/>
          <w:sz w:val="20"/>
        </w:rPr>
        <w:t xml:space="preserve">.; Manual § III-3.7000, or occurred in the course of moving the items from one place to another, or during re-stocking, </w:t>
      </w:r>
      <w:r>
        <w:rPr>
          <w:rFonts w:ascii="Arial" w:eastAsia="Arial" w:hAnsi="Arial" w:cs="Arial"/>
          <w:i/>
          <w:color w:val="000000"/>
          <w:sz w:val="20"/>
        </w:rPr>
        <w:t>see</w:t>
      </w:r>
      <w:r>
        <w:rPr>
          <w:rFonts w:ascii="Arial" w:eastAsia="Arial" w:hAnsi="Arial" w:cs="Arial"/>
          <w:color w:val="000000"/>
          <w:sz w:val="20"/>
        </w:rPr>
        <w:t xml:space="preserve"> </w:t>
      </w:r>
      <w:bookmarkStart w:id="3818" w:name="Bookmark_I5FMN28N2SF84C0030000400"/>
      <w:bookmarkEnd w:id="3818"/>
      <w:r>
        <w:rPr>
          <w:rFonts w:ascii="Arial" w:eastAsia="Arial" w:hAnsi="Arial" w:cs="Arial"/>
          <w:color w:val="000000"/>
          <w:sz w:val="20"/>
        </w:rPr>
        <w:t xml:space="preserve">75 Fed. Reg. at 56,270; </w:t>
      </w:r>
      <w:bookmarkStart w:id="3819" w:name="Bookmark_I5FMN28N2SF84C0050000400"/>
      <w:bookmarkEnd w:id="3819"/>
      <w:r>
        <w:rPr>
          <w:rFonts w:ascii="Arial" w:eastAsia="Arial" w:hAnsi="Arial" w:cs="Arial"/>
          <w:color w:val="000000"/>
          <w:sz w:val="20"/>
        </w:rPr>
        <w:t>73 Fed. Reg. at 34,523.</w:t>
      </w:r>
    </w:p>
    <w:p w14:paraId="2EC3ED1E" w14:textId="77777777" w:rsidR="002D0E71" w:rsidRDefault="00000000">
      <w:pPr>
        <w:pStyle w:val="Normal26"/>
        <w:widowControl w:val="0"/>
        <w:spacing w:before="200" w:line="260" w:lineRule="atLeast"/>
        <w:jc w:val="both"/>
      </w:pPr>
      <w:bookmarkStart w:id="3820" w:name="Bookmark_para_30_15"/>
      <w:bookmarkStart w:id="3821" w:name="Bookmark_I5FMN28N28T4C00030000400"/>
      <w:bookmarkEnd w:id="3820"/>
      <w:bookmarkEnd w:id="3821"/>
      <w:r>
        <w:rPr>
          <w:rFonts w:ascii="Arial" w:eastAsia="Arial" w:hAnsi="Arial" w:cs="Arial"/>
          <w:color w:val="000000"/>
          <w:sz w:val="20"/>
        </w:rPr>
        <w:t xml:space="preserve">We note in this connection that given its frequency, the aisle access problem must be viewed systemically, not as a series of individual barriers to access. </w:t>
      </w:r>
      <w:bookmarkStart w:id="3822" w:name="Bookmark_LNHNREFclscc9_18"/>
      <w:bookmarkEnd w:id="3822"/>
      <w:r>
        <w:rPr>
          <w:rFonts w:ascii="Arial" w:eastAsia="Arial" w:hAnsi="Arial" w:cs="Arial"/>
          <w:color w:val="000000"/>
          <w:sz w:val="20"/>
        </w:rPr>
        <w:t xml:space="preserve">Removing one obstructing object does not assure accessible aisles where it is likely that soon thereafter another item will be moved and create a blockage. Thus, the evidence that Chapman encountered "repeated and persistent failures" in accessing the aisles, Manual § III-3.7000, confirms that the Store failed to remedy the problem "promptly," — that is, within a "reasonable period of time," </w:t>
      </w:r>
      <w:bookmarkStart w:id="3823" w:name="Bookmark_I5FMN28N28T4C00020000400"/>
      <w:bookmarkEnd w:id="3823"/>
      <w:r>
        <w:rPr>
          <w:rFonts w:ascii="Arial" w:eastAsia="Arial" w:hAnsi="Arial" w:cs="Arial"/>
          <w:color w:val="000000"/>
          <w:sz w:val="20"/>
        </w:rPr>
        <w:t>56 Fed. Reg. at 35,562 — rendering its maintenance "improper or inadequate." Manual § III-3.7000.</w:t>
      </w:r>
    </w:p>
    <w:p w14:paraId="2D6C5710" w14:textId="77777777" w:rsidR="002D0E71" w:rsidRDefault="00000000">
      <w:pPr>
        <w:pStyle w:val="Normal26"/>
        <w:widowControl w:val="0"/>
        <w:spacing w:before="200" w:line="260" w:lineRule="atLeast"/>
        <w:jc w:val="both"/>
      </w:pPr>
      <w:bookmarkStart w:id="3824" w:name="Bookmark_para_31_15"/>
      <w:bookmarkStart w:id="3825" w:name="Bookmark_I5FMN28N28T4C00050000400"/>
      <w:bookmarkStart w:id="3826" w:name="Bookmark_I5FMN28N2SF84D0020000400"/>
      <w:bookmarkEnd w:id="3824"/>
      <w:bookmarkEnd w:id="3825"/>
      <w:bookmarkEnd w:id="3826"/>
      <w:r>
        <w:rPr>
          <w:rFonts w:ascii="Arial" w:eastAsia="Arial" w:hAnsi="Arial" w:cs="Arial"/>
          <w:color w:val="000000"/>
          <w:sz w:val="20"/>
        </w:rPr>
        <w:t xml:space="preserve">To be sure, </w:t>
      </w:r>
      <w:bookmarkStart w:id="3827" w:name="Bookmark_LNHNREFclscc10_18"/>
      <w:bookmarkEnd w:id="3827"/>
      <w:r>
        <w:rPr>
          <w:rFonts w:ascii="Arial" w:eastAsia="Arial" w:hAnsi="Arial" w:cs="Arial"/>
          <w:color w:val="000000"/>
          <w:sz w:val="20"/>
        </w:rPr>
        <w:t xml:space="preserve">the "regulations implementing the ADA do not contemplate perfect service." </w:t>
      </w:r>
      <w:bookmarkStart w:id="3828" w:name="Bookmark_I5FMN28N28T4C00040000400"/>
      <w:bookmarkEnd w:id="3828"/>
      <w:r>
        <w:rPr>
          <w:rFonts w:ascii="Arial" w:eastAsia="Arial" w:hAnsi="Arial" w:cs="Arial"/>
          <w:i/>
          <w:color w:val="000000"/>
          <w:sz w:val="20"/>
        </w:rPr>
        <w:t>Midgett v. Tri-County Metro. Transp. Dist. of Or</w:t>
      </w:r>
      <w:r>
        <w:rPr>
          <w:rFonts w:ascii="Arial" w:eastAsia="Arial" w:hAnsi="Arial" w:cs="Arial"/>
          <w:color w:val="000000"/>
          <w:sz w:val="20"/>
        </w:rPr>
        <w:t xml:space="preserve">., 254 F.3d 846, 849 (9th Cir. 2001). Consequently, "an isolated or temporary hindrance to access does not give rise to a claim under the ADA." </w:t>
      </w:r>
      <w:bookmarkStart w:id="3829" w:name="Bookmark_I5FMN28N2SF84D0010000400"/>
      <w:bookmarkEnd w:id="3829"/>
      <w:r>
        <w:rPr>
          <w:rFonts w:ascii="Arial" w:eastAsia="Arial" w:hAnsi="Arial" w:cs="Arial"/>
          <w:i/>
          <w:color w:val="000000"/>
          <w:sz w:val="20"/>
        </w:rPr>
        <w:t>Gilkerson v. Chasewood Bank</w:t>
      </w:r>
      <w:r>
        <w:rPr>
          <w:rFonts w:ascii="Arial" w:eastAsia="Arial" w:hAnsi="Arial" w:cs="Arial"/>
          <w:color w:val="000000"/>
          <w:sz w:val="20"/>
        </w:rPr>
        <w:t>, 1 F. Supp. 3d 570, 589 (S.D. Tex. 2014) (citing cases). But the cases so holding have generally concerned truly isolated failures [**20]  to maintain readily accessible facilities.</w:t>
      </w:r>
    </w:p>
    <w:p w14:paraId="3054DF60" w14:textId="77777777" w:rsidR="002D0E71" w:rsidRDefault="00000000">
      <w:pPr>
        <w:pStyle w:val="Normal26"/>
        <w:widowControl w:val="0"/>
        <w:spacing w:before="200" w:line="260" w:lineRule="atLeast"/>
        <w:jc w:val="both"/>
      </w:pPr>
      <w:bookmarkStart w:id="3830" w:name="Bookmark_para_32_14"/>
      <w:bookmarkStart w:id="3831" w:name="Bookmark_I4GW5YFGWDB000RKF9T000Y4"/>
      <w:bookmarkStart w:id="3832" w:name="Bookmark_I5FMN28N2SF84D0040000400"/>
      <w:bookmarkStart w:id="3833" w:name="Bookmark_I4GW5YFH17G000RKF9T000Y5"/>
      <w:bookmarkStart w:id="3834" w:name="Bookmark_I5FMN28N2D6NTC0030000400"/>
      <w:bookmarkStart w:id="3835" w:name="Bookmark_I4GW5YFH52M000RKF9T000Y6"/>
      <w:bookmarkStart w:id="3836" w:name="Bookmark_I5FMN28N2HM6MH0020000400"/>
      <w:bookmarkStart w:id="3837" w:name="Bookmark_I5FMN28N2SF84D0030000400"/>
      <w:bookmarkEnd w:id="3830"/>
      <w:bookmarkEnd w:id="3831"/>
      <w:bookmarkEnd w:id="3832"/>
      <w:bookmarkEnd w:id="3833"/>
      <w:bookmarkEnd w:id="3834"/>
      <w:bookmarkEnd w:id="3835"/>
      <w:bookmarkEnd w:id="3836"/>
      <w:bookmarkEnd w:id="3837"/>
      <w:r>
        <w:rPr>
          <w:rFonts w:ascii="Arial" w:eastAsia="Arial" w:hAnsi="Arial" w:cs="Arial"/>
          <w:i/>
          <w:color w:val="000000"/>
          <w:sz w:val="20"/>
        </w:rPr>
        <w:t>Foley v. City of Lafayette, Ind</w:t>
      </w:r>
      <w:r>
        <w:rPr>
          <w:rFonts w:ascii="Arial" w:eastAsia="Arial" w:hAnsi="Arial" w:cs="Arial"/>
          <w:color w:val="000000"/>
          <w:sz w:val="20"/>
        </w:rPr>
        <w:t xml:space="preserve">., 359 F.3d 925 (7th Cir. 2004), for example, addressed a plaintiff's claim that a train station's failure to clear snow from ramps and repair an elevator after a weekend of significant snowfall violated the ADA. Noting that the "train station is, in the normal course of operation, fully accessible to individuals  [*1009]  with disabilities," </w:t>
      </w:r>
      <w:r>
        <w:rPr>
          <w:rFonts w:ascii="Arial" w:eastAsia="Arial" w:hAnsi="Arial" w:cs="Arial"/>
          <w:i/>
          <w:color w:val="000000"/>
          <w:sz w:val="20"/>
        </w:rPr>
        <w:t>Foley</w:t>
      </w:r>
      <w:r>
        <w:rPr>
          <w:rFonts w:ascii="Arial" w:eastAsia="Arial" w:hAnsi="Arial" w:cs="Arial"/>
          <w:color w:val="000000"/>
          <w:sz w:val="20"/>
        </w:rPr>
        <w:t xml:space="preserve"> determined that the single "weather-related breakdown of elevator service" at issue was not a violation of the ADA. </w:t>
      </w:r>
      <w:bookmarkStart w:id="3838" w:name="Bookmark_I5FMN28N2SF84D0050000400"/>
      <w:bookmarkEnd w:id="3838"/>
      <w:r>
        <w:rPr>
          <w:rFonts w:ascii="Arial" w:eastAsia="Arial" w:hAnsi="Arial" w:cs="Arial"/>
          <w:i/>
          <w:color w:val="000000"/>
          <w:sz w:val="20"/>
        </w:rPr>
        <w:t>Id</w:t>
      </w:r>
      <w:r>
        <w:rPr>
          <w:rFonts w:ascii="Arial" w:eastAsia="Arial" w:hAnsi="Arial" w:cs="Arial"/>
          <w:color w:val="000000"/>
          <w:sz w:val="20"/>
        </w:rPr>
        <w:t xml:space="preserve">. at 928—30. In so holding, the Seventh Circuit explained that "given the conditions, [the elevator] was repaired promptly," and that "there was no evidence from which a reasonable inference could be drawn that other disabled persons were denied access because of frequent elevator breakdowns." </w:t>
      </w:r>
      <w:bookmarkStart w:id="3839" w:name="Bookmark_I5FMN28N2D6NTC0020000400"/>
      <w:bookmarkEnd w:id="3839"/>
      <w:r>
        <w:rPr>
          <w:rFonts w:ascii="Arial" w:eastAsia="Arial" w:hAnsi="Arial" w:cs="Arial"/>
          <w:i/>
          <w:color w:val="000000"/>
          <w:sz w:val="20"/>
        </w:rPr>
        <w:t>Id</w:t>
      </w:r>
      <w:r>
        <w:rPr>
          <w:rFonts w:ascii="Arial" w:eastAsia="Arial" w:hAnsi="Arial" w:cs="Arial"/>
          <w:color w:val="000000"/>
          <w:sz w:val="20"/>
        </w:rPr>
        <w:t xml:space="preserve">. at 930; </w:t>
      </w:r>
      <w:r>
        <w:rPr>
          <w:rFonts w:ascii="Arial" w:eastAsia="Arial" w:hAnsi="Arial" w:cs="Arial"/>
          <w:i/>
          <w:color w:val="000000"/>
          <w:sz w:val="20"/>
        </w:rPr>
        <w:t xml:space="preserve">see also </w:t>
      </w:r>
      <w:bookmarkStart w:id="3840" w:name="Bookmark_I5FMN28N2D6NTC0040000400"/>
      <w:bookmarkEnd w:id="3840"/>
      <w:r>
        <w:rPr>
          <w:rFonts w:ascii="Arial" w:eastAsia="Arial" w:hAnsi="Arial" w:cs="Arial"/>
          <w:i/>
          <w:color w:val="000000"/>
          <w:sz w:val="20"/>
        </w:rPr>
        <w:t>Tanner v. Wal-Mart Stores, Inc</w:t>
      </w:r>
      <w:r>
        <w:rPr>
          <w:rFonts w:ascii="Arial" w:eastAsia="Arial" w:hAnsi="Arial" w:cs="Arial"/>
          <w:color w:val="000000"/>
          <w:sz w:val="20"/>
        </w:rPr>
        <w:t xml:space="preserve">., No. 99-44-JD, 2000 U.S. Dist. LEXIS 1444, 2000 WL 620425, at *6 (D.N.H. Feb. 8, 2000) (holding that a store's single "failure to remove shopping carts and failure to properly remove ice and snow from [a] handicapped parking space does not constitute a Title III violation"). Likewise, </w:t>
      </w:r>
      <w:bookmarkStart w:id="3841" w:name="Bookmark_I5FMN28N2HM6MH0010000400"/>
      <w:bookmarkEnd w:id="3841"/>
      <w:r>
        <w:rPr>
          <w:rFonts w:ascii="Arial" w:eastAsia="Arial" w:hAnsi="Arial" w:cs="Arial"/>
          <w:i/>
          <w:color w:val="000000"/>
          <w:sz w:val="20"/>
        </w:rPr>
        <w:t>Sharp v. Capitol City Brewing Co., LLC</w:t>
      </w:r>
      <w:r>
        <w:rPr>
          <w:rFonts w:ascii="Arial" w:eastAsia="Arial" w:hAnsi="Arial" w:cs="Arial"/>
          <w:color w:val="000000"/>
          <w:sz w:val="20"/>
        </w:rPr>
        <w:t xml:space="preserve">, 680 F. Supp. 2d 51, 59 (D.D.C. 2010), denied the plaintiff's ADA claim based on an empty ADA-compliant toilet paper dispenser encountered on a single visit to the defendant restaurant. The court held that the plaintiff "failed [**21]  to show that this one instance of the dispenser being empty was anything more than an 'isolated or temporary interruption[ ] in . . . access.'" </w:t>
      </w:r>
      <w:r>
        <w:rPr>
          <w:rFonts w:ascii="Arial" w:eastAsia="Arial" w:hAnsi="Arial" w:cs="Arial"/>
          <w:i/>
          <w:color w:val="000000"/>
          <w:sz w:val="20"/>
        </w:rPr>
        <w:t>Id</w:t>
      </w:r>
      <w:r>
        <w:rPr>
          <w:rFonts w:ascii="Arial" w:eastAsia="Arial" w:hAnsi="Arial" w:cs="Arial"/>
          <w:color w:val="000000"/>
          <w:sz w:val="20"/>
        </w:rPr>
        <w:t>. (alteration in original) (quoting 28 C.F.R. § 36.211(b)).</w:t>
      </w:r>
    </w:p>
    <w:p w14:paraId="430A2231" w14:textId="77777777" w:rsidR="002D0E71" w:rsidRDefault="00000000">
      <w:pPr>
        <w:pStyle w:val="Normal26"/>
        <w:widowControl w:val="0"/>
        <w:spacing w:before="200" w:line="260" w:lineRule="atLeast"/>
        <w:jc w:val="both"/>
      </w:pPr>
      <w:bookmarkStart w:id="3842" w:name="Bookmark_para_33_14"/>
      <w:bookmarkEnd w:id="3842"/>
      <w:r>
        <w:rPr>
          <w:rFonts w:ascii="Arial" w:eastAsia="Arial" w:hAnsi="Arial" w:cs="Arial"/>
          <w:color w:val="000000"/>
          <w:sz w:val="20"/>
        </w:rPr>
        <w:t xml:space="preserve">Here, in contrast, the evidence demonstrates that Pier 1 repeatedly failed to maintain accessible routes in its Store. </w:t>
      </w:r>
      <w:bookmarkStart w:id="3843" w:name="Bookmark_I5FMN28N2HM6MH0040000400"/>
      <w:bookmarkEnd w:id="3843"/>
      <w:r>
        <w:rPr>
          <w:rFonts w:ascii="Arial" w:eastAsia="Arial" w:hAnsi="Arial" w:cs="Arial"/>
          <w:color w:val="000000"/>
          <w:sz w:val="20"/>
        </w:rPr>
        <w:t xml:space="preserve">Furthermore, while the defendant did not cause the obstruction of access in </w:t>
      </w:r>
      <w:r>
        <w:rPr>
          <w:rFonts w:ascii="Arial" w:eastAsia="Arial" w:hAnsi="Arial" w:cs="Arial"/>
          <w:i/>
          <w:color w:val="000000"/>
          <w:sz w:val="20"/>
        </w:rPr>
        <w:t>Foley</w:t>
      </w:r>
      <w:r>
        <w:rPr>
          <w:rFonts w:ascii="Arial" w:eastAsia="Arial" w:hAnsi="Arial" w:cs="Arial"/>
          <w:color w:val="000000"/>
          <w:sz w:val="20"/>
        </w:rPr>
        <w:t xml:space="preserve">, at least some of the obstructions here appear to have resulted from the affirmative actions of Pier 1 and its employees. For example, the large step ladders obstructing the aisles on Chapman's visits, were almost surely placed there by the Store's staff rather than by customers. </w:t>
      </w:r>
      <w:r>
        <w:rPr>
          <w:rFonts w:ascii="Arial" w:eastAsia="Arial" w:hAnsi="Arial" w:cs="Arial"/>
          <w:i/>
          <w:color w:val="000000"/>
          <w:sz w:val="20"/>
        </w:rPr>
        <w:t xml:space="preserve">See also </w:t>
      </w:r>
      <w:bookmarkStart w:id="3844" w:name="Bookmark_I5FMN28N2HM6MH0030000400"/>
      <w:bookmarkEnd w:id="3844"/>
      <w:r>
        <w:rPr>
          <w:rFonts w:ascii="Arial" w:eastAsia="Arial" w:hAnsi="Arial" w:cs="Arial"/>
          <w:i/>
          <w:color w:val="000000"/>
          <w:sz w:val="20"/>
        </w:rPr>
        <w:t>Madden v. Del Taco, Inc</w:t>
      </w:r>
      <w:r>
        <w:rPr>
          <w:rFonts w:ascii="Arial" w:eastAsia="Arial" w:hAnsi="Arial" w:cs="Arial"/>
          <w:color w:val="000000"/>
          <w:sz w:val="20"/>
        </w:rPr>
        <w:t>., 150 Cal. App. 4th 294, 58 Cal. Rptr. 3d 313, 320 (2007) (holding that a restaurant's placement of a concrete trash container on entrance ramp, which "appear[ed] to be a result of the affirmative conduct of [defendant]," was not exempted under § 36.211(b)).</w:t>
      </w:r>
    </w:p>
    <w:p w14:paraId="76CE941B" w14:textId="77777777" w:rsidR="002D0E71" w:rsidRDefault="00000000">
      <w:pPr>
        <w:pStyle w:val="Normal26"/>
        <w:widowControl w:val="0"/>
        <w:spacing w:before="200" w:line="260" w:lineRule="atLeast"/>
        <w:jc w:val="both"/>
      </w:pPr>
      <w:bookmarkStart w:id="3845" w:name="Bookmark_para_34_13"/>
      <w:bookmarkEnd w:id="3845"/>
      <w:r>
        <w:rPr>
          <w:rFonts w:ascii="Arial" w:eastAsia="Arial" w:hAnsi="Arial" w:cs="Arial"/>
          <w:color w:val="000000"/>
          <w:sz w:val="20"/>
        </w:rPr>
        <w:t>In sum, Chapman's evidence establishes that the barriers he repeatedly encountered in the Store's aisles were not "temporary" within the meaning of § 36.211(b). We therefore affirm the grant of summary judgment to Chapman on his claim that the Store failed to maintain readily-accessible aisles, and affirm the denial of summary judgment to Pier 1.</w:t>
      </w:r>
    </w:p>
    <w:p w14:paraId="6E14B5A2" w14:textId="77777777" w:rsidR="002D0E71" w:rsidRDefault="00000000">
      <w:pPr>
        <w:pStyle w:val="Normal26"/>
        <w:widowControl w:val="0"/>
        <w:spacing w:before="240" w:line="260" w:lineRule="atLeast"/>
      </w:pPr>
      <w:r>
        <w:br/>
      </w:r>
      <w:r>
        <w:rPr>
          <w:rFonts w:ascii="Arial" w:eastAsia="Arial" w:hAnsi="Arial" w:cs="Arial"/>
          <w:b/>
          <w:color w:val="000000"/>
          <w:sz w:val="20"/>
        </w:rPr>
        <w:t>B. Sales</w:t>
      </w:r>
      <w:r>
        <w:rPr>
          <w:rFonts w:ascii="Arial" w:eastAsia="Arial" w:hAnsi="Arial" w:cs="Arial"/>
          <w:color w:val="000000"/>
          <w:sz w:val="20"/>
        </w:rPr>
        <w:t> [**22] </w:t>
      </w:r>
      <w:r>
        <w:rPr>
          <w:rFonts w:ascii="Arial" w:eastAsia="Arial" w:hAnsi="Arial" w:cs="Arial"/>
          <w:b/>
          <w:color w:val="000000"/>
          <w:sz w:val="20"/>
        </w:rPr>
        <w:t xml:space="preserve"> Counter</w:t>
      </w:r>
    </w:p>
    <w:p w14:paraId="2B89025C" w14:textId="77777777" w:rsidR="002D0E71" w:rsidRDefault="00000000">
      <w:pPr>
        <w:pStyle w:val="Normal26"/>
        <w:widowControl w:val="0"/>
        <w:spacing w:before="200" w:line="260" w:lineRule="atLeast"/>
        <w:jc w:val="both"/>
      </w:pPr>
      <w:bookmarkStart w:id="3846" w:name="Bookmark_para_35_13"/>
      <w:bookmarkEnd w:id="3846"/>
      <w:r>
        <w:rPr>
          <w:rFonts w:ascii="Arial" w:eastAsia="Arial" w:hAnsi="Arial" w:cs="Arial"/>
          <w:color w:val="000000"/>
          <w:sz w:val="20"/>
        </w:rPr>
        <w:t>We reverse, however, the district court's grant of summary judgment on Chapman's ADA claim as to the accessible sales counter.</w:t>
      </w:r>
    </w:p>
    <w:p w14:paraId="422C5CA9" w14:textId="77777777" w:rsidR="002D0E71" w:rsidRDefault="00000000">
      <w:pPr>
        <w:pStyle w:val="Normal26"/>
        <w:widowControl w:val="0"/>
        <w:spacing w:before="200" w:line="260" w:lineRule="atLeast"/>
        <w:jc w:val="both"/>
      </w:pPr>
      <w:bookmarkStart w:id="3847" w:name="Bookmark_para_36_13"/>
      <w:bookmarkEnd w:id="3847"/>
      <w:r>
        <w:rPr>
          <w:rFonts w:ascii="Arial" w:eastAsia="Arial" w:hAnsi="Arial" w:cs="Arial"/>
          <w:color w:val="000000"/>
          <w:sz w:val="20"/>
        </w:rPr>
        <w:t>Chapman offers insufficient evidence that the obstructions on the counter violated his rights under Title III of the ADA. In contrast to the items blocking the aisles for wheelchair users, the items on the otherwise properly accessible sales counter depicted in Chapman's photographs were not a barrier to the use of the counter by persons with disabilities.</w:t>
      </w:r>
    </w:p>
    <w:p w14:paraId="3AEBA60C" w14:textId="77777777" w:rsidR="002D0E71" w:rsidRDefault="00000000">
      <w:pPr>
        <w:pStyle w:val="Normal26"/>
        <w:widowControl w:val="0"/>
        <w:spacing w:before="200" w:line="260" w:lineRule="atLeast"/>
        <w:jc w:val="both"/>
      </w:pPr>
      <w:bookmarkStart w:id="3848" w:name="Bookmark_para_37_13"/>
      <w:bookmarkEnd w:id="3848"/>
      <w:r>
        <w:rPr>
          <w:rFonts w:ascii="Arial" w:eastAsia="Arial" w:hAnsi="Arial" w:cs="Arial"/>
          <w:color w:val="000000"/>
          <w:sz w:val="20"/>
        </w:rPr>
        <w:t>For example, the asserted "clutter[]," on the sales counter detailed in Chapman's expert report consisted of "a display of books in a basket, three coffee cups, and a movable store telephone."</w:t>
      </w:r>
      <w:r>
        <w:rPr>
          <w:rFonts w:ascii="Arial" w:eastAsia="Arial" w:hAnsi="Arial" w:cs="Arial"/>
          <w:vertAlign w:val="superscript"/>
        </w:rPr>
        <w:footnoteReference w:customMarkFollows="1" w:id="131"/>
        <w:t>8</w:t>
      </w:r>
      <w:r>
        <w:rPr>
          <w:rFonts w:ascii="Arial" w:eastAsia="Arial" w:hAnsi="Arial" w:cs="Arial"/>
          <w:color w:val="000000"/>
          <w:sz w:val="20"/>
        </w:rPr>
        <w:t xml:space="preserve"> There is no evidence that the presence of these various small items on the otherwise accessible sales counter deprived wheelchair users of "full and equal" access to the use of the counters for their intended use — placing items for purchase and transacting sales. 42 U.S.C. § 12182(a).</w:t>
      </w:r>
    </w:p>
    <w:p w14:paraId="7D4DEE5A" w14:textId="77777777" w:rsidR="002D0E71" w:rsidRDefault="00000000">
      <w:pPr>
        <w:pStyle w:val="Normal26"/>
        <w:widowControl w:val="0"/>
        <w:spacing w:before="200" w:line="260" w:lineRule="atLeast"/>
        <w:jc w:val="both"/>
      </w:pPr>
      <w:bookmarkStart w:id="3850" w:name="Bookmark_para_38_12"/>
      <w:bookmarkEnd w:id="3850"/>
      <w:r>
        <w:rPr>
          <w:rFonts w:ascii="Arial" w:eastAsia="Arial" w:hAnsi="Arial" w:cs="Arial"/>
          <w:color w:val="000000"/>
          <w:sz w:val="20"/>
        </w:rPr>
        <w:t xml:space="preserve"> [*1010]  Additionally, the record indicates that the clutter Chapman [**23]  encountered at the accessible sales counter caused, at most, "temporary or isolated interruptions in . . . access" under § 36.211(b). </w:t>
      </w:r>
      <w:bookmarkStart w:id="3851" w:name="Bookmark_I5FMN28N2D6NTD0010000400"/>
      <w:bookmarkEnd w:id="3851"/>
      <w:r>
        <w:rPr>
          <w:rFonts w:ascii="Arial" w:eastAsia="Arial" w:hAnsi="Arial" w:cs="Arial"/>
          <w:color w:val="000000"/>
          <w:sz w:val="20"/>
        </w:rPr>
        <w:t xml:space="preserve">Notably, unlike the shopping aisles, which were non-ADA-compliant for wheelchair users on all eleven visits Chapman made to the Store in 2011 and 2012, there were items on the sales counter on only two or three visits. Moreover, on those occasions, Chapman was "eventually" able to put the merchandise he wished to purchase on the counter, after the Pier 1 employee behind the counter moved the obstructing items. Thus, unlike the aisle situation, Pier 1 did "promptly remove[]" the obstructing items from the sales counter, Manual § III-3.7000, so the difficulty did not "persist beyond a reasonable period of time," </w:t>
      </w:r>
      <w:bookmarkStart w:id="3852" w:name="Bookmark_I5FMN28N2HM6MH0050000400"/>
      <w:bookmarkEnd w:id="3852"/>
      <w:r>
        <w:rPr>
          <w:rFonts w:ascii="Arial" w:eastAsia="Arial" w:hAnsi="Arial" w:cs="Arial"/>
          <w:color w:val="000000"/>
          <w:sz w:val="20"/>
        </w:rPr>
        <w:t>56 Fed. Reg. at 35,562.</w:t>
      </w:r>
    </w:p>
    <w:p w14:paraId="31BDE44A" w14:textId="77777777" w:rsidR="002D0E71" w:rsidRDefault="00000000">
      <w:pPr>
        <w:pStyle w:val="Normal26"/>
        <w:widowControl w:val="0"/>
        <w:spacing w:before="200" w:line="260" w:lineRule="atLeast"/>
        <w:jc w:val="both"/>
      </w:pPr>
      <w:bookmarkStart w:id="3853" w:name="Bookmark_para_39_12"/>
      <w:bookmarkEnd w:id="3853"/>
      <w:r>
        <w:rPr>
          <w:rFonts w:ascii="Arial" w:eastAsia="Arial" w:hAnsi="Arial" w:cs="Arial"/>
          <w:color w:val="000000"/>
          <w:sz w:val="20"/>
        </w:rPr>
        <w:t>In sum, Chapman was not entitled to summary judgment on his ADA claim concerning the accessible sales counter.</w:t>
      </w:r>
    </w:p>
    <w:p w14:paraId="5CEBAC72" w14:textId="77777777" w:rsidR="002D0E71" w:rsidRDefault="00000000">
      <w:pPr>
        <w:pStyle w:val="Normal26"/>
        <w:widowControl w:val="0"/>
        <w:spacing w:before="240" w:line="260" w:lineRule="atLeast"/>
      </w:pPr>
      <w:r>
        <w:br/>
      </w:r>
      <w:r>
        <w:rPr>
          <w:rFonts w:ascii="Arial" w:eastAsia="Arial" w:hAnsi="Arial" w:cs="Arial"/>
          <w:b/>
          <w:color w:val="000000"/>
          <w:sz w:val="20"/>
        </w:rPr>
        <w:t>IV. Conclusion</w:t>
      </w:r>
    </w:p>
    <w:p w14:paraId="584368C7" w14:textId="77777777" w:rsidR="002D0E71" w:rsidRDefault="00000000">
      <w:pPr>
        <w:pStyle w:val="Normal26"/>
        <w:widowControl w:val="0"/>
        <w:spacing w:before="200" w:line="260" w:lineRule="atLeast"/>
        <w:jc w:val="both"/>
      </w:pPr>
      <w:bookmarkStart w:id="3854" w:name="Bookmark_para_40_12"/>
      <w:bookmarkEnd w:id="3854"/>
      <w:r>
        <w:rPr>
          <w:rFonts w:ascii="Arial" w:eastAsia="Arial" w:hAnsi="Arial" w:cs="Arial"/>
          <w:color w:val="000000"/>
          <w:sz w:val="20"/>
        </w:rPr>
        <w:t>We affirm the district court's grant of summary judgment on Chapman's claim that the Store's failure to maintain accessible aisles violated his rights under the ADA. We also affirm the grant of summary judgment on Chapman's state law claims, which, as noted above, are entirely dependent on establishing an ADA violation. We reverse the [**24]  grant of summary judgment as to Chapman's claim concerning the Store's accessible sales counter, and remand to the district court to modify the injunction consistent with this opinion.</w:t>
      </w:r>
    </w:p>
    <w:p w14:paraId="2D17928E" w14:textId="77777777" w:rsidR="002D0E71" w:rsidRDefault="00000000">
      <w:pPr>
        <w:pStyle w:val="Normal26"/>
        <w:widowControl w:val="0"/>
        <w:spacing w:before="200" w:line="260" w:lineRule="atLeast"/>
        <w:jc w:val="both"/>
      </w:pPr>
      <w:bookmarkStart w:id="3855" w:name="Bookmark_para_41_11"/>
      <w:bookmarkEnd w:id="3855"/>
      <w:r>
        <w:rPr>
          <w:rFonts w:ascii="Arial" w:eastAsia="Arial" w:hAnsi="Arial" w:cs="Arial"/>
          <w:b/>
          <w:color w:val="000000"/>
          <w:sz w:val="20"/>
        </w:rPr>
        <w:t>AFFIRMED IN PART, REVERSED IN PART, AND REMANDED</w:t>
      </w:r>
      <w:r>
        <w:rPr>
          <w:rFonts w:ascii="Arial" w:eastAsia="Arial" w:hAnsi="Arial" w:cs="Arial"/>
          <w:color w:val="000000"/>
          <w:sz w:val="20"/>
        </w:rPr>
        <w:t>.</w:t>
      </w:r>
    </w:p>
    <w:p w14:paraId="7C5E1984" w14:textId="77777777" w:rsidR="002D0E71" w:rsidRDefault="002D0E71">
      <w:pPr>
        <w:pStyle w:val="Normal26"/>
      </w:pPr>
    </w:p>
    <w:p w14:paraId="4105C52E" w14:textId="2949ED1C" w:rsidR="002D0E71" w:rsidRDefault="00000000">
      <w:pPr>
        <w:pStyle w:val="Normal26"/>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14560" behindDoc="0" locked="0" layoutInCell="1" allowOverlap="1" wp14:anchorId="7C32B40C" wp14:editId="6DCB3F57">
                <wp:simplePos x="0" y="0"/>
                <wp:positionH relativeFrom="column">
                  <wp:posOffset>0</wp:posOffset>
                </wp:positionH>
                <wp:positionV relativeFrom="paragraph">
                  <wp:posOffset>127000</wp:posOffset>
                </wp:positionV>
                <wp:extent cx="6502400" cy="0"/>
                <wp:effectExtent l="9525" t="12700" r="12700" b="6350"/>
                <wp:wrapNone/>
                <wp:docPr id="1055954023"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1A610D" id="Line 56"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56A42AA" w14:textId="77777777" w:rsidR="002D0E71" w:rsidRDefault="002D0E71">
      <w:pPr>
        <w:pStyle w:val="Normal27"/>
        <w:sectPr w:rsidR="002D0E71">
          <w:headerReference w:type="even" r:id="rId168"/>
          <w:headerReference w:type="default" r:id="rId169"/>
          <w:footerReference w:type="even" r:id="rId170"/>
          <w:footerReference w:type="default" r:id="rId171"/>
          <w:headerReference w:type="first" r:id="rId172"/>
          <w:footerReference w:type="first" r:id="rId173"/>
          <w:pgSz w:w="12240" w:h="15840"/>
          <w:pgMar w:top="840" w:right="1000" w:bottom="840" w:left="1000" w:header="400" w:footer="400" w:gutter="0"/>
          <w:cols w:space="720"/>
          <w:titlePg/>
        </w:sectPr>
      </w:pPr>
    </w:p>
    <w:p w14:paraId="288C3C24" w14:textId="77777777" w:rsidR="002D0E71" w:rsidRDefault="002D0E71">
      <w:pPr>
        <w:pStyle w:val="Normal27"/>
      </w:pPr>
    </w:p>
    <w:p w14:paraId="26EBF663" w14:textId="77777777" w:rsidR="002D0E71" w:rsidRDefault="00000000">
      <w:pPr>
        <w:pStyle w:val="Heading126"/>
        <w:keepNext w:val="0"/>
        <w:widowControl w:val="0"/>
        <w:spacing w:after="200" w:line="340" w:lineRule="atLeast"/>
        <w:jc w:val="center"/>
      </w:pPr>
      <w:r>
        <w:rPr>
          <w:rFonts w:eastAsia="Arial"/>
          <w:color w:val="000000"/>
          <w:sz w:val="28"/>
        </w:rPr>
        <w:t>Owens v. Sec'y, Fla. Dep't of Corr.</w:t>
      </w:r>
    </w:p>
    <w:p w14:paraId="45580E7A" w14:textId="77777777" w:rsidR="002D0E71" w:rsidRDefault="00000000">
      <w:pPr>
        <w:pStyle w:val="Normal27"/>
        <w:widowControl w:val="0"/>
        <w:spacing w:before="120" w:line="260" w:lineRule="atLeast"/>
        <w:jc w:val="center"/>
      </w:pPr>
      <w:r>
        <w:rPr>
          <w:rFonts w:ascii="Arial" w:eastAsia="Arial" w:hAnsi="Arial" w:cs="Arial"/>
          <w:color w:val="000000"/>
          <w:sz w:val="20"/>
        </w:rPr>
        <w:t>United States Court of Appeals for the Eleventh Circuit</w:t>
      </w:r>
    </w:p>
    <w:p w14:paraId="5E304858" w14:textId="77777777" w:rsidR="002D0E71" w:rsidRDefault="00000000">
      <w:pPr>
        <w:pStyle w:val="Normal27"/>
        <w:widowControl w:val="0"/>
        <w:spacing w:before="120" w:line="260" w:lineRule="atLeast"/>
        <w:jc w:val="center"/>
      </w:pPr>
      <w:r>
        <w:rPr>
          <w:rFonts w:ascii="Arial" w:eastAsia="Arial" w:hAnsi="Arial" w:cs="Arial"/>
          <w:color w:val="000000"/>
          <w:sz w:val="20"/>
        </w:rPr>
        <w:t>February 26, 2015, Decided</w:t>
      </w:r>
    </w:p>
    <w:p w14:paraId="7D5432A1" w14:textId="77777777" w:rsidR="002D0E71" w:rsidRDefault="00000000">
      <w:pPr>
        <w:pStyle w:val="Normal27"/>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13-13651 Non-Argument Calendar</w:t>
      </w:r>
    </w:p>
    <w:p w14:paraId="22274273" w14:textId="77777777" w:rsidR="002D0E71" w:rsidRDefault="002D0E71">
      <w:pPr>
        <w:pStyle w:val="Normal27"/>
        <w:widowControl w:val="0"/>
        <w:spacing w:line="240" w:lineRule="atLeast"/>
        <w:jc w:val="both"/>
      </w:pPr>
      <w:bookmarkStart w:id="3856" w:name="Bookmark_28"/>
      <w:bookmarkEnd w:id="3856"/>
    </w:p>
    <w:p w14:paraId="572D0846" w14:textId="77777777" w:rsidR="002D0E71" w:rsidRDefault="00000000">
      <w:pPr>
        <w:pStyle w:val="Normal27"/>
        <w:widowControl w:val="0"/>
        <w:spacing w:before="200" w:line="240" w:lineRule="atLeast"/>
      </w:pPr>
      <w:bookmarkStart w:id="3857" w:name="Reporter_26"/>
      <w:bookmarkEnd w:id="3857"/>
      <w:r>
        <w:rPr>
          <w:rFonts w:ascii="Arial" w:eastAsia="Arial" w:hAnsi="Arial" w:cs="Arial"/>
          <w:b/>
          <w:color w:val="000000"/>
          <w:sz w:val="18"/>
        </w:rPr>
        <w:t>Reporter</w:t>
      </w:r>
    </w:p>
    <w:p w14:paraId="75A33EBE" w14:textId="77777777" w:rsidR="002D0E71" w:rsidRDefault="00000000">
      <w:pPr>
        <w:pStyle w:val="Normal27"/>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602 Fed. Appx. 475 *; 2015 U.S. App. LEXIS 2847 **; 2015 WL 794910</w:t>
      </w:r>
    </w:p>
    <w:p w14:paraId="12AAECA6" w14:textId="77777777" w:rsidR="002D0E71" w:rsidRDefault="00000000">
      <w:pPr>
        <w:pStyle w:val="Normal27"/>
        <w:widowControl w:val="0"/>
        <w:spacing w:before="120" w:line="260" w:lineRule="atLeast"/>
      </w:pPr>
      <w:r>
        <w:rPr>
          <w:rFonts w:ascii="Arial" w:eastAsia="Arial" w:hAnsi="Arial" w:cs="Arial"/>
          <w:color w:val="000000"/>
          <w:sz w:val="20"/>
        </w:rPr>
        <w:t>ALBERT T. OWENS, Plaintiff-Appellant, versus SECRETARY, FLORIDA DEPARTMENT OF CORRECTIONS, Defendant-Appellee.</w:t>
      </w:r>
    </w:p>
    <w:p w14:paraId="424545E4" w14:textId="77777777" w:rsidR="002D0E71" w:rsidRDefault="00000000">
      <w:pPr>
        <w:pStyle w:val="Normal27"/>
        <w:widowControl w:val="0"/>
        <w:spacing w:before="240" w:line="260" w:lineRule="atLeast"/>
        <w:jc w:val="both"/>
      </w:pPr>
      <w:bookmarkStart w:id="3858" w:name="Notice_8"/>
      <w:bookmarkEnd w:id="3858"/>
      <w:r>
        <w:rPr>
          <w:rFonts w:ascii="Arial" w:eastAsia="Arial" w:hAnsi="Arial" w:cs="Arial"/>
          <w:b/>
          <w:color w:val="000000"/>
          <w:sz w:val="20"/>
        </w:rPr>
        <w:t>Notice:</w:t>
      </w:r>
      <w:r>
        <w:rPr>
          <w:rFonts w:ascii="Arial" w:eastAsia="Arial" w:hAnsi="Arial" w:cs="Arial"/>
          <w:color w:val="000000"/>
          <w:sz w:val="20"/>
        </w:rPr>
        <w:t> </w:t>
      </w:r>
      <w:bookmarkStart w:id="3859" w:name="Bookmark_para_1_26"/>
      <w:bookmarkEnd w:id="3859"/>
      <w:r>
        <w:rPr>
          <w:rFonts w:ascii="Arial" w:eastAsia="Arial" w:hAnsi="Arial" w:cs="Arial"/>
          <w:color w:val="000000"/>
          <w:sz w:val="20"/>
        </w:rPr>
        <w:t>PLEASE REFER TO FEDERAL RULES OF APPELLATE PROCEDURE RULE 32.1 GOVERNING THE CITATION TO UNPUBLISHED OPINIONS.</w:t>
      </w:r>
    </w:p>
    <w:p w14:paraId="76970E65" w14:textId="77777777" w:rsidR="002D0E71" w:rsidRDefault="00000000">
      <w:pPr>
        <w:pStyle w:val="Normal27"/>
        <w:widowControl w:val="0"/>
        <w:spacing w:before="240" w:line="260" w:lineRule="atLeast"/>
        <w:jc w:val="both"/>
      </w:pPr>
      <w:bookmarkStart w:id="3860" w:name="Prior_History_26"/>
      <w:bookmarkEnd w:id="3860"/>
      <w:r>
        <w:rPr>
          <w:rFonts w:ascii="Arial" w:eastAsia="Arial" w:hAnsi="Arial" w:cs="Arial"/>
          <w:b/>
          <w:color w:val="000000"/>
          <w:sz w:val="20"/>
        </w:rPr>
        <w:t>Prior History:</w:t>
      </w:r>
      <w:r>
        <w:rPr>
          <w:rFonts w:ascii="Arial" w:eastAsia="Arial" w:hAnsi="Arial" w:cs="Arial"/>
          <w:color w:val="000000"/>
          <w:sz w:val="20"/>
        </w:rPr>
        <w:t> </w:t>
      </w:r>
      <w:bookmarkStart w:id="3861" w:name="Bookmark_para_2_26"/>
      <w:bookmarkEnd w:id="3861"/>
      <w:r>
        <w:rPr>
          <w:rFonts w:ascii="Arial" w:eastAsia="Arial" w:hAnsi="Arial" w:cs="Arial"/>
          <w:color w:val="000000"/>
          <w:sz w:val="20"/>
        </w:rPr>
        <w:t> [**1] Appeal from the United States District Court for the Southern District of Florida. D.C. Docket No. 2:13-cv-14061-KMM.</w:t>
      </w:r>
    </w:p>
    <w:p w14:paraId="1C103F57" w14:textId="77777777" w:rsidR="002D0E71" w:rsidRDefault="00000000">
      <w:pPr>
        <w:pStyle w:val="Normal27"/>
        <w:widowControl w:val="0"/>
        <w:spacing w:before="240" w:line="260" w:lineRule="atLeast"/>
        <w:jc w:val="both"/>
      </w:pPr>
      <w:bookmarkStart w:id="3862" w:name="Disposition_11"/>
      <w:bookmarkEnd w:id="3862"/>
      <w:r>
        <w:rPr>
          <w:rFonts w:ascii="Arial" w:eastAsia="Arial" w:hAnsi="Arial" w:cs="Arial"/>
          <w:b/>
          <w:color w:val="000000"/>
          <w:sz w:val="20"/>
        </w:rPr>
        <w:t>Disposition:</w:t>
      </w:r>
      <w:r>
        <w:rPr>
          <w:rFonts w:ascii="Arial" w:eastAsia="Arial" w:hAnsi="Arial" w:cs="Arial"/>
          <w:color w:val="000000"/>
          <w:sz w:val="20"/>
        </w:rPr>
        <w:t> </w:t>
      </w:r>
      <w:bookmarkStart w:id="3863" w:name="Bookmark_clspara_1_1"/>
      <w:bookmarkEnd w:id="3863"/>
      <w:r>
        <w:rPr>
          <w:rFonts w:ascii="Arial" w:eastAsia="Arial" w:hAnsi="Arial" w:cs="Arial"/>
          <w:color w:val="000000"/>
          <w:sz w:val="20"/>
        </w:rPr>
        <w:t>AFFIRMED.</w:t>
      </w:r>
    </w:p>
    <w:p w14:paraId="365AAFD1" w14:textId="77777777" w:rsidR="002D0E71" w:rsidRDefault="00000000">
      <w:pPr>
        <w:pStyle w:val="Normal27"/>
        <w:widowControl w:val="0"/>
        <w:spacing w:before="240" w:line="260" w:lineRule="atLeast"/>
      </w:pPr>
      <w:bookmarkStart w:id="3864" w:name="Counsel_26"/>
      <w:bookmarkEnd w:id="3864"/>
      <w:r>
        <w:rPr>
          <w:rFonts w:ascii="Arial" w:eastAsia="Arial" w:hAnsi="Arial" w:cs="Arial"/>
          <w:b/>
          <w:color w:val="000000"/>
          <w:sz w:val="20"/>
        </w:rPr>
        <w:t>Counsel:</w:t>
      </w:r>
      <w:r>
        <w:rPr>
          <w:rFonts w:ascii="Arial" w:eastAsia="Arial" w:hAnsi="Arial" w:cs="Arial"/>
          <w:color w:val="000000"/>
          <w:sz w:val="20"/>
        </w:rPr>
        <w:t> Albert T. Owens, Plaintiff - Appellant, Pro se, Milton, FL.</w:t>
      </w:r>
    </w:p>
    <w:p w14:paraId="5017BC24" w14:textId="77777777" w:rsidR="002D0E71" w:rsidRDefault="00000000">
      <w:pPr>
        <w:pStyle w:val="Normal27"/>
        <w:widowControl w:val="0"/>
        <w:spacing w:before="120" w:line="260" w:lineRule="atLeast"/>
      </w:pPr>
      <w:r>
        <w:rPr>
          <w:rFonts w:ascii="Arial" w:eastAsia="Arial" w:hAnsi="Arial" w:cs="Arial"/>
          <w:color w:val="000000"/>
          <w:sz w:val="20"/>
        </w:rPr>
        <w:t>For Albert T. Owens, Plaintiff - Appellant: Everglades CI Warden, Everglades CI - Inmate Trust Fund, Miami, FL.</w:t>
      </w:r>
    </w:p>
    <w:p w14:paraId="39999B67" w14:textId="77777777" w:rsidR="002D0E71" w:rsidRDefault="00000000">
      <w:pPr>
        <w:pStyle w:val="Normal27"/>
        <w:widowControl w:val="0"/>
        <w:spacing w:before="120" w:line="260" w:lineRule="atLeast"/>
      </w:pPr>
      <w:r>
        <w:rPr>
          <w:rFonts w:ascii="Arial" w:eastAsia="Arial" w:hAnsi="Arial" w:cs="Arial"/>
          <w:color w:val="000000"/>
          <w:sz w:val="20"/>
        </w:rPr>
        <w:t>For Secretary, Florida Department of Corrections, Defendant - Appellee: Eric Gonzalez, Office of the Attorney General, Tallahassee, FL; Pam Bondi, Attorney General's Office, Miami, FL.</w:t>
      </w:r>
    </w:p>
    <w:p w14:paraId="54EB8E97" w14:textId="77777777" w:rsidR="002D0E71" w:rsidRDefault="00000000">
      <w:pPr>
        <w:pStyle w:val="Normal27"/>
        <w:widowControl w:val="0"/>
        <w:spacing w:before="240" w:line="260" w:lineRule="atLeast"/>
      </w:pPr>
      <w:bookmarkStart w:id="3865" w:name="Judges_26"/>
      <w:bookmarkEnd w:id="3865"/>
      <w:r>
        <w:rPr>
          <w:rFonts w:ascii="Arial" w:eastAsia="Arial" w:hAnsi="Arial" w:cs="Arial"/>
          <w:b/>
          <w:color w:val="000000"/>
          <w:sz w:val="20"/>
        </w:rPr>
        <w:t>Judges:</w:t>
      </w:r>
      <w:r>
        <w:rPr>
          <w:rFonts w:ascii="Arial" w:eastAsia="Arial" w:hAnsi="Arial" w:cs="Arial"/>
          <w:color w:val="000000"/>
          <w:sz w:val="20"/>
        </w:rPr>
        <w:t> Before MARCUS, WILSON, and WILLIAM PRYOR, Circuit Judges.</w:t>
      </w:r>
    </w:p>
    <w:p w14:paraId="6BCA1E54" w14:textId="77777777" w:rsidR="002D0E71" w:rsidRDefault="00000000">
      <w:pPr>
        <w:pStyle w:val="Normal27"/>
        <w:keepNext/>
        <w:widowControl w:val="0"/>
        <w:spacing w:before="240" w:line="340" w:lineRule="atLeast"/>
      </w:pPr>
      <w:bookmarkStart w:id="3866" w:name="Opinion_26"/>
      <w:bookmarkEnd w:id="3866"/>
      <w:r>
        <w:rPr>
          <w:rFonts w:ascii="Arial" w:eastAsia="Arial" w:hAnsi="Arial" w:cs="Arial"/>
          <w:b/>
          <w:color w:val="000000"/>
          <w:sz w:val="28"/>
        </w:rPr>
        <w:t>Opinion</w:t>
      </w:r>
    </w:p>
    <w:p w14:paraId="43FA76CC" w14:textId="7C3049B0" w:rsidR="002D0E71" w:rsidRDefault="002939DF">
      <w:pPr>
        <w:pStyle w:val="Normal27"/>
        <w:spacing w:line="60" w:lineRule="exact"/>
      </w:pPr>
      <w:r>
        <w:rPr>
          <w:noProof/>
        </w:rPr>
        <mc:AlternateContent>
          <mc:Choice Requires="wps">
            <w:drawing>
              <wp:anchor distT="0" distB="0" distL="114300" distR="114300" simplePos="0" relativeHeight="251715584" behindDoc="0" locked="0" layoutInCell="1" allowOverlap="1" wp14:anchorId="40321BBB" wp14:editId="03EED364">
                <wp:simplePos x="0" y="0"/>
                <wp:positionH relativeFrom="column">
                  <wp:posOffset>0</wp:posOffset>
                </wp:positionH>
                <wp:positionV relativeFrom="paragraph">
                  <wp:posOffset>25400</wp:posOffset>
                </wp:positionV>
                <wp:extent cx="3187700" cy="0"/>
                <wp:effectExtent l="19050" t="15875" r="12700" b="12700"/>
                <wp:wrapTopAndBottom/>
                <wp:docPr id="566230246"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41B5F" id="Line 57"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AAC5ABB" w14:textId="77777777" w:rsidR="002D0E71" w:rsidRDefault="002D0E71">
      <w:pPr>
        <w:pStyle w:val="Normal27"/>
      </w:pPr>
    </w:p>
    <w:p w14:paraId="4121A3FB" w14:textId="77777777" w:rsidR="002D0E71" w:rsidRDefault="00000000">
      <w:pPr>
        <w:pStyle w:val="Normal27"/>
        <w:widowControl w:val="0"/>
        <w:spacing w:before="200" w:line="260" w:lineRule="atLeast"/>
        <w:jc w:val="both"/>
      </w:pPr>
      <w:bookmarkStart w:id="3867" w:name="Bookmark_para_3_26"/>
      <w:bookmarkEnd w:id="3867"/>
      <w:r>
        <w:rPr>
          <w:rFonts w:ascii="Arial" w:eastAsia="Arial" w:hAnsi="Arial" w:cs="Arial"/>
          <w:color w:val="000000"/>
          <w:sz w:val="20"/>
        </w:rPr>
        <w:t> [*476]  PER CURIAM:</w:t>
      </w:r>
    </w:p>
    <w:p w14:paraId="429CAB53" w14:textId="77777777" w:rsidR="002D0E71" w:rsidRDefault="00000000">
      <w:pPr>
        <w:pStyle w:val="Normal27"/>
        <w:widowControl w:val="0"/>
        <w:spacing w:before="200" w:line="260" w:lineRule="atLeast"/>
        <w:jc w:val="both"/>
      </w:pPr>
      <w:bookmarkStart w:id="3868" w:name="Bookmark_para_4_26"/>
      <w:bookmarkEnd w:id="3868"/>
      <w:r>
        <w:rPr>
          <w:rFonts w:ascii="Arial" w:eastAsia="Arial" w:hAnsi="Arial" w:cs="Arial"/>
          <w:color w:val="000000"/>
          <w:sz w:val="20"/>
        </w:rPr>
        <w:t xml:space="preserve">Albert Owens, a federal prisoner proceeding pro se and </w:t>
      </w:r>
      <w:r>
        <w:rPr>
          <w:rFonts w:ascii="Arial" w:eastAsia="Arial" w:hAnsi="Arial" w:cs="Arial"/>
          <w:i/>
          <w:color w:val="000000"/>
          <w:sz w:val="20"/>
        </w:rPr>
        <w:t>in forma pauperis</w:t>
      </w:r>
      <w:r>
        <w:rPr>
          <w:rFonts w:ascii="Arial" w:eastAsia="Arial" w:hAnsi="Arial" w:cs="Arial"/>
          <w:color w:val="000000"/>
          <w:sz w:val="20"/>
        </w:rPr>
        <w:t>, appeals the dismissal of his initial complaint for failure to state a claim pursuant to 28 U.S.C. § 1915(e)(2)(B)(ii) against the Secretary of the Florida Department of Corrections (FDOC). Owens also appeals the district court's subsequent order denying him leave to amend his complaint. On appeal, Owens argues that his initial complaint alleged facts sufficient to state claims for violations of the Americans with Disabilities Act (ADA), Rehabilitation Act, Eighth Amendment, and Fourteenth Amendment because the prison's staff was deliberately indifferent to his medical needs and did not make reasonable accommodations for him. Owens further [**2]  contends that the addition of extra facts and defendants in his proposed amended complaint would have cured any defects in his initial complaint, and, therefore, the district court abused its discretion when it denied him leave to amend his complaint.</w:t>
      </w:r>
    </w:p>
    <w:p w14:paraId="0F657283" w14:textId="77777777" w:rsidR="002D0E71" w:rsidRDefault="00000000">
      <w:pPr>
        <w:pStyle w:val="Normal27"/>
        <w:widowControl w:val="0"/>
        <w:spacing w:before="200" w:line="260" w:lineRule="atLeast"/>
        <w:jc w:val="both"/>
      </w:pPr>
      <w:bookmarkStart w:id="3869" w:name="Bookmark_para_5_26"/>
      <w:bookmarkEnd w:id="3869"/>
      <w:r>
        <w:rPr>
          <w:rFonts w:ascii="Arial" w:eastAsia="Arial" w:hAnsi="Arial" w:cs="Arial"/>
          <w:color w:val="000000"/>
          <w:sz w:val="20"/>
        </w:rPr>
        <w:t>After careful review of the pleadings and the district court order, and after consideration of the parties' briefs, we conclude that the district court did not err in dismissing Owens's initial complaint or abuse its discretion when it denied him leave to amend. Accordingly, we affirm.</w:t>
      </w:r>
    </w:p>
    <w:p w14:paraId="41E6B985" w14:textId="77777777" w:rsidR="002D0E71" w:rsidRDefault="00000000">
      <w:pPr>
        <w:pStyle w:val="Normal27"/>
        <w:widowControl w:val="0"/>
        <w:spacing w:before="120" w:line="260" w:lineRule="atLeast"/>
      </w:pPr>
      <w:r>
        <w:rPr>
          <w:rFonts w:ascii="Arial" w:eastAsia="Arial" w:hAnsi="Arial" w:cs="Arial"/>
          <w:color w:val="000000"/>
          <w:sz w:val="20"/>
        </w:rPr>
        <w:t>I.</w:t>
      </w:r>
    </w:p>
    <w:p w14:paraId="4B680A6B" w14:textId="77777777" w:rsidR="002D0E71" w:rsidRDefault="00000000">
      <w:pPr>
        <w:pStyle w:val="Normal27"/>
        <w:widowControl w:val="0"/>
        <w:spacing w:before="200" w:line="260" w:lineRule="atLeast"/>
        <w:jc w:val="both"/>
      </w:pPr>
      <w:bookmarkStart w:id="3870" w:name="Bookmark_para_6_26"/>
      <w:bookmarkStart w:id="3871" w:name="Bookmark_I5FK9Y2728T4M40020000400"/>
      <w:bookmarkEnd w:id="3870"/>
      <w:bookmarkEnd w:id="3871"/>
      <w:r>
        <w:rPr>
          <w:rFonts w:ascii="Arial" w:eastAsia="Arial" w:hAnsi="Arial" w:cs="Arial"/>
          <w:color w:val="000000"/>
          <w:sz w:val="20"/>
        </w:rPr>
        <w:t xml:space="preserve">We address Owens first argument that his initial complaint alleged facts sufficient to state valid claims. We review de novo a district court's dismissal for failure to state a claim under 28 U.S.C. § 1915(e)(2)(B)(ii). </w:t>
      </w:r>
      <w:bookmarkStart w:id="3872" w:name="Bookmark_I5FK9Y2728T4M40040000400"/>
      <w:bookmarkStart w:id="3873" w:name="Bookmark_I5FK9Y2728T4M40010000400"/>
      <w:bookmarkEnd w:id="3872"/>
      <w:bookmarkEnd w:id="3873"/>
      <w:r>
        <w:rPr>
          <w:rFonts w:ascii="Arial" w:eastAsia="Arial" w:hAnsi="Arial" w:cs="Arial"/>
          <w:i/>
          <w:color w:val="000000"/>
          <w:sz w:val="20"/>
        </w:rPr>
        <w:t>Hughes v. Lott</w:t>
      </w:r>
      <w:r>
        <w:rPr>
          <w:rFonts w:ascii="Arial" w:eastAsia="Arial" w:hAnsi="Arial" w:cs="Arial"/>
          <w:color w:val="000000"/>
          <w:sz w:val="20"/>
        </w:rPr>
        <w:t xml:space="preserve">, 350 F.3d 1157, 1159-60 (11th Cir. 2003). </w:t>
      </w:r>
      <w:bookmarkStart w:id="3874" w:name="Bookmark_I5FK9Y2728T4M40040000400_2"/>
      <w:bookmarkStart w:id="3875" w:name="Bookmark_I5FK9Y272HM5XY0010000400"/>
      <w:bookmarkEnd w:id="3874"/>
      <w:bookmarkEnd w:id="3875"/>
      <w:r>
        <w:rPr>
          <w:rFonts w:ascii="Arial" w:eastAsia="Arial" w:hAnsi="Arial" w:cs="Arial"/>
          <w:color w:val="000000"/>
          <w:sz w:val="20"/>
        </w:rPr>
        <w:t>Article III of the Constitution limits our jurisdiction to the consideration of cases and controversies. U.S. Const. art. III, § 2; s</w:t>
      </w:r>
      <w:r>
        <w:rPr>
          <w:rFonts w:ascii="Arial" w:eastAsia="Arial" w:hAnsi="Arial" w:cs="Arial"/>
          <w:i/>
          <w:color w:val="000000"/>
          <w:sz w:val="20"/>
        </w:rPr>
        <w:t xml:space="preserve">ee also </w:t>
      </w:r>
      <w:bookmarkStart w:id="3876" w:name="Bookmark_I5FK9Y2728T4M40030000400"/>
      <w:bookmarkEnd w:id="3876"/>
      <w:r>
        <w:rPr>
          <w:rFonts w:ascii="Arial" w:eastAsia="Arial" w:hAnsi="Arial" w:cs="Arial"/>
          <w:i/>
          <w:color w:val="000000"/>
          <w:sz w:val="20"/>
        </w:rPr>
        <w:t>Al Najjar v. Ashcroft</w:t>
      </w:r>
      <w:r>
        <w:rPr>
          <w:rFonts w:ascii="Arial" w:eastAsia="Arial" w:hAnsi="Arial" w:cs="Arial"/>
          <w:color w:val="000000"/>
          <w:sz w:val="20"/>
        </w:rPr>
        <w:t xml:space="preserve">, 273 F.3d 1330, 1335 (11th Cir. 2001) (per curiam). </w:t>
      </w:r>
      <w:bookmarkStart w:id="3877" w:name="Bookmark_I5FK9Y272HM5XY0010000400_2"/>
      <w:bookmarkStart w:id="3878" w:name="Bookmark_I5FK9Y272HM5XY0030000400"/>
      <w:bookmarkEnd w:id="3877"/>
      <w:bookmarkEnd w:id="3878"/>
      <w:r>
        <w:rPr>
          <w:rFonts w:ascii="Arial" w:eastAsia="Arial" w:hAnsi="Arial" w:cs="Arial"/>
          <w:color w:val="000000"/>
          <w:sz w:val="20"/>
        </w:rPr>
        <w:t xml:space="preserve">"If events that occur subsequent to the filing of a lawsuit or an appeal deprive the court of the ability to give the plaintiff or appellant meaningful relief, then the case is moot and must be dismissed." </w:t>
      </w:r>
      <w:bookmarkStart w:id="3879" w:name="Bookmark_I5FK9Y2728T4M40050000400"/>
      <w:bookmarkEnd w:id="3879"/>
      <w:r>
        <w:rPr>
          <w:rFonts w:ascii="Arial" w:eastAsia="Arial" w:hAnsi="Arial" w:cs="Arial"/>
          <w:i/>
          <w:color w:val="000000"/>
          <w:sz w:val="20"/>
        </w:rPr>
        <w:t>Al Najjar</w:t>
      </w:r>
      <w:r>
        <w:rPr>
          <w:rFonts w:ascii="Arial" w:eastAsia="Arial" w:hAnsi="Arial" w:cs="Arial"/>
          <w:color w:val="000000"/>
          <w:sz w:val="20"/>
        </w:rPr>
        <w:t xml:space="preserve">, 273 F.3d at 1336. </w:t>
      </w:r>
      <w:bookmarkStart w:id="3880" w:name="Bookmark_I5FK9Y272HM5XY0030000400_2"/>
      <w:bookmarkStart w:id="3881" w:name="Bookmark_I6WNFRGK4SR000PSC9V002WD"/>
      <w:bookmarkStart w:id="3882" w:name="Bookmark_I5FK9Y272HM5XY0050000400"/>
      <w:bookmarkEnd w:id="3880"/>
      <w:bookmarkEnd w:id="3881"/>
      <w:bookmarkEnd w:id="3882"/>
      <w:r>
        <w:rPr>
          <w:rFonts w:ascii="Arial" w:eastAsia="Arial" w:hAnsi="Arial" w:cs="Arial"/>
          <w:color w:val="000000"/>
          <w:sz w:val="20"/>
        </w:rPr>
        <w:t xml:space="preserve">Prisoners' claims for injunctive or declaratory relief regarding prison conditions generally become moot when the prisoner transfers to another prison. </w:t>
      </w:r>
      <w:r>
        <w:rPr>
          <w:rFonts w:ascii="Arial" w:eastAsia="Arial" w:hAnsi="Arial" w:cs="Arial"/>
          <w:i/>
          <w:color w:val="000000"/>
          <w:sz w:val="20"/>
        </w:rPr>
        <w:t xml:space="preserve">See </w:t>
      </w:r>
      <w:bookmarkStart w:id="3883" w:name="Bookmark_I5FK9Y272HM5XY0020000400"/>
      <w:bookmarkEnd w:id="3883"/>
      <w:r>
        <w:rPr>
          <w:rFonts w:ascii="Arial" w:eastAsia="Arial" w:hAnsi="Arial" w:cs="Arial"/>
          <w:i/>
          <w:color w:val="000000"/>
          <w:sz w:val="20"/>
        </w:rPr>
        <w:t>Wahl v. McIver</w:t>
      </w:r>
      <w:r>
        <w:rPr>
          <w:rFonts w:ascii="Arial" w:eastAsia="Arial" w:hAnsi="Arial" w:cs="Arial"/>
          <w:color w:val="000000"/>
          <w:sz w:val="20"/>
        </w:rPr>
        <w:t xml:space="preserve">, 773 F.2d 1169, 1173 (11th Cir. 1985) (per [**3]  curiam). </w:t>
      </w:r>
      <w:bookmarkStart w:id="3884" w:name="Bookmark_I5FK9Y272HM5XY0050000400_2"/>
      <w:bookmarkEnd w:id="3884"/>
      <w:r>
        <w:rPr>
          <w:rFonts w:ascii="Arial" w:eastAsia="Arial" w:hAnsi="Arial" w:cs="Arial"/>
          <w:color w:val="000000"/>
          <w:sz w:val="20"/>
        </w:rPr>
        <w:t xml:space="preserve">There is a narrow exception to the doctrine of mootness when a challenged action is capable of being repeated and when it evades review, but it only applies when: "(1) there is a reasonable expectation or a demonstrated probability that the same controversy will recur involving the same complaining party, and (2) the challenged action is in its duration too short to be fully litigated prior to its cessation or expiration." </w:t>
      </w:r>
      <w:bookmarkStart w:id="3885" w:name="Bookmark_I5FK9Y272HM5XY0040000400"/>
      <w:bookmarkEnd w:id="3885"/>
      <w:r>
        <w:rPr>
          <w:rFonts w:ascii="Arial" w:eastAsia="Arial" w:hAnsi="Arial" w:cs="Arial"/>
          <w:i/>
          <w:color w:val="000000"/>
          <w:sz w:val="20"/>
        </w:rPr>
        <w:t>Al Najjar</w:t>
      </w:r>
      <w:r>
        <w:rPr>
          <w:rFonts w:ascii="Arial" w:eastAsia="Arial" w:hAnsi="Arial" w:cs="Arial"/>
          <w:color w:val="000000"/>
          <w:sz w:val="20"/>
        </w:rPr>
        <w:t>, 273 F.3d at 1336 (internal quotation marks omitted).</w:t>
      </w:r>
    </w:p>
    <w:p w14:paraId="7164824F" w14:textId="77777777" w:rsidR="002D0E71" w:rsidRDefault="00000000">
      <w:pPr>
        <w:pStyle w:val="Normal27"/>
        <w:widowControl w:val="0"/>
        <w:spacing w:before="200" w:line="260" w:lineRule="atLeast"/>
        <w:jc w:val="both"/>
      </w:pPr>
      <w:bookmarkStart w:id="3886" w:name="Bookmark_para_7_25"/>
      <w:bookmarkEnd w:id="3886"/>
      <w:r>
        <w:rPr>
          <w:rFonts w:ascii="Arial" w:eastAsia="Arial" w:hAnsi="Arial" w:cs="Arial"/>
          <w:color w:val="000000"/>
          <w:sz w:val="20"/>
        </w:rPr>
        <w:t xml:space="preserve">Here, we conclude that Owens's claims set forth in his initial complaint are moot since his initial complaint requested injunctive relief concerning conditions in a prison at which he is no longer incarcerated. Since filing the initial complaint, Owens has transferred to Santa Rosa Correctional Institution and has not demonstrated  [*477]  that the challenged action falls within the narrow exception to the mootness doctrine. </w:t>
      </w:r>
      <w:bookmarkStart w:id="3887" w:name="Bookmark_I5FK9Y272SF86K0020000400"/>
      <w:bookmarkEnd w:id="3887"/>
      <w:r>
        <w:rPr>
          <w:rFonts w:ascii="Arial" w:eastAsia="Arial" w:hAnsi="Arial" w:cs="Arial"/>
          <w:color w:val="000000"/>
          <w:sz w:val="20"/>
        </w:rPr>
        <w:t xml:space="preserve">A thorough review of the complaint reveals that this challenged action is specific to policies at Martin Correctional Institution (MCI). Because he has transferred prisons, his claims for injunctive relief no longer present a case or controversy over which we have jurisdiction. </w:t>
      </w:r>
      <w:r>
        <w:rPr>
          <w:rFonts w:ascii="Arial" w:eastAsia="Arial" w:hAnsi="Arial" w:cs="Arial"/>
          <w:i/>
          <w:color w:val="000000"/>
          <w:sz w:val="20"/>
        </w:rPr>
        <w:t xml:space="preserve">See </w:t>
      </w:r>
      <w:bookmarkStart w:id="3888" w:name="Bookmark_I5FK9Y272SF86K0010000400"/>
      <w:bookmarkEnd w:id="3888"/>
      <w:r>
        <w:rPr>
          <w:rFonts w:ascii="Arial" w:eastAsia="Arial" w:hAnsi="Arial" w:cs="Arial"/>
          <w:i/>
          <w:color w:val="000000"/>
          <w:sz w:val="20"/>
        </w:rPr>
        <w:t>Wahl</w:t>
      </w:r>
      <w:r>
        <w:rPr>
          <w:rFonts w:ascii="Arial" w:eastAsia="Arial" w:hAnsi="Arial" w:cs="Arial"/>
          <w:color w:val="000000"/>
          <w:sz w:val="20"/>
        </w:rPr>
        <w:t>, 773 F.2d at 1173.</w:t>
      </w:r>
    </w:p>
    <w:p w14:paraId="37E80FEE" w14:textId="77777777" w:rsidR="002D0E71" w:rsidRDefault="00000000">
      <w:pPr>
        <w:pStyle w:val="Normal27"/>
        <w:widowControl w:val="0"/>
        <w:spacing w:before="120" w:line="260" w:lineRule="atLeast"/>
      </w:pPr>
      <w:r>
        <w:rPr>
          <w:rFonts w:ascii="Arial" w:eastAsia="Arial" w:hAnsi="Arial" w:cs="Arial"/>
          <w:color w:val="000000"/>
          <w:sz w:val="20"/>
        </w:rPr>
        <w:t>II.</w:t>
      </w:r>
    </w:p>
    <w:p w14:paraId="5CB7E16B" w14:textId="77777777" w:rsidR="002D0E71" w:rsidRDefault="00000000">
      <w:pPr>
        <w:pStyle w:val="Normal27"/>
        <w:widowControl w:val="0"/>
        <w:spacing w:before="200" w:line="260" w:lineRule="atLeast"/>
        <w:jc w:val="both"/>
      </w:pPr>
      <w:bookmarkStart w:id="3889" w:name="Bookmark_para_8_25"/>
      <w:bookmarkStart w:id="3890" w:name="Bookmark_I5FK9Y272SF86K0040000400"/>
      <w:bookmarkEnd w:id="3889"/>
      <w:bookmarkEnd w:id="3890"/>
      <w:r>
        <w:rPr>
          <w:rFonts w:ascii="Arial" w:eastAsia="Arial" w:hAnsi="Arial" w:cs="Arial"/>
          <w:color w:val="000000"/>
          <w:sz w:val="20"/>
        </w:rPr>
        <w:t xml:space="preserve">Owens also argues that [**4]  the district court abused its discretion by denying him leave to amend his complaint after his initial complaint was dismissed. </w:t>
      </w:r>
      <w:bookmarkStart w:id="3891" w:name="Bookmark_I5FK9Y272SF86M0010000400"/>
      <w:bookmarkEnd w:id="3891"/>
      <w:r>
        <w:rPr>
          <w:rFonts w:ascii="Arial" w:eastAsia="Arial" w:hAnsi="Arial" w:cs="Arial"/>
          <w:color w:val="000000"/>
          <w:sz w:val="20"/>
        </w:rPr>
        <w:t xml:space="preserve">We review a district court's denial of a motion to amend a complaint for abuse of discretion. </w:t>
      </w:r>
      <w:bookmarkStart w:id="3892" w:name="Bookmark_I5FK9Y272SF86K0030000400"/>
      <w:bookmarkEnd w:id="3892"/>
      <w:r>
        <w:rPr>
          <w:rFonts w:ascii="Arial" w:eastAsia="Arial" w:hAnsi="Arial" w:cs="Arial"/>
          <w:i/>
          <w:color w:val="000000"/>
          <w:sz w:val="20"/>
        </w:rPr>
        <w:t>Hall v. United Ins. Co. of Am</w:t>
      </w:r>
      <w:r>
        <w:rPr>
          <w:rFonts w:ascii="Arial" w:eastAsia="Arial" w:hAnsi="Arial" w:cs="Arial"/>
          <w:color w:val="000000"/>
          <w:sz w:val="20"/>
        </w:rPr>
        <w:t xml:space="preserve">., 367 F.3d 1255, 1262 (11th Cir. 2004). </w:t>
      </w:r>
      <w:bookmarkStart w:id="3893" w:name="Bookmark_I5FK9Y272SF86M0010000400_2"/>
      <w:bookmarkStart w:id="3894" w:name="Bookmark_I5FK9Y272SF86M0030000400"/>
      <w:bookmarkEnd w:id="3893"/>
      <w:bookmarkEnd w:id="3894"/>
      <w:r>
        <w:rPr>
          <w:rFonts w:ascii="Arial" w:eastAsia="Arial" w:hAnsi="Arial" w:cs="Arial"/>
          <w:color w:val="000000"/>
          <w:sz w:val="20"/>
        </w:rPr>
        <w:t xml:space="preserve">The district court's underlying legal conclusion of whether an amendment to the complaint would be futile is reviewed de novo. </w:t>
      </w:r>
      <w:bookmarkStart w:id="3895" w:name="Bookmark_I5FK9Y272SF86K0050000400"/>
      <w:bookmarkEnd w:id="3895"/>
      <w:r>
        <w:rPr>
          <w:rFonts w:ascii="Arial" w:eastAsia="Arial" w:hAnsi="Arial" w:cs="Arial"/>
          <w:i/>
          <w:color w:val="000000"/>
          <w:sz w:val="20"/>
        </w:rPr>
        <w:t>Corsello v. Lincare, Inc</w:t>
      </w:r>
      <w:r>
        <w:rPr>
          <w:rFonts w:ascii="Arial" w:eastAsia="Arial" w:hAnsi="Arial" w:cs="Arial"/>
          <w:color w:val="000000"/>
          <w:sz w:val="20"/>
        </w:rPr>
        <w:t xml:space="preserve">., 428 F.3d 1008, 1012 (11th Cir. 2005) (per curiam). </w:t>
      </w:r>
      <w:bookmarkStart w:id="3896" w:name="Bookmark_I5FK9Y272SF86M0030000400_2"/>
      <w:bookmarkEnd w:id="3896"/>
      <w:r>
        <w:rPr>
          <w:rFonts w:ascii="Arial" w:eastAsia="Arial" w:hAnsi="Arial" w:cs="Arial"/>
          <w:color w:val="000000"/>
          <w:sz w:val="20"/>
        </w:rPr>
        <w:t xml:space="preserve">A district court should freely grant leave to amend a complaint when the underlying facts may be a proper subject of relief. </w:t>
      </w:r>
      <w:bookmarkStart w:id="3897" w:name="Bookmark_I5FK9Y272SF86M0050000400"/>
      <w:bookmarkStart w:id="3898" w:name="Bookmark_I5FK9Y272SF86M0020000400"/>
      <w:bookmarkEnd w:id="3897"/>
      <w:bookmarkEnd w:id="3898"/>
      <w:r>
        <w:rPr>
          <w:rFonts w:ascii="Arial" w:eastAsia="Arial" w:hAnsi="Arial" w:cs="Arial"/>
          <w:i/>
          <w:color w:val="000000"/>
          <w:sz w:val="20"/>
        </w:rPr>
        <w:t>Hall</w:t>
      </w:r>
      <w:r>
        <w:rPr>
          <w:rFonts w:ascii="Arial" w:eastAsia="Arial" w:hAnsi="Arial" w:cs="Arial"/>
          <w:color w:val="000000"/>
          <w:sz w:val="20"/>
        </w:rPr>
        <w:t xml:space="preserve">, 367 F.3d at 1262. </w:t>
      </w:r>
      <w:bookmarkStart w:id="3899" w:name="Bookmark_I5FK9Y272SF86M0050000400_2"/>
      <w:bookmarkStart w:id="3900" w:name="Bookmark_I5FK9Y272N1R8Y0020000400"/>
      <w:bookmarkEnd w:id="3899"/>
      <w:bookmarkEnd w:id="3900"/>
      <w:r>
        <w:rPr>
          <w:rFonts w:ascii="Arial" w:eastAsia="Arial" w:hAnsi="Arial" w:cs="Arial"/>
          <w:color w:val="000000"/>
          <w:sz w:val="20"/>
        </w:rPr>
        <w:t xml:space="preserve">However, a district court may properly deny leave to amend a complaint when the proposed amendment would be futile. </w:t>
      </w:r>
      <w:bookmarkStart w:id="3901" w:name="Bookmark_I5FK9Y272SF86M0040000400"/>
      <w:bookmarkEnd w:id="3901"/>
      <w:r>
        <w:rPr>
          <w:rFonts w:ascii="Arial" w:eastAsia="Arial" w:hAnsi="Arial" w:cs="Arial"/>
          <w:i/>
          <w:color w:val="000000"/>
          <w:sz w:val="20"/>
        </w:rPr>
        <w:t>Id</w:t>
      </w:r>
      <w:r>
        <w:rPr>
          <w:rFonts w:ascii="Arial" w:eastAsia="Arial" w:hAnsi="Arial" w:cs="Arial"/>
          <w:color w:val="000000"/>
          <w:sz w:val="20"/>
        </w:rPr>
        <w:t xml:space="preserve">. at 1262-63. </w:t>
      </w:r>
      <w:bookmarkStart w:id="3902" w:name="Bookmark_I5FK9Y272N1R8Y0020000400_2"/>
      <w:bookmarkEnd w:id="3902"/>
      <w:r>
        <w:rPr>
          <w:rFonts w:ascii="Arial" w:eastAsia="Arial" w:hAnsi="Arial" w:cs="Arial"/>
          <w:color w:val="000000"/>
          <w:sz w:val="20"/>
        </w:rPr>
        <w:t xml:space="preserve">An amendment is futile if "the complaint as amended is still subject to dismissal." </w:t>
      </w:r>
      <w:bookmarkStart w:id="3903" w:name="Bookmark_I5FK9Y272N1R8Y0010000400"/>
      <w:bookmarkEnd w:id="3903"/>
      <w:r>
        <w:rPr>
          <w:rFonts w:ascii="Arial" w:eastAsia="Arial" w:hAnsi="Arial" w:cs="Arial"/>
          <w:i/>
          <w:color w:val="000000"/>
          <w:sz w:val="20"/>
        </w:rPr>
        <w:t>Id</w:t>
      </w:r>
      <w:r>
        <w:rPr>
          <w:rFonts w:ascii="Arial" w:eastAsia="Arial" w:hAnsi="Arial" w:cs="Arial"/>
          <w:color w:val="000000"/>
          <w:sz w:val="20"/>
        </w:rPr>
        <w:t>. at 1263 (internal quotation marks omitted).</w:t>
      </w:r>
    </w:p>
    <w:p w14:paraId="154FBC69" w14:textId="77777777" w:rsidR="002D0E71" w:rsidRDefault="00000000">
      <w:pPr>
        <w:pStyle w:val="Normal27"/>
        <w:widowControl w:val="0"/>
        <w:spacing w:before="200" w:line="260" w:lineRule="atLeast"/>
        <w:jc w:val="both"/>
      </w:pPr>
      <w:bookmarkStart w:id="3904" w:name="Bookmark_para_9_25"/>
      <w:bookmarkStart w:id="3905" w:name="Bookmark_I5FK9Y272N1R8Y0040000400"/>
      <w:bookmarkStart w:id="3906" w:name="Bookmark_I5FK9Y2728T4M50010000400"/>
      <w:bookmarkStart w:id="3907" w:name="Bookmark_I5FK9Y2728T4M50030000400"/>
      <w:bookmarkEnd w:id="3904"/>
      <w:bookmarkEnd w:id="3905"/>
      <w:bookmarkEnd w:id="3906"/>
      <w:bookmarkEnd w:id="3907"/>
      <w:r>
        <w:rPr>
          <w:rFonts w:ascii="Arial" w:eastAsia="Arial" w:hAnsi="Arial" w:cs="Arial"/>
          <w:color w:val="000000"/>
          <w:sz w:val="20"/>
        </w:rPr>
        <w:t xml:space="preserve">"The language of section 1915(e)(2)(B)(ii) tracks the language of Federal Rule of Civil Procedure 12(b)(6), and we will apply Rule 12(b)(6) standards in reviewing dismissals under section 1915(e)(2)(B)(ii)." </w:t>
      </w:r>
      <w:bookmarkStart w:id="3908" w:name="Bookmark_I5FK9Y272N1R8Y0030000400"/>
      <w:bookmarkEnd w:id="3908"/>
      <w:r>
        <w:rPr>
          <w:rFonts w:ascii="Arial" w:eastAsia="Arial" w:hAnsi="Arial" w:cs="Arial"/>
          <w:i/>
          <w:color w:val="000000"/>
          <w:sz w:val="20"/>
        </w:rPr>
        <w:t>Mitchell v. Farcass</w:t>
      </w:r>
      <w:r>
        <w:rPr>
          <w:rFonts w:ascii="Arial" w:eastAsia="Arial" w:hAnsi="Arial" w:cs="Arial"/>
          <w:color w:val="000000"/>
          <w:sz w:val="20"/>
        </w:rPr>
        <w:t xml:space="preserve">, 112 F.3d 1483, 1490 (11th Cir. 1997). "To survive a motion to dismiss [under Rule 12(b)(6)], a complaint must contain sufficient factual matter, accepted as true, to state a claim to relief that is plausible on its face." </w:t>
      </w:r>
      <w:bookmarkStart w:id="3909" w:name="Bookmark_I5FK9Y272N1R8Y0050000400"/>
      <w:bookmarkEnd w:id="3909"/>
      <w:r>
        <w:rPr>
          <w:rFonts w:ascii="Arial" w:eastAsia="Arial" w:hAnsi="Arial" w:cs="Arial"/>
          <w:i/>
          <w:color w:val="000000"/>
          <w:sz w:val="20"/>
        </w:rPr>
        <w:t>Ashcroft v. Iqbal</w:t>
      </w:r>
      <w:r>
        <w:rPr>
          <w:rFonts w:ascii="Arial" w:eastAsia="Arial" w:hAnsi="Arial" w:cs="Arial"/>
          <w:color w:val="000000"/>
          <w:sz w:val="20"/>
        </w:rPr>
        <w:t xml:space="preserve">, 556 U.S. 662, 678, 129 S. Ct. 1937, 1949, 173 L. Ed. 2d 868 (2009) (internal quotation marks omitted). A claim is facially plausible when "the plaintiff pleads factual content that allows the court to draw the reasonable inference that the defendant is [**5]  liable for the misconduct alleged." </w:t>
      </w:r>
      <w:r>
        <w:rPr>
          <w:rFonts w:ascii="Arial" w:eastAsia="Arial" w:hAnsi="Arial" w:cs="Arial"/>
          <w:i/>
          <w:color w:val="000000"/>
          <w:sz w:val="20"/>
        </w:rPr>
        <w:t>Id</w:t>
      </w:r>
      <w:r>
        <w:rPr>
          <w:rFonts w:ascii="Arial" w:eastAsia="Arial" w:hAnsi="Arial" w:cs="Arial"/>
          <w:color w:val="000000"/>
          <w:sz w:val="20"/>
        </w:rPr>
        <w:t xml:space="preserve">. We construe pro se complaints liberally; however, they still must allege factual allegations that "raise a right to relief above the speculative level." </w:t>
      </w:r>
      <w:bookmarkStart w:id="3910" w:name="Bookmark_I5FK9Y2728T4M50020000400"/>
      <w:bookmarkEnd w:id="3910"/>
      <w:r>
        <w:rPr>
          <w:rFonts w:ascii="Arial" w:eastAsia="Arial" w:hAnsi="Arial" w:cs="Arial"/>
          <w:i/>
          <w:color w:val="000000"/>
          <w:sz w:val="20"/>
        </w:rPr>
        <w:t>Saunders v. Duke</w:t>
      </w:r>
      <w:r>
        <w:rPr>
          <w:rFonts w:ascii="Arial" w:eastAsia="Arial" w:hAnsi="Arial" w:cs="Arial"/>
          <w:color w:val="000000"/>
          <w:sz w:val="20"/>
        </w:rPr>
        <w:t>, 766 F.3d 1262, 1266 (11th Cir. 2014) (internal quotation marks omitted).</w:t>
      </w:r>
    </w:p>
    <w:p w14:paraId="2EFBC942" w14:textId="77777777" w:rsidR="002D0E71" w:rsidRDefault="00000000">
      <w:pPr>
        <w:pStyle w:val="Normal27"/>
        <w:widowControl w:val="0"/>
        <w:spacing w:before="200" w:line="260" w:lineRule="atLeast"/>
        <w:jc w:val="both"/>
      </w:pPr>
      <w:bookmarkStart w:id="3911" w:name="Bookmark_para_10_24"/>
      <w:bookmarkStart w:id="3912" w:name="Bookmark_I5FK9Y2728T4M50050000400"/>
      <w:bookmarkEnd w:id="3911"/>
      <w:bookmarkEnd w:id="3912"/>
      <w:r>
        <w:rPr>
          <w:rFonts w:ascii="Arial" w:eastAsia="Arial" w:hAnsi="Arial" w:cs="Arial"/>
          <w:color w:val="000000"/>
          <w:sz w:val="20"/>
        </w:rPr>
        <w:t xml:space="preserve">Under Title II of the ADA, public entities are prohibited from discriminating against individuals with disabilities or denying them services because of their disabilities. </w:t>
      </w:r>
      <w:bookmarkStart w:id="3913" w:name="Bookmark_I5FK9Y272HM5Y00020000400"/>
      <w:bookmarkEnd w:id="3913"/>
      <w:r>
        <w:rPr>
          <w:rFonts w:ascii="Arial" w:eastAsia="Arial" w:hAnsi="Arial" w:cs="Arial"/>
          <w:i/>
          <w:color w:val="000000"/>
          <w:sz w:val="20"/>
        </w:rPr>
        <w:t>See</w:t>
      </w:r>
      <w:r>
        <w:rPr>
          <w:rFonts w:ascii="Arial" w:eastAsia="Arial" w:hAnsi="Arial" w:cs="Arial"/>
          <w:color w:val="000000"/>
          <w:sz w:val="20"/>
        </w:rPr>
        <w:t xml:space="preserve"> 42 U.S.C. § 12132. </w:t>
      </w:r>
      <w:bookmarkStart w:id="3914" w:name="Bookmark_I5FK9Y272HM5Y00040000400"/>
      <w:bookmarkEnd w:id="3914"/>
      <w:r>
        <w:rPr>
          <w:rFonts w:ascii="Arial" w:eastAsia="Arial" w:hAnsi="Arial" w:cs="Arial"/>
          <w:color w:val="000000"/>
          <w:sz w:val="20"/>
        </w:rPr>
        <w:t xml:space="preserve">"Only public entities are liable for violations of Title II of the ADA." </w:t>
      </w:r>
      <w:bookmarkStart w:id="3915" w:name="Bookmark_I5FK9Y2728T4M50040000400"/>
      <w:bookmarkEnd w:id="3915"/>
      <w:r>
        <w:rPr>
          <w:rFonts w:ascii="Arial" w:eastAsia="Arial" w:hAnsi="Arial" w:cs="Arial"/>
          <w:i/>
          <w:color w:val="000000"/>
          <w:sz w:val="20"/>
        </w:rPr>
        <w:t>Edison v. Douberly</w:t>
      </w:r>
      <w:r>
        <w:rPr>
          <w:rFonts w:ascii="Arial" w:eastAsia="Arial" w:hAnsi="Arial" w:cs="Arial"/>
          <w:color w:val="000000"/>
          <w:sz w:val="20"/>
        </w:rPr>
        <w:t xml:space="preserve">, 604 F.3d 1307, 1308 (11th Cir. 2010). </w:t>
      </w:r>
      <w:bookmarkStart w:id="3916" w:name="Bookmark_I5FK9Y272HM5Y00040000400_2"/>
      <w:bookmarkStart w:id="3917" w:name="Bookmark_I5FK9Y272HM5Y00020000400_2"/>
      <w:bookmarkEnd w:id="3916"/>
      <w:bookmarkEnd w:id="3917"/>
      <w:r>
        <w:rPr>
          <w:rFonts w:ascii="Arial" w:eastAsia="Arial" w:hAnsi="Arial" w:cs="Arial"/>
          <w:color w:val="000000"/>
          <w:sz w:val="20"/>
        </w:rPr>
        <w:t xml:space="preserve">State prisons are public entities for purposes of the ADA. </w:t>
      </w:r>
      <w:bookmarkStart w:id="3918" w:name="Bookmark_I5FK9Y272HM5Y00010000400"/>
      <w:bookmarkEnd w:id="3918"/>
      <w:r>
        <w:rPr>
          <w:rFonts w:ascii="Arial" w:eastAsia="Arial" w:hAnsi="Arial" w:cs="Arial"/>
          <w:i/>
          <w:color w:val="000000"/>
          <w:sz w:val="20"/>
        </w:rPr>
        <w:t>Pa. Dep't of Corr. v. Yeskey</w:t>
      </w:r>
      <w:r>
        <w:rPr>
          <w:rFonts w:ascii="Arial" w:eastAsia="Arial" w:hAnsi="Arial" w:cs="Arial"/>
          <w:color w:val="000000"/>
          <w:sz w:val="20"/>
        </w:rPr>
        <w:t xml:space="preserve">, 524 U.S. 206, 210, 118 S. Ct. 1952, 1954-55, 141 L. Ed. 2d 215 (1998). The standard for determining liability under the Rehabilitation Act is the same as the standard under the ADA. </w:t>
      </w:r>
      <w:bookmarkStart w:id="3919" w:name="Bookmark_I5FK9Y272HM5Y00030000400"/>
      <w:bookmarkEnd w:id="3919"/>
      <w:r>
        <w:rPr>
          <w:rFonts w:ascii="Arial" w:eastAsia="Arial" w:hAnsi="Arial" w:cs="Arial"/>
          <w:i/>
          <w:color w:val="000000"/>
          <w:sz w:val="20"/>
        </w:rPr>
        <w:t>Ellis v. England</w:t>
      </w:r>
      <w:r>
        <w:rPr>
          <w:rFonts w:ascii="Arial" w:eastAsia="Arial" w:hAnsi="Arial" w:cs="Arial"/>
          <w:color w:val="000000"/>
          <w:sz w:val="20"/>
        </w:rPr>
        <w:t>, 432 F.3d 1321, 1326 (11th Cir. 2005) (per curiam).</w:t>
      </w:r>
    </w:p>
    <w:p w14:paraId="0C64BCE6" w14:textId="77777777" w:rsidR="002D0E71" w:rsidRDefault="00000000">
      <w:pPr>
        <w:pStyle w:val="Normal27"/>
        <w:widowControl w:val="0"/>
        <w:spacing w:before="200" w:line="260" w:lineRule="atLeast"/>
        <w:jc w:val="both"/>
      </w:pPr>
      <w:bookmarkStart w:id="3920" w:name="Bookmark_para_11_24"/>
      <w:bookmarkStart w:id="3921" w:name="Bookmark_I6WNFRGKFPR000PSC9V002WG"/>
      <w:bookmarkStart w:id="3922" w:name="Bookmark_I5FK9Y2728T4M60010000400"/>
      <w:bookmarkEnd w:id="3920"/>
      <w:bookmarkEnd w:id="3921"/>
      <w:bookmarkEnd w:id="3922"/>
      <w:r>
        <w:rPr>
          <w:rFonts w:ascii="Arial" w:eastAsia="Arial" w:hAnsi="Arial" w:cs="Arial"/>
          <w:color w:val="000000"/>
          <w:sz w:val="20"/>
        </w:rPr>
        <w:t>To state a claim of discrimination under Title II, a claimant must prove:</w:t>
      </w:r>
    </w:p>
    <w:p w14:paraId="0FAF87D1" w14:textId="77777777" w:rsidR="002D0E71" w:rsidRDefault="00000000">
      <w:pPr>
        <w:pStyle w:val="Normal27"/>
        <w:widowControl w:val="0"/>
        <w:spacing w:before="200" w:line="260" w:lineRule="atLeast"/>
        <w:ind w:left="400"/>
        <w:jc w:val="both"/>
      </w:pPr>
      <w:bookmarkStart w:id="3923" w:name="Bookmark_para_12_23"/>
      <w:bookmarkStart w:id="3924" w:name="Bookmark_I5FK9Y2728T4M60010000400_2"/>
      <w:bookmarkEnd w:id="3923"/>
      <w:bookmarkEnd w:id="3924"/>
      <w:r>
        <w:rPr>
          <w:rFonts w:ascii="Arial" w:eastAsia="Arial" w:hAnsi="Arial" w:cs="Arial"/>
          <w:color w:val="000000"/>
          <w:sz w:val="20"/>
        </w:rPr>
        <w:t>(1) that he is a qualified individual with a disability; and (2) that he was either excluded from participation in or denied the benefits of a public entity's services, programs, or activities, or was otherwise discriminated against by the public entity; and (3) that the exclusion, denial of benefit, or discrimination was by reason of the plaintiff's disability.</w:t>
      </w:r>
    </w:p>
    <w:p w14:paraId="5BFA229C" w14:textId="77777777" w:rsidR="002D0E71" w:rsidRDefault="00000000">
      <w:pPr>
        <w:pStyle w:val="Normal27"/>
        <w:widowControl w:val="0"/>
        <w:spacing w:before="200" w:line="260" w:lineRule="atLeast"/>
        <w:jc w:val="both"/>
      </w:pPr>
      <w:bookmarkStart w:id="3925" w:name="Bookmark_I5FK9Y2728T4M60010000400_3"/>
      <w:bookmarkStart w:id="3926" w:name="Bookmark_I5FK9Y272HM5Y00050000400"/>
      <w:bookmarkEnd w:id="3925"/>
      <w:bookmarkEnd w:id="3926"/>
      <w:r>
        <w:rPr>
          <w:rFonts w:ascii="Arial" w:eastAsia="Arial" w:hAnsi="Arial" w:cs="Arial"/>
          <w:i/>
          <w:color w:val="000000"/>
          <w:sz w:val="20"/>
        </w:rPr>
        <w:t>Bircoll v. Miami-Dade Cnty</w:t>
      </w:r>
      <w:r>
        <w:rPr>
          <w:rFonts w:ascii="Arial" w:eastAsia="Arial" w:hAnsi="Arial" w:cs="Arial"/>
          <w:color w:val="000000"/>
          <w:sz w:val="20"/>
        </w:rPr>
        <w:t>., 480 F.3d 1072, 1083 (11th Cir. 2007). Public entities must make reasonable modifications to their policies, practices, or procedures [**6]  when necessary to avoid discrimination on the basis of a disability unless making the  [*478]  modifications would "fundamentally alter the nature of the service[s], program[s], or activit[ies]." 28 C.F.R. § 35.130(b)(7).</w:t>
      </w:r>
    </w:p>
    <w:p w14:paraId="260E91AA" w14:textId="77777777" w:rsidR="002D0E71" w:rsidRDefault="00000000">
      <w:pPr>
        <w:pStyle w:val="Normal27"/>
        <w:widowControl w:val="0"/>
        <w:spacing w:before="200" w:line="260" w:lineRule="atLeast"/>
        <w:jc w:val="both"/>
      </w:pPr>
      <w:bookmarkStart w:id="3927" w:name="Bookmark_para_13_23"/>
      <w:bookmarkEnd w:id="3927"/>
      <w:r>
        <w:rPr>
          <w:rFonts w:ascii="Arial" w:eastAsia="Arial" w:hAnsi="Arial" w:cs="Arial"/>
          <w:color w:val="000000"/>
          <w:sz w:val="20"/>
        </w:rPr>
        <w:t xml:space="preserve">A disability is "a physical or mental impairment that substantially limits one or more major life activities," such as caring for oneself, concentrating, or thinking. 42 U.S.C. § 12102(1)(A), (2)(A). A qualified individual with a disability is someone who has a disability and "meets the essential eligibility requirements for the receipt of services or the participation in programs or activities provided by a public entity," with or without reasonable modifications. </w:t>
      </w:r>
      <w:r>
        <w:rPr>
          <w:rFonts w:ascii="Arial" w:eastAsia="Arial" w:hAnsi="Arial" w:cs="Arial"/>
          <w:i/>
          <w:color w:val="000000"/>
          <w:sz w:val="20"/>
        </w:rPr>
        <w:t>Id</w:t>
      </w:r>
      <w:r>
        <w:rPr>
          <w:rFonts w:ascii="Arial" w:eastAsia="Arial" w:hAnsi="Arial" w:cs="Arial"/>
          <w:color w:val="000000"/>
          <w:sz w:val="20"/>
        </w:rPr>
        <w:t>. § 12131(2).</w:t>
      </w:r>
    </w:p>
    <w:p w14:paraId="17F6FC2E" w14:textId="77777777" w:rsidR="002D0E71" w:rsidRDefault="00000000">
      <w:pPr>
        <w:pStyle w:val="Normal27"/>
        <w:widowControl w:val="0"/>
        <w:spacing w:before="200" w:line="260" w:lineRule="atLeast"/>
        <w:jc w:val="both"/>
      </w:pPr>
      <w:bookmarkStart w:id="3928" w:name="Bookmark_para_14_23"/>
      <w:bookmarkStart w:id="3929" w:name="Bookmark_I5FK9Y2728T4M60030000400"/>
      <w:bookmarkStart w:id="3930" w:name="Bookmark_I5FK9Y2728T4M60050000400"/>
      <w:bookmarkEnd w:id="3928"/>
      <w:bookmarkEnd w:id="3929"/>
      <w:bookmarkEnd w:id="3930"/>
      <w:r>
        <w:rPr>
          <w:rFonts w:ascii="Arial" w:eastAsia="Arial" w:hAnsi="Arial" w:cs="Arial"/>
          <w:color w:val="000000"/>
          <w:sz w:val="20"/>
        </w:rPr>
        <w:t xml:space="preserve">A claimant is entitled to relief under 42 U.S.C. § 1983 if he or she can prove that a person acting under color of state law deprived him or her of a federal right. </w:t>
      </w:r>
      <w:bookmarkStart w:id="3931" w:name="Bookmark_I5FK9Y272HM5Y10020000400"/>
      <w:bookmarkStart w:id="3932" w:name="Bookmark_I5FK9Y2728T4M60020000400"/>
      <w:bookmarkEnd w:id="3931"/>
      <w:bookmarkEnd w:id="3932"/>
      <w:r>
        <w:rPr>
          <w:rFonts w:ascii="Arial" w:eastAsia="Arial" w:hAnsi="Arial" w:cs="Arial"/>
          <w:i/>
          <w:color w:val="000000"/>
          <w:sz w:val="20"/>
        </w:rPr>
        <w:t>Almand v. DeKalb Cnty</w:t>
      </w:r>
      <w:r>
        <w:rPr>
          <w:rFonts w:ascii="Arial" w:eastAsia="Arial" w:hAnsi="Arial" w:cs="Arial"/>
          <w:color w:val="000000"/>
          <w:sz w:val="20"/>
        </w:rPr>
        <w:t xml:space="preserve">., 103 F.3d 1510, 1513 (11th Cir. 1997). Under the Eighth Amendment, state actors are prohibited from inflicting cruel and unusual punishment, such as punishments that are "totally without penological justification." </w:t>
      </w:r>
      <w:bookmarkStart w:id="3933" w:name="Bookmark_I5FK9Y2728T4M60040000400"/>
      <w:bookmarkEnd w:id="3933"/>
      <w:r>
        <w:rPr>
          <w:rFonts w:ascii="Arial" w:eastAsia="Arial" w:hAnsi="Arial" w:cs="Arial"/>
          <w:i/>
          <w:color w:val="000000"/>
          <w:sz w:val="20"/>
        </w:rPr>
        <w:t>Rhodes v. Chapman</w:t>
      </w:r>
      <w:r>
        <w:rPr>
          <w:rFonts w:ascii="Arial" w:eastAsia="Arial" w:hAnsi="Arial" w:cs="Arial"/>
          <w:color w:val="000000"/>
          <w:sz w:val="20"/>
        </w:rPr>
        <w:t xml:space="preserve">, 452 U.S. 337, 346, 101 S. Ct. 2392, 2399, 69 L. Ed. 2d 59 (1981) (internal quotation marks omitted). </w:t>
      </w:r>
      <w:bookmarkStart w:id="3934" w:name="Bookmark_I5FK9Y272HM5Y10020000400_2"/>
      <w:bookmarkEnd w:id="3934"/>
      <w:r>
        <w:rPr>
          <w:rFonts w:ascii="Arial" w:eastAsia="Arial" w:hAnsi="Arial" w:cs="Arial"/>
          <w:color w:val="000000"/>
          <w:sz w:val="20"/>
        </w:rPr>
        <w:t xml:space="preserve">Courts examine whether prison officials "acted with deliberate indifference to the inmates' health or safety." </w:t>
      </w:r>
      <w:bookmarkStart w:id="3935" w:name="Bookmark_I5FK9Y272HM5Y10010000400"/>
      <w:bookmarkEnd w:id="3935"/>
      <w:r>
        <w:rPr>
          <w:rFonts w:ascii="Arial" w:eastAsia="Arial" w:hAnsi="Arial" w:cs="Arial"/>
          <w:i/>
          <w:color w:val="000000"/>
          <w:sz w:val="20"/>
        </w:rPr>
        <w:t>Hope v. Pelzer</w:t>
      </w:r>
      <w:r>
        <w:rPr>
          <w:rFonts w:ascii="Arial" w:eastAsia="Arial" w:hAnsi="Arial" w:cs="Arial"/>
          <w:color w:val="000000"/>
          <w:sz w:val="20"/>
        </w:rPr>
        <w:t>, 536 U.S. 730, 737-38, 122 S. Ct. 2508, 2514, 153 L. Ed. 2d 666 (2002) (internal quotation marks omitted).</w:t>
      </w:r>
    </w:p>
    <w:p w14:paraId="793526E2" w14:textId="77777777" w:rsidR="002D0E71" w:rsidRDefault="00000000">
      <w:pPr>
        <w:pStyle w:val="Normal27"/>
        <w:widowControl w:val="0"/>
        <w:spacing w:before="200" w:line="260" w:lineRule="atLeast"/>
        <w:jc w:val="both"/>
      </w:pPr>
      <w:bookmarkStart w:id="3936" w:name="Bookmark_para_15_23"/>
      <w:bookmarkStart w:id="3937" w:name="Bookmark_I6WNFRGKW65000PSC9V002WK"/>
      <w:bookmarkStart w:id="3938" w:name="Bookmark_I6WNFRGM291000PSC9V002WM"/>
      <w:bookmarkStart w:id="3939" w:name="Bookmark_I5FK9Y272HM5Y10040000400"/>
      <w:bookmarkStart w:id="3940" w:name="Bookmark_I5FK9Y272N1R900030000400"/>
      <w:bookmarkEnd w:id="3936"/>
      <w:bookmarkEnd w:id="3937"/>
      <w:bookmarkEnd w:id="3938"/>
      <w:bookmarkEnd w:id="3939"/>
      <w:bookmarkEnd w:id="3940"/>
      <w:r>
        <w:rPr>
          <w:rFonts w:ascii="Arial" w:eastAsia="Arial" w:hAnsi="Arial" w:cs="Arial"/>
          <w:color w:val="000000"/>
          <w:sz w:val="20"/>
        </w:rPr>
        <w:t xml:space="preserve">To prove deliberate indifference in violation of the Eighth Amendment, a claimant must show "(1) a serious medical need; [**7]  (2) the defendant['s] deliberate indifference to that need; and (3) causation between that indifference and the [claimant's] injury." </w:t>
      </w:r>
      <w:bookmarkStart w:id="3941" w:name="Bookmark_I5FK9Y272HM5Y10030000400"/>
      <w:bookmarkEnd w:id="3941"/>
      <w:r>
        <w:rPr>
          <w:rFonts w:ascii="Arial" w:eastAsia="Arial" w:hAnsi="Arial" w:cs="Arial"/>
          <w:i/>
          <w:color w:val="000000"/>
          <w:sz w:val="20"/>
        </w:rPr>
        <w:t>Gilmore v. Hodges</w:t>
      </w:r>
      <w:r>
        <w:rPr>
          <w:rFonts w:ascii="Arial" w:eastAsia="Arial" w:hAnsi="Arial" w:cs="Arial"/>
          <w:color w:val="000000"/>
          <w:sz w:val="20"/>
        </w:rPr>
        <w:t xml:space="preserve">, 738 F.3d 266, 273-74 (11th Cir. 2013) (internal quotation marks omitted); </w:t>
      </w:r>
      <w:r>
        <w:rPr>
          <w:rFonts w:ascii="Arial" w:eastAsia="Arial" w:hAnsi="Arial" w:cs="Arial"/>
          <w:i/>
          <w:color w:val="000000"/>
          <w:sz w:val="20"/>
        </w:rPr>
        <w:t xml:space="preserve">see also </w:t>
      </w:r>
      <w:bookmarkStart w:id="3942" w:name="Bookmark_I5FK9Y272HM5Y10050000400"/>
      <w:bookmarkEnd w:id="3942"/>
      <w:r>
        <w:rPr>
          <w:rFonts w:ascii="Arial" w:eastAsia="Arial" w:hAnsi="Arial" w:cs="Arial"/>
          <w:i/>
          <w:color w:val="000000"/>
          <w:sz w:val="20"/>
        </w:rPr>
        <w:t>Estelle v. Gamble</w:t>
      </w:r>
      <w:r>
        <w:rPr>
          <w:rFonts w:ascii="Arial" w:eastAsia="Arial" w:hAnsi="Arial" w:cs="Arial"/>
          <w:color w:val="000000"/>
          <w:sz w:val="20"/>
        </w:rPr>
        <w:t xml:space="preserve">, 429 U.S. 97, 104, 97 S. Ct. 285, 291, 50 L. Ed. 2d 251 (1976) (holding that a deliberate indifference to a prisoner's medical needs violates the Eighth Amendment). </w:t>
      </w:r>
      <w:bookmarkStart w:id="3943" w:name="Bookmark_I5FK9Y272N1R900050000400"/>
      <w:bookmarkEnd w:id="3943"/>
      <w:r>
        <w:rPr>
          <w:rFonts w:ascii="Arial" w:eastAsia="Arial" w:hAnsi="Arial" w:cs="Arial"/>
          <w:color w:val="000000"/>
          <w:sz w:val="20"/>
        </w:rPr>
        <w:t xml:space="preserve">"A plaintiff must first show an objectively serious medical need [that], if [left] unattended, pose[s] a substantial risk of harm, and that the official's response to that need was objectively insufficient." </w:t>
      </w:r>
      <w:bookmarkStart w:id="3944" w:name="Bookmark_I5FK9Y272N1R900020000400"/>
      <w:bookmarkEnd w:id="3944"/>
      <w:r>
        <w:rPr>
          <w:rFonts w:ascii="Arial" w:eastAsia="Arial" w:hAnsi="Arial" w:cs="Arial"/>
          <w:i/>
          <w:color w:val="000000"/>
          <w:sz w:val="20"/>
        </w:rPr>
        <w:t>Gilmore</w:t>
      </w:r>
      <w:r>
        <w:rPr>
          <w:rFonts w:ascii="Arial" w:eastAsia="Arial" w:hAnsi="Arial" w:cs="Arial"/>
          <w:color w:val="000000"/>
          <w:sz w:val="20"/>
        </w:rPr>
        <w:t xml:space="preserve">, 738 F.3d at 274. An objectively serious medical need "is one that has been diagnosed by a physician as mandating treatment or one that is so obvious that even a lay person would easily recognize the necessity for a doctor's attention." </w:t>
      </w:r>
      <w:r>
        <w:rPr>
          <w:rFonts w:ascii="Arial" w:eastAsia="Arial" w:hAnsi="Arial" w:cs="Arial"/>
          <w:i/>
          <w:color w:val="000000"/>
          <w:sz w:val="20"/>
        </w:rPr>
        <w:t>Id</w:t>
      </w:r>
      <w:r>
        <w:rPr>
          <w:rFonts w:ascii="Arial" w:eastAsia="Arial" w:hAnsi="Arial" w:cs="Arial"/>
          <w:color w:val="000000"/>
          <w:sz w:val="20"/>
        </w:rPr>
        <w:t xml:space="preserve">. (internal quotation marks omitted). </w:t>
      </w:r>
      <w:bookmarkStart w:id="3945" w:name="Bookmark_I5FK9Y272N1R900050000400_2"/>
      <w:bookmarkEnd w:id="3945"/>
      <w:r>
        <w:rPr>
          <w:rFonts w:ascii="Arial" w:eastAsia="Arial" w:hAnsi="Arial" w:cs="Arial"/>
          <w:color w:val="000000"/>
          <w:sz w:val="20"/>
        </w:rPr>
        <w:t xml:space="preserve">"Second, the plaintiff must establish that the official acted with deliberate indifference, i.e., the official subjectively knew of and disregarded the risk of serious harm, and acted with more than mere negligence." </w:t>
      </w:r>
      <w:r>
        <w:rPr>
          <w:rFonts w:ascii="Arial" w:eastAsia="Arial" w:hAnsi="Arial" w:cs="Arial"/>
          <w:i/>
          <w:color w:val="000000"/>
          <w:sz w:val="20"/>
        </w:rPr>
        <w:t>Id</w:t>
      </w:r>
      <w:r>
        <w:rPr>
          <w:rFonts w:ascii="Arial" w:eastAsia="Arial" w:hAnsi="Arial" w:cs="Arial"/>
          <w:color w:val="000000"/>
          <w:sz w:val="20"/>
        </w:rPr>
        <w:t xml:space="preserve">. Knowledge can be inferred from circumstantial evidence, such as the fact that the risk was obvious, </w:t>
      </w:r>
      <w:bookmarkStart w:id="3946" w:name="Bookmark_I5FK9Y272N1R900040000400"/>
      <w:bookmarkEnd w:id="3946"/>
      <w:r>
        <w:rPr>
          <w:rFonts w:ascii="Arial" w:eastAsia="Arial" w:hAnsi="Arial" w:cs="Arial"/>
          <w:i/>
          <w:color w:val="000000"/>
          <w:sz w:val="20"/>
        </w:rPr>
        <w:t>Goebert v. Lee Cnty</w:t>
      </w:r>
      <w:r>
        <w:rPr>
          <w:rFonts w:ascii="Arial" w:eastAsia="Arial" w:hAnsi="Arial" w:cs="Arial"/>
          <w:color w:val="000000"/>
          <w:sz w:val="20"/>
        </w:rPr>
        <w:t xml:space="preserve">., 510 F.3d 1312, 1327 (11th Cir. 2007), and "[a]n Eighth Amendment violation may also occur when state officials knowingly interfere with a physician's prescribed course of treatment" constituting deliberate [**8]  indifference, </w:t>
      </w:r>
      <w:bookmarkStart w:id="3947" w:name="Bookmark_I5FK9Y272N1R910010000400"/>
      <w:bookmarkEnd w:id="3947"/>
      <w:r>
        <w:rPr>
          <w:rFonts w:ascii="Arial" w:eastAsia="Arial" w:hAnsi="Arial" w:cs="Arial"/>
          <w:i/>
          <w:color w:val="000000"/>
          <w:sz w:val="20"/>
        </w:rPr>
        <w:t>Bingham v. Thomas</w:t>
      </w:r>
      <w:r>
        <w:rPr>
          <w:rFonts w:ascii="Arial" w:eastAsia="Arial" w:hAnsi="Arial" w:cs="Arial"/>
          <w:color w:val="000000"/>
          <w:sz w:val="20"/>
        </w:rPr>
        <w:t>, 654 F.3d 1171, 1176 (11th Cir. 2011) (per curiam).</w:t>
      </w:r>
    </w:p>
    <w:p w14:paraId="07219275" w14:textId="77777777" w:rsidR="002D0E71" w:rsidRDefault="00000000">
      <w:pPr>
        <w:pStyle w:val="Normal27"/>
        <w:widowControl w:val="0"/>
        <w:spacing w:before="200" w:line="260" w:lineRule="atLeast"/>
        <w:jc w:val="both"/>
      </w:pPr>
      <w:bookmarkStart w:id="3948" w:name="Bookmark_para_16_23"/>
      <w:bookmarkStart w:id="3949" w:name="Bookmark_I5FK9Y272N1R910040000400"/>
      <w:bookmarkEnd w:id="3948"/>
      <w:bookmarkEnd w:id="3949"/>
      <w:r>
        <w:rPr>
          <w:rFonts w:ascii="Arial" w:eastAsia="Arial" w:hAnsi="Arial" w:cs="Arial"/>
          <w:color w:val="000000"/>
          <w:sz w:val="20"/>
        </w:rPr>
        <w:t xml:space="preserve">Here, the district court did not abuse its discretion in denying Owens leave to amend his complaint because Owens's proposed amendments were futile. </w:t>
      </w:r>
      <w:bookmarkStart w:id="3950" w:name="Bookmark_I5FK9Y272D6NMX0010000400"/>
      <w:bookmarkEnd w:id="3950"/>
      <w:r>
        <w:rPr>
          <w:rFonts w:ascii="Arial" w:eastAsia="Arial" w:hAnsi="Arial" w:cs="Arial"/>
          <w:i/>
          <w:color w:val="000000"/>
          <w:sz w:val="20"/>
        </w:rPr>
        <w:t xml:space="preserve">See </w:t>
      </w:r>
      <w:bookmarkStart w:id="3951" w:name="Bookmark_I5FK9Y272N1R910030000400"/>
      <w:bookmarkEnd w:id="3951"/>
      <w:r>
        <w:rPr>
          <w:rFonts w:ascii="Arial" w:eastAsia="Arial" w:hAnsi="Arial" w:cs="Arial"/>
          <w:i/>
          <w:color w:val="000000"/>
          <w:sz w:val="20"/>
        </w:rPr>
        <w:t>Hall</w:t>
      </w:r>
      <w:r>
        <w:rPr>
          <w:rFonts w:ascii="Arial" w:eastAsia="Arial" w:hAnsi="Arial" w:cs="Arial"/>
          <w:color w:val="000000"/>
          <w:sz w:val="20"/>
        </w:rPr>
        <w:t xml:space="preserve">, 367 F.3d at 1263. </w:t>
      </w:r>
      <w:bookmarkStart w:id="3952" w:name="Bookmark_I5FK9Y272D6NMX0030000400"/>
      <w:bookmarkEnd w:id="3952"/>
      <w:r>
        <w:rPr>
          <w:rFonts w:ascii="Arial" w:eastAsia="Arial" w:hAnsi="Arial" w:cs="Arial"/>
          <w:color w:val="000000"/>
          <w:sz w:val="20"/>
        </w:rPr>
        <w:t xml:space="preserve">Since only public entities may be liable under the ADA, Owens fails to state ADA claims against Crews, Bateman, Sheffield, and Lawrence in their individual capacities. </w:t>
      </w:r>
      <w:bookmarkStart w:id="3953" w:name="Bookmark_I5FK9Y272D6NMX0030000400_2"/>
      <w:bookmarkStart w:id="3954" w:name="Bookmark_I5FK9Y272D6NMX0010000400_2"/>
      <w:bookmarkEnd w:id="3953"/>
      <w:bookmarkEnd w:id="3954"/>
      <w:r>
        <w:rPr>
          <w:rFonts w:ascii="Arial" w:eastAsia="Arial" w:hAnsi="Arial" w:cs="Arial"/>
          <w:i/>
          <w:color w:val="000000"/>
          <w:sz w:val="20"/>
        </w:rPr>
        <w:t xml:space="preserve">See </w:t>
      </w:r>
      <w:bookmarkStart w:id="3955" w:name="Bookmark_I5FK9Y272N1R910050000400"/>
      <w:bookmarkEnd w:id="3955"/>
      <w:r>
        <w:rPr>
          <w:rFonts w:ascii="Arial" w:eastAsia="Arial" w:hAnsi="Arial" w:cs="Arial"/>
          <w:i/>
          <w:color w:val="000000"/>
          <w:sz w:val="20"/>
        </w:rPr>
        <w:t>Edison</w:t>
      </w:r>
      <w:r>
        <w:rPr>
          <w:rFonts w:ascii="Arial" w:eastAsia="Arial" w:hAnsi="Arial" w:cs="Arial"/>
          <w:color w:val="000000"/>
          <w:sz w:val="20"/>
        </w:rPr>
        <w:t xml:space="preserve">, 604 F.3d at 1308. Owens's claims against them in their official capacities are simply claims against the FDOC. </w:t>
      </w:r>
      <w:r>
        <w:rPr>
          <w:rFonts w:ascii="Arial" w:eastAsia="Arial" w:hAnsi="Arial" w:cs="Arial"/>
          <w:i/>
          <w:color w:val="000000"/>
          <w:sz w:val="20"/>
        </w:rPr>
        <w:t xml:space="preserve">See </w:t>
      </w:r>
      <w:bookmarkStart w:id="3956" w:name="Bookmark_I5FK9Y272D6NMX0020000400"/>
      <w:bookmarkEnd w:id="3956"/>
      <w:r>
        <w:rPr>
          <w:rFonts w:ascii="Arial" w:eastAsia="Arial" w:hAnsi="Arial" w:cs="Arial"/>
          <w:i/>
          <w:color w:val="000000"/>
          <w:sz w:val="20"/>
        </w:rPr>
        <w:t>Hafer v. Melo</w:t>
      </w:r>
      <w:r>
        <w:rPr>
          <w:rFonts w:ascii="Arial" w:eastAsia="Arial" w:hAnsi="Arial" w:cs="Arial"/>
          <w:color w:val="000000"/>
          <w:sz w:val="20"/>
        </w:rPr>
        <w:t>, 502 U.S. 21, 25, 112 S. Ct. 358, 361, 116 L. Ed. 2d 301 (1991) (noting that suits against state officials in their official capacity should be treated as suits against the State).</w:t>
      </w:r>
    </w:p>
    <w:p w14:paraId="2DFC4AC7" w14:textId="77777777" w:rsidR="002D0E71" w:rsidRDefault="00000000">
      <w:pPr>
        <w:pStyle w:val="Normal27"/>
        <w:widowControl w:val="0"/>
        <w:spacing w:before="200" w:line="260" w:lineRule="atLeast"/>
        <w:jc w:val="both"/>
      </w:pPr>
      <w:bookmarkStart w:id="3957" w:name="Bookmark_para_17_22"/>
      <w:bookmarkStart w:id="3958" w:name="Bookmark_I5FK9Y272D6NMX0050000400"/>
      <w:bookmarkEnd w:id="3957"/>
      <w:bookmarkEnd w:id="3958"/>
      <w:r>
        <w:rPr>
          <w:rFonts w:ascii="Arial" w:eastAsia="Arial" w:hAnsi="Arial" w:cs="Arial"/>
          <w:color w:val="000000"/>
          <w:sz w:val="20"/>
        </w:rPr>
        <w:t xml:space="preserve">However, Owens's ADA claim against the FDOC is not plausible on its face either. Even if we were to assume  [*479]  that Owens is a qualified individual with a disability, the proposed amended complaint did not demonstrate that Owens was excluded from or denied the benefits of FDOC services because of his disability. </w:t>
      </w:r>
      <w:r>
        <w:rPr>
          <w:rFonts w:ascii="Arial" w:eastAsia="Arial" w:hAnsi="Arial" w:cs="Arial"/>
          <w:i/>
          <w:color w:val="000000"/>
          <w:sz w:val="20"/>
        </w:rPr>
        <w:t xml:space="preserve">See </w:t>
      </w:r>
      <w:bookmarkStart w:id="3959" w:name="Bookmark_I5FK9Y272D6NMX0040000400"/>
      <w:bookmarkEnd w:id="3959"/>
      <w:r>
        <w:rPr>
          <w:rFonts w:ascii="Arial" w:eastAsia="Arial" w:hAnsi="Arial" w:cs="Arial"/>
          <w:i/>
          <w:color w:val="000000"/>
          <w:sz w:val="20"/>
        </w:rPr>
        <w:t>Bircoll</w:t>
      </w:r>
      <w:r>
        <w:rPr>
          <w:rFonts w:ascii="Arial" w:eastAsia="Arial" w:hAnsi="Arial" w:cs="Arial"/>
          <w:color w:val="000000"/>
          <w:sz w:val="20"/>
        </w:rPr>
        <w:t xml:space="preserve">, 480 F.3d at 1083. The documents Owens attached to his proposed amended complaint reveal that he received medical services for the purpose of treating his disability. </w:t>
      </w:r>
      <w:bookmarkStart w:id="3960" w:name="Bookmark_I5FK9Y2728T4M80020000400"/>
      <w:bookmarkEnd w:id="3960"/>
      <w:r>
        <w:rPr>
          <w:rFonts w:ascii="Arial" w:eastAsia="Arial" w:hAnsi="Arial" w:cs="Arial"/>
          <w:color w:val="000000"/>
          <w:sz w:val="20"/>
        </w:rPr>
        <w:t xml:space="preserve">Clearly then, no reasonable modification was necessary to avoid discrimination against Owens on the basis of a disability. As demonstrated by his Individualized Service [**9]  Plan (ISP), Owens had access to medical services and used those services. Because the proposed amended complaint did not state a plausible ADA claim, it also failed to state a claim under the Rehabilitation Act. </w:t>
      </w:r>
      <w:r>
        <w:rPr>
          <w:rFonts w:ascii="Arial" w:eastAsia="Arial" w:hAnsi="Arial" w:cs="Arial"/>
          <w:i/>
          <w:color w:val="000000"/>
          <w:sz w:val="20"/>
        </w:rPr>
        <w:t xml:space="preserve">See </w:t>
      </w:r>
      <w:bookmarkStart w:id="3961" w:name="Bookmark_I5FK9Y2728T4M80010000400"/>
      <w:bookmarkEnd w:id="3961"/>
      <w:r>
        <w:rPr>
          <w:rFonts w:ascii="Arial" w:eastAsia="Arial" w:hAnsi="Arial" w:cs="Arial"/>
          <w:i/>
          <w:color w:val="000000"/>
          <w:sz w:val="20"/>
        </w:rPr>
        <w:t>Ellis</w:t>
      </w:r>
      <w:r>
        <w:rPr>
          <w:rFonts w:ascii="Arial" w:eastAsia="Arial" w:hAnsi="Arial" w:cs="Arial"/>
          <w:color w:val="000000"/>
          <w:sz w:val="20"/>
        </w:rPr>
        <w:t>, 432 F.3d at 1326.</w:t>
      </w:r>
    </w:p>
    <w:p w14:paraId="42CD7794" w14:textId="77777777" w:rsidR="002D0E71" w:rsidRDefault="00000000">
      <w:pPr>
        <w:pStyle w:val="Normal27"/>
        <w:widowControl w:val="0"/>
        <w:spacing w:before="200" w:line="260" w:lineRule="atLeast"/>
        <w:jc w:val="both"/>
      </w:pPr>
      <w:bookmarkStart w:id="3962" w:name="Bookmark_para_18_22"/>
      <w:bookmarkStart w:id="3963" w:name="Bookmark_I5FK9Y2728T4M80040000400"/>
      <w:bookmarkEnd w:id="3962"/>
      <w:bookmarkEnd w:id="3963"/>
      <w:r>
        <w:rPr>
          <w:rFonts w:ascii="Arial" w:eastAsia="Arial" w:hAnsi="Arial" w:cs="Arial"/>
          <w:color w:val="000000"/>
          <w:sz w:val="20"/>
        </w:rPr>
        <w:t xml:space="preserve">Similarly, the proposed amended complaint did not allege facts supporting a plausible claim for relief for a violation of the Eighth Amendment either. Accepting Owens's stated facts as true, it is clear that Owens had an objectively serious medical need. It is also clear that Owens's need for mental health care was obvious enough that even a lay person would recognize it after Owens mutilated his arm and ingested a razor blade. </w:t>
      </w:r>
      <w:r>
        <w:rPr>
          <w:rFonts w:ascii="Arial" w:eastAsia="Arial" w:hAnsi="Arial" w:cs="Arial"/>
          <w:i/>
          <w:color w:val="000000"/>
          <w:sz w:val="20"/>
        </w:rPr>
        <w:t xml:space="preserve">See </w:t>
      </w:r>
      <w:bookmarkStart w:id="3964" w:name="Bookmark_I5FK9Y2728T4M80030000400"/>
      <w:bookmarkEnd w:id="3964"/>
      <w:r>
        <w:rPr>
          <w:rFonts w:ascii="Arial" w:eastAsia="Arial" w:hAnsi="Arial" w:cs="Arial"/>
          <w:i/>
          <w:color w:val="000000"/>
          <w:sz w:val="20"/>
        </w:rPr>
        <w:t>Gilmore</w:t>
      </w:r>
      <w:r>
        <w:rPr>
          <w:rFonts w:ascii="Arial" w:eastAsia="Arial" w:hAnsi="Arial" w:cs="Arial"/>
          <w:color w:val="000000"/>
          <w:sz w:val="20"/>
        </w:rPr>
        <w:t xml:space="preserve">, 738 F.3d at 274. Furthermore, he was diagnosed with several mental disorders and prescribed treatment by a hospital psychiatric unit and MCI health care providers. However, Owens did not allege facts indicating that the FDOC or any of its officials' responses to his serious medical needs was objectively insufficient. </w:t>
      </w:r>
      <w:r>
        <w:rPr>
          <w:rFonts w:ascii="Arial" w:eastAsia="Arial" w:hAnsi="Arial" w:cs="Arial"/>
          <w:i/>
          <w:color w:val="000000"/>
          <w:sz w:val="20"/>
        </w:rPr>
        <w:t>See id</w:t>
      </w:r>
      <w:r>
        <w:rPr>
          <w:rFonts w:ascii="Arial" w:eastAsia="Arial" w:hAnsi="Arial" w:cs="Arial"/>
          <w:color w:val="000000"/>
          <w:sz w:val="20"/>
        </w:rPr>
        <w:t>. Additionally, Owens never alleged facts to establish that negative effects had occurred or potentially could occur as a result of the limitations placed on when and where he could use his musical therapy device.</w:t>
      </w:r>
    </w:p>
    <w:p w14:paraId="5F7146F3" w14:textId="77777777" w:rsidR="002D0E71" w:rsidRDefault="00000000">
      <w:pPr>
        <w:pStyle w:val="Normal27"/>
        <w:widowControl w:val="0"/>
        <w:spacing w:before="200" w:line="260" w:lineRule="atLeast"/>
        <w:jc w:val="both"/>
      </w:pPr>
      <w:bookmarkStart w:id="3965" w:name="Bookmark_para_19_22"/>
      <w:bookmarkStart w:id="3966" w:name="Bookmark_I5FK9Y272N1R920010000400"/>
      <w:bookmarkEnd w:id="3965"/>
      <w:bookmarkEnd w:id="3966"/>
      <w:r>
        <w:rPr>
          <w:rFonts w:ascii="Arial" w:eastAsia="Arial" w:hAnsi="Arial" w:cs="Arial"/>
          <w:color w:val="000000"/>
          <w:sz w:val="20"/>
        </w:rPr>
        <w:t xml:space="preserve">Finally, there is no evidence that suggests [**10]  the FDOC or any of its officials acted with deliberate indifference by knowingly interfering with Owens's prescribed treatment. </w:t>
      </w:r>
      <w:r>
        <w:rPr>
          <w:rFonts w:ascii="Arial" w:eastAsia="Arial" w:hAnsi="Arial" w:cs="Arial"/>
          <w:i/>
          <w:color w:val="000000"/>
          <w:sz w:val="20"/>
        </w:rPr>
        <w:t xml:space="preserve">See </w:t>
      </w:r>
      <w:bookmarkStart w:id="3967" w:name="Bookmark_I5FK9Y2728T4M80050000400"/>
      <w:bookmarkEnd w:id="3967"/>
      <w:r>
        <w:rPr>
          <w:rFonts w:ascii="Arial" w:eastAsia="Arial" w:hAnsi="Arial" w:cs="Arial"/>
          <w:i/>
          <w:color w:val="000000"/>
          <w:sz w:val="20"/>
        </w:rPr>
        <w:t>Bingham</w:t>
      </w:r>
      <w:r>
        <w:rPr>
          <w:rFonts w:ascii="Arial" w:eastAsia="Arial" w:hAnsi="Arial" w:cs="Arial"/>
          <w:color w:val="000000"/>
          <w:sz w:val="20"/>
        </w:rPr>
        <w:t xml:space="preserve">, 654 F.3d at 1176. While Owens notified the FDOC, Bateman, and Lawrence through his grievance appeal that Valdes-Castillo had orally "inform[ed] him that he would be allowed to utilize his music device anywhere within the institution," he provided no evidence that Valdes-Castillo's alleged statement was part of a prescription, or that even if it was, the prescription was meant to last for eighteen years. Moreover, Owens was not denied readily available treatment and he was permitted to use his music device in certain areas of the prison. </w:t>
      </w:r>
      <w:bookmarkStart w:id="3968" w:name="Bookmark_I5FK9Y272N1R920030000400"/>
      <w:bookmarkEnd w:id="3968"/>
      <w:r>
        <w:rPr>
          <w:rFonts w:ascii="Arial" w:eastAsia="Arial" w:hAnsi="Arial" w:cs="Arial"/>
          <w:color w:val="000000"/>
          <w:sz w:val="20"/>
        </w:rPr>
        <w:t xml:space="preserve">Owens was also the beneficiary of mental health evaluations and individualized counseling. </w:t>
      </w:r>
      <w:r>
        <w:rPr>
          <w:rFonts w:ascii="Arial" w:eastAsia="Arial" w:hAnsi="Arial" w:cs="Arial"/>
          <w:i/>
          <w:color w:val="000000"/>
          <w:sz w:val="20"/>
        </w:rPr>
        <w:t>See id</w:t>
      </w:r>
      <w:r>
        <w:rPr>
          <w:rFonts w:ascii="Arial" w:eastAsia="Arial" w:hAnsi="Arial" w:cs="Arial"/>
          <w:color w:val="000000"/>
          <w:sz w:val="20"/>
        </w:rPr>
        <w:t xml:space="preserve">. Accordingly, Owens's proposed amendments are still subject to dismissal, and are therefore considered futile. </w:t>
      </w:r>
      <w:bookmarkStart w:id="3969" w:name="Bookmark_I5FK9Y272N1R920020000400"/>
      <w:bookmarkEnd w:id="3969"/>
      <w:r>
        <w:rPr>
          <w:rFonts w:ascii="Arial" w:eastAsia="Arial" w:hAnsi="Arial" w:cs="Arial"/>
          <w:i/>
          <w:color w:val="000000"/>
          <w:sz w:val="20"/>
        </w:rPr>
        <w:t>Hall</w:t>
      </w:r>
      <w:r>
        <w:rPr>
          <w:rFonts w:ascii="Arial" w:eastAsia="Arial" w:hAnsi="Arial" w:cs="Arial"/>
          <w:color w:val="000000"/>
          <w:sz w:val="20"/>
        </w:rPr>
        <w:t>, 367 F.3d at 1263.</w:t>
      </w:r>
    </w:p>
    <w:p w14:paraId="17BBBE7B" w14:textId="77777777" w:rsidR="002D0E71" w:rsidRDefault="00000000">
      <w:pPr>
        <w:pStyle w:val="Normal27"/>
        <w:widowControl w:val="0"/>
        <w:spacing w:before="200" w:line="260" w:lineRule="atLeast"/>
        <w:jc w:val="both"/>
      </w:pPr>
      <w:bookmarkStart w:id="3970" w:name="Bookmark_para_20_20"/>
      <w:bookmarkEnd w:id="3970"/>
      <w:r>
        <w:rPr>
          <w:rFonts w:ascii="Arial" w:eastAsia="Arial" w:hAnsi="Arial" w:cs="Arial"/>
          <w:b/>
          <w:color w:val="000000"/>
          <w:sz w:val="20"/>
        </w:rPr>
        <w:t>AFFIRMED</w:t>
      </w:r>
      <w:r>
        <w:rPr>
          <w:rFonts w:ascii="Arial" w:eastAsia="Arial" w:hAnsi="Arial" w:cs="Arial"/>
          <w:color w:val="000000"/>
          <w:sz w:val="20"/>
        </w:rPr>
        <w:t>.</w:t>
      </w:r>
    </w:p>
    <w:p w14:paraId="1887453C" w14:textId="77777777" w:rsidR="002D0E71" w:rsidRDefault="002D0E71">
      <w:pPr>
        <w:pStyle w:val="Normal27"/>
      </w:pPr>
    </w:p>
    <w:p w14:paraId="1877CC64" w14:textId="6FA42645" w:rsidR="002D0E71" w:rsidRDefault="00000000">
      <w:pPr>
        <w:pStyle w:val="Normal27"/>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16608" behindDoc="0" locked="0" layoutInCell="1" allowOverlap="1" wp14:anchorId="5D5EBA03" wp14:editId="36BC44B2">
                <wp:simplePos x="0" y="0"/>
                <wp:positionH relativeFrom="column">
                  <wp:posOffset>0</wp:posOffset>
                </wp:positionH>
                <wp:positionV relativeFrom="paragraph">
                  <wp:posOffset>127000</wp:posOffset>
                </wp:positionV>
                <wp:extent cx="6502400" cy="0"/>
                <wp:effectExtent l="9525" t="12700" r="12700" b="6350"/>
                <wp:wrapNone/>
                <wp:docPr id="1844627628"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F7E34" id="Line 58"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6E8D7A4" w14:textId="77777777" w:rsidR="002D0E71" w:rsidRDefault="002D0E71">
      <w:pPr>
        <w:pStyle w:val="Normal28"/>
        <w:sectPr w:rsidR="002D0E71">
          <w:headerReference w:type="even" r:id="rId174"/>
          <w:headerReference w:type="default" r:id="rId175"/>
          <w:footerReference w:type="even" r:id="rId176"/>
          <w:footerReference w:type="default" r:id="rId177"/>
          <w:headerReference w:type="first" r:id="rId178"/>
          <w:footerReference w:type="first" r:id="rId179"/>
          <w:pgSz w:w="12240" w:h="15840"/>
          <w:pgMar w:top="840" w:right="1000" w:bottom="840" w:left="1000" w:header="400" w:footer="400" w:gutter="0"/>
          <w:cols w:space="720"/>
          <w:titlePg/>
        </w:sectPr>
      </w:pPr>
    </w:p>
    <w:p w14:paraId="6DA59B12" w14:textId="77777777" w:rsidR="002D0E71" w:rsidRDefault="002D0E71">
      <w:pPr>
        <w:pStyle w:val="Normal28"/>
      </w:pPr>
    </w:p>
    <w:p w14:paraId="053B0258" w14:textId="77777777" w:rsidR="002D0E71" w:rsidRDefault="00000000">
      <w:pPr>
        <w:pStyle w:val="Heading127"/>
        <w:keepNext w:val="0"/>
        <w:widowControl w:val="0"/>
        <w:spacing w:after="200" w:line="340" w:lineRule="atLeast"/>
        <w:jc w:val="center"/>
      </w:pPr>
      <w:r>
        <w:rPr>
          <w:rFonts w:eastAsia="Arial"/>
          <w:color w:val="000000"/>
          <w:sz w:val="28"/>
        </w:rPr>
        <w:t>Kohler v. Bed Bath &amp; Beyond of Cal., LLC</w:t>
      </w:r>
    </w:p>
    <w:p w14:paraId="43D5A6BC" w14:textId="77777777" w:rsidR="002D0E71" w:rsidRDefault="00000000">
      <w:pPr>
        <w:pStyle w:val="Normal28"/>
        <w:widowControl w:val="0"/>
        <w:spacing w:before="120" w:line="260" w:lineRule="atLeast"/>
        <w:jc w:val="center"/>
      </w:pPr>
      <w:r>
        <w:rPr>
          <w:rFonts w:ascii="Arial" w:eastAsia="Arial" w:hAnsi="Arial" w:cs="Arial"/>
          <w:color w:val="000000"/>
          <w:sz w:val="20"/>
        </w:rPr>
        <w:t>United States Court of Appeals for the Ninth Circuit</w:t>
      </w:r>
    </w:p>
    <w:p w14:paraId="766A600C" w14:textId="77777777" w:rsidR="002D0E71" w:rsidRDefault="00000000">
      <w:pPr>
        <w:pStyle w:val="Normal28"/>
        <w:widowControl w:val="0"/>
        <w:spacing w:before="120" w:line="260" w:lineRule="atLeast"/>
        <w:jc w:val="center"/>
      </w:pPr>
      <w:r>
        <w:rPr>
          <w:rFonts w:ascii="Arial" w:eastAsia="Arial" w:hAnsi="Arial" w:cs="Arial"/>
          <w:color w:val="000000"/>
          <w:sz w:val="20"/>
        </w:rPr>
        <w:t>February 3, 2015, Argued and Submitted, Pasadena California; February 19, 2015, Filed</w:t>
      </w:r>
    </w:p>
    <w:p w14:paraId="69F39FD2" w14:textId="77777777" w:rsidR="002D0E71" w:rsidRDefault="00000000">
      <w:pPr>
        <w:pStyle w:val="Normal28"/>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12-56727</w:t>
      </w:r>
    </w:p>
    <w:p w14:paraId="4247380B" w14:textId="77777777" w:rsidR="002D0E71" w:rsidRDefault="002D0E71">
      <w:pPr>
        <w:pStyle w:val="Normal28"/>
        <w:widowControl w:val="0"/>
        <w:spacing w:line="240" w:lineRule="atLeast"/>
        <w:jc w:val="both"/>
      </w:pPr>
      <w:bookmarkStart w:id="3971" w:name="Bookmark_29"/>
      <w:bookmarkEnd w:id="3971"/>
    </w:p>
    <w:p w14:paraId="413DE865" w14:textId="77777777" w:rsidR="002D0E71" w:rsidRDefault="00000000">
      <w:pPr>
        <w:pStyle w:val="Normal28"/>
        <w:widowControl w:val="0"/>
        <w:spacing w:before="200" w:line="240" w:lineRule="atLeast"/>
      </w:pPr>
      <w:bookmarkStart w:id="3972" w:name="Reporter_27"/>
      <w:bookmarkEnd w:id="3972"/>
      <w:r>
        <w:rPr>
          <w:rFonts w:ascii="Arial" w:eastAsia="Arial" w:hAnsi="Arial" w:cs="Arial"/>
          <w:b/>
          <w:color w:val="000000"/>
          <w:sz w:val="18"/>
        </w:rPr>
        <w:t>Reporter</w:t>
      </w:r>
    </w:p>
    <w:p w14:paraId="7F0941D4" w14:textId="77777777" w:rsidR="002D0E71" w:rsidRDefault="00000000">
      <w:pPr>
        <w:pStyle w:val="Normal28"/>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778 F.3d 827 *; 2015 U.S. App. LEXIS 2555 **</w:t>
      </w:r>
    </w:p>
    <w:p w14:paraId="212F6BBC" w14:textId="77777777" w:rsidR="002D0E71" w:rsidRDefault="00000000">
      <w:pPr>
        <w:pStyle w:val="Normal28"/>
        <w:widowControl w:val="0"/>
        <w:spacing w:before="120" w:line="260" w:lineRule="atLeast"/>
      </w:pPr>
      <w:r>
        <w:rPr>
          <w:rFonts w:ascii="Arial" w:eastAsia="Arial" w:hAnsi="Arial" w:cs="Arial"/>
          <w:color w:val="000000"/>
          <w:sz w:val="20"/>
        </w:rPr>
        <w:t>CHRIS KOHLER, Plaintiff-Appellant, v. BED BATH &amp; BEYOND OF CALIFORNIA, LLC, DBA Bed Bath &amp; Beyond #538, Defendant-Appellee.</w:t>
      </w:r>
    </w:p>
    <w:p w14:paraId="3344DFBE" w14:textId="77777777" w:rsidR="002D0E71" w:rsidRDefault="00000000">
      <w:pPr>
        <w:pStyle w:val="Normal28"/>
        <w:widowControl w:val="0"/>
        <w:spacing w:before="240" w:line="260" w:lineRule="atLeast"/>
        <w:jc w:val="both"/>
      </w:pPr>
      <w:bookmarkStart w:id="3973" w:name="Prior_History_27"/>
      <w:bookmarkEnd w:id="3973"/>
      <w:r>
        <w:rPr>
          <w:rFonts w:ascii="Arial" w:eastAsia="Arial" w:hAnsi="Arial" w:cs="Arial"/>
          <w:b/>
          <w:color w:val="000000"/>
          <w:sz w:val="20"/>
        </w:rPr>
        <w:t>Prior History:</w:t>
      </w:r>
      <w:r>
        <w:rPr>
          <w:rFonts w:ascii="Arial" w:eastAsia="Arial" w:hAnsi="Arial" w:cs="Arial"/>
          <w:color w:val="000000"/>
          <w:sz w:val="20"/>
        </w:rPr>
        <w:t> </w:t>
      </w:r>
      <w:bookmarkStart w:id="3974" w:name="Bookmark_para_1_27"/>
      <w:bookmarkEnd w:id="3974"/>
      <w:r>
        <w:rPr>
          <w:rFonts w:ascii="Arial" w:eastAsia="Arial" w:hAnsi="Arial" w:cs="Arial"/>
          <w:color w:val="000000"/>
          <w:sz w:val="20"/>
        </w:rPr>
        <w:t> [**1] Appeal from the United States District Court for the Central District of California. D.C. No. 2:11-cv-04554-DMG-MAN. Dolly M. Gee, District Judge, Presiding.</w:t>
      </w:r>
    </w:p>
    <w:p w14:paraId="74484AB2" w14:textId="77777777" w:rsidR="002D0E71" w:rsidRDefault="00000000">
      <w:pPr>
        <w:pStyle w:val="Normal28"/>
        <w:widowControl w:val="0"/>
        <w:spacing w:before="240" w:line="260" w:lineRule="atLeast"/>
      </w:pPr>
      <w:bookmarkStart w:id="3975" w:name="Summary_4"/>
      <w:bookmarkEnd w:id="3975"/>
      <w:r>
        <w:rPr>
          <w:rFonts w:ascii="Arial" w:eastAsia="Arial" w:hAnsi="Arial" w:cs="Arial"/>
          <w:b/>
          <w:color w:val="000000"/>
          <w:sz w:val="20"/>
        </w:rPr>
        <w:t>Summary:</w:t>
      </w:r>
    </w:p>
    <w:p w14:paraId="1466843B" w14:textId="77777777" w:rsidR="002D0E71" w:rsidRDefault="00000000">
      <w:pPr>
        <w:pStyle w:val="Normal28"/>
        <w:widowControl w:val="0"/>
        <w:spacing w:before="240" w:line="260" w:lineRule="atLeast"/>
        <w:jc w:val="both"/>
      </w:pPr>
      <w:bookmarkStart w:id="3976" w:name="Bookmark_clspara_4_9"/>
      <w:bookmarkEnd w:id="3976"/>
      <w:r>
        <w:rPr>
          <w:rFonts w:ascii="Arial" w:eastAsia="Arial" w:hAnsi="Arial" w:cs="Arial"/>
          <w:b/>
          <w:color w:val="000000"/>
          <w:sz w:val="20"/>
        </w:rPr>
        <w:t>SUMMARY</w:t>
      </w:r>
      <w:r>
        <w:rPr>
          <w:rFonts w:ascii="Arial" w:eastAsia="Arial" w:hAnsi="Arial" w:cs="Arial"/>
          <w:vertAlign w:val="superscript"/>
        </w:rPr>
        <w:footnoteReference w:customMarkFollows="1" w:id="132"/>
        <w:t>**</w:t>
      </w:r>
    </w:p>
    <w:p w14:paraId="3BEB7EC3" w14:textId="77777777" w:rsidR="002D0E71" w:rsidRDefault="00000000">
      <w:pPr>
        <w:pStyle w:val="Normal28"/>
        <w:widowControl w:val="0"/>
        <w:spacing w:before="240" w:line="260" w:lineRule="atLeast"/>
        <w:jc w:val="both"/>
      </w:pPr>
      <w:bookmarkStart w:id="3978" w:name="Bookmark_clspara_5_4"/>
      <w:bookmarkEnd w:id="3978"/>
      <w:r>
        <w:rPr>
          <w:rFonts w:ascii="Arial" w:eastAsia="Arial" w:hAnsi="Arial" w:cs="Arial"/>
          <w:b/>
          <w:color w:val="000000"/>
          <w:sz w:val="20"/>
        </w:rPr>
        <w:t>Americans with Disabilities Act</w:t>
      </w:r>
    </w:p>
    <w:p w14:paraId="546AC293" w14:textId="77777777" w:rsidR="002D0E71" w:rsidRDefault="00000000">
      <w:pPr>
        <w:pStyle w:val="Normal28"/>
        <w:widowControl w:val="0"/>
        <w:spacing w:before="240" w:line="260" w:lineRule="atLeast"/>
        <w:jc w:val="both"/>
      </w:pPr>
      <w:bookmarkStart w:id="3979" w:name="Bookmark_clspara_6_4"/>
      <w:bookmarkEnd w:id="3979"/>
      <w:r>
        <w:rPr>
          <w:rFonts w:ascii="Arial" w:eastAsia="Arial" w:hAnsi="Arial" w:cs="Arial"/>
          <w:color w:val="000000"/>
          <w:sz w:val="20"/>
        </w:rPr>
        <w:t>The panel affirmed the district court's summary judgment on claims under Title III of the Americans with Disabilities Act related to the necessary maneuvering clearance for a restroom door in a store.</w:t>
      </w:r>
    </w:p>
    <w:p w14:paraId="1EB76309" w14:textId="77777777" w:rsidR="002D0E71" w:rsidRDefault="00000000">
      <w:pPr>
        <w:pStyle w:val="Normal28"/>
        <w:widowControl w:val="0"/>
        <w:spacing w:before="240" w:line="260" w:lineRule="atLeast"/>
        <w:jc w:val="both"/>
      </w:pPr>
      <w:bookmarkStart w:id="3980" w:name="Bookmark_clspara_7_4"/>
      <w:bookmarkEnd w:id="3980"/>
      <w:r>
        <w:rPr>
          <w:rFonts w:ascii="Arial" w:eastAsia="Arial" w:hAnsi="Arial" w:cs="Arial"/>
          <w:color w:val="000000"/>
          <w:sz w:val="20"/>
        </w:rPr>
        <w:t>The panel affirmed the district court's conclusion that the ADA does not require wall space within the maneuvering clearance next to the frame of a restroom door that must be pulled open.</w:t>
      </w:r>
    </w:p>
    <w:p w14:paraId="7C5F1DBE" w14:textId="77777777" w:rsidR="002D0E71" w:rsidRDefault="00000000">
      <w:pPr>
        <w:pStyle w:val="Normal28"/>
        <w:widowControl w:val="0"/>
        <w:spacing w:before="240" w:line="260" w:lineRule="atLeast"/>
        <w:jc w:val="both"/>
      </w:pPr>
      <w:bookmarkStart w:id="3981" w:name="Bookmark_clspara_8_4"/>
      <w:bookmarkEnd w:id="3981"/>
      <w:r>
        <w:rPr>
          <w:rFonts w:ascii="Arial" w:eastAsia="Arial" w:hAnsi="Arial" w:cs="Arial"/>
          <w:color w:val="000000"/>
          <w:sz w:val="20"/>
        </w:rPr>
        <w:t>The panel also affirmed the district court's ruling that, because the door lacked a "latch" within the meaning of standards governing ADA compliance, no maneuvering space was required next to the frame of a restroom door that must be pushed open.</w:t>
      </w:r>
    </w:p>
    <w:p w14:paraId="6804FB2E" w14:textId="77777777" w:rsidR="002D0E71" w:rsidRDefault="00000000">
      <w:pPr>
        <w:pStyle w:val="Normal28"/>
        <w:widowControl w:val="0"/>
        <w:spacing w:before="240" w:line="260" w:lineRule="atLeast"/>
      </w:pPr>
      <w:bookmarkStart w:id="3982" w:name="Counsel_27"/>
      <w:bookmarkEnd w:id="3982"/>
      <w:r>
        <w:rPr>
          <w:rFonts w:ascii="Arial" w:eastAsia="Arial" w:hAnsi="Arial" w:cs="Arial"/>
          <w:b/>
          <w:color w:val="000000"/>
          <w:sz w:val="20"/>
        </w:rPr>
        <w:t>Counsel:</w:t>
      </w:r>
      <w:r>
        <w:rPr>
          <w:rFonts w:ascii="Arial" w:eastAsia="Arial" w:hAnsi="Arial" w:cs="Arial"/>
          <w:color w:val="000000"/>
          <w:sz w:val="20"/>
        </w:rPr>
        <w:t> Scottlynn J. Hubbard, IV (argued), Law Offices of Lynn Hubbard, Chico, California, for Plaintiff-Appellant.</w:t>
      </w:r>
    </w:p>
    <w:p w14:paraId="222508FA" w14:textId="77777777" w:rsidR="002D0E71" w:rsidRDefault="00000000">
      <w:pPr>
        <w:pStyle w:val="Normal28"/>
        <w:widowControl w:val="0"/>
        <w:spacing w:before="120" w:line="260" w:lineRule="atLeast"/>
      </w:pPr>
      <w:r>
        <w:rPr>
          <w:rFonts w:ascii="Arial" w:eastAsia="Arial" w:hAnsi="Arial" w:cs="Arial"/>
          <w:color w:val="000000"/>
          <w:sz w:val="20"/>
        </w:rPr>
        <w:t>Martin H. Orlick (argued), and Matthew S. Kenefick, Jeffer Mangels Butler &amp; Mitchell LLP, San Francisco, California, for Defendant-Appellee. [**2] </w:t>
      </w:r>
    </w:p>
    <w:p w14:paraId="01D61C91" w14:textId="77777777" w:rsidR="002D0E71" w:rsidRDefault="00000000">
      <w:pPr>
        <w:pStyle w:val="Normal28"/>
        <w:widowControl w:val="0"/>
        <w:spacing w:before="240" w:line="260" w:lineRule="atLeast"/>
      </w:pPr>
      <w:bookmarkStart w:id="3983" w:name="Judges_27"/>
      <w:bookmarkEnd w:id="3983"/>
      <w:r>
        <w:rPr>
          <w:rFonts w:ascii="Arial" w:eastAsia="Arial" w:hAnsi="Arial" w:cs="Arial"/>
          <w:b/>
          <w:color w:val="000000"/>
          <w:sz w:val="20"/>
        </w:rPr>
        <w:t>Judges:</w:t>
      </w:r>
      <w:r>
        <w:rPr>
          <w:rFonts w:ascii="Arial" w:eastAsia="Arial" w:hAnsi="Arial" w:cs="Arial"/>
          <w:color w:val="000000"/>
          <w:sz w:val="20"/>
        </w:rPr>
        <w:t> Before: Stephen Reinhardt and Ronald M. Gould, Circuit Judges, and J. Frederick Motz, Senior District Judge.</w:t>
      </w:r>
      <w:r>
        <w:rPr>
          <w:rFonts w:ascii="Arial" w:eastAsia="Arial" w:hAnsi="Arial" w:cs="Arial"/>
          <w:vertAlign w:val="superscript"/>
        </w:rPr>
        <w:footnoteReference w:customMarkFollows="1" w:id="133"/>
        <w:t>*</w:t>
      </w:r>
      <w:r>
        <w:rPr>
          <w:rFonts w:ascii="Arial" w:eastAsia="Arial" w:hAnsi="Arial" w:cs="Arial"/>
          <w:color w:val="000000"/>
          <w:sz w:val="20"/>
        </w:rPr>
        <w:t xml:space="preserve"> Opinion by Judge Gould.</w:t>
      </w:r>
    </w:p>
    <w:p w14:paraId="0E128D91" w14:textId="77777777" w:rsidR="002D0E71" w:rsidRDefault="00000000">
      <w:pPr>
        <w:pStyle w:val="Normal28"/>
        <w:widowControl w:val="0"/>
        <w:spacing w:before="240" w:line="260" w:lineRule="atLeast"/>
      </w:pPr>
      <w:bookmarkStart w:id="3985" w:name="Opinion_by_19"/>
      <w:bookmarkEnd w:id="3985"/>
      <w:r>
        <w:rPr>
          <w:rFonts w:ascii="Arial" w:eastAsia="Arial" w:hAnsi="Arial" w:cs="Arial"/>
          <w:b/>
          <w:color w:val="000000"/>
          <w:sz w:val="20"/>
        </w:rPr>
        <w:t>Opinion by:</w:t>
      </w:r>
      <w:r>
        <w:rPr>
          <w:rFonts w:ascii="Arial" w:eastAsia="Arial" w:hAnsi="Arial" w:cs="Arial"/>
          <w:color w:val="000000"/>
          <w:sz w:val="20"/>
        </w:rPr>
        <w:t> Gould</w:t>
      </w:r>
    </w:p>
    <w:p w14:paraId="78CDB191" w14:textId="77777777" w:rsidR="002D0E71" w:rsidRDefault="00000000">
      <w:pPr>
        <w:pStyle w:val="Normal28"/>
        <w:keepNext/>
        <w:widowControl w:val="0"/>
        <w:spacing w:before="240" w:line="340" w:lineRule="atLeast"/>
      </w:pPr>
      <w:bookmarkStart w:id="3986" w:name="Opinion_27"/>
      <w:bookmarkEnd w:id="3986"/>
      <w:r>
        <w:rPr>
          <w:rFonts w:ascii="Arial" w:eastAsia="Arial" w:hAnsi="Arial" w:cs="Arial"/>
          <w:b/>
          <w:color w:val="000000"/>
          <w:sz w:val="28"/>
        </w:rPr>
        <w:t>Opinion</w:t>
      </w:r>
    </w:p>
    <w:p w14:paraId="0621F9DF" w14:textId="090DB7D5" w:rsidR="002D0E71" w:rsidRDefault="002939DF">
      <w:pPr>
        <w:pStyle w:val="Normal28"/>
        <w:spacing w:line="60" w:lineRule="exact"/>
      </w:pPr>
      <w:r>
        <w:rPr>
          <w:noProof/>
        </w:rPr>
        <mc:AlternateContent>
          <mc:Choice Requires="wps">
            <w:drawing>
              <wp:anchor distT="0" distB="0" distL="114300" distR="114300" simplePos="0" relativeHeight="251717632" behindDoc="0" locked="0" layoutInCell="1" allowOverlap="1" wp14:anchorId="1612E035" wp14:editId="5877DAB2">
                <wp:simplePos x="0" y="0"/>
                <wp:positionH relativeFrom="column">
                  <wp:posOffset>0</wp:posOffset>
                </wp:positionH>
                <wp:positionV relativeFrom="paragraph">
                  <wp:posOffset>25400</wp:posOffset>
                </wp:positionV>
                <wp:extent cx="3187700" cy="0"/>
                <wp:effectExtent l="19050" t="15875" r="12700" b="12700"/>
                <wp:wrapTopAndBottom/>
                <wp:docPr id="1667544010"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892E2" id="Line 59"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07B8C98" w14:textId="77777777" w:rsidR="002D0E71" w:rsidRDefault="002D0E71">
      <w:pPr>
        <w:pStyle w:val="Normal28"/>
      </w:pPr>
    </w:p>
    <w:p w14:paraId="7ECD7FFA" w14:textId="77777777" w:rsidR="002D0E71" w:rsidRDefault="00000000">
      <w:pPr>
        <w:pStyle w:val="Normal28"/>
        <w:widowControl w:val="0"/>
        <w:spacing w:before="200" w:line="260" w:lineRule="atLeast"/>
        <w:jc w:val="both"/>
      </w:pPr>
      <w:bookmarkStart w:id="3987" w:name="Bookmark_para_2_27"/>
      <w:bookmarkEnd w:id="3987"/>
      <w:r>
        <w:rPr>
          <w:rFonts w:ascii="Arial" w:eastAsia="Arial" w:hAnsi="Arial" w:cs="Arial"/>
          <w:color w:val="000000"/>
          <w:sz w:val="20"/>
        </w:rPr>
        <w:t> [*828]  GOULD, Circuit Judge:</w:t>
      </w:r>
    </w:p>
    <w:p w14:paraId="2CB39514" w14:textId="77777777" w:rsidR="002D0E71" w:rsidRDefault="00000000">
      <w:pPr>
        <w:pStyle w:val="Normal28"/>
        <w:widowControl w:val="0"/>
        <w:spacing w:before="200" w:line="260" w:lineRule="atLeast"/>
        <w:jc w:val="both"/>
      </w:pPr>
      <w:bookmarkStart w:id="3988" w:name="Bookmark_para_3_27"/>
      <w:bookmarkEnd w:id="3988"/>
      <w:r>
        <w:rPr>
          <w:rFonts w:ascii="Arial" w:eastAsia="Arial" w:hAnsi="Arial" w:cs="Arial"/>
          <w:color w:val="000000"/>
          <w:sz w:val="20"/>
        </w:rPr>
        <w:t>Chris Kohler appeals from a grant of summary judgment to defendant Bed Bath &amp; Beyond of California ("BB&amp;B") on Kohler's claims under Title III of the Americans with Disabilities Act ("ADA"). Kohler contends: (1) that the district court erred in concluding that the ADA does not require wall space within the maneuvering clearance next to the frame of a restroom door that must be pulled open, and (2) that the district court erred in ruling that, because the door lacked a "latch" within the meaning of standards governing ADA compliance, no maneuvering space was required next to the frame of a restroom door that must be pushed open. We have jurisdiction under 28 U.S.C. § 1291. We conclude that Kohler's claims related to the necessary maneuvering clearance must be rejected. We affirm.</w:t>
      </w:r>
    </w:p>
    <w:p w14:paraId="006AF277" w14:textId="77777777" w:rsidR="002D0E71" w:rsidRDefault="00000000">
      <w:pPr>
        <w:pStyle w:val="Normal28"/>
        <w:widowControl w:val="0"/>
        <w:spacing w:before="240" w:line="260" w:lineRule="atLeast"/>
      </w:pPr>
      <w:r>
        <w:br/>
      </w:r>
      <w:r>
        <w:rPr>
          <w:rFonts w:ascii="Arial" w:eastAsia="Arial" w:hAnsi="Arial" w:cs="Arial"/>
          <w:color w:val="000000"/>
          <w:sz w:val="20"/>
        </w:rPr>
        <w:t xml:space="preserve"> [*829]  </w:t>
      </w:r>
      <w:r>
        <w:rPr>
          <w:rFonts w:ascii="Arial" w:eastAsia="Arial" w:hAnsi="Arial" w:cs="Arial"/>
          <w:b/>
          <w:color w:val="000000"/>
          <w:sz w:val="20"/>
        </w:rPr>
        <w:t>I</w:t>
      </w:r>
    </w:p>
    <w:p w14:paraId="21E47CAD" w14:textId="77777777" w:rsidR="002D0E71" w:rsidRDefault="00000000">
      <w:pPr>
        <w:pStyle w:val="Normal28"/>
        <w:widowControl w:val="0"/>
        <w:spacing w:before="200" w:line="260" w:lineRule="atLeast"/>
        <w:jc w:val="both"/>
      </w:pPr>
      <w:bookmarkStart w:id="3989" w:name="Bookmark_para_4_27"/>
      <w:bookmarkEnd w:id="3989"/>
      <w:r>
        <w:rPr>
          <w:rFonts w:ascii="Arial" w:eastAsia="Arial" w:hAnsi="Arial" w:cs="Arial"/>
          <w:color w:val="000000"/>
          <w:sz w:val="20"/>
        </w:rPr>
        <w:t>Kohler is paraplegic and requires the use of a wheelchair to move in public. On two days in May 2011, Kohler used the restroom in the [**3]  BB&amp;B store in Riverside, California. During those visits he encountered purported architectural barriers that he claimed impeded his ability to fully use the store. The alleged barriers relevant to this appeal relate to floor and wall space adjacent to the restroom door. Kohler brought suit against BB&amp;B in the U.S. District Court for the Central District of California. Kohler claimed violations of the ADA, 42 U.S.C. §§ 12101-12213, and related state law provisions. The parties filed cross-motions for summary judgment.</w:t>
      </w:r>
    </w:p>
    <w:p w14:paraId="558FAA3A" w14:textId="77777777" w:rsidR="002D0E71" w:rsidRDefault="00000000">
      <w:pPr>
        <w:pStyle w:val="Normal28"/>
        <w:widowControl w:val="0"/>
        <w:spacing w:before="200" w:line="260" w:lineRule="atLeast"/>
        <w:jc w:val="both"/>
      </w:pPr>
      <w:bookmarkStart w:id="3990" w:name="Bookmark_para_5_27"/>
      <w:bookmarkEnd w:id="3990"/>
      <w:r>
        <w:rPr>
          <w:rFonts w:ascii="Arial" w:eastAsia="Arial" w:hAnsi="Arial" w:cs="Arial"/>
          <w:color w:val="000000"/>
          <w:sz w:val="20"/>
        </w:rPr>
        <w:t>The record shows that there was less than ten inches of strike-side</w:t>
      </w:r>
      <w:r>
        <w:rPr>
          <w:rFonts w:ascii="Arial" w:eastAsia="Arial" w:hAnsi="Arial" w:cs="Arial"/>
          <w:vertAlign w:val="superscript"/>
        </w:rPr>
        <w:footnoteReference w:customMarkFollows="1" w:id="134"/>
        <w:t>1</w:t>
      </w:r>
      <w:r>
        <w:rPr>
          <w:rFonts w:ascii="Arial" w:eastAsia="Arial" w:hAnsi="Arial" w:cs="Arial"/>
          <w:color w:val="000000"/>
          <w:sz w:val="20"/>
        </w:rPr>
        <w:t xml:space="preserve"> wall space on the pull side</w:t>
      </w:r>
      <w:r>
        <w:rPr>
          <w:rFonts w:ascii="Arial" w:eastAsia="Arial" w:hAnsi="Arial" w:cs="Arial"/>
          <w:vertAlign w:val="superscript"/>
        </w:rPr>
        <w:footnoteReference w:customMarkFollows="1" w:id="135"/>
        <w:t>2</w:t>
      </w:r>
      <w:r>
        <w:rPr>
          <w:rFonts w:ascii="Arial" w:eastAsia="Arial" w:hAnsi="Arial" w:cs="Arial"/>
          <w:color w:val="000000"/>
          <w:sz w:val="20"/>
        </w:rPr>
        <w:t xml:space="preserve"> of BB&amp;B's restroom door, but there was more than four feet of clear floor space beyond this wall space. Kohler alleged that the lack of wall space made it difficult for him to pull open the restroom door by pushing off the strike-side wall with one hand while pulling the door handle with the other. There was also less than three inches of strike-side wall or floor space on the push side of the door, making it difficult for Kohler to open the door.</w:t>
      </w:r>
    </w:p>
    <w:p w14:paraId="03824CF3" w14:textId="77777777" w:rsidR="002D0E71" w:rsidRDefault="00000000">
      <w:pPr>
        <w:pStyle w:val="Normal28"/>
        <w:widowControl w:val="0"/>
        <w:spacing w:before="200" w:line="260" w:lineRule="atLeast"/>
        <w:jc w:val="both"/>
      </w:pPr>
      <w:bookmarkStart w:id="3993" w:name="Bookmark_para_6_27"/>
      <w:bookmarkEnd w:id="3993"/>
      <w:r>
        <w:rPr>
          <w:rFonts w:ascii="Arial" w:eastAsia="Arial" w:hAnsi="Arial" w:cs="Arial"/>
          <w:color w:val="000000"/>
          <w:sz w:val="20"/>
        </w:rPr>
        <w:t>With respect to the claims of insufficient strike-side clearance next to the restroom door, the district court concluded that the ADA Accessibility Guidelines ("Guidelines"), which set out the ADA compliance requirements for physical structures, require only eighteen inches of strike-side floor space (rather than floor and wall space) on the pull side of a door. The district court also determined that strike-side clearance of at least twelve inches of floor space on the push side is required only if the door has a "latch," which the district court interpreted to mean a privacy latch. Otherwise, no strike side clearance, whether floor or wall space, is required on the push side.</w:t>
      </w:r>
    </w:p>
    <w:p w14:paraId="38CEC837" w14:textId="77777777" w:rsidR="002D0E71" w:rsidRDefault="00000000">
      <w:pPr>
        <w:pStyle w:val="Normal28"/>
        <w:widowControl w:val="0"/>
        <w:spacing w:before="200" w:line="260" w:lineRule="atLeast"/>
        <w:jc w:val="both"/>
      </w:pPr>
      <w:bookmarkStart w:id="3994" w:name="Bookmark_para_7_26"/>
      <w:bookmarkEnd w:id="3994"/>
      <w:r>
        <w:rPr>
          <w:rFonts w:ascii="Arial" w:eastAsia="Arial" w:hAnsi="Arial" w:cs="Arial"/>
          <w:color w:val="000000"/>
          <w:sz w:val="20"/>
        </w:rPr>
        <w:t>On this basis, the district court denied Kohler's motion and granted BB&amp;B's motion on Kohler's ADA claims. The district court declined to exercise supplemental jurisdiction over Kohler's state law claims and dismissed them without prejudice.</w:t>
      </w:r>
    </w:p>
    <w:p w14:paraId="6FE3B9D3" w14:textId="77777777" w:rsidR="002D0E71" w:rsidRDefault="00000000">
      <w:pPr>
        <w:pStyle w:val="Normal28"/>
        <w:widowControl w:val="0"/>
        <w:spacing w:before="200" w:line="260" w:lineRule="atLeast"/>
        <w:jc w:val="both"/>
      </w:pPr>
      <w:bookmarkStart w:id="3995" w:name="Bookmark_para_8_26"/>
      <w:bookmarkEnd w:id="3995"/>
      <w:r>
        <w:rPr>
          <w:rFonts w:ascii="Arial" w:eastAsia="Arial" w:hAnsi="Arial" w:cs="Arial"/>
          <w:color w:val="000000"/>
          <w:sz w:val="20"/>
        </w:rPr>
        <w:t>Kohler timely appealed the district court's judgment, which is now before us.</w:t>
      </w:r>
    </w:p>
    <w:p w14:paraId="0E5CB74F" w14:textId="77777777" w:rsidR="002D0E71" w:rsidRDefault="00000000">
      <w:pPr>
        <w:pStyle w:val="Normal28"/>
        <w:widowControl w:val="0"/>
        <w:spacing w:before="240" w:line="260" w:lineRule="atLeast"/>
      </w:pPr>
      <w:r>
        <w:br/>
      </w:r>
      <w:r>
        <w:rPr>
          <w:rFonts w:ascii="Arial" w:eastAsia="Arial" w:hAnsi="Arial" w:cs="Arial"/>
          <w:b/>
          <w:color w:val="000000"/>
          <w:sz w:val="20"/>
        </w:rPr>
        <w:t>II</w:t>
      </w:r>
    </w:p>
    <w:p w14:paraId="15F11BA8" w14:textId="77777777" w:rsidR="002D0E71" w:rsidRDefault="00000000">
      <w:pPr>
        <w:pStyle w:val="Normal28"/>
        <w:widowControl w:val="0"/>
        <w:spacing w:before="200" w:line="260" w:lineRule="atLeast"/>
        <w:jc w:val="both"/>
      </w:pPr>
      <w:bookmarkStart w:id="3996" w:name="Bookmark_para_9_26"/>
      <w:bookmarkStart w:id="3997" w:name="Bookmark_I5FHWB372N1RSP0020000400"/>
      <w:bookmarkStart w:id="3998" w:name="Bookmark_LNHNREFclscc1_22"/>
      <w:bookmarkEnd w:id="3996"/>
      <w:bookmarkEnd w:id="3997"/>
      <w:bookmarkEnd w:id="3998"/>
      <w:r>
        <w:rPr>
          <w:rFonts w:ascii="Arial" w:eastAsia="Arial" w:hAnsi="Arial" w:cs="Arial"/>
          <w:color w:val="000000"/>
          <w:sz w:val="20"/>
        </w:rPr>
        <w:t xml:space="preserve">We review a district court's grant of summary judgment </w:t>
      </w:r>
      <w:r>
        <w:rPr>
          <w:rFonts w:ascii="Arial" w:eastAsia="Arial" w:hAnsi="Arial" w:cs="Arial"/>
          <w:i/>
          <w:color w:val="000000"/>
          <w:sz w:val="20"/>
        </w:rPr>
        <w:t xml:space="preserve">de novo. </w:t>
      </w:r>
      <w:bookmarkStart w:id="3999" w:name="Bookmark_I5FHWB372N1RSP0010000400"/>
      <w:bookmarkEnd w:id="3999"/>
      <w:r>
        <w:rPr>
          <w:rFonts w:ascii="Arial" w:eastAsia="Arial" w:hAnsi="Arial" w:cs="Arial"/>
          <w:i/>
          <w:color w:val="000000"/>
          <w:sz w:val="20"/>
        </w:rPr>
        <w:t>Doran v. 7-Eleven, Inc</w:t>
      </w:r>
      <w:r>
        <w:rPr>
          <w:rFonts w:ascii="Arial" w:eastAsia="Arial" w:hAnsi="Arial" w:cs="Arial"/>
          <w:color w:val="000000"/>
          <w:sz w:val="20"/>
        </w:rPr>
        <w:t>., 524 F.3d 1034, 1047 (9th Cir. 2008). [**5]  Summary judgment should be granted if "there is no genuine dispute as to any material fact and the movant is entitled to judgment as a matter of law." Fed. R. Civ. P. 56(a).</w:t>
      </w:r>
    </w:p>
    <w:p w14:paraId="5DBEBA38" w14:textId="77777777" w:rsidR="002D0E71" w:rsidRDefault="00000000">
      <w:pPr>
        <w:pStyle w:val="Normal28"/>
        <w:widowControl w:val="0"/>
        <w:spacing w:before="200" w:line="260" w:lineRule="atLeast"/>
        <w:jc w:val="both"/>
      </w:pPr>
      <w:bookmarkStart w:id="4000" w:name="Bookmark_para_10_25"/>
      <w:bookmarkStart w:id="4001" w:name="Bookmark_I5FHWB372N1RSP0040000400"/>
      <w:bookmarkStart w:id="4002" w:name="Bookmark_LNHNREFclscc2_22"/>
      <w:bookmarkEnd w:id="4000"/>
      <w:bookmarkEnd w:id="4001"/>
      <w:bookmarkEnd w:id="4002"/>
      <w:r>
        <w:rPr>
          <w:rFonts w:ascii="Arial" w:eastAsia="Arial" w:hAnsi="Arial" w:cs="Arial"/>
          <w:color w:val="000000"/>
          <w:sz w:val="20"/>
        </w:rPr>
        <w:t xml:space="preserve">We may affirm the district court on any basis supported by the record. </w:t>
      </w:r>
      <w:bookmarkStart w:id="4003" w:name="Bookmark_I5FHWB372N1RSP0030000400"/>
      <w:bookmarkEnd w:id="4003"/>
      <w:r>
        <w:rPr>
          <w:rFonts w:ascii="Arial" w:eastAsia="Arial" w:hAnsi="Arial" w:cs="Arial"/>
          <w:i/>
          <w:color w:val="000000"/>
          <w:sz w:val="20"/>
        </w:rPr>
        <w:t>Forest Guardians v. U.S. Forest Serv</w:t>
      </w:r>
      <w:r>
        <w:rPr>
          <w:rFonts w:ascii="Arial" w:eastAsia="Arial" w:hAnsi="Arial" w:cs="Arial"/>
          <w:color w:val="000000"/>
          <w:sz w:val="20"/>
        </w:rPr>
        <w:t>., 329 F.3d 1089, 1097 (9th Cir. 2003).</w:t>
      </w:r>
    </w:p>
    <w:p w14:paraId="78FAED67" w14:textId="77777777" w:rsidR="002D0E71" w:rsidRDefault="00000000">
      <w:pPr>
        <w:pStyle w:val="Normal28"/>
        <w:widowControl w:val="0"/>
        <w:spacing w:before="240" w:line="260" w:lineRule="atLeast"/>
      </w:pPr>
      <w:r>
        <w:br/>
      </w:r>
      <w:r>
        <w:rPr>
          <w:rFonts w:ascii="Arial" w:eastAsia="Arial" w:hAnsi="Arial" w:cs="Arial"/>
          <w:b/>
          <w:color w:val="000000"/>
          <w:sz w:val="20"/>
        </w:rPr>
        <w:t>III</w:t>
      </w:r>
    </w:p>
    <w:p w14:paraId="4D727A4F" w14:textId="77777777" w:rsidR="002D0E71" w:rsidRDefault="00000000">
      <w:pPr>
        <w:pStyle w:val="Normal28"/>
        <w:widowControl w:val="0"/>
        <w:spacing w:before="200" w:line="260" w:lineRule="atLeast"/>
        <w:jc w:val="both"/>
      </w:pPr>
      <w:bookmarkStart w:id="4004" w:name="Bookmark_para_11_25"/>
      <w:bookmarkStart w:id="4005" w:name="Bookmark_I5FHWB372SF8CW0010000400"/>
      <w:bookmarkStart w:id="4006" w:name="Bookmark_I5FHWB372SF8CW0030000400"/>
      <w:bookmarkStart w:id="4007" w:name="Bookmark_LNHNREFclscc3_22"/>
      <w:bookmarkEnd w:id="4004"/>
      <w:bookmarkEnd w:id="4005"/>
      <w:bookmarkEnd w:id="4006"/>
      <w:bookmarkEnd w:id="4007"/>
      <w:r>
        <w:rPr>
          <w:rFonts w:ascii="Arial" w:eastAsia="Arial" w:hAnsi="Arial" w:cs="Arial"/>
          <w:color w:val="000000"/>
          <w:sz w:val="20"/>
        </w:rPr>
        <w:t xml:space="preserve">Title III of the ADA "prohibits discrimination on the basis of disability in the 'full and equal enjoyment of the goods, services, facilities, privileges, advantages, or accommodations of any place of public accommodation' with a nexus in interstate commerce." </w:t>
      </w:r>
      <w:bookmarkStart w:id="4008" w:name="Bookmark_I5FHWB372N1RSP0050000400"/>
      <w:bookmarkEnd w:id="4008"/>
      <w:r>
        <w:rPr>
          <w:rFonts w:ascii="Arial" w:eastAsia="Arial" w:hAnsi="Arial" w:cs="Arial"/>
          <w:i/>
          <w:color w:val="000000"/>
          <w:sz w:val="20"/>
        </w:rPr>
        <w:t>Oliver v. Ralphs Grocery Co</w:t>
      </w:r>
      <w:r>
        <w:rPr>
          <w:rFonts w:ascii="Arial" w:eastAsia="Arial" w:hAnsi="Arial" w:cs="Arial"/>
          <w:color w:val="000000"/>
          <w:sz w:val="20"/>
        </w:rPr>
        <w:t xml:space="preserve">., 654 F.3d 903, 904 (9th Cir. 2011) (quoting  [*830]  42 U.S.C. §§ 2000a(b), 12182(a)). </w:t>
      </w:r>
      <w:bookmarkStart w:id="4009" w:name="Bookmark_I5FHWB372SF8CW0050000400"/>
      <w:bookmarkEnd w:id="4009"/>
      <w:r>
        <w:rPr>
          <w:rFonts w:ascii="Arial" w:eastAsia="Arial" w:hAnsi="Arial" w:cs="Arial"/>
          <w:color w:val="000000"/>
          <w:sz w:val="20"/>
        </w:rPr>
        <w:t xml:space="preserve">The ADA requires that "new facilities be 'readily accessible to and usable by individuals with disabilities," unless this would be 'structurally impracticable.'" </w:t>
      </w:r>
      <w:bookmarkStart w:id="4010" w:name="Bookmark_I5FHWB372SF8CW0020000400"/>
      <w:bookmarkEnd w:id="4010"/>
      <w:r>
        <w:rPr>
          <w:rFonts w:ascii="Arial" w:eastAsia="Arial" w:hAnsi="Arial" w:cs="Arial"/>
          <w:i/>
          <w:color w:val="000000"/>
          <w:sz w:val="20"/>
        </w:rPr>
        <w:t>Id</w:t>
      </w:r>
      <w:r>
        <w:rPr>
          <w:rFonts w:ascii="Arial" w:eastAsia="Arial" w:hAnsi="Arial" w:cs="Arial"/>
          <w:color w:val="000000"/>
          <w:sz w:val="20"/>
        </w:rPr>
        <w:t xml:space="preserve">. at 904-05 (quoting 42 U.S.C. § 12183(a)(1)). A facility is generally "readily accessible" within the meaning of the ADA if it complies with the Guidelines. </w:t>
      </w:r>
      <w:bookmarkStart w:id="4011" w:name="Bookmark_I5FHWB372SF8CW0050000400_2"/>
      <w:bookmarkStart w:id="4012" w:name="Bookmark_I5FHWB372SF8CW0040000400"/>
      <w:bookmarkEnd w:id="4011"/>
      <w:bookmarkEnd w:id="4012"/>
      <w:r>
        <w:rPr>
          <w:rFonts w:ascii="Arial" w:eastAsia="Arial" w:hAnsi="Arial" w:cs="Arial"/>
          <w:i/>
          <w:color w:val="000000"/>
          <w:sz w:val="20"/>
        </w:rPr>
        <w:t>Id</w:t>
      </w:r>
      <w:r>
        <w:rPr>
          <w:rFonts w:ascii="Arial" w:eastAsia="Arial" w:hAnsi="Arial" w:cs="Arial"/>
          <w:color w:val="000000"/>
          <w:sz w:val="20"/>
        </w:rPr>
        <w:t>. at 905.</w:t>
      </w:r>
    </w:p>
    <w:p w14:paraId="3BCB0623" w14:textId="77777777" w:rsidR="002D0E71" w:rsidRDefault="00000000">
      <w:pPr>
        <w:pStyle w:val="Normal28"/>
        <w:widowControl w:val="0"/>
        <w:spacing w:before="200" w:line="260" w:lineRule="atLeast"/>
        <w:jc w:val="both"/>
      </w:pPr>
      <w:bookmarkStart w:id="4013" w:name="Bookmark_para_12_24"/>
      <w:bookmarkEnd w:id="4013"/>
      <w:r>
        <w:rPr>
          <w:rFonts w:ascii="Arial" w:eastAsia="Arial" w:hAnsi="Arial" w:cs="Arial"/>
          <w:color w:val="000000"/>
          <w:sz w:val="20"/>
        </w:rPr>
        <w:t>It would be hard to overstate the significance of the ADA for a person with a disability who could enjoy a public facility with reasonable modification to make it accessible, but who is otherwise precluded from use and shut out by an architectural barrier. Recognizing that it is good business, as well as the requirement of the law, to accommodate the disabled and thereby to enlarge the market for one's goods [**6]  or services, most companies have gladly given their support fully to legal compliance with the ADA. But invariably questions about whether particular accommodations satisfy the ADA's legal requirements will arise.</w:t>
      </w:r>
    </w:p>
    <w:p w14:paraId="76B73398" w14:textId="77777777" w:rsidR="002D0E71" w:rsidRDefault="00000000">
      <w:pPr>
        <w:pStyle w:val="Normal28"/>
        <w:widowControl w:val="0"/>
        <w:spacing w:before="200" w:line="260" w:lineRule="atLeast"/>
        <w:jc w:val="both"/>
      </w:pPr>
      <w:bookmarkStart w:id="4014" w:name="Bookmark_para_13_24"/>
      <w:bookmarkStart w:id="4015" w:name="Bookmark_I5FHWB372HM6BP0020000400"/>
      <w:bookmarkEnd w:id="4014"/>
      <w:bookmarkEnd w:id="4015"/>
      <w:r>
        <w:rPr>
          <w:rFonts w:ascii="Arial" w:eastAsia="Arial" w:hAnsi="Arial" w:cs="Arial"/>
          <w:color w:val="000000"/>
          <w:sz w:val="20"/>
        </w:rPr>
        <w:t xml:space="preserve">We have explained that the Guidelines, which were promulgated by the Attorney General, set out the technical requirements that places of public accommodation must meet to comply with the ADA. </w:t>
      </w:r>
      <w:r>
        <w:rPr>
          <w:rFonts w:ascii="Arial" w:eastAsia="Arial" w:hAnsi="Arial" w:cs="Arial"/>
          <w:i/>
          <w:color w:val="000000"/>
          <w:sz w:val="20"/>
        </w:rPr>
        <w:t xml:space="preserve">See </w:t>
      </w:r>
      <w:bookmarkStart w:id="4016" w:name="Bookmark_I5FHWB372HM6BP0010000400"/>
      <w:bookmarkEnd w:id="4016"/>
      <w:r>
        <w:rPr>
          <w:rFonts w:ascii="Arial" w:eastAsia="Arial" w:hAnsi="Arial" w:cs="Arial"/>
          <w:i/>
          <w:color w:val="000000"/>
          <w:sz w:val="20"/>
        </w:rPr>
        <w:t>Chapman v. Pier 1 Imports (U.S.) Inc</w:t>
      </w:r>
      <w:r>
        <w:rPr>
          <w:rFonts w:ascii="Arial" w:eastAsia="Arial" w:hAnsi="Arial" w:cs="Arial"/>
          <w:color w:val="000000"/>
          <w:sz w:val="20"/>
        </w:rPr>
        <w:t xml:space="preserve">., 631 F.3d 939, 945-46 (9th Cir. 2011) (en banc). The parties refer to both the 1991 and the 2010 Guidelines in their briefs. The 2010 Guidelines went into effect on March 15, 2012. </w:t>
      </w:r>
      <w:r>
        <w:rPr>
          <w:rFonts w:ascii="Arial" w:eastAsia="Arial" w:hAnsi="Arial" w:cs="Arial"/>
          <w:i/>
          <w:color w:val="000000"/>
          <w:sz w:val="20"/>
        </w:rPr>
        <w:t>See</w:t>
      </w:r>
      <w:r>
        <w:rPr>
          <w:rFonts w:ascii="Arial" w:eastAsia="Arial" w:hAnsi="Arial" w:cs="Arial"/>
          <w:color w:val="000000"/>
          <w:sz w:val="20"/>
        </w:rPr>
        <w:t xml:space="preserve"> 28 C.F.R. § 36.304(d)(2)(ii)(B). But the new requirements have a "safe harbor" provision under which a building that complied with the 1991 Guidelines and has not been altered on or after March 15, 2012 will not be required to make any changes to comply with the 2010 Guidelines. 28 C.F.R. § 36.304(d)(2)(i).</w:t>
      </w:r>
    </w:p>
    <w:p w14:paraId="6D4347FA" w14:textId="77777777" w:rsidR="002D0E71" w:rsidRDefault="00000000">
      <w:pPr>
        <w:pStyle w:val="Normal28"/>
        <w:widowControl w:val="0"/>
        <w:spacing w:before="200" w:line="260" w:lineRule="atLeast"/>
        <w:jc w:val="both"/>
      </w:pPr>
      <w:bookmarkStart w:id="4017" w:name="Bookmark_para_14_24"/>
      <w:bookmarkEnd w:id="4017"/>
      <w:r>
        <w:rPr>
          <w:rFonts w:ascii="Arial" w:eastAsia="Arial" w:hAnsi="Arial" w:cs="Arial"/>
          <w:color w:val="000000"/>
          <w:sz w:val="20"/>
        </w:rPr>
        <w:t>Kohler argued below that the 1991 Guidelines controlled the district court's decision based on when BB&amp;B's construction permits were issued. He argues here that because BB&amp;B was not in compliance with the 1991 Guidelines, the safe harbor provision does not apply and the 2010 Guidelines control. We conclude that Kohler's position is unpersuasive under either the 1991 or the 2010 [**7]  Guidelines.</w:t>
      </w:r>
    </w:p>
    <w:p w14:paraId="492D221A" w14:textId="77777777" w:rsidR="002D0E71" w:rsidRDefault="00000000">
      <w:pPr>
        <w:pStyle w:val="Normal28"/>
        <w:widowControl w:val="0"/>
        <w:spacing w:before="240" w:line="260" w:lineRule="atLeast"/>
      </w:pPr>
      <w:r>
        <w:br/>
      </w:r>
      <w:r>
        <w:rPr>
          <w:rFonts w:ascii="Arial" w:eastAsia="Arial" w:hAnsi="Arial" w:cs="Arial"/>
          <w:i/>
          <w:color w:val="000000"/>
          <w:sz w:val="20"/>
        </w:rPr>
        <w:t>A. Neither the 1991 nor the 2010 Guidelines require a minimum amount of strike-side wall length on the pull side of a door</w:t>
      </w:r>
      <w:r>
        <w:rPr>
          <w:rFonts w:ascii="Arial" w:eastAsia="Arial" w:hAnsi="Arial" w:cs="Arial"/>
          <w:color w:val="000000"/>
          <w:sz w:val="20"/>
        </w:rPr>
        <w:t>.</w:t>
      </w:r>
    </w:p>
    <w:p w14:paraId="63822904" w14:textId="77777777" w:rsidR="002D0E71" w:rsidRDefault="00000000">
      <w:pPr>
        <w:pStyle w:val="Normal28"/>
        <w:widowControl w:val="0"/>
        <w:spacing w:before="200" w:line="260" w:lineRule="atLeast"/>
        <w:jc w:val="both"/>
      </w:pPr>
      <w:bookmarkStart w:id="4018" w:name="Bookmark_para_15_24"/>
      <w:bookmarkEnd w:id="4018"/>
      <w:r>
        <w:rPr>
          <w:rFonts w:ascii="Arial" w:eastAsia="Arial" w:hAnsi="Arial" w:cs="Arial"/>
          <w:color w:val="000000"/>
          <w:sz w:val="20"/>
        </w:rPr>
        <w:t>Kohler argues that the district court erred in granting summary judgment to BB&amp;B because the Guidelines require at least eighteen inches of clear wall length on the strike side of a door that is pulled open. But Kohler's argument fails because we hold that</w:t>
      </w:r>
      <w:bookmarkStart w:id="4019" w:name="Bookmark_LNHNREFclscc4_22"/>
      <w:bookmarkEnd w:id="4019"/>
      <w:r>
        <w:rPr>
          <w:rFonts w:ascii="Arial" w:eastAsia="Arial" w:hAnsi="Arial" w:cs="Arial"/>
          <w:color w:val="000000"/>
          <w:sz w:val="20"/>
        </w:rPr>
        <w:t xml:space="preserve"> the Guidelines' maneuvering clearance requirements relate only to floor space and to the air above it, not to wall space. Both the text and structure of the Guidelines support our conclusion.</w:t>
      </w:r>
    </w:p>
    <w:p w14:paraId="136C7C09" w14:textId="77777777" w:rsidR="002D0E71" w:rsidRDefault="00000000">
      <w:pPr>
        <w:pStyle w:val="Normal28"/>
        <w:widowControl w:val="0"/>
        <w:spacing w:before="200" w:line="260" w:lineRule="atLeast"/>
        <w:jc w:val="both"/>
      </w:pPr>
      <w:bookmarkStart w:id="4020" w:name="Bookmark_para_16_24"/>
      <w:bookmarkEnd w:id="4020"/>
      <w:r>
        <w:rPr>
          <w:rFonts w:ascii="Arial" w:eastAsia="Arial" w:hAnsi="Arial" w:cs="Arial"/>
          <w:color w:val="000000"/>
          <w:sz w:val="20"/>
        </w:rPr>
        <w:t xml:space="preserve">The first flaw in Kohler's contention relates to text. Kohler's argument relies on an implausible reading of the relevant provision of the 1991 Guidelines, § 4.13.6. The requirement reads: </w:t>
      </w:r>
      <w:bookmarkStart w:id="4021" w:name="Bookmark_LNHNREFclscc5_22"/>
      <w:bookmarkEnd w:id="4021"/>
      <w:r>
        <w:rPr>
          <w:rFonts w:ascii="Arial" w:eastAsia="Arial" w:hAnsi="Arial" w:cs="Arial"/>
          <w:color w:val="000000"/>
          <w:sz w:val="20"/>
        </w:rPr>
        <w:t>"Minimum maneuvering clearances at doors that are not automatic or power-assisted shall be as shown in [Figure] 25. The floor or ground area within the required clearances shall be level and clear." 28 C.F.R. Pt. 36, App. D § 4.13.6. Figure 25(a), reproduced below, shows the required clearance for a front approach to the pull side of a door, and uses both solid and dotted lines, as well as a thick solid line:</w:t>
      </w:r>
    </w:p>
    <w:p w14:paraId="43DF293B" w14:textId="156EFB87" w:rsidR="002D0E71" w:rsidRDefault="00000000">
      <w:pPr>
        <w:pStyle w:val="Normal28"/>
        <w:widowControl w:val="0"/>
        <w:spacing w:before="200" w:line="260" w:lineRule="atLeast"/>
        <w:jc w:val="both"/>
      </w:pPr>
      <w:bookmarkStart w:id="4022" w:name="Bookmark_para_17_23"/>
      <w:bookmarkEnd w:id="4022"/>
      <w:r>
        <w:rPr>
          <w:rFonts w:ascii="Arial" w:eastAsia="Arial" w:hAnsi="Arial" w:cs="Arial"/>
          <w:color w:val="000000"/>
          <w:sz w:val="20"/>
        </w:rPr>
        <w:t xml:space="preserve"> [*831]  </w:t>
      </w:r>
      <w:r w:rsidR="002939DF">
        <w:rPr>
          <w:noProof/>
        </w:rPr>
        <w:drawing>
          <wp:inline distT="0" distB="0" distL="0" distR="0" wp14:anchorId="6D2FFFEF" wp14:editId="720DC5ED">
            <wp:extent cx="3954780" cy="169037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954780" cy="1690370"/>
                    </a:xfrm>
                    <a:prstGeom prst="rect">
                      <a:avLst/>
                    </a:prstGeom>
                    <a:noFill/>
                    <a:ln>
                      <a:noFill/>
                    </a:ln>
                  </pic:spPr>
                </pic:pic>
              </a:graphicData>
            </a:graphic>
          </wp:inline>
        </w:drawing>
      </w:r>
    </w:p>
    <w:p w14:paraId="633D8C9B" w14:textId="77777777" w:rsidR="002D0E71" w:rsidRDefault="00000000">
      <w:pPr>
        <w:pStyle w:val="Normal28"/>
        <w:widowControl w:val="0"/>
        <w:spacing w:before="200" w:line="260" w:lineRule="atLeast"/>
        <w:jc w:val="both"/>
      </w:pPr>
      <w:bookmarkStart w:id="4023" w:name="Bookmark_para_18_23"/>
      <w:bookmarkStart w:id="4024" w:name="Bookmark_LNHNREFclscc6_21"/>
      <w:bookmarkEnd w:id="4023"/>
      <w:bookmarkEnd w:id="4024"/>
      <w:r>
        <w:rPr>
          <w:rFonts w:ascii="Arial" w:eastAsia="Arial" w:hAnsi="Arial" w:cs="Arial"/>
          <w:color w:val="000000"/>
          <w:sz w:val="20"/>
        </w:rPr>
        <w:t xml:space="preserve">The 1991 Guidelines' Graphic Conventions indicate that a dotted [**8]  line signifies the "boundary of clear floor area," while a solid line is a "typical dimension line showing U.S. customary units (in inches) above the line . . . ." </w:t>
      </w:r>
      <w:r>
        <w:rPr>
          <w:rFonts w:ascii="Arial" w:eastAsia="Arial" w:hAnsi="Arial" w:cs="Arial"/>
          <w:i/>
          <w:color w:val="000000"/>
          <w:sz w:val="20"/>
        </w:rPr>
        <w:t>See</w:t>
      </w:r>
      <w:r>
        <w:rPr>
          <w:rFonts w:ascii="Arial" w:eastAsia="Arial" w:hAnsi="Arial" w:cs="Arial"/>
          <w:color w:val="000000"/>
          <w:sz w:val="20"/>
        </w:rPr>
        <w:t xml:space="preserve"> 28 C.F.R. Pt. 36, App. D § 3.1 tbl.1. The thick solid line is not explained by the Graphic Conventions. </w:t>
      </w:r>
      <w:r>
        <w:rPr>
          <w:rFonts w:ascii="Arial" w:eastAsia="Arial" w:hAnsi="Arial" w:cs="Arial"/>
          <w:i/>
          <w:color w:val="000000"/>
          <w:sz w:val="20"/>
        </w:rPr>
        <w:t>Id</w:t>
      </w:r>
      <w:r>
        <w:rPr>
          <w:rFonts w:ascii="Arial" w:eastAsia="Arial" w:hAnsi="Arial" w:cs="Arial"/>
          <w:color w:val="000000"/>
          <w:sz w:val="20"/>
        </w:rPr>
        <w:t>.</w:t>
      </w:r>
    </w:p>
    <w:p w14:paraId="4B47FDC9" w14:textId="77777777" w:rsidR="002D0E71" w:rsidRDefault="00000000">
      <w:pPr>
        <w:pStyle w:val="Normal28"/>
        <w:widowControl w:val="0"/>
        <w:spacing w:before="200" w:line="260" w:lineRule="atLeast"/>
        <w:jc w:val="both"/>
      </w:pPr>
      <w:bookmarkStart w:id="4025" w:name="Bookmark_para_19_23"/>
      <w:bookmarkEnd w:id="4025"/>
      <w:r>
        <w:rPr>
          <w:rFonts w:ascii="Arial" w:eastAsia="Arial" w:hAnsi="Arial" w:cs="Arial"/>
          <w:color w:val="000000"/>
          <w:sz w:val="20"/>
        </w:rPr>
        <w:t>The text accompanying Figure 25 says that "[f]ront approaches to pull side of swinging doors shall have maneuvering space that extends from the hinge side of the door to 18 inches (455 mm) minimum, 24 inches (610 mm) preferred, beyond the latch side of the door and 60 inches (1525 mm) minimum perpendicular to the doorway." 28 C.F.R. Pt. 36, App. D. If we interpret "maneuvering space" to mean the same thing when it refers to space extending past the latch side of the door that it does when referring to space perpendicular to the doorway, then adopting Kohler's view would require that the sixty inches of maneuvering space perpendicular to the doors have walls all around it, such that an ADA-compliant door would need to be built into a sixty-inch deep alcove. Common sense does not permit us to adopt such an understanding, and Kohler in oral argument agreed that the ADA and Guidelines were not intended to require such alcoves. More important is the fact that the word "wall" is [**9]  absent from Figure 25(a) and the accompanying note. But the floor area is explicitly referenced in § 4.13.6, to which Figure 25 is attached. Also, the eighteen-inch space is called "maneuvering space," which we understand to mean the space needed for a wheelchair to navigate up to and through a doorway. We interpret the 1991 Guidelines to require eighteen inches of clear floor space and clear air space above that floor so that a person in a wheelchair can maneuver freely.</w:t>
      </w:r>
    </w:p>
    <w:p w14:paraId="23DFDBF1" w14:textId="77777777" w:rsidR="002D0E71" w:rsidRDefault="00000000">
      <w:pPr>
        <w:pStyle w:val="Normal28"/>
        <w:widowControl w:val="0"/>
        <w:spacing w:before="200" w:line="260" w:lineRule="atLeast"/>
        <w:jc w:val="both"/>
      </w:pPr>
      <w:bookmarkStart w:id="4026" w:name="Bookmark_para_20_21"/>
      <w:bookmarkEnd w:id="4026"/>
      <w:r>
        <w:rPr>
          <w:rFonts w:ascii="Arial" w:eastAsia="Arial" w:hAnsi="Arial" w:cs="Arial"/>
          <w:color w:val="000000"/>
          <w:sz w:val="20"/>
        </w:rPr>
        <w:t xml:space="preserve">Looking to the 2010 Guidelines only reinforces our conclusion. Kohler argues that because the 2010 Guidelines' Graphic Conventions at Figure 104 include the description of a solid black line convention as representing "a wall, a floor, ceiling or other element cut in section or plan," it means wall space is required. </w:t>
      </w:r>
      <w:r>
        <w:rPr>
          <w:rFonts w:ascii="Arial" w:eastAsia="Arial" w:hAnsi="Arial" w:cs="Arial"/>
          <w:i/>
          <w:color w:val="000000"/>
          <w:sz w:val="20"/>
        </w:rPr>
        <w:t>See</w:t>
      </w:r>
      <w:r>
        <w:rPr>
          <w:rFonts w:ascii="Arial" w:eastAsia="Arial" w:hAnsi="Arial" w:cs="Arial"/>
          <w:color w:val="000000"/>
          <w:sz w:val="20"/>
        </w:rPr>
        <w:t xml:space="preserve"> 36 C.F.R. Pt. 1191, App. B § 104.3 fig.104. Moreover, Kohler argues that his position is strengthened because the language in § 4.13.6 of the 1991 Guidelines, that "the floor or ground area within the required clearance shall be level and clear," was moved from § 404.2.4—the maneuvering clearance provision of the 2010 Standards parallel to § 4.13.6 of the 1991 Guidelines—to another subsection. </w:t>
      </w:r>
      <w:r>
        <w:rPr>
          <w:rFonts w:ascii="Arial" w:eastAsia="Arial" w:hAnsi="Arial" w:cs="Arial"/>
          <w:i/>
          <w:color w:val="000000"/>
          <w:sz w:val="20"/>
        </w:rPr>
        <w:t>See id</w:t>
      </w:r>
      <w:r>
        <w:rPr>
          <w:rFonts w:ascii="Arial" w:eastAsia="Arial" w:hAnsi="Arial" w:cs="Arial"/>
          <w:color w:val="000000"/>
          <w:sz w:val="20"/>
        </w:rPr>
        <w:t>. Pt. 1191, App. D. We disagree.</w:t>
      </w:r>
    </w:p>
    <w:p w14:paraId="5E0570CF" w14:textId="77777777" w:rsidR="002D0E71" w:rsidRDefault="00000000">
      <w:pPr>
        <w:pStyle w:val="Normal28"/>
        <w:widowControl w:val="0"/>
        <w:spacing w:before="200" w:line="260" w:lineRule="atLeast"/>
        <w:jc w:val="both"/>
      </w:pPr>
      <w:bookmarkStart w:id="4027" w:name="Bookmark_para_21_20"/>
      <w:bookmarkStart w:id="4028" w:name="Bookmark_LNHNREFclscc7_20"/>
      <w:bookmarkEnd w:id="4027"/>
      <w:bookmarkEnd w:id="4028"/>
      <w:r>
        <w:rPr>
          <w:rFonts w:ascii="Arial" w:eastAsia="Arial" w:hAnsi="Arial" w:cs="Arial"/>
          <w:color w:val="000000"/>
          <w:sz w:val="20"/>
        </w:rPr>
        <w:t>Section 404.2.4.1 of the 2010 Guidelines says that [**10]  "[s]winging doors and gates shall have maneuvering clearances complying with Table 404.2.4.1." That table indicates that the minimum strike-side maneuvering clearance on the pull side of a door is eighteen inches parallel to the doorway, as  [*832]  shown in Figure 404.2.4.1(a), which is reproduced below:</w:t>
      </w:r>
    </w:p>
    <w:p w14:paraId="11C5A140" w14:textId="3718F243" w:rsidR="002D0E71" w:rsidRDefault="002939DF">
      <w:pPr>
        <w:pStyle w:val="Normal28"/>
        <w:widowControl w:val="0"/>
        <w:spacing w:before="200" w:line="260" w:lineRule="atLeast"/>
        <w:jc w:val="both"/>
      </w:pPr>
      <w:bookmarkStart w:id="4029" w:name="Bookmark_para_22_20"/>
      <w:bookmarkEnd w:id="4029"/>
      <w:r>
        <w:rPr>
          <w:noProof/>
        </w:rPr>
        <w:drawing>
          <wp:inline distT="0" distB="0" distL="0" distR="0" wp14:anchorId="657A53E1" wp14:editId="3847D73C">
            <wp:extent cx="3954780" cy="299974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3954780" cy="2999740"/>
                    </a:xfrm>
                    <a:prstGeom prst="rect">
                      <a:avLst/>
                    </a:prstGeom>
                    <a:noFill/>
                    <a:ln>
                      <a:noFill/>
                    </a:ln>
                  </pic:spPr>
                </pic:pic>
              </a:graphicData>
            </a:graphic>
          </wp:inline>
        </w:drawing>
      </w:r>
    </w:p>
    <w:p w14:paraId="65C7C4E0" w14:textId="77777777" w:rsidR="002D0E71" w:rsidRDefault="00000000">
      <w:pPr>
        <w:pStyle w:val="Normal28"/>
        <w:widowControl w:val="0"/>
        <w:spacing w:before="200" w:line="260" w:lineRule="atLeast"/>
        <w:jc w:val="both"/>
      </w:pPr>
      <w:bookmarkStart w:id="4030" w:name="Bookmark_para_23_20"/>
      <w:bookmarkStart w:id="4031" w:name="Bookmark_LNHNREFclscc8_20"/>
      <w:bookmarkEnd w:id="4030"/>
      <w:bookmarkEnd w:id="4031"/>
      <w:r>
        <w:rPr>
          <w:rFonts w:ascii="Arial" w:eastAsia="Arial" w:hAnsi="Arial" w:cs="Arial"/>
          <w:color w:val="000000"/>
          <w:sz w:val="20"/>
        </w:rPr>
        <w:t xml:space="preserve">As with Figure 25(a) in the 1991 Guidelines, in which the dotted line represents a "boundary of clear floor area," the dashed line in Figure 404.2.4.1(a) of the 2010 Guidelines shows the "boundary of clear floor space or maneuvering clearance." 36 C.F.R. Pt. 1191, App. B, § 104.3 fig.104. The word "or," as it is used to describe the dashed line, frequently "introduces a definitional equivalent," such that maneuvering clearance and clear floor space would mean the same thing. Antonin Scalia &amp; Bryan A. Garner, </w:t>
      </w:r>
      <w:r>
        <w:rPr>
          <w:rFonts w:ascii="Arial" w:eastAsia="Arial" w:hAnsi="Arial" w:cs="Arial"/>
          <w:i/>
          <w:color w:val="000000"/>
          <w:sz w:val="20"/>
        </w:rPr>
        <w:t>Reading Law: The Interpretation of Legal Texts</w:t>
      </w:r>
      <w:r>
        <w:rPr>
          <w:rFonts w:ascii="Arial" w:eastAsia="Arial" w:hAnsi="Arial" w:cs="Arial"/>
          <w:color w:val="000000"/>
          <w:sz w:val="20"/>
        </w:rPr>
        <w:t xml:space="preserve"> 122 (2012) (giving an example with the same construction as is used in the Graphic Conventions). But even if the use of the word "or" in the 2010 Graphic Conventions' description of dashed lines means that the maneuvering clearance is not the same as clear floor space, but rather that it must refer to more than the floor area, we read it to mean the air above the floor, which must be [**11]  free of obstructions to allow a wheelchair to operate on the floor. Maneuvering clearance cannot include wall length because the text accompanying § 404.2.4 says that "[m]aneuvering clearances shall extend the full width of the doorway," and the dashed line showing the maneuvering clearance boundaries in Figure 404.2.4.1(a) continues across the doorway. </w:t>
      </w:r>
      <w:r>
        <w:rPr>
          <w:rFonts w:ascii="Arial" w:eastAsia="Arial" w:hAnsi="Arial" w:cs="Arial"/>
          <w:i/>
          <w:color w:val="000000"/>
          <w:sz w:val="20"/>
        </w:rPr>
        <w:t>See</w:t>
      </w:r>
      <w:r>
        <w:rPr>
          <w:rFonts w:ascii="Arial" w:eastAsia="Arial" w:hAnsi="Arial" w:cs="Arial"/>
          <w:color w:val="000000"/>
          <w:sz w:val="20"/>
        </w:rPr>
        <w:t xml:space="preserve"> 36 C.F.R. Pt. 1191, App. D § 404.2.4.1 fig.404.2.4.1(a). Kohler does not explain how "maneuvering clearances" under the 2010 Guidelines could mean a wall if that wall had to extend the full width of the doorway—indeed, if his view were correct there would be no doorway. The text of neither the 1991 nor the 2010 Guidelines supports Kohler's contention that there must be unobstructed wall space on the strike side of the door.</w:t>
      </w:r>
    </w:p>
    <w:p w14:paraId="3BD8C128" w14:textId="77777777" w:rsidR="002D0E71" w:rsidRDefault="00000000">
      <w:pPr>
        <w:pStyle w:val="Normal28"/>
        <w:widowControl w:val="0"/>
        <w:spacing w:before="200" w:line="260" w:lineRule="atLeast"/>
        <w:jc w:val="both"/>
      </w:pPr>
      <w:bookmarkStart w:id="4032" w:name="Bookmark_para_24_20"/>
      <w:bookmarkStart w:id="4033" w:name="Bookmark_I5FHWB372HM6BP0040000400"/>
      <w:bookmarkEnd w:id="4032"/>
      <w:bookmarkEnd w:id="4033"/>
      <w:r>
        <w:rPr>
          <w:rFonts w:ascii="Arial" w:eastAsia="Arial" w:hAnsi="Arial" w:cs="Arial"/>
          <w:color w:val="000000"/>
          <w:sz w:val="20"/>
        </w:rPr>
        <w:t xml:space="preserve">A second flaw in Kohler's argument relates to the structure of the Guidelines. The comprehensive nature of the Guidelines, </w:t>
      </w:r>
      <w:r>
        <w:rPr>
          <w:rFonts w:ascii="Arial" w:eastAsia="Arial" w:hAnsi="Arial" w:cs="Arial"/>
          <w:i/>
          <w:color w:val="000000"/>
          <w:sz w:val="20"/>
        </w:rPr>
        <w:t xml:space="preserve">see </w:t>
      </w:r>
      <w:bookmarkStart w:id="4034" w:name="Bookmark_I5FHWB372HM6BP0030000400"/>
      <w:bookmarkEnd w:id="4034"/>
      <w:r>
        <w:rPr>
          <w:rFonts w:ascii="Arial" w:eastAsia="Arial" w:hAnsi="Arial" w:cs="Arial"/>
          <w:i/>
          <w:color w:val="000000"/>
          <w:sz w:val="20"/>
        </w:rPr>
        <w:t>Chapman</w:t>
      </w:r>
      <w:r>
        <w:rPr>
          <w:rFonts w:ascii="Arial" w:eastAsia="Arial" w:hAnsi="Arial" w:cs="Arial"/>
          <w:color w:val="000000"/>
          <w:sz w:val="20"/>
        </w:rPr>
        <w:t xml:space="preserve">, 631 F.3d at 945 (stating that "[t]he [Guidelines'] requirements are as precise as they are thorough"), suggests that if the Guidelines contemplated requiring clear wall space to facilitate someone pushing off from the wall to open a door, they would have specified the texture of the wall and its structural strength. For example, the 1991 Guidelines require that a [**12]  handrail "and any wall or other surface adjacent to it" must be free of any sharp or abrasive elements. 28 C.F.R. Pt. 36, App. D § 4.26.4. Similarly, the 1991 Guidelines regulate the structural strength of grab bars, shower seats, and mounting devices. </w:t>
      </w:r>
      <w:r>
        <w:rPr>
          <w:rFonts w:ascii="Arial" w:eastAsia="Arial" w:hAnsi="Arial" w:cs="Arial"/>
          <w:i/>
          <w:color w:val="000000"/>
          <w:sz w:val="20"/>
        </w:rPr>
        <w:t>Id</w:t>
      </w:r>
      <w:r>
        <w:rPr>
          <w:rFonts w:ascii="Arial" w:eastAsia="Arial" w:hAnsi="Arial" w:cs="Arial"/>
          <w:color w:val="000000"/>
          <w:sz w:val="20"/>
        </w:rPr>
        <w:t xml:space="preserve">. § 4.26.3. The 2010 Guidelines  [*833]  have parallel provisions. </w:t>
      </w:r>
      <w:r>
        <w:rPr>
          <w:rFonts w:ascii="Arial" w:eastAsia="Arial" w:hAnsi="Arial" w:cs="Arial"/>
          <w:i/>
          <w:color w:val="000000"/>
          <w:sz w:val="20"/>
        </w:rPr>
        <w:t>See, e.g</w:t>
      </w:r>
      <w:r>
        <w:rPr>
          <w:rFonts w:ascii="Arial" w:eastAsia="Arial" w:hAnsi="Arial" w:cs="Arial"/>
          <w:color w:val="000000"/>
          <w:sz w:val="20"/>
        </w:rPr>
        <w:t>., 36 C.F.R. Pt. 1191, App. D §§ 505.8, 609.8. As we see it, the absence of any specifications related to surface texture or structural strength in connection with maneuvering clearances for doorways provides further evidence that the Guidelines do not require that a person be able to push off of a wall. The Guidelines are clear and explicit as to what they require, and the legal requirements of the ADA should not be modified merely to reflect an individual's preference for open wall when the applicable Guidelines did not cover that.</w:t>
      </w:r>
      <w:r>
        <w:rPr>
          <w:rFonts w:ascii="Arial" w:eastAsia="Arial" w:hAnsi="Arial" w:cs="Arial"/>
          <w:vertAlign w:val="superscript"/>
        </w:rPr>
        <w:footnoteReference w:customMarkFollows="1" w:id="136"/>
        <w:t>3</w:t>
      </w:r>
    </w:p>
    <w:p w14:paraId="0576F812" w14:textId="77777777" w:rsidR="002D0E71" w:rsidRDefault="00000000">
      <w:pPr>
        <w:pStyle w:val="Normal28"/>
        <w:widowControl w:val="0"/>
        <w:spacing w:before="200" w:line="260" w:lineRule="atLeast"/>
        <w:jc w:val="both"/>
      </w:pPr>
      <w:bookmarkStart w:id="4036" w:name="Bookmark_para_25_20"/>
      <w:bookmarkEnd w:id="4036"/>
      <w:r>
        <w:rPr>
          <w:rFonts w:ascii="Arial" w:eastAsia="Arial" w:hAnsi="Arial" w:cs="Arial"/>
          <w:color w:val="000000"/>
          <w:sz w:val="20"/>
        </w:rPr>
        <w:t xml:space="preserve">We conclude that </w:t>
      </w:r>
      <w:bookmarkStart w:id="4037" w:name="Bookmark_LNHNREFclscc9_19"/>
      <w:bookmarkEnd w:id="4037"/>
      <w:r>
        <w:rPr>
          <w:rFonts w:ascii="Arial" w:eastAsia="Arial" w:hAnsi="Arial" w:cs="Arial"/>
          <w:color w:val="000000"/>
          <w:sz w:val="20"/>
        </w:rPr>
        <w:t>under either the 1991 or the 2010 Guidelines, the phrases "maneuvering clearances" and "maneuvering space" refer to a clear area on the floor and in the air above it, free of physical hindrances or protrusions that would prevent a wheelchair user or other disabled person from maneuvering freely. We affirm the district court's conclusion on this issue.</w:t>
      </w:r>
    </w:p>
    <w:p w14:paraId="40178A87" w14:textId="77777777" w:rsidR="002D0E71" w:rsidRDefault="00000000">
      <w:pPr>
        <w:pStyle w:val="Normal28"/>
        <w:widowControl w:val="0"/>
        <w:spacing w:before="240" w:line="260" w:lineRule="atLeast"/>
      </w:pPr>
      <w:r>
        <w:br/>
      </w:r>
      <w:r>
        <w:rPr>
          <w:rFonts w:ascii="Arial" w:eastAsia="Arial" w:hAnsi="Arial" w:cs="Arial"/>
          <w:i/>
          <w:color w:val="000000"/>
          <w:sz w:val="20"/>
        </w:rPr>
        <w:t>B. No strike-side clearance is required on the push side of BB&amp;B's door because the door does not have a latch</w:t>
      </w:r>
      <w:r>
        <w:rPr>
          <w:rFonts w:ascii="Arial" w:eastAsia="Arial" w:hAnsi="Arial" w:cs="Arial"/>
          <w:color w:val="000000"/>
          <w:sz w:val="20"/>
        </w:rPr>
        <w:t>.</w:t>
      </w:r>
    </w:p>
    <w:p w14:paraId="622A3B87" w14:textId="77777777" w:rsidR="002D0E71" w:rsidRDefault="00000000">
      <w:pPr>
        <w:pStyle w:val="Normal28"/>
        <w:widowControl w:val="0"/>
        <w:spacing w:before="200" w:line="260" w:lineRule="atLeast"/>
        <w:jc w:val="both"/>
      </w:pPr>
      <w:bookmarkStart w:id="4038" w:name="Bookmark_para_26_19"/>
      <w:bookmarkEnd w:id="4038"/>
      <w:r>
        <w:rPr>
          <w:rFonts w:ascii="Arial" w:eastAsia="Arial" w:hAnsi="Arial" w:cs="Arial"/>
          <w:color w:val="000000"/>
          <w:sz w:val="20"/>
        </w:rPr>
        <w:t>Kohler argues that the Guidelines also require twelve inches of strike-side clearance on the push side of the door. But because that requirement only applies to doors with both a closer and a latch, and the door to BB&amp;B's restroom does not have a latch, we affirm the district court's ruling that under the ADA, no strike-side clearance is required on the push side of BB&amp;B's restroom door.</w:t>
      </w:r>
    </w:p>
    <w:p w14:paraId="093A85C2" w14:textId="77777777" w:rsidR="002D0E71" w:rsidRDefault="00000000">
      <w:pPr>
        <w:pStyle w:val="Normal28"/>
        <w:widowControl w:val="0"/>
        <w:spacing w:before="200" w:line="260" w:lineRule="atLeast"/>
        <w:jc w:val="both"/>
      </w:pPr>
      <w:bookmarkStart w:id="4039" w:name="Bookmark_para_27_19"/>
      <w:bookmarkEnd w:id="4039"/>
      <w:r>
        <w:rPr>
          <w:rFonts w:ascii="Arial" w:eastAsia="Arial" w:hAnsi="Arial" w:cs="Arial"/>
          <w:color w:val="000000"/>
          <w:sz w:val="20"/>
        </w:rPr>
        <w:t xml:space="preserve">There [**14]  is no dispute about the physical characteristics of BB&amp;B's restroom door. Instead, the parties dispute whether such characteristics mean that the door has both a closer and a latch, triggering the requirement of twelve inches of additional clearance. </w:t>
      </w:r>
      <w:r>
        <w:rPr>
          <w:rFonts w:ascii="Arial" w:eastAsia="Arial" w:hAnsi="Arial" w:cs="Arial"/>
          <w:i/>
          <w:color w:val="000000"/>
          <w:sz w:val="20"/>
        </w:rPr>
        <w:t>See</w:t>
      </w:r>
      <w:r>
        <w:rPr>
          <w:rFonts w:ascii="Arial" w:eastAsia="Arial" w:hAnsi="Arial" w:cs="Arial"/>
          <w:color w:val="000000"/>
          <w:sz w:val="20"/>
        </w:rPr>
        <w:t xml:space="preserve"> 28 C.F.R. Pt. 36, App. D § 4.13.6 fig.25(a) (1991 Guidelines); 36 C.F.R. Pt. 1191, App. D § 404.2.4.1 tbl. 404.2.4.1 (2010 Guidelines). The parties agree that BB&amp;B's restroom door has a closer and that the push side of the door does not have twelve inches of strike-side clearance. BB&amp;B argues that this is no problem under the ADA because the restroom door does not have a latch mechanism, and thus that no additional clearance is required. Referencing Table 404.2.4.1 of the 2010 Guidelines, Kohler contends that "latch" is used to describe the stop that prevents a door from swinging in two directions. Kohler argues that because BB&amp;B's restroom door has such a door stop and less than twelve inches of strike-side clearance, it violates the ADA. We agree with BB&amp;B's position and reject Kohler's.</w:t>
      </w:r>
    </w:p>
    <w:p w14:paraId="252A238B" w14:textId="77777777" w:rsidR="002D0E71" w:rsidRDefault="00000000">
      <w:pPr>
        <w:pStyle w:val="Normal28"/>
        <w:widowControl w:val="0"/>
        <w:spacing w:before="200" w:line="260" w:lineRule="atLeast"/>
        <w:jc w:val="both"/>
      </w:pPr>
      <w:bookmarkStart w:id="4040" w:name="Bookmark_para_28_17"/>
      <w:bookmarkEnd w:id="4040"/>
      <w:r>
        <w:rPr>
          <w:rFonts w:ascii="Arial" w:eastAsia="Arial" w:hAnsi="Arial" w:cs="Arial"/>
          <w:color w:val="000000"/>
          <w:sz w:val="20"/>
        </w:rPr>
        <w:t xml:space="preserve">Kohler's argument that BB&amp;B's restroom door has a latch is wholly unpersuasive. He does not address </w:t>
      </w:r>
      <w:bookmarkStart w:id="4041" w:name="Bookmark_LNHNREFclscc10_19"/>
      <w:bookmarkEnd w:id="4041"/>
      <w:r>
        <w:rPr>
          <w:rFonts w:ascii="Arial" w:eastAsia="Arial" w:hAnsi="Arial" w:cs="Arial"/>
          <w:color w:val="000000"/>
          <w:sz w:val="20"/>
        </w:rPr>
        <w:t xml:space="preserve">§ 4.13.9 of the 1991 Guidelines, entitled "Door Hardware," which says that "[h]andles, pulls, latches, locks, and other operating devices [**15]  on accessible doors shall have a shape that is easy to grasp . . . and does not require tight grasping . . . to operate." 28 C.F.R. Pt. 36, App. D § 4.13.9.  [*834]  Similarly, § 404.2.7 of the 2010 Guidelines says that "[h]andles, pulls, latches, locks, and other </w:t>
      </w:r>
      <w:r>
        <w:rPr>
          <w:rFonts w:ascii="Arial" w:eastAsia="Arial" w:hAnsi="Arial" w:cs="Arial"/>
          <w:i/>
          <w:color w:val="000000"/>
          <w:sz w:val="20"/>
        </w:rPr>
        <w:t>operable parts</w:t>
      </w:r>
      <w:r>
        <w:rPr>
          <w:rFonts w:ascii="Arial" w:eastAsia="Arial" w:hAnsi="Arial" w:cs="Arial"/>
          <w:color w:val="000000"/>
          <w:sz w:val="20"/>
        </w:rPr>
        <w:t xml:space="preserve"> on doors . . . shall comply with 309.4." 36 C.F.R. Pt. 1191, App. D § 404.2.7 (emphasis in original). In both, "latch" is included in a list of operable parts within the section that provides requirements to ensure disabled users are able to easily operate devices on doors. We do not think there is a sensible explanation for how a disabled user would operate a "stop" that prevents a door from swinging in both directions, or how such a stop would have an easy-to-grasp shape, which would be necessary if his proposed reading of "latch" made sense. Nor does Kohler's contention fit with common-sense definitions of "latch."</w:t>
      </w:r>
    </w:p>
    <w:p w14:paraId="5CA24A96" w14:textId="77777777" w:rsidR="002D0E71" w:rsidRDefault="00000000">
      <w:pPr>
        <w:pStyle w:val="Normal28"/>
        <w:widowControl w:val="0"/>
        <w:spacing w:before="200" w:line="260" w:lineRule="atLeast"/>
        <w:jc w:val="both"/>
      </w:pPr>
      <w:bookmarkStart w:id="4042" w:name="Bookmark_para_29_17"/>
      <w:bookmarkEnd w:id="4042"/>
      <w:r>
        <w:rPr>
          <w:rFonts w:ascii="Arial" w:eastAsia="Arial" w:hAnsi="Arial" w:cs="Arial"/>
          <w:color w:val="000000"/>
          <w:sz w:val="20"/>
        </w:rPr>
        <w:t xml:space="preserve">While "latch" is not defined in either the 1991 or 2010 Guidelines, the 2010 Guidelines state that the "meaning of terms not specifically defined . . . shall be as defined by collegiate dictionaries in the sense that the context implies." </w:t>
      </w:r>
      <w:r>
        <w:rPr>
          <w:rFonts w:ascii="Arial" w:eastAsia="Arial" w:hAnsi="Arial" w:cs="Arial"/>
          <w:i/>
          <w:color w:val="000000"/>
          <w:sz w:val="20"/>
        </w:rPr>
        <w:t>Id</w:t>
      </w:r>
      <w:r>
        <w:rPr>
          <w:rFonts w:ascii="Arial" w:eastAsia="Arial" w:hAnsi="Arial" w:cs="Arial"/>
          <w:color w:val="000000"/>
          <w:sz w:val="20"/>
        </w:rPr>
        <w:t xml:space="preserve">. Pt. 1191, App. B § 106.3. Even without a similar instruction in the 1991 Guidelines, using context and the most natural reading is a common interpretive principle. [**16]  Dictionaries define a "latch" as "a device that holds a door . . . closed and that consists of a bar that falls into a holder when it is closed and that is lifted when it is open," as "a type of door lock that can be opened from the inside by turning a lever or knob . . . . ," </w:t>
      </w:r>
      <w:r>
        <w:rPr>
          <w:rFonts w:ascii="Arial" w:eastAsia="Arial" w:hAnsi="Arial" w:cs="Arial"/>
          <w:i/>
          <w:color w:val="000000"/>
          <w:sz w:val="20"/>
        </w:rPr>
        <w:t>Latch</w:t>
      </w:r>
      <w:r>
        <w:rPr>
          <w:rFonts w:ascii="Arial" w:eastAsia="Arial" w:hAnsi="Arial" w:cs="Arial"/>
          <w:color w:val="000000"/>
          <w:sz w:val="20"/>
        </w:rPr>
        <w:t xml:space="preserve">, Merriam-Webster, http://www.merriam-webster.com/dictionary/latch (last visited Feb. 4, 2015), or as a "fastening, as for a door or gate, typically consisting of a bar that fits into a notch or slot and is lifted from either side by a lever or string," </w:t>
      </w:r>
      <w:r>
        <w:rPr>
          <w:rFonts w:ascii="Arial" w:eastAsia="Arial" w:hAnsi="Arial" w:cs="Arial"/>
          <w:i/>
          <w:color w:val="000000"/>
          <w:sz w:val="20"/>
        </w:rPr>
        <w:t>Latch</w:t>
      </w:r>
      <w:r>
        <w:rPr>
          <w:rFonts w:ascii="Arial" w:eastAsia="Arial" w:hAnsi="Arial" w:cs="Arial"/>
          <w:color w:val="000000"/>
          <w:sz w:val="20"/>
        </w:rPr>
        <w:t>, American Heritage Dictionary, http://www.ahdictionary.com/ word/search.html?q=latch (last visited Feb. 4, 2015). These definitions are more consistent with the usage in the Guidelines discussed above and with the logic of the Guidelines' general scheme; if there is a latch that must be opened, additional clearance is needed so a person can maneuver his or her wheelchair close enough to unfasten the latch. In the absence of a latch that in some way fastens the door, no clearance is needed for the person to push open the door with the foot pedals of the wheelchair.</w:t>
      </w:r>
    </w:p>
    <w:p w14:paraId="59143415" w14:textId="77777777" w:rsidR="002D0E71" w:rsidRDefault="00000000">
      <w:pPr>
        <w:pStyle w:val="Normal28"/>
        <w:widowControl w:val="0"/>
        <w:spacing w:before="200" w:line="260" w:lineRule="atLeast"/>
        <w:jc w:val="both"/>
      </w:pPr>
      <w:bookmarkStart w:id="4043" w:name="Bookmark_para_30_16"/>
      <w:bookmarkEnd w:id="4043"/>
      <w:r>
        <w:rPr>
          <w:rFonts w:ascii="Arial" w:eastAsia="Arial" w:hAnsi="Arial" w:cs="Arial"/>
          <w:color w:val="000000"/>
          <w:sz w:val="20"/>
        </w:rPr>
        <w:t>Because of the clear context of the Guidelines, we reject Kohler's interpretation of the word "latch." We affirm the district court's ruling that no strike-side [**17]  clearance was required on the push side of BB&amp;B's door, because that door was not equipped with a latch.</w:t>
      </w:r>
    </w:p>
    <w:p w14:paraId="771EF06D" w14:textId="77777777" w:rsidR="002D0E71" w:rsidRDefault="00000000">
      <w:pPr>
        <w:pStyle w:val="Normal28"/>
        <w:widowControl w:val="0"/>
        <w:spacing w:before="240" w:line="260" w:lineRule="atLeast"/>
      </w:pPr>
      <w:r>
        <w:br/>
      </w:r>
      <w:r>
        <w:rPr>
          <w:rFonts w:ascii="Arial" w:eastAsia="Arial" w:hAnsi="Arial" w:cs="Arial"/>
          <w:b/>
          <w:color w:val="000000"/>
          <w:sz w:val="20"/>
        </w:rPr>
        <w:t>IV</w:t>
      </w:r>
    </w:p>
    <w:p w14:paraId="78FA8DE4" w14:textId="77777777" w:rsidR="002D0E71" w:rsidRDefault="00000000">
      <w:pPr>
        <w:pStyle w:val="Normal28"/>
        <w:widowControl w:val="0"/>
        <w:spacing w:before="200" w:line="260" w:lineRule="atLeast"/>
        <w:jc w:val="both"/>
      </w:pPr>
      <w:bookmarkStart w:id="4044" w:name="Bookmark_para_31_16"/>
      <w:bookmarkEnd w:id="4044"/>
      <w:r>
        <w:rPr>
          <w:rFonts w:ascii="Arial" w:eastAsia="Arial" w:hAnsi="Arial" w:cs="Arial"/>
          <w:color w:val="000000"/>
          <w:sz w:val="20"/>
        </w:rPr>
        <w:t>The district court did not err in granting summary judgment to BB&amp;B on Kohler's ADA claims.</w:t>
      </w:r>
    </w:p>
    <w:p w14:paraId="3F224D41" w14:textId="77777777" w:rsidR="002D0E71" w:rsidRDefault="00000000">
      <w:pPr>
        <w:pStyle w:val="Normal28"/>
        <w:widowControl w:val="0"/>
        <w:spacing w:before="200" w:line="260" w:lineRule="atLeast"/>
        <w:jc w:val="both"/>
      </w:pPr>
      <w:bookmarkStart w:id="4045" w:name="Bookmark_para_32_15"/>
      <w:bookmarkEnd w:id="4045"/>
      <w:r>
        <w:rPr>
          <w:rFonts w:ascii="Arial" w:eastAsia="Arial" w:hAnsi="Arial" w:cs="Arial"/>
          <w:b/>
          <w:color w:val="000000"/>
          <w:sz w:val="20"/>
        </w:rPr>
        <w:t>AFFIRMED</w:t>
      </w:r>
      <w:r>
        <w:rPr>
          <w:rFonts w:ascii="Arial" w:eastAsia="Arial" w:hAnsi="Arial" w:cs="Arial"/>
          <w:color w:val="000000"/>
          <w:sz w:val="20"/>
        </w:rPr>
        <w:t>.</w:t>
      </w:r>
    </w:p>
    <w:p w14:paraId="21FA7FF8" w14:textId="77777777" w:rsidR="002D0E71" w:rsidRDefault="002D0E71">
      <w:pPr>
        <w:pStyle w:val="Normal28"/>
      </w:pPr>
    </w:p>
    <w:p w14:paraId="220C2044" w14:textId="396F9EB8" w:rsidR="002D0E71" w:rsidRDefault="00000000">
      <w:pPr>
        <w:pStyle w:val="Normal28"/>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18656" behindDoc="0" locked="0" layoutInCell="1" allowOverlap="1" wp14:anchorId="20F0D9D9" wp14:editId="58225DA6">
                <wp:simplePos x="0" y="0"/>
                <wp:positionH relativeFrom="column">
                  <wp:posOffset>0</wp:posOffset>
                </wp:positionH>
                <wp:positionV relativeFrom="paragraph">
                  <wp:posOffset>127000</wp:posOffset>
                </wp:positionV>
                <wp:extent cx="6502400" cy="0"/>
                <wp:effectExtent l="9525" t="12700" r="12700" b="6350"/>
                <wp:wrapNone/>
                <wp:docPr id="2091905403"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1C0FB2" id="Line 62"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63E9C02" w14:textId="77777777" w:rsidR="002D0E71" w:rsidRDefault="002D0E71">
      <w:pPr>
        <w:pStyle w:val="Normal29"/>
        <w:sectPr w:rsidR="002D0E71">
          <w:headerReference w:type="even" r:id="rId182"/>
          <w:headerReference w:type="default" r:id="rId183"/>
          <w:footerReference w:type="even" r:id="rId184"/>
          <w:footerReference w:type="default" r:id="rId185"/>
          <w:headerReference w:type="first" r:id="rId186"/>
          <w:footerReference w:type="first" r:id="rId187"/>
          <w:pgSz w:w="12240" w:h="15840"/>
          <w:pgMar w:top="840" w:right="1000" w:bottom="840" w:left="1000" w:header="400" w:footer="400" w:gutter="0"/>
          <w:cols w:space="720"/>
          <w:titlePg/>
        </w:sectPr>
      </w:pPr>
    </w:p>
    <w:p w14:paraId="6AF3C141" w14:textId="77777777" w:rsidR="002D0E71" w:rsidRDefault="002D0E71">
      <w:pPr>
        <w:pStyle w:val="Normal29"/>
      </w:pPr>
    </w:p>
    <w:p w14:paraId="2449D439" w14:textId="77777777" w:rsidR="002D0E71" w:rsidRDefault="00000000">
      <w:pPr>
        <w:pStyle w:val="Heading128"/>
        <w:keepNext w:val="0"/>
        <w:widowControl w:val="0"/>
        <w:spacing w:after="200" w:line="340" w:lineRule="atLeast"/>
        <w:jc w:val="center"/>
      </w:pPr>
      <w:r>
        <w:rPr>
          <w:rFonts w:eastAsia="Arial"/>
          <w:color w:val="000000"/>
          <w:sz w:val="28"/>
        </w:rPr>
        <w:t>Sharkey v. O'Neal</w:t>
      </w:r>
    </w:p>
    <w:p w14:paraId="3F5F610E" w14:textId="77777777" w:rsidR="002D0E71" w:rsidRDefault="00000000">
      <w:pPr>
        <w:pStyle w:val="Normal29"/>
        <w:widowControl w:val="0"/>
        <w:spacing w:before="120" w:line="260" w:lineRule="atLeast"/>
        <w:jc w:val="center"/>
      </w:pPr>
      <w:r>
        <w:rPr>
          <w:rFonts w:ascii="Arial" w:eastAsia="Arial" w:hAnsi="Arial" w:cs="Arial"/>
          <w:color w:val="000000"/>
          <w:sz w:val="20"/>
        </w:rPr>
        <w:t>United States Court of Appeals for the Ninth Circuit</w:t>
      </w:r>
    </w:p>
    <w:p w14:paraId="491B2177" w14:textId="77777777" w:rsidR="002D0E71" w:rsidRDefault="00000000">
      <w:pPr>
        <w:pStyle w:val="Normal29"/>
        <w:widowControl w:val="0"/>
        <w:spacing w:before="120" w:line="260" w:lineRule="atLeast"/>
        <w:jc w:val="center"/>
      </w:pPr>
      <w:r>
        <w:rPr>
          <w:rFonts w:ascii="Arial" w:eastAsia="Arial" w:hAnsi="Arial" w:cs="Arial"/>
          <w:color w:val="000000"/>
          <w:sz w:val="20"/>
        </w:rPr>
        <w:t>November 5, 2013, Argued and Submitted, San Francisco, California; February 10, 2015, Filed</w:t>
      </w:r>
    </w:p>
    <w:p w14:paraId="30DFA1BB" w14:textId="77777777" w:rsidR="002D0E71" w:rsidRDefault="00000000">
      <w:pPr>
        <w:pStyle w:val="Normal29"/>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11-15619</w:t>
      </w:r>
    </w:p>
    <w:p w14:paraId="0E4C5210" w14:textId="77777777" w:rsidR="002D0E71" w:rsidRDefault="002D0E71">
      <w:pPr>
        <w:pStyle w:val="Normal29"/>
        <w:widowControl w:val="0"/>
        <w:spacing w:line="240" w:lineRule="atLeast"/>
        <w:jc w:val="both"/>
      </w:pPr>
      <w:bookmarkStart w:id="4046" w:name="Bookmark_30"/>
      <w:bookmarkEnd w:id="4046"/>
    </w:p>
    <w:p w14:paraId="20F4DC19" w14:textId="77777777" w:rsidR="002D0E71" w:rsidRDefault="00000000">
      <w:pPr>
        <w:pStyle w:val="Normal29"/>
        <w:widowControl w:val="0"/>
        <w:spacing w:before="200" w:line="240" w:lineRule="atLeast"/>
      </w:pPr>
      <w:bookmarkStart w:id="4047" w:name="Reporter_28"/>
      <w:bookmarkEnd w:id="4047"/>
      <w:r>
        <w:rPr>
          <w:rFonts w:ascii="Arial" w:eastAsia="Arial" w:hAnsi="Arial" w:cs="Arial"/>
          <w:b/>
          <w:color w:val="000000"/>
          <w:sz w:val="18"/>
        </w:rPr>
        <w:t>Reporter</w:t>
      </w:r>
    </w:p>
    <w:p w14:paraId="6CAC6BF8" w14:textId="77777777" w:rsidR="002D0E71" w:rsidRDefault="00000000">
      <w:pPr>
        <w:pStyle w:val="Normal29"/>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778 F.3d 767 *; 2015 U.S. App. LEXIS 2097 **</w:t>
      </w:r>
    </w:p>
    <w:p w14:paraId="2DB6EE79" w14:textId="77777777" w:rsidR="002D0E71" w:rsidRDefault="00000000">
      <w:pPr>
        <w:pStyle w:val="Normal29"/>
        <w:widowControl w:val="0"/>
        <w:spacing w:before="120" w:line="260" w:lineRule="atLeast"/>
      </w:pPr>
      <w:r>
        <w:rPr>
          <w:rFonts w:ascii="Arial" w:eastAsia="Arial" w:hAnsi="Arial" w:cs="Arial"/>
          <w:color w:val="000000"/>
          <w:sz w:val="20"/>
        </w:rPr>
        <w:t>DENNIS SHARKEY, Plaintiff-Appellant, v. ERAL O'NEAL; SILVA FOSTER; D. GRAHAM; CHARLES SYDNEY, Defendants-Appellees.</w:t>
      </w:r>
    </w:p>
    <w:p w14:paraId="5DE768A7" w14:textId="77777777" w:rsidR="002D0E71" w:rsidRDefault="00000000">
      <w:pPr>
        <w:pStyle w:val="Normal29"/>
        <w:widowControl w:val="0"/>
        <w:spacing w:before="240" w:line="260" w:lineRule="atLeast"/>
        <w:jc w:val="both"/>
      </w:pPr>
      <w:bookmarkStart w:id="4048" w:name="Subsequent_History_10"/>
      <w:bookmarkEnd w:id="4048"/>
      <w:r>
        <w:rPr>
          <w:rFonts w:ascii="Arial" w:eastAsia="Arial" w:hAnsi="Arial" w:cs="Arial"/>
          <w:b/>
          <w:color w:val="000000"/>
          <w:sz w:val="20"/>
        </w:rPr>
        <w:t>Subsequent History:</w:t>
      </w:r>
      <w:r>
        <w:rPr>
          <w:rFonts w:ascii="Arial" w:eastAsia="Arial" w:hAnsi="Arial" w:cs="Arial"/>
          <w:color w:val="000000"/>
          <w:sz w:val="20"/>
        </w:rPr>
        <w:t> </w:t>
      </w:r>
      <w:bookmarkStart w:id="4049" w:name="Bookmark_para_1_28"/>
      <w:bookmarkEnd w:id="4049"/>
      <w:r>
        <w:rPr>
          <w:rFonts w:ascii="Arial" w:eastAsia="Arial" w:hAnsi="Arial" w:cs="Arial"/>
          <w:color w:val="000000"/>
          <w:sz w:val="20"/>
        </w:rPr>
        <w:t>As Corrected February 24, 2015.</w:t>
      </w:r>
    </w:p>
    <w:p w14:paraId="11A6C090" w14:textId="77777777" w:rsidR="002D0E71" w:rsidRDefault="00000000">
      <w:pPr>
        <w:pStyle w:val="Normal29"/>
        <w:widowControl w:val="0"/>
        <w:spacing w:before="120" w:line="260" w:lineRule="atLeast"/>
      </w:pPr>
      <w:r>
        <w:rPr>
          <w:rFonts w:ascii="Arial" w:eastAsia="Arial" w:hAnsi="Arial" w:cs="Arial"/>
          <w:color w:val="000000"/>
          <w:sz w:val="20"/>
        </w:rPr>
        <w:t>On remand at, Dismissed without prejudice by Sharkey v. O'Neal, 2015 U.S. Dist. LEXIS 116529 (N.D. Cal., Sept. 1, 2015)</w:t>
      </w:r>
    </w:p>
    <w:p w14:paraId="45360B63" w14:textId="77777777" w:rsidR="002D0E71" w:rsidRDefault="00000000">
      <w:pPr>
        <w:pStyle w:val="Normal29"/>
        <w:widowControl w:val="0"/>
        <w:spacing w:before="120" w:line="260" w:lineRule="atLeast"/>
      </w:pPr>
      <w:r>
        <w:rPr>
          <w:rFonts w:ascii="Arial" w:eastAsia="Arial" w:hAnsi="Arial" w:cs="Arial"/>
          <w:color w:val="000000"/>
          <w:sz w:val="20"/>
        </w:rPr>
        <w:t>Dismissed without prejudice by, in part, Dismissed by, in part Sharkey v. O'Neal, 2016 U.S. Dist. LEXIS 5496 (N.D. Cal., Jan. 15, 2016)</w:t>
      </w:r>
    </w:p>
    <w:p w14:paraId="455F9BD9" w14:textId="77777777" w:rsidR="002D0E71" w:rsidRDefault="00000000">
      <w:pPr>
        <w:pStyle w:val="Normal29"/>
        <w:widowControl w:val="0"/>
        <w:spacing w:before="240" w:line="260" w:lineRule="atLeast"/>
        <w:jc w:val="both"/>
      </w:pPr>
      <w:bookmarkStart w:id="4050" w:name="Prior_History_28"/>
      <w:bookmarkEnd w:id="4050"/>
      <w:r>
        <w:rPr>
          <w:rFonts w:ascii="Arial" w:eastAsia="Arial" w:hAnsi="Arial" w:cs="Arial"/>
          <w:b/>
          <w:color w:val="000000"/>
          <w:sz w:val="20"/>
        </w:rPr>
        <w:t>Prior History:</w:t>
      </w:r>
      <w:r>
        <w:rPr>
          <w:rFonts w:ascii="Arial" w:eastAsia="Arial" w:hAnsi="Arial" w:cs="Arial"/>
          <w:color w:val="000000"/>
          <w:sz w:val="20"/>
        </w:rPr>
        <w:t> </w:t>
      </w:r>
      <w:bookmarkStart w:id="4051" w:name="Bookmark_para_2_28"/>
      <w:bookmarkEnd w:id="4051"/>
      <w:r>
        <w:rPr>
          <w:rFonts w:ascii="Arial" w:eastAsia="Arial" w:hAnsi="Arial" w:cs="Arial"/>
          <w:color w:val="000000"/>
          <w:sz w:val="20"/>
        </w:rPr>
        <w:t> [**1] Appeal from the United States District Court for the Northern District of California. D.C. No. 3:09-cv-04341-JSW. Jeffrey S. White, District Judge, Presiding.</w:t>
      </w:r>
    </w:p>
    <w:p w14:paraId="7FEAA739" w14:textId="77777777" w:rsidR="002D0E71" w:rsidRDefault="00000000">
      <w:pPr>
        <w:pStyle w:val="Normal29"/>
        <w:widowControl w:val="0"/>
        <w:spacing w:before="120" w:line="260" w:lineRule="atLeast"/>
      </w:pPr>
      <w:r>
        <w:rPr>
          <w:rFonts w:ascii="Arial" w:eastAsia="Arial" w:hAnsi="Arial" w:cs="Arial"/>
          <w:color w:val="000000"/>
          <w:sz w:val="20"/>
        </w:rPr>
        <w:t>Sharkey v. O'Neal, 2011 U.S. Dist. LEXIS 19130 (N.D. Cal., Feb. 25, 2011)</w:t>
      </w:r>
    </w:p>
    <w:p w14:paraId="681E3C47" w14:textId="77777777" w:rsidR="002D0E71" w:rsidRDefault="00000000">
      <w:pPr>
        <w:pStyle w:val="Normal29"/>
        <w:widowControl w:val="0"/>
        <w:spacing w:before="240" w:line="260" w:lineRule="atLeast"/>
        <w:jc w:val="both"/>
      </w:pPr>
      <w:bookmarkStart w:id="4052" w:name="Disposition_12"/>
      <w:bookmarkEnd w:id="4052"/>
      <w:r>
        <w:rPr>
          <w:rFonts w:ascii="Arial" w:eastAsia="Arial" w:hAnsi="Arial" w:cs="Arial"/>
          <w:b/>
          <w:color w:val="000000"/>
          <w:sz w:val="20"/>
        </w:rPr>
        <w:t>Disposition:</w:t>
      </w:r>
      <w:r>
        <w:rPr>
          <w:rFonts w:ascii="Arial" w:eastAsia="Arial" w:hAnsi="Arial" w:cs="Arial"/>
          <w:color w:val="000000"/>
          <w:sz w:val="20"/>
        </w:rPr>
        <w:t> </w:t>
      </w:r>
      <w:bookmarkStart w:id="4053" w:name="Bookmark_clspara_4_10"/>
      <w:bookmarkEnd w:id="4053"/>
      <w:r>
        <w:rPr>
          <w:rFonts w:ascii="Arial" w:eastAsia="Arial" w:hAnsi="Arial" w:cs="Arial"/>
          <w:color w:val="000000"/>
          <w:sz w:val="20"/>
        </w:rPr>
        <w:t>REVERSED AND REMANDED.</w:t>
      </w:r>
    </w:p>
    <w:p w14:paraId="6AFB5252" w14:textId="77777777" w:rsidR="002D0E71" w:rsidRDefault="00000000">
      <w:pPr>
        <w:pStyle w:val="Normal29"/>
        <w:widowControl w:val="0"/>
        <w:spacing w:before="240" w:line="260" w:lineRule="atLeast"/>
      </w:pPr>
      <w:bookmarkStart w:id="4054" w:name="Summary_5"/>
      <w:bookmarkEnd w:id="4054"/>
      <w:r>
        <w:rPr>
          <w:rFonts w:ascii="Arial" w:eastAsia="Arial" w:hAnsi="Arial" w:cs="Arial"/>
          <w:b/>
          <w:color w:val="000000"/>
          <w:sz w:val="20"/>
        </w:rPr>
        <w:t>Summary:</w:t>
      </w:r>
    </w:p>
    <w:p w14:paraId="46920E86" w14:textId="77777777" w:rsidR="002D0E71" w:rsidRDefault="00000000">
      <w:pPr>
        <w:pStyle w:val="Normal29"/>
        <w:widowControl w:val="0"/>
        <w:spacing w:before="240" w:line="260" w:lineRule="atLeast"/>
        <w:jc w:val="both"/>
      </w:pPr>
      <w:bookmarkStart w:id="4055" w:name="Bookmark_clspara_5_5"/>
      <w:bookmarkEnd w:id="4055"/>
      <w:r>
        <w:rPr>
          <w:rFonts w:ascii="Arial" w:eastAsia="Arial" w:hAnsi="Arial" w:cs="Arial"/>
          <w:b/>
          <w:color w:val="000000"/>
          <w:sz w:val="20"/>
        </w:rPr>
        <w:t>SUMMARY</w:t>
      </w:r>
      <w:r>
        <w:rPr>
          <w:rFonts w:ascii="Arial" w:eastAsia="Arial" w:hAnsi="Arial" w:cs="Arial"/>
          <w:vertAlign w:val="superscript"/>
        </w:rPr>
        <w:footnoteReference w:customMarkFollows="1" w:id="137"/>
        <w:t>**</w:t>
      </w:r>
    </w:p>
    <w:p w14:paraId="6C43F289" w14:textId="77777777" w:rsidR="002D0E71" w:rsidRDefault="00000000">
      <w:pPr>
        <w:pStyle w:val="Normal29"/>
        <w:widowControl w:val="0"/>
        <w:spacing w:before="240" w:line="260" w:lineRule="atLeast"/>
        <w:jc w:val="both"/>
      </w:pPr>
      <w:bookmarkStart w:id="4057" w:name="Bookmark_clspara_6_5"/>
      <w:bookmarkEnd w:id="4057"/>
      <w:r>
        <w:rPr>
          <w:rFonts w:ascii="Arial" w:eastAsia="Arial" w:hAnsi="Arial" w:cs="Arial"/>
          <w:b/>
          <w:color w:val="000000"/>
          <w:sz w:val="20"/>
        </w:rPr>
        <w:t>Americans with Disabilities Act/Civil Rights</w:t>
      </w:r>
    </w:p>
    <w:p w14:paraId="05BC5308" w14:textId="77777777" w:rsidR="002D0E71" w:rsidRDefault="00000000">
      <w:pPr>
        <w:pStyle w:val="Normal29"/>
        <w:widowControl w:val="0"/>
        <w:spacing w:before="240" w:line="260" w:lineRule="atLeast"/>
        <w:jc w:val="both"/>
      </w:pPr>
      <w:bookmarkStart w:id="4058" w:name="Bookmark_clspara_7_5"/>
      <w:bookmarkEnd w:id="4058"/>
      <w:r>
        <w:rPr>
          <w:rFonts w:ascii="Arial" w:eastAsia="Arial" w:hAnsi="Arial" w:cs="Arial"/>
          <w:color w:val="000000"/>
          <w:sz w:val="20"/>
        </w:rPr>
        <w:t>The panel reversed the district court's order dismissing as time-barred plaintiff's claims under Title II of the Americans with Disabilities Act, Title VII of the Civil Rights Act, and 42 U.S.C. § 1983.</w:t>
      </w:r>
    </w:p>
    <w:p w14:paraId="24CA04B1" w14:textId="77777777" w:rsidR="002D0E71" w:rsidRDefault="00000000">
      <w:pPr>
        <w:pStyle w:val="Normal29"/>
        <w:widowControl w:val="0"/>
        <w:spacing w:before="240" w:line="260" w:lineRule="atLeast"/>
        <w:jc w:val="both"/>
      </w:pPr>
      <w:bookmarkStart w:id="4059" w:name="Bookmark_clspara_8_5"/>
      <w:bookmarkEnd w:id="4059"/>
      <w:r>
        <w:rPr>
          <w:rFonts w:ascii="Arial" w:eastAsia="Arial" w:hAnsi="Arial" w:cs="Arial"/>
          <w:color w:val="000000"/>
          <w:sz w:val="20"/>
        </w:rPr>
        <w:t xml:space="preserve">The district judge applied California's two-year statute of limitations for personal injury claims to plaintiff's claims against his parole officers, which alleged that defendants transferred plaintiff from his apartment to motels which did not accommodate his disabilities. The panel held that with respect to plaintiff's claim under Title II of the Americans with Disabilities Act, the district court was required to borrow the three-year limitations period applicable to claims under California Government Code § 11135, rather than the limitations period applicable to personal injury claims in California. Under this three-year limitations period, plaintiff's Americans with Disabilities [**2]  Act claim was not time-barred. With respect to plaintiff's remaining claims, the panel held that the district court abused its discretion in dismissing the pro se claims with prejudice without explanation. The panel remanded for an application of the factors set forth in </w:t>
      </w:r>
      <w:r>
        <w:rPr>
          <w:rFonts w:ascii="Arial" w:eastAsia="Arial" w:hAnsi="Arial" w:cs="Arial"/>
          <w:i/>
          <w:color w:val="000000"/>
          <w:sz w:val="20"/>
        </w:rPr>
        <w:t>Foman v. Davis</w:t>
      </w:r>
      <w:r>
        <w:rPr>
          <w:rFonts w:ascii="Arial" w:eastAsia="Arial" w:hAnsi="Arial" w:cs="Arial"/>
          <w:color w:val="000000"/>
          <w:sz w:val="20"/>
        </w:rPr>
        <w:t>, 371 U.S. 178, 182, 83 S. Ct. 227, 9 L. Ed. 2d 222 (1962), and the presumption in favor of granting leave to amend with respect to all claims other than plaintiff's Americans with Disabilities Act claim.</w:t>
      </w:r>
    </w:p>
    <w:p w14:paraId="7522C946" w14:textId="77777777" w:rsidR="002D0E71" w:rsidRDefault="00000000">
      <w:pPr>
        <w:pStyle w:val="Normal29"/>
        <w:widowControl w:val="0"/>
        <w:spacing w:before="240" w:line="260" w:lineRule="atLeast"/>
      </w:pPr>
      <w:bookmarkStart w:id="4060" w:name="Counsel_28"/>
      <w:bookmarkEnd w:id="4060"/>
      <w:r>
        <w:rPr>
          <w:rFonts w:ascii="Arial" w:eastAsia="Arial" w:hAnsi="Arial" w:cs="Arial"/>
          <w:b/>
          <w:color w:val="000000"/>
          <w:sz w:val="20"/>
        </w:rPr>
        <w:t>Counsel:</w:t>
      </w:r>
      <w:r>
        <w:rPr>
          <w:rFonts w:ascii="Arial" w:eastAsia="Arial" w:hAnsi="Arial" w:cs="Arial"/>
          <w:color w:val="000000"/>
          <w:sz w:val="20"/>
        </w:rPr>
        <w:t> Lisa Ells (argued) and Sanford Jay Rosen, Rosen Bien Galvan &amp; Grunfeld, San Francisco, California, for Plaintiff-Appellant.</w:t>
      </w:r>
    </w:p>
    <w:p w14:paraId="52906D80" w14:textId="77777777" w:rsidR="002D0E71" w:rsidRDefault="00000000">
      <w:pPr>
        <w:pStyle w:val="Normal29"/>
        <w:widowControl w:val="0"/>
        <w:spacing w:before="120" w:line="260" w:lineRule="atLeast"/>
      </w:pPr>
      <w:r>
        <w:rPr>
          <w:rFonts w:ascii="Arial" w:eastAsia="Arial" w:hAnsi="Arial" w:cs="Arial"/>
          <w:color w:val="000000"/>
          <w:sz w:val="20"/>
        </w:rPr>
        <w:t>Neah Huynh (argued), Deputy Attorney General; Kamala D. Harris, Attorney General; Jonathan L. Wolff, Senior Assistant Attorney General; Thomas S. Patterson, Supervising Deputy Attorney General, San Francisco, California, for Defendants-Appellees.</w:t>
      </w:r>
    </w:p>
    <w:p w14:paraId="09C5B712" w14:textId="77777777" w:rsidR="002D0E71" w:rsidRDefault="00000000">
      <w:pPr>
        <w:pStyle w:val="Normal29"/>
        <w:widowControl w:val="0"/>
        <w:spacing w:before="240" w:line="260" w:lineRule="atLeast"/>
      </w:pPr>
      <w:bookmarkStart w:id="4061" w:name="Judges_28"/>
      <w:bookmarkEnd w:id="4061"/>
      <w:r>
        <w:rPr>
          <w:rFonts w:ascii="Arial" w:eastAsia="Arial" w:hAnsi="Arial" w:cs="Arial"/>
          <w:b/>
          <w:color w:val="000000"/>
          <w:sz w:val="20"/>
        </w:rPr>
        <w:t>Judges:</w:t>
      </w:r>
      <w:r>
        <w:rPr>
          <w:rFonts w:ascii="Arial" w:eastAsia="Arial" w:hAnsi="Arial" w:cs="Arial"/>
          <w:color w:val="000000"/>
          <w:sz w:val="20"/>
        </w:rPr>
        <w:t> Before: Stephen Reinhardt and Paul J. Watford, Circuit Judges, and Robert S. Lasnik, District Judge.</w:t>
      </w:r>
      <w:r>
        <w:rPr>
          <w:rFonts w:ascii="Arial" w:eastAsia="Arial" w:hAnsi="Arial" w:cs="Arial"/>
          <w:vertAlign w:val="superscript"/>
        </w:rPr>
        <w:footnoteReference w:customMarkFollows="1" w:id="138"/>
        <w:t>*</w:t>
      </w:r>
      <w:r>
        <w:rPr>
          <w:rFonts w:ascii="Arial" w:eastAsia="Arial" w:hAnsi="Arial" w:cs="Arial"/>
          <w:color w:val="000000"/>
          <w:sz w:val="20"/>
        </w:rPr>
        <w:t xml:space="preserve"> Opinion by Judge Reinhardt.</w:t>
      </w:r>
    </w:p>
    <w:p w14:paraId="010CF2C7" w14:textId="77777777" w:rsidR="002D0E71" w:rsidRDefault="00000000">
      <w:pPr>
        <w:pStyle w:val="Normal29"/>
        <w:widowControl w:val="0"/>
        <w:spacing w:before="240" w:line="260" w:lineRule="atLeast"/>
      </w:pPr>
      <w:bookmarkStart w:id="4063" w:name="Opinion_by_20"/>
      <w:bookmarkEnd w:id="4063"/>
      <w:r>
        <w:rPr>
          <w:rFonts w:ascii="Arial" w:eastAsia="Arial" w:hAnsi="Arial" w:cs="Arial"/>
          <w:b/>
          <w:color w:val="000000"/>
          <w:sz w:val="20"/>
        </w:rPr>
        <w:t>Opinion by:</w:t>
      </w:r>
      <w:r>
        <w:rPr>
          <w:rFonts w:ascii="Arial" w:eastAsia="Arial" w:hAnsi="Arial" w:cs="Arial"/>
          <w:color w:val="000000"/>
          <w:sz w:val="20"/>
        </w:rPr>
        <w:t> Stephen Reinhardt</w:t>
      </w:r>
    </w:p>
    <w:p w14:paraId="68CA6979" w14:textId="77777777" w:rsidR="002D0E71" w:rsidRDefault="00000000">
      <w:pPr>
        <w:pStyle w:val="Normal29"/>
        <w:keepNext/>
        <w:widowControl w:val="0"/>
        <w:spacing w:before="240" w:line="340" w:lineRule="atLeast"/>
      </w:pPr>
      <w:bookmarkStart w:id="4064" w:name="Opinion_28"/>
      <w:bookmarkEnd w:id="4064"/>
      <w:r>
        <w:rPr>
          <w:rFonts w:ascii="Arial" w:eastAsia="Arial" w:hAnsi="Arial" w:cs="Arial"/>
          <w:b/>
          <w:color w:val="000000"/>
          <w:sz w:val="28"/>
        </w:rPr>
        <w:t>Opinion</w:t>
      </w:r>
    </w:p>
    <w:p w14:paraId="383D351B" w14:textId="629CD4B4" w:rsidR="002D0E71" w:rsidRDefault="002939DF">
      <w:pPr>
        <w:pStyle w:val="Normal29"/>
        <w:spacing w:line="60" w:lineRule="exact"/>
      </w:pPr>
      <w:r>
        <w:rPr>
          <w:noProof/>
        </w:rPr>
        <mc:AlternateContent>
          <mc:Choice Requires="wps">
            <w:drawing>
              <wp:anchor distT="0" distB="0" distL="114300" distR="114300" simplePos="0" relativeHeight="251719680" behindDoc="0" locked="0" layoutInCell="1" allowOverlap="1" wp14:anchorId="52E21E04" wp14:editId="73D23735">
                <wp:simplePos x="0" y="0"/>
                <wp:positionH relativeFrom="column">
                  <wp:posOffset>0</wp:posOffset>
                </wp:positionH>
                <wp:positionV relativeFrom="paragraph">
                  <wp:posOffset>25400</wp:posOffset>
                </wp:positionV>
                <wp:extent cx="3187700" cy="0"/>
                <wp:effectExtent l="19050" t="15875" r="12700" b="12700"/>
                <wp:wrapTopAndBottom/>
                <wp:docPr id="1635351247"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D6C3F" id="Line 63"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F2B0C33" w14:textId="77777777" w:rsidR="002D0E71" w:rsidRDefault="002D0E71">
      <w:pPr>
        <w:pStyle w:val="Normal29"/>
      </w:pPr>
    </w:p>
    <w:p w14:paraId="517FCDA1" w14:textId="77777777" w:rsidR="002D0E71" w:rsidRDefault="00000000">
      <w:pPr>
        <w:pStyle w:val="Normal29"/>
        <w:widowControl w:val="0"/>
        <w:spacing w:before="200" w:line="260" w:lineRule="atLeast"/>
        <w:jc w:val="both"/>
      </w:pPr>
      <w:bookmarkStart w:id="4065" w:name="Bookmark_para_3_28"/>
      <w:bookmarkEnd w:id="4065"/>
      <w:r>
        <w:rPr>
          <w:rFonts w:ascii="Arial" w:eastAsia="Arial" w:hAnsi="Arial" w:cs="Arial"/>
          <w:color w:val="000000"/>
          <w:sz w:val="20"/>
        </w:rPr>
        <w:t> [*768]  REINHARDT, Circuit Judge:</w:t>
      </w:r>
    </w:p>
    <w:p w14:paraId="2F006FCF" w14:textId="77777777" w:rsidR="002D0E71" w:rsidRDefault="00000000">
      <w:pPr>
        <w:pStyle w:val="Normal29"/>
        <w:widowControl w:val="0"/>
        <w:spacing w:before="200" w:line="260" w:lineRule="atLeast"/>
        <w:jc w:val="both"/>
      </w:pPr>
      <w:bookmarkStart w:id="4066" w:name="Bookmark_para_4_28"/>
      <w:bookmarkEnd w:id="4066"/>
      <w:r>
        <w:rPr>
          <w:rFonts w:ascii="Arial" w:eastAsia="Arial" w:hAnsi="Arial" w:cs="Arial"/>
          <w:color w:val="000000"/>
          <w:sz w:val="20"/>
        </w:rPr>
        <w:t>Dennis Sharkey appeals from an order of the district court dismissing as time-barred his claims under Title [**3]  II of the Americans with Disabilities Act (ADA), Title VII of the Civil Rights Act, and various provisions of the Constitution pursuant to 42 U.S.C. § 1983. The district judge applied California's two-year statute of limitations for personal injury claims to all of Sharkey's claims. With respect to Sharkey's claim under Title II of the ADA, we hold that the district court did not apply the correct statute of limitations. District courts must borrow the three-year limitations period applicable to claims under California Government Code § 11135, rather than the limitations period applicable to personal injury claims in California. Under this three-year limitations period, Sharkey's ADA claim is not time-barred. With respect to his other claims, Sharkey does not contest the applicable limitations periods, but we hold that the district court abused its discretion in dismissing the complaint with prejudice without affording Sharkey leave to amend.</w:t>
      </w:r>
    </w:p>
    <w:p w14:paraId="3ECE1544" w14:textId="77777777" w:rsidR="002D0E71" w:rsidRDefault="00000000">
      <w:pPr>
        <w:pStyle w:val="Normal29"/>
        <w:widowControl w:val="0"/>
        <w:spacing w:before="240" w:line="260" w:lineRule="atLeast"/>
      </w:pPr>
      <w:r>
        <w:br/>
      </w:r>
      <w:r>
        <w:rPr>
          <w:rFonts w:ascii="Arial" w:eastAsia="Arial" w:hAnsi="Arial" w:cs="Arial"/>
          <w:b/>
          <w:color w:val="000000"/>
          <w:sz w:val="20"/>
        </w:rPr>
        <w:t>BACKGROUND</w:t>
      </w:r>
      <w:r>
        <w:rPr>
          <w:rFonts w:ascii="Arial" w:eastAsia="Arial" w:hAnsi="Arial" w:cs="Arial"/>
          <w:vertAlign w:val="superscript"/>
        </w:rPr>
        <w:footnoteReference w:customMarkFollows="1" w:id="139"/>
        <w:t>1</w:t>
      </w:r>
    </w:p>
    <w:p w14:paraId="0312ACF8" w14:textId="77777777" w:rsidR="002D0E71" w:rsidRDefault="00000000">
      <w:pPr>
        <w:pStyle w:val="Normal29"/>
        <w:widowControl w:val="0"/>
        <w:spacing w:before="200" w:line="260" w:lineRule="atLeast"/>
        <w:jc w:val="both"/>
      </w:pPr>
      <w:bookmarkStart w:id="4070" w:name="Bookmark_para_5_28"/>
      <w:bookmarkEnd w:id="4070"/>
      <w:r>
        <w:rPr>
          <w:rFonts w:ascii="Arial" w:eastAsia="Arial" w:hAnsi="Arial" w:cs="Arial"/>
          <w:color w:val="000000"/>
          <w:sz w:val="20"/>
        </w:rPr>
        <w:t>Sharkey is a 55-year-old man with disabilities [**4]  that require him to use a wheelchair  [*769]  and two canes. In late 2006 and early 2007, Defendants Graham, Foster, O'Neal, and Sydney were employees at the Parole Division of the California Department of Corrections and Rehabilitation in Berkeley.</w:t>
      </w:r>
    </w:p>
    <w:p w14:paraId="7E8262B5" w14:textId="77777777" w:rsidR="002D0E71" w:rsidRDefault="00000000">
      <w:pPr>
        <w:pStyle w:val="Normal29"/>
        <w:widowControl w:val="0"/>
        <w:spacing w:before="200" w:line="260" w:lineRule="atLeast"/>
        <w:jc w:val="both"/>
      </w:pPr>
      <w:bookmarkStart w:id="4071" w:name="Bookmark_para_6_28"/>
      <w:bookmarkEnd w:id="4071"/>
      <w:r>
        <w:rPr>
          <w:rFonts w:ascii="Arial" w:eastAsia="Arial" w:hAnsi="Arial" w:cs="Arial"/>
          <w:color w:val="000000"/>
          <w:sz w:val="20"/>
        </w:rPr>
        <w:t>In 2006, Sharkey was on parole, living independently in an accessible apartment in Oakland. On December 28, 2006, Agent Foster informed Sharkey of new parole terms, including a housing restriction imposed under the California Sexual Predator and Control Act that required Sharkey to move from his Oakland residence. Agent O'Neal, who Agent Foster had assigned to Sharkey's case, gave Sharkey only an hour to relocate and only 25 minutes to pack, notwithstanding his disability. Sharkey experienced a great deal of pain during this harried move, and, due to the time pressure, left behind important medical supplies and personal possessions. Agent O'Neal forbade Sharkey from ever returning to the apartment or from calling friends to retrieve his remaining belongings.</w:t>
      </w:r>
    </w:p>
    <w:p w14:paraId="6B11B7EF" w14:textId="77777777" w:rsidR="002D0E71" w:rsidRDefault="00000000">
      <w:pPr>
        <w:pStyle w:val="Normal29"/>
        <w:widowControl w:val="0"/>
        <w:spacing w:before="200" w:line="260" w:lineRule="atLeast"/>
        <w:jc w:val="both"/>
      </w:pPr>
      <w:bookmarkStart w:id="4072" w:name="Bookmark_para_7_27"/>
      <w:bookmarkEnd w:id="4072"/>
      <w:r>
        <w:rPr>
          <w:rFonts w:ascii="Arial" w:eastAsia="Arial" w:hAnsi="Arial" w:cs="Arial"/>
          <w:color w:val="000000"/>
          <w:sz w:val="20"/>
        </w:rPr>
        <w:t>That night, Agent O'Neal drove Sharkey to the Harris Motel and assigned him to a room that lacked the safety features necessary to accommodate his disability, such as a wheelchair-accessible entrance, [**5]  sufficient floor space to operate a wheelchair, and bathroom grab bars. When Sharkey complained to Agent Foster, no attempt was made to locate a suitable residence.</w:t>
      </w:r>
    </w:p>
    <w:p w14:paraId="21CA383F" w14:textId="77777777" w:rsidR="002D0E71" w:rsidRDefault="00000000">
      <w:pPr>
        <w:pStyle w:val="Normal29"/>
        <w:widowControl w:val="0"/>
        <w:spacing w:before="200" w:line="260" w:lineRule="atLeast"/>
        <w:jc w:val="both"/>
      </w:pPr>
      <w:bookmarkStart w:id="4073" w:name="Bookmark_para_8_27"/>
      <w:bookmarkEnd w:id="4073"/>
      <w:r>
        <w:rPr>
          <w:rFonts w:ascii="Arial" w:eastAsia="Arial" w:hAnsi="Arial" w:cs="Arial"/>
          <w:color w:val="000000"/>
          <w:sz w:val="20"/>
        </w:rPr>
        <w:t>Sharkey was injured at least three times in slip and fall accidents as a result of the lack of accommodations at the Harris Motel. He also lost access to a federal program that had provided him with in-home medical services because the motel did not meet the program's residence requirements. Sharkey's doctors in turn canceled several scheduled surgeries because he no longer had a suitable recovery environment, and Sharkey was unable to participate in other medically necessary treatments. Sharkey informed the defendants about the problems caused by his relocation to the Harris Motel and the need for an accessible residence, to no avail.</w:t>
      </w:r>
    </w:p>
    <w:p w14:paraId="65DC9C6E" w14:textId="77777777" w:rsidR="002D0E71" w:rsidRDefault="00000000">
      <w:pPr>
        <w:pStyle w:val="Normal29"/>
        <w:widowControl w:val="0"/>
        <w:spacing w:before="200" w:line="260" w:lineRule="atLeast"/>
        <w:jc w:val="both"/>
      </w:pPr>
      <w:bookmarkStart w:id="4074" w:name="Bookmark_para_9_27"/>
      <w:bookmarkEnd w:id="4074"/>
      <w:r>
        <w:rPr>
          <w:rFonts w:ascii="Arial" w:eastAsia="Arial" w:hAnsi="Arial" w:cs="Arial"/>
          <w:color w:val="000000"/>
          <w:sz w:val="20"/>
        </w:rPr>
        <w:t>In March 2007, after Sharkey went to the emergency room with injuries sustained when he fell in the ill-equipped motel room, Agent O'Neal moved Sharkey from the Harris Motel to the Sea Breeze Inn. Located on a truck route in an industrial area that lacked access to public transportation, this new motel did not accommodate Sharkey's disability-related needs either.</w:t>
      </w:r>
    </w:p>
    <w:p w14:paraId="5B6A161B" w14:textId="77777777" w:rsidR="002D0E71" w:rsidRDefault="00000000">
      <w:pPr>
        <w:pStyle w:val="Normal29"/>
        <w:widowControl w:val="0"/>
        <w:spacing w:before="200" w:line="260" w:lineRule="atLeast"/>
        <w:jc w:val="both"/>
      </w:pPr>
      <w:bookmarkStart w:id="4075" w:name="Bookmark_para_10_26"/>
      <w:bookmarkStart w:id="4076" w:name="Bookmark_I5FFRMNX28T3W50040000400"/>
      <w:bookmarkEnd w:id="4075"/>
      <w:bookmarkEnd w:id="4076"/>
      <w:r>
        <w:rPr>
          <w:rFonts w:ascii="Arial" w:eastAsia="Arial" w:hAnsi="Arial" w:cs="Arial"/>
          <w:color w:val="000000"/>
          <w:sz w:val="20"/>
        </w:rPr>
        <w:t xml:space="preserve">Sharkey alleges that the defendants' [**6]  decisions to require him to live in motels incapable of accommodating his disabilities caused him significant pain and stress, exacerbated his medical conditions, and deprived him of access to important medical treatments. On September 17, 2009, Sharkey filed suit, proceeding </w:t>
      </w:r>
      <w:r>
        <w:rPr>
          <w:rFonts w:ascii="Arial" w:eastAsia="Arial" w:hAnsi="Arial" w:cs="Arial"/>
          <w:i/>
          <w:color w:val="000000"/>
          <w:sz w:val="20"/>
        </w:rPr>
        <w:t>pro se</w:t>
      </w:r>
      <w:r>
        <w:rPr>
          <w:rFonts w:ascii="Arial" w:eastAsia="Arial" w:hAnsi="Arial" w:cs="Arial"/>
          <w:color w:val="000000"/>
          <w:sz w:val="20"/>
        </w:rPr>
        <w:t xml:space="preserve"> and </w:t>
      </w:r>
      <w:r>
        <w:rPr>
          <w:rFonts w:ascii="Arial" w:eastAsia="Arial" w:hAnsi="Arial" w:cs="Arial"/>
          <w:i/>
          <w:color w:val="000000"/>
          <w:sz w:val="20"/>
        </w:rPr>
        <w:t>in forma pauperis</w:t>
      </w:r>
      <w:r>
        <w:rPr>
          <w:rFonts w:ascii="Arial" w:eastAsia="Arial" w:hAnsi="Arial" w:cs="Arial"/>
          <w:color w:val="000000"/>
          <w:sz w:val="20"/>
        </w:rPr>
        <w:t>, against the defendants in the Northern District of California, alleging violations of Title II of the ADA, Title VII of the Civil Rights Act, and the Constitution. On February 25, 2011, the district court dismissed the entirety of Sharkey's complaint with prejudice as time-barred under the two-year statute of limitations applicable to personal injury claims in California.</w:t>
      </w:r>
      <w:r>
        <w:rPr>
          <w:rFonts w:ascii="Arial" w:eastAsia="Arial" w:hAnsi="Arial" w:cs="Arial"/>
          <w:vertAlign w:val="superscript"/>
        </w:rPr>
        <w:footnoteReference w:customMarkFollows="1" w:id="140"/>
        <w:t>2</w:t>
      </w:r>
      <w:r>
        <w:rPr>
          <w:rFonts w:ascii="Arial" w:eastAsia="Arial" w:hAnsi="Arial" w:cs="Arial"/>
          <w:color w:val="000000"/>
          <w:sz w:val="20"/>
        </w:rPr>
        <w:t xml:space="preserve"> We reverse.</w:t>
      </w:r>
    </w:p>
    <w:p w14:paraId="0FDEE41A" w14:textId="77777777" w:rsidR="002D0E71" w:rsidRDefault="00000000">
      <w:pPr>
        <w:pStyle w:val="Normal29"/>
        <w:widowControl w:val="0"/>
        <w:spacing w:before="240" w:line="260" w:lineRule="atLeast"/>
      </w:pPr>
      <w:r>
        <w:br/>
      </w:r>
      <w:r>
        <w:rPr>
          <w:rFonts w:ascii="Arial" w:eastAsia="Arial" w:hAnsi="Arial" w:cs="Arial"/>
          <w:color w:val="000000"/>
          <w:sz w:val="20"/>
        </w:rPr>
        <w:t xml:space="preserve"> [*770]  </w:t>
      </w:r>
      <w:r>
        <w:rPr>
          <w:rFonts w:ascii="Arial" w:eastAsia="Arial" w:hAnsi="Arial" w:cs="Arial"/>
          <w:b/>
          <w:color w:val="000000"/>
          <w:sz w:val="20"/>
        </w:rPr>
        <w:t>DISCUSSION</w:t>
      </w:r>
    </w:p>
    <w:p w14:paraId="74E16833" w14:textId="77777777" w:rsidR="002D0E71" w:rsidRDefault="00000000">
      <w:pPr>
        <w:pStyle w:val="Normal29"/>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14:paraId="0667538F" w14:textId="77777777" w:rsidR="002D0E71" w:rsidRDefault="00000000">
      <w:pPr>
        <w:pStyle w:val="Normal29"/>
        <w:widowControl w:val="0"/>
        <w:spacing w:before="200" w:line="260" w:lineRule="atLeast"/>
        <w:jc w:val="both"/>
      </w:pPr>
      <w:bookmarkStart w:id="4079" w:name="Bookmark_para_11_26"/>
      <w:bookmarkStart w:id="4080" w:name="Bookmark_I5FFRMNX2HM5WK0010000400"/>
      <w:bookmarkEnd w:id="4079"/>
      <w:bookmarkEnd w:id="4080"/>
      <w:r>
        <w:rPr>
          <w:rFonts w:ascii="Arial" w:eastAsia="Arial" w:hAnsi="Arial" w:cs="Arial"/>
          <w:color w:val="000000"/>
          <w:sz w:val="20"/>
        </w:rPr>
        <w:t xml:space="preserve">Sharkey first contends that the district court erred [**7]  when it dismissed his claim under Title II of the ADA as barred by the two-year statute of limitations applicable to personal injury claims in California. We review </w:t>
      </w:r>
      <w:r>
        <w:rPr>
          <w:rFonts w:ascii="Arial" w:eastAsia="Arial" w:hAnsi="Arial" w:cs="Arial"/>
          <w:i/>
          <w:color w:val="000000"/>
          <w:sz w:val="20"/>
        </w:rPr>
        <w:t>de novo</w:t>
      </w:r>
      <w:r>
        <w:rPr>
          <w:rFonts w:ascii="Arial" w:eastAsia="Arial" w:hAnsi="Arial" w:cs="Arial"/>
          <w:color w:val="000000"/>
          <w:sz w:val="20"/>
        </w:rPr>
        <w:t xml:space="preserve"> the district court's order dismissing the claim on statute of limitations grounds. </w:t>
      </w:r>
      <w:bookmarkStart w:id="4081" w:name="Bookmark_I5FFRMNX28T3W50050000400"/>
      <w:bookmarkEnd w:id="4081"/>
      <w:r>
        <w:rPr>
          <w:rFonts w:ascii="Arial" w:eastAsia="Arial" w:hAnsi="Arial" w:cs="Arial"/>
          <w:i/>
          <w:color w:val="000000"/>
          <w:sz w:val="20"/>
        </w:rPr>
        <w:t>MHC Fin. Ltd. P'ship v. City of San Rafael</w:t>
      </w:r>
      <w:r>
        <w:rPr>
          <w:rFonts w:ascii="Arial" w:eastAsia="Arial" w:hAnsi="Arial" w:cs="Arial"/>
          <w:color w:val="000000"/>
          <w:sz w:val="20"/>
        </w:rPr>
        <w:t>, 714 F.3d 1118, 1125 (9th Cir. 2013).</w:t>
      </w:r>
    </w:p>
    <w:p w14:paraId="44FD3F22" w14:textId="77777777" w:rsidR="002D0E71" w:rsidRDefault="00000000">
      <w:pPr>
        <w:pStyle w:val="Normal29"/>
        <w:widowControl w:val="0"/>
        <w:spacing w:before="200" w:line="260" w:lineRule="atLeast"/>
        <w:jc w:val="both"/>
      </w:pPr>
      <w:bookmarkStart w:id="4082" w:name="Bookmark_para_12_25"/>
      <w:bookmarkEnd w:id="4082"/>
      <w:r>
        <w:rPr>
          <w:rFonts w:ascii="Arial" w:eastAsia="Arial" w:hAnsi="Arial" w:cs="Arial"/>
          <w:color w:val="000000"/>
          <w:sz w:val="20"/>
        </w:rPr>
        <w:t xml:space="preserve">Initially, we reject defendants' argument that we must apply the same limitations period to </w:t>
      </w:r>
      <w:r>
        <w:rPr>
          <w:rFonts w:ascii="Arial" w:eastAsia="Arial" w:hAnsi="Arial" w:cs="Arial"/>
          <w:i/>
          <w:color w:val="000000"/>
          <w:sz w:val="20"/>
        </w:rPr>
        <w:t>all</w:t>
      </w:r>
      <w:r>
        <w:rPr>
          <w:rFonts w:ascii="Arial" w:eastAsia="Arial" w:hAnsi="Arial" w:cs="Arial"/>
          <w:color w:val="000000"/>
          <w:sz w:val="20"/>
        </w:rPr>
        <w:t xml:space="preserve"> ADA claims. </w:t>
      </w:r>
      <w:bookmarkStart w:id="4083" w:name="Bookmark_I5FFRMNX2HM5WK0030000400"/>
      <w:bookmarkStart w:id="4084" w:name="Bookmark_LNHNREFclscc1_23"/>
      <w:bookmarkEnd w:id="4083"/>
      <w:bookmarkEnd w:id="4084"/>
      <w:r>
        <w:rPr>
          <w:rFonts w:ascii="Arial" w:eastAsia="Arial" w:hAnsi="Arial" w:cs="Arial"/>
          <w:color w:val="000000"/>
          <w:sz w:val="20"/>
        </w:rPr>
        <w:t xml:space="preserve">The ADA is structured as separate titles governing different conduct: Title I, 42 U.S.C. §§ 12111-12117, covers discrimination in employment; Title II, 42 U.S.C. §§ 12131-12165, covers discrimination in public services; and Title III, 42 U.S.C. §§ 12181-12189, covers discrimination in public accommodations and services operated by private entities. It is clear that Congress did not intend every title of the ADA to have the same limitations period. Title I expressly incorporates the limitations period under Title VII of the Civil Rights Act, </w:t>
      </w:r>
      <w:r>
        <w:rPr>
          <w:rFonts w:ascii="Arial" w:eastAsia="Arial" w:hAnsi="Arial" w:cs="Arial"/>
          <w:i/>
          <w:color w:val="000000"/>
          <w:sz w:val="20"/>
        </w:rPr>
        <w:t xml:space="preserve">see, e.g., </w:t>
      </w:r>
      <w:bookmarkStart w:id="4085" w:name="Bookmark_I5FFRMNX2HM5WK0020000400"/>
      <w:bookmarkEnd w:id="4085"/>
      <w:r>
        <w:rPr>
          <w:rFonts w:ascii="Arial" w:eastAsia="Arial" w:hAnsi="Arial" w:cs="Arial"/>
          <w:i/>
          <w:color w:val="000000"/>
          <w:sz w:val="20"/>
        </w:rPr>
        <w:t>Douglas v. Cal. Dep't. of Youth Auth</w:t>
      </w:r>
      <w:r>
        <w:rPr>
          <w:rFonts w:ascii="Arial" w:eastAsia="Arial" w:hAnsi="Arial" w:cs="Arial"/>
          <w:color w:val="000000"/>
          <w:sz w:val="20"/>
        </w:rPr>
        <w:t xml:space="preserve">., 271 F.3d 812, 823 (9th Cir. 2001), whereas Congress omitted express limitations periods from the other ADA titles. Furthermore, because each title of the ADA "encompasses different types of discrimination, as well as different remedies," Mary J. Topliff, Annotation, </w:t>
      </w:r>
      <w:r>
        <w:rPr>
          <w:rFonts w:ascii="Arial" w:eastAsia="Arial" w:hAnsi="Arial" w:cs="Arial"/>
          <w:i/>
          <w:color w:val="000000"/>
          <w:sz w:val="20"/>
        </w:rPr>
        <w:t>Limitation of Actions Under the Americans with Disabilities Act</w:t>
      </w:r>
      <w:r>
        <w:rPr>
          <w:rFonts w:ascii="Arial" w:eastAsia="Arial" w:hAnsi="Arial" w:cs="Arial"/>
          <w:color w:val="000000"/>
          <w:sz w:val="20"/>
        </w:rPr>
        <w:t>, 144 A.L.R. Fed. 307 § 2(a) (1998), there is good reason for differing statutes of limitations. [**8]  Here, we express no opinion as to the limitations period applicable to claims under titles of the ADA other than Title II.</w:t>
      </w:r>
    </w:p>
    <w:p w14:paraId="426BDF4E" w14:textId="77777777" w:rsidR="002D0E71" w:rsidRDefault="00000000">
      <w:pPr>
        <w:pStyle w:val="Normal29"/>
        <w:widowControl w:val="0"/>
        <w:spacing w:before="200" w:line="260" w:lineRule="atLeast"/>
        <w:jc w:val="both"/>
      </w:pPr>
      <w:bookmarkStart w:id="4086" w:name="Bookmark_para_13_25"/>
      <w:bookmarkStart w:id="4087" w:name="Bookmark_I5FFRMNX2HM5WK0050000400"/>
      <w:bookmarkStart w:id="4088" w:name="Bookmark_I5FFRMNX2SF85R0020000400"/>
      <w:bookmarkStart w:id="4089" w:name="Bookmark_LNHNREFclscc2_23"/>
      <w:bookmarkEnd w:id="4086"/>
      <w:bookmarkEnd w:id="4087"/>
      <w:bookmarkEnd w:id="4088"/>
      <w:bookmarkEnd w:id="4089"/>
      <w:r>
        <w:rPr>
          <w:rFonts w:ascii="Arial" w:eastAsia="Arial" w:hAnsi="Arial" w:cs="Arial"/>
          <w:color w:val="000000"/>
          <w:sz w:val="20"/>
        </w:rPr>
        <w:t xml:space="preserve">Title II of the ADA does not contain an express statute of limitations. </w:t>
      </w:r>
      <w:bookmarkStart w:id="4090" w:name="Bookmark_I5FFRMNX2N1PTS0010000400"/>
      <w:bookmarkEnd w:id="4090"/>
      <w:r>
        <w:rPr>
          <w:rFonts w:ascii="Arial" w:eastAsia="Arial" w:hAnsi="Arial" w:cs="Arial"/>
          <w:color w:val="000000"/>
          <w:sz w:val="20"/>
        </w:rPr>
        <w:t xml:space="preserve">The four-year catchall statute of limitations for actions arising under federal statutes enacted after December 1, 1990 is inapplicable, as the ADA was enacted on July 26, 1990, </w:t>
      </w:r>
      <w:r>
        <w:rPr>
          <w:rFonts w:ascii="Arial" w:eastAsia="Arial" w:hAnsi="Arial" w:cs="Arial"/>
          <w:i/>
          <w:color w:val="000000"/>
          <w:sz w:val="20"/>
        </w:rPr>
        <w:t>see</w:t>
      </w:r>
      <w:r>
        <w:rPr>
          <w:rFonts w:ascii="Arial" w:eastAsia="Arial" w:hAnsi="Arial" w:cs="Arial"/>
          <w:color w:val="000000"/>
          <w:sz w:val="20"/>
        </w:rPr>
        <w:t xml:space="preserve"> 104 Stat. 327, and Sharkey does not contend that his "claim against the defendant was made possible by a post-1990 enactment." </w:t>
      </w:r>
      <w:bookmarkStart w:id="4091" w:name="Bookmark_I5FFRMNX2HM5WK0040000400"/>
      <w:bookmarkEnd w:id="4091"/>
      <w:r>
        <w:rPr>
          <w:rFonts w:ascii="Arial" w:eastAsia="Arial" w:hAnsi="Arial" w:cs="Arial"/>
          <w:i/>
          <w:color w:val="000000"/>
          <w:sz w:val="20"/>
        </w:rPr>
        <w:t>Jones v. R.R. Donnelley &amp; Sons Co</w:t>
      </w:r>
      <w:r>
        <w:rPr>
          <w:rFonts w:ascii="Arial" w:eastAsia="Arial" w:hAnsi="Arial" w:cs="Arial"/>
          <w:color w:val="000000"/>
          <w:sz w:val="20"/>
        </w:rPr>
        <w:t xml:space="preserve">., 541 U.S. 369, 382, 124 S. Ct. 1836, 158 L. Ed. 2d 645 (2004); </w:t>
      </w:r>
      <w:r>
        <w:rPr>
          <w:rFonts w:ascii="Arial" w:eastAsia="Arial" w:hAnsi="Arial" w:cs="Arial"/>
          <w:i/>
          <w:color w:val="000000"/>
          <w:sz w:val="20"/>
        </w:rPr>
        <w:t>see also</w:t>
      </w:r>
      <w:r>
        <w:rPr>
          <w:rFonts w:ascii="Arial" w:eastAsia="Arial" w:hAnsi="Arial" w:cs="Arial"/>
          <w:color w:val="000000"/>
          <w:sz w:val="20"/>
        </w:rPr>
        <w:t xml:space="preserve"> 28 U.S.C. § 1658. Instead, we borrow the statute of limitations applicable to the most analogous state-law claim, so long as "it is not inconsistent with federal law or policy to do so." </w:t>
      </w:r>
      <w:bookmarkStart w:id="4092" w:name="Bookmark_I5FFRMNX2SF85R0010000400"/>
      <w:bookmarkEnd w:id="4092"/>
      <w:r>
        <w:rPr>
          <w:rFonts w:ascii="Arial" w:eastAsia="Arial" w:hAnsi="Arial" w:cs="Arial"/>
          <w:i/>
          <w:color w:val="000000"/>
          <w:sz w:val="20"/>
        </w:rPr>
        <w:t>Wilson v. Garcia</w:t>
      </w:r>
      <w:r>
        <w:rPr>
          <w:rFonts w:ascii="Arial" w:eastAsia="Arial" w:hAnsi="Arial" w:cs="Arial"/>
          <w:color w:val="000000"/>
          <w:sz w:val="20"/>
        </w:rPr>
        <w:t xml:space="preserve">, 471 U.S. 261, 266-67, 105 S. Ct. 1938, 85 L. Ed. 2d 254 (1985), </w:t>
      </w:r>
      <w:r>
        <w:rPr>
          <w:rFonts w:ascii="Arial" w:eastAsia="Arial" w:hAnsi="Arial" w:cs="Arial"/>
          <w:i/>
          <w:color w:val="000000"/>
          <w:sz w:val="20"/>
        </w:rPr>
        <w:t xml:space="preserve">partially superseded by statute as stated in </w:t>
      </w:r>
      <w:bookmarkStart w:id="4093" w:name="Bookmark_I5FFRMNX2SF85R0030000400"/>
      <w:bookmarkEnd w:id="4093"/>
      <w:r>
        <w:rPr>
          <w:rFonts w:ascii="Arial" w:eastAsia="Arial" w:hAnsi="Arial" w:cs="Arial"/>
          <w:i/>
          <w:color w:val="000000"/>
          <w:sz w:val="20"/>
        </w:rPr>
        <w:t>Jones</w:t>
      </w:r>
      <w:r>
        <w:rPr>
          <w:rFonts w:ascii="Arial" w:eastAsia="Arial" w:hAnsi="Arial" w:cs="Arial"/>
          <w:color w:val="000000"/>
          <w:sz w:val="20"/>
        </w:rPr>
        <w:t xml:space="preserve">, 541 U.S. at 377-80. </w:t>
      </w:r>
      <w:bookmarkStart w:id="4094" w:name="Bookmark_I5FFRMNX2N1PTS0010000400_2"/>
      <w:bookmarkEnd w:id="4094"/>
      <w:r>
        <w:rPr>
          <w:rFonts w:ascii="Arial" w:eastAsia="Arial" w:hAnsi="Arial" w:cs="Arial"/>
          <w:i/>
          <w:color w:val="000000"/>
          <w:sz w:val="20"/>
        </w:rPr>
        <w:t>See also</w:t>
      </w:r>
      <w:r>
        <w:rPr>
          <w:rFonts w:ascii="Arial" w:eastAsia="Arial" w:hAnsi="Arial" w:cs="Arial"/>
          <w:color w:val="000000"/>
          <w:sz w:val="20"/>
        </w:rPr>
        <w:t xml:space="preserve"> 42 U.S.C. § 1988; </w:t>
      </w:r>
      <w:bookmarkStart w:id="4095" w:name="Bookmark_I5FFRMNX2SF85R0050000400"/>
      <w:bookmarkEnd w:id="4095"/>
      <w:r>
        <w:rPr>
          <w:rFonts w:ascii="Arial" w:eastAsia="Arial" w:hAnsi="Arial" w:cs="Arial"/>
          <w:i/>
          <w:color w:val="000000"/>
          <w:sz w:val="20"/>
        </w:rPr>
        <w:t>Goodman v. Lukens Steel Co</w:t>
      </w:r>
      <w:r>
        <w:rPr>
          <w:rFonts w:ascii="Arial" w:eastAsia="Arial" w:hAnsi="Arial" w:cs="Arial"/>
          <w:color w:val="000000"/>
          <w:sz w:val="20"/>
        </w:rPr>
        <w:t>., 482 U.S. 656, 660, 107 S. Ct. 2617, 96 L. Ed. 2d 572 (1987).</w:t>
      </w:r>
    </w:p>
    <w:p w14:paraId="3F629904" w14:textId="77777777" w:rsidR="002D0E71" w:rsidRDefault="00000000">
      <w:pPr>
        <w:pStyle w:val="Normal29"/>
        <w:widowControl w:val="0"/>
        <w:spacing w:before="200" w:line="260" w:lineRule="atLeast"/>
        <w:jc w:val="both"/>
      </w:pPr>
      <w:bookmarkStart w:id="4096" w:name="Bookmark_para_14_25"/>
      <w:bookmarkEnd w:id="4096"/>
      <w:r>
        <w:rPr>
          <w:rFonts w:ascii="Arial" w:eastAsia="Arial" w:hAnsi="Arial" w:cs="Arial"/>
          <w:color w:val="000000"/>
          <w:sz w:val="20"/>
        </w:rPr>
        <w:t>No published opinion of this court has determined the most appropriate state-law analog to claims under Title II of the ADA. In four published opinions we assumed without deciding that California's statute of limitations for personal injury claims applies to ADA and Rehabilitation Act claims.</w:t>
      </w:r>
      <w:r>
        <w:rPr>
          <w:rFonts w:ascii="Arial" w:eastAsia="Arial" w:hAnsi="Arial" w:cs="Arial"/>
          <w:vertAlign w:val="superscript"/>
        </w:rPr>
        <w:footnoteReference w:customMarkFollows="1" w:id="141"/>
        <w:t>3</w:t>
      </w:r>
      <w:r>
        <w:rPr>
          <w:rFonts w:ascii="Arial" w:eastAsia="Arial" w:hAnsi="Arial" w:cs="Arial"/>
          <w:color w:val="000000"/>
          <w:sz w:val="20"/>
        </w:rPr>
        <w:t xml:space="preserve"> In three of the four cases we  [*771]  did so because the parties argued their positions based on that assumption. In the fourth we stated that the result would be the same whichever [**9]  statute of limitations was applicable. In any event, none of these cases involved Title II.</w:t>
      </w:r>
    </w:p>
    <w:p w14:paraId="4494F496" w14:textId="77777777" w:rsidR="002D0E71" w:rsidRDefault="00000000">
      <w:pPr>
        <w:pStyle w:val="Normal29"/>
        <w:widowControl w:val="0"/>
        <w:spacing w:before="200" w:line="260" w:lineRule="atLeast"/>
        <w:jc w:val="both"/>
      </w:pPr>
      <w:bookmarkStart w:id="4113" w:name="Bookmark_para_15_25"/>
      <w:bookmarkStart w:id="4114" w:name="Bookmark_I5FFRMNX2SF85S0020000400"/>
      <w:bookmarkEnd w:id="4113"/>
      <w:bookmarkEnd w:id="4114"/>
      <w:r>
        <w:rPr>
          <w:rFonts w:ascii="Arial" w:eastAsia="Arial" w:hAnsi="Arial" w:cs="Arial"/>
          <w:color w:val="000000"/>
          <w:sz w:val="20"/>
        </w:rPr>
        <w:t xml:space="preserve">We now hold that </w:t>
      </w:r>
      <w:bookmarkStart w:id="4115" w:name="Bookmark_LNHNREFclscc3_23"/>
      <w:bookmarkEnd w:id="4115"/>
      <w:r>
        <w:rPr>
          <w:rFonts w:ascii="Arial" w:eastAsia="Arial" w:hAnsi="Arial" w:cs="Arial"/>
          <w:color w:val="000000"/>
          <w:sz w:val="20"/>
        </w:rPr>
        <w:t>California Government Code § 11135 provides the most analogous state-law claim to a Title II claim.</w:t>
      </w:r>
      <w:r>
        <w:rPr>
          <w:rFonts w:ascii="Arial" w:eastAsia="Arial" w:hAnsi="Arial" w:cs="Arial"/>
          <w:vertAlign w:val="superscript"/>
        </w:rPr>
        <w:footnoteReference w:customMarkFollows="1" w:id="142"/>
        <w:t>4</w:t>
      </w:r>
      <w:r>
        <w:rPr>
          <w:rFonts w:ascii="Arial" w:eastAsia="Arial" w:hAnsi="Arial" w:cs="Arial"/>
          <w:color w:val="000000"/>
          <w:sz w:val="20"/>
        </w:rPr>
        <w:t xml:space="preserve"> Title II of the ADA provides that "no qualified individual with a disability shall, by reason of such disability, be excluded from participation in or be denied the benefits of the services, programs, or activities of a public entity, or be subjected to discrimination by any such entity." 42 U.S.C. § 12132. Section 11135(a) similarly provides that "No person in the State of California shall, on the basis of . . . disability, be unlawfully denied full and equal access to the benefits of, or be unlawfully subjected to discrimination under, any program or activity that is conducted, operated, or administered by the state or by any state agency, is funded directly by the state, or receives any financial assistance from the state." Section 11135(b) then expressly incorporates "the protections and prohibitions contained in Section 202 of the federal [**10]  Americans with Disabilities Act of 1990 (42 U.S.C. Sec. 12132) [Title II], and the federal rules and regulations adopted in implementation thereof . . . ." Thus, section 11135 provides an almost identical state-law counterpart to Title II, and we accordingly borrow the limitations period applicable to such claims.</w:t>
      </w:r>
      <w:r>
        <w:rPr>
          <w:rFonts w:ascii="Arial" w:eastAsia="Arial" w:hAnsi="Arial" w:cs="Arial"/>
          <w:vertAlign w:val="superscript"/>
        </w:rPr>
        <w:footnoteReference w:customMarkFollows="1" w:id="143"/>
        <w:t>5</w:t>
      </w:r>
    </w:p>
    <w:p w14:paraId="2177F8EF" w14:textId="77777777" w:rsidR="002D0E71" w:rsidRDefault="00000000">
      <w:pPr>
        <w:pStyle w:val="Normal29"/>
        <w:widowControl w:val="0"/>
        <w:spacing w:before="200" w:line="260" w:lineRule="atLeast"/>
        <w:jc w:val="both"/>
      </w:pPr>
      <w:bookmarkStart w:id="4125" w:name="Bookmark_para_16_25"/>
      <w:bookmarkStart w:id="4126" w:name="Bookmark_I5FFRMNX2N1PTT0050000400"/>
      <w:bookmarkStart w:id="4127" w:name="Bookmark_I798GMGFKTR000G7H8S000B5"/>
      <w:bookmarkStart w:id="4128" w:name="Bookmark_I798GMGG195000G7H8S000B7"/>
      <w:bookmarkStart w:id="4129" w:name="Bookmark_I798GMGFV69000G7H8S000B6"/>
      <w:bookmarkStart w:id="4130" w:name="Bookmark_I798GMGG6D1000G7H8S000B8"/>
      <w:bookmarkStart w:id="4131" w:name="Bookmark_I798GMGGB75000G7H8S000B9"/>
      <w:bookmarkStart w:id="4132" w:name="Bookmark_I5FFRMNX2D6NN90020000400"/>
      <w:bookmarkStart w:id="4133" w:name="Bookmark_I5FFRMNX28T3W70020000400"/>
      <w:bookmarkStart w:id="4134" w:name="Bookmark_I5FFRMNX28T3W70040000400"/>
      <w:bookmarkEnd w:id="4125"/>
      <w:bookmarkEnd w:id="4126"/>
      <w:bookmarkEnd w:id="4127"/>
      <w:bookmarkEnd w:id="4128"/>
      <w:bookmarkEnd w:id="4129"/>
      <w:bookmarkEnd w:id="4130"/>
      <w:bookmarkEnd w:id="4131"/>
      <w:bookmarkEnd w:id="4132"/>
      <w:bookmarkEnd w:id="4133"/>
      <w:bookmarkEnd w:id="4134"/>
      <w:r>
        <w:rPr>
          <w:rFonts w:ascii="Arial" w:eastAsia="Arial" w:hAnsi="Arial" w:cs="Arial"/>
          <w:color w:val="000000"/>
          <w:sz w:val="20"/>
        </w:rPr>
        <w:t xml:space="preserve">Some circuits have applied state limitations periods for personal injury claims to ADA or Rehabilitation Act claims. These courts reason that in </w:t>
      </w:r>
      <w:r>
        <w:rPr>
          <w:rFonts w:ascii="Arial" w:eastAsia="Arial" w:hAnsi="Arial" w:cs="Arial"/>
          <w:i/>
          <w:color w:val="000000"/>
          <w:sz w:val="20"/>
        </w:rPr>
        <w:t>Wilson v. Garcia</w:t>
      </w:r>
      <w:r>
        <w:rPr>
          <w:rFonts w:ascii="Arial" w:eastAsia="Arial" w:hAnsi="Arial" w:cs="Arial"/>
          <w:color w:val="000000"/>
          <w:sz w:val="20"/>
        </w:rPr>
        <w:t xml:space="preserve">, the Supreme Court held that the forum state's personal injury statute of limitations applies to § 1983 claims, </w:t>
      </w:r>
      <w:r>
        <w:rPr>
          <w:rFonts w:ascii="Arial" w:eastAsia="Arial" w:hAnsi="Arial" w:cs="Arial"/>
          <w:i/>
          <w:color w:val="000000"/>
          <w:sz w:val="20"/>
        </w:rPr>
        <w:t xml:space="preserve">see </w:t>
      </w:r>
      <w:bookmarkStart w:id="4135" w:name="Bookmark_I5FFRMNX2N1PTT0040000400"/>
      <w:bookmarkEnd w:id="4135"/>
      <w:r>
        <w:rPr>
          <w:rFonts w:ascii="Arial" w:eastAsia="Arial" w:hAnsi="Arial" w:cs="Arial"/>
          <w:i/>
          <w:color w:val="000000"/>
          <w:sz w:val="20"/>
        </w:rPr>
        <w:t>Wilson</w:t>
      </w:r>
      <w:r>
        <w:rPr>
          <w:rFonts w:ascii="Arial" w:eastAsia="Arial" w:hAnsi="Arial" w:cs="Arial"/>
          <w:color w:val="000000"/>
          <w:sz w:val="20"/>
        </w:rPr>
        <w:t>, 471 U.S. at 280, and ADA and Rehabilitation Act claims are in turn analogous to § 1983 claims. These circuits do not discuss, however, whether the forum state provides a state-law disability discrimination claim to which a closer analogy might be had,</w:t>
      </w:r>
      <w:r>
        <w:rPr>
          <w:rFonts w:ascii="Arial" w:eastAsia="Arial" w:hAnsi="Arial" w:cs="Arial"/>
          <w:vertAlign w:val="superscript"/>
        </w:rPr>
        <w:footnoteReference w:customMarkFollows="1" w:id="144"/>
        <w:t>6</w:t>
      </w:r>
      <w:r>
        <w:rPr>
          <w:rFonts w:ascii="Arial" w:eastAsia="Arial" w:hAnsi="Arial" w:cs="Arial"/>
          <w:color w:val="000000"/>
          <w:sz w:val="20"/>
        </w:rPr>
        <w:t xml:space="preserve"> often relying on the parties'  [*772]  agreement that the personal injury limitations period applied.</w:t>
      </w:r>
      <w:r>
        <w:rPr>
          <w:rFonts w:ascii="Arial" w:eastAsia="Arial" w:hAnsi="Arial" w:cs="Arial"/>
          <w:vertAlign w:val="superscript"/>
        </w:rPr>
        <w:footnoteReference w:customMarkFollows="1" w:id="145"/>
        <w:t>7</w:t>
      </w:r>
      <w:r>
        <w:rPr>
          <w:rFonts w:ascii="Arial" w:eastAsia="Arial" w:hAnsi="Arial" w:cs="Arial"/>
          <w:color w:val="000000"/>
          <w:sz w:val="20"/>
        </w:rPr>
        <w:t xml:space="preserve"> Thus, there is no precedent holding that the personal injury limitations period is applicable where, as in the case before us, state law provides an almost identical counterpart to Title II.</w:t>
      </w:r>
    </w:p>
    <w:p w14:paraId="1295A585" w14:textId="77777777" w:rsidR="002D0E71" w:rsidRDefault="00000000">
      <w:pPr>
        <w:pStyle w:val="Normal29"/>
        <w:widowControl w:val="0"/>
        <w:spacing w:before="200" w:line="260" w:lineRule="atLeast"/>
        <w:jc w:val="both"/>
      </w:pPr>
      <w:bookmarkStart w:id="4146" w:name="Bookmark_para_17_24"/>
      <w:bookmarkStart w:id="4147" w:name="Bookmark_I798GMGGHB1000G7H8S000BB"/>
      <w:bookmarkStart w:id="4148" w:name="Bookmark_I5FFRMNX28T3W80030000400"/>
      <w:bookmarkStart w:id="4149" w:name="Bookmark_I8495JW50HP0000M4P90050V"/>
      <w:bookmarkStart w:id="4150" w:name="Bookmark_I8495JW523B0000M4P90050W"/>
      <w:bookmarkStart w:id="4151" w:name="Bookmark_I5FFRMNX28T3W80050000400"/>
      <w:bookmarkStart w:id="4152" w:name="Bookmark_I5FFRMNX2SF85T0040000400"/>
      <w:bookmarkEnd w:id="4146"/>
      <w:bookmarkEnd w:id="4147"/>
      <w:bookmarkEnd w:id="4148"/>
      <w:bookmarkEnd w:id="4149"/>
      <w:bookmarkEnd w:id="4150"/>
      <w:bookmarkEnd w:id="4151"/>
      <w:bookmarkEnd w:id="4152"/>
      <w:r>
        <w:rPr>
          <w:rFonts w:ascii="Arial" w:eastAsia="Arial" w:hAnsi="Arial" w:cs="Arial"/>
          <w:color w:val="000000"/>
          <w:sz w:val="20"/>
        </w:rPr>
        <w:t xml:space="preserve">We follow the approach taken by the Fourth Circuit in </w:t>
      </w:r>
      <w:r>
        <w:rPr>
          <w:rFonts w:ascii="Arial" w:eastAsia="Arial" w:hAnsi="Arial" w:cs="Arial"/>
          <w:i/>
          <w:color w:val="000000"/>
          <w:sz w:val="20"/>
        </w:rPr>
        <w:t>A Society Without A Name v. Commonwealth of Virginia</w:t>
      </w:r>
      <w:r>
        <w:rPr>
          <w:rFonts w:ascii="Arial" w:eastAsia="Arial" w:hAnsi="Arial" w:cs="Arial"/>
          <w:color w:val="000000"/>
          <w:sz w:val="20"/>
        </w:rPr>
        <w:t xml:space="preserve">, which held that the limitations period under the Virginia Rights of Persons with Disabilities Act (Virginia Act), rather than the personal injury statute of limitations, applies to ADA Title II claims. </w:t>
      </w:r>
      <w:bookmarkStart w:id="4153" w:name="Bookmark_I5FFRMNX28T3W80020000400"/>
      <w:bookmarkEnd w:id="4153"/>
      <w:r>
        <w:rPr>
          <w:rFonts w:ascii="Arial" w:eastAsia="Arial" w:hAnsi="Arial" w:cs="Arial"/>
          <w:color w:val="000000"/>
          <w:sz w:val="20"/>
        </w:rPr>
        <w:t xml:space="preserve">655 F.3d 342, 348 (4th Cir. 2011). The Fourth Circuit had previously applied the Virginia Act limitations period to Rehabilitation Act claims in </w:t>
      </w:r>
      <w:r>
        <w:rPr>
          <w:rFonts w:ascii="Arial" w:eastAsia="Arial" w:hAnsi="Arial" w:cs="Arial"/>
          <w:i/>
          <w:color w:val="000000"/>
          <w:sz w:val="20"/>
        </w:rPr>
        <w:t>Wolsky v. Medical College of Hampton Roads</w:t>
      </w:r>
      <w:r>
        <w:rPr>
          <w:rFonts w:ascii="Arial" w:eastAsia="Arial" w:hAnsi="Arial" w:cs="Arial"/>
          <w:color w:val="000000"/>
          <w:sz w:val="20"/>
        </w:rPr>
        <w:t xml:space="preserve">, where it explained that the Virginia Act constitutes a much closer state-law analog to the federal statute than does a personal injury action. </w:t>
      </w:r>
      <w:bookmarkStart w:id="4154" w:name="Bookmark_I5FFRMNX28T3W80040000400"/>
      <w:bookmarkEnd w:id="4154"/>
      <w:r>
        <w:rPr>
          <w:rFonts w:ascii="Arial" w:eastAsia="Arial" w:hAnsi="Arial" w:cs="Arial"/>
          <w:color w:val="000000"/>
          <w:sz w:val="20"/>
        </w:rPr>
        <w:t xml:space="preserve">1 F.3d 222, 224-25 (4th Cir. 1993); </w:t>
      </w:r>
      <w:r>
        <w:rPr>
          <w:rFonts w:ascii="Arial" w:eastAsia="Arial" w:hAnsi="Arial" w:cs="Arial"/>
          <w:i/>
          <w:color w:val="000000"/>
          <w:sz w:val="20"/>
        </w:rPr>
        <w:t xml:space="preserve">see also </w:t>
      </w:r>
      <w:bookmarkStart w:id="4155" w:name="Bookmark_I5FFRMNX2SF85T0010000400"/>
      <w:bookmarkEnd w:id="4155"/>
      <w:r>
        <w:rPr>
          <w:rFonts w:ascii="Arial" w:eastAsia="Arial" w:hAnsi="Arial" w:cs="Arial"/>
          <w:i/>
          <w:color w:val="000000"/>
          <w:sz w:val="20"/>
        </w:rPr>
        <w:t>McCullough v. Branch Banking &amp; Trust Co</w:t>
      </w:r>
      <w:r>
        <w:rPr>
          <w:rFonts w:ascii="Arial" w:eastAsia="Arial" w:hAnsi="Arial" w:cs="Arial"/>
          <w:color w:val="000000"/>
          <w:sz w:val="20"/>
        </w:rPr>
        <w:t>., 35 F.3d 127, 132 (4th Cir. 1994) (applying statute of limitations in North Carolina Handicapped Persons Protection Act to Rehabilitation Act claim). Our holding (and that of the Fourth Circuit) is also consistent with the decisions of a [**13]  handful of circuits that apply the personal injury limitations period simply because the relevant state lacks an analogous disability discrimination cause of action.</w:t>
      </w:r>
      <w:r>
        <w:rPr>
          <w:rFonts w:ascii="Arial" w:eastAsia="Arial" w:hAnsi="Arial" w:cs="Arial"/>
          <w:vertAlign w:val="superscript"/>
        </w:rPr>
        <w:footnoteReference w:customMarkFollows="1" w:id="146"/>
        <w:t>8</w:t>
      </w:r>
    </w:p>
    <w:p w14:paraId="11FB97BE" w14:textId="77777777" w:rsidR="002D0E71" w:rsidRDefault="00000000">
      <w:pPr>
        <w:pStyle w:val="Normal29"/>
        <w:widowControl w:val="0"/>
        <w:spacing w:before="200" w:line="260" w:lineRule="atLeast"/>
        <w:jc w:val="both"/>
      </w:pPr>
      <w:bookmarkStart w:id="4160" w:name="Bookmark_para_18_24"/>
      <w:bookmarkStart w:id="4161" w:name="Bookmark_I798GMGH2MK000G7H8S000FD"/>
      <w:bookmarkStart w:id="4162" w:name="Bookmark_I5FFRMNX2N1PTV0050000400"/>
      <w:bookmarkStart w:id="4163" w:name="Bookmark_I798GMGH7RF000G7H8S00058"/>
      <w:bookmarkStart w:id="4164" w:name="Bookmark_I5FFRMNX2N1PTW0020000400"/>
      <w:bookmarkEnd w:id="4160"/>
      <w:bookmarkEnd w:id="4161"/>
      <w:bookmarkEnd w:id="4162"/>
      <w:bookmarkEnd w:id="4163"/>
      <w:bookmarkEnd w:id="4164"/>
      <w:r>
        <w:rPr>
          <w:rFonts w:ascii="Arial" w:eastAsia="Arial" w:hAnsi="Arial" w:cs="Arial"/>
          <w:color w:val="000000"/>
          <w:sz w:val="20"/>
        </w:rPr>
        <w:t xml:space="preserve">As </w:t>
      </w:r>
      <w:r>
        <w:rPr>
          <w:rFonts w:ascii="Arial" w:eastAsia="Arial" w:hAnsi="Arial" w:cs="Arial"/>
          <w:i/>
          <w:color w:val="000000"/>
          <w:sz w:val="20"/>
        </w:rPr>
        <w:t>Wolsky</w:t>
      </w:r>
      <w:r>
        <w:rPr>
          <w:rFonts w:ascii="Arial" w:eastAsia="Arial" w:hAnsi="Arial" w:cs="Arial"/>
          <w:color w:val="000000"/>
          <w:sz w:val="20"/>
        </w:rPr>
        <w:t xml:space="preserve"> persuasively explained, </w:t>
      </w:r>
      <w:r>
        <w:rPr>
          <w:rFonts w:ascii="Arial" w:eastAsia="Arial" w:hAnsi="Arial" w:cs="Arial"/>
          <w:i/>
          <w:color w:val="000000"/>
          <w:sz w:val="20"/>
        </w:rPr>
        <w:t>Wilson</w:t>
      </w:r>
      <w:r>
        <w:rPr>
          <w:rFonts w:ascii="Arial" w:eastAsia="Arial" w:hAnsi="Arial" w:cs="Arial"/>
          <w:color w:val="000000"/>
          <w:sz w:val="20"/>
        </w:rPr>
        <w:t xml:space="preserve"> supports borrowing the limitations period applicable to state-law disability discrimination claims, rather than the personal injury limitations period. </w:t>
      </w:r>
      <w:r>
        <w:rPr>
          <w:rFonts w:ascii="Arial" w:eastAsia="Arial" w:hAnsi="Arial" w:cs="Arial"/>
          <w:i/>
          <w:color w:val="000000"/>
          <w:sz w:val="20"/>
        </w:rPr>
        <w:t xml:space="preserve">See </w:t>
      </w:r>
      <w:bookmarkStart w:id="4165" w:name="Bookmark_I5FFRMNX2N1PTV0040000400"/>
      <w:bookmarkEnd w:id="4165"/>
      <w:r>
        <w:rPr>
          <w:rFonts w:ascii="Arial" w:eastAsia="Arial" w:hAnsi="Arial" w:cs="Arial"/>
          <w:i/>
          <w:color w:val="000000"/>
          <w:sz w:val="20"/>
        </w:rPr>
        <w:t>Wolsky</w:t>
      </w:r>
      <w:r>
        <w:rPr>
          <w:rFonts w:ascii="Arial" w:eastAsia="Arial" w:hAnsi="Arial" w:cs="Arial"/>
          <w:color w:val="000000"/>
          <w:sz w:val="20"/>
        </w:rPr>
        <w:t xml:space="preserve">, 1 F.3d at 225. </w:t>
      </w:r>
      <w:bookmarkStart w:id="4166" w:name="Bookmark_I5FFRMNX2N1PTW0040000400"/>
      <w:bookmarkEnd w:id="4166"/>
      <w:r>
        <w:rPr>
          <w:rFonts w:ascii="Arial" w:eastAsia="Arial" w:hAnsi="Arial" w:cs="Arial"/>
          <w:i/>
          <w:color w:val="000000"/>
          <w:sz w:val="20"/>
        </w:rPr>
        <w:t>Wilson</w:t>
      </w:r>
      <w:r>
        <w:rPr>
          <w:rFonts w:ascii="Arial" w:eastAsia="Arial" w:hAnsi="Arial" w:cs="Arial"/>
          <w:color w:val="000000"/>
          <w:sz w:val="20"/>
        </w:rPr>
        <w:t xml:space="preserve"> requires us to select "'the most appropriate,' or 'the most analogous' state statute of limitations." </w:t>
      </w:r>
      <w:bookmarkStart w:id="4167" w:name="Bookmark_I5FFRMNX2N1PTW0010000400"/>
      <w:bookmarkEnd w:id="4167"/>
      <w:r>
        <w:rPr>
          <w:rFonts w:ascii="Arial" w:eastAsia="Arial" w:hAnsi="Arial" w:cs="Arial"/>
          <w:color w:val="000000"/>
          <w:sz w:val="20"/>
        </w:rPr>
        <w:t xml:space="preserve">471 U.S. at 268. </w:t>
      </w:r>
      <w:bookmarkStart w:id="4168" w:name="Bookmark_I5FFRMNX2N1PTW0040000400_2"/>
      <w:bookmarkEnd w:id="4168"/>
      <w:r>
        <w:rPr>
          <w:rFonts w:ascii="Arial" w:eastAsia="Arial" w:hAnsi="Arial" w:cs="Arial"/>
          <w:color w:val="000000"/>
          <w:sz w:val="20"/>
        </w:rPr>
        <w:t xml:space="preserve">Applying the limitations period applicable to section 11135, the nearly identical state-law [**14]  counterpart to Title II, more faithfully adheres to this command than does applying the limitations period of § 1983. More important, </w:t>
      </w:r>
      <w:r>
        <w:rPr>
          <w:rFonts w:ascii="Arial" w:eastAsia="Arial" w:hAnsi="Arial" w:cs="Arial"/>
          <w:i/>
          <w:color w:val="000000"/>
          <w:sz w:val="20"/>
        </w:rPr>
        <w:t>Wilson</w:t>
      </w:r>
      <w:r>
        <w:rPr>
          <w:rFonts w:ascii="Arial" w:eastAsia="Arial" w:hAnsi="Arial" w:cs="Arial"/>
          <w:color w:val="000000"/>
          <w:sz w:val="20"/>
        </w:rPr>
        <w:t xml:space="preserve">'s reasons for characterizing § 1983 claims as analogous to personal injury claims do not apply here. </w:t>
      </w:r>
      <w:r>
        <w:rPr>
          <w:rFonts w:ascii="Arial" w:eastAsia="Arial" w:hAnsi="Arial" w:cs="Arial"/>
          <w:i/>
          <w:color w:val="000000"/>
          <w:sz w:val="20"/>
        </w:rPr>
        <w:t>Wilson</w:t>
      </w:r>
      <w:r>
        <w:rPr>
          <w:rFonts w:ascii="Arial" w:eastAsia="Arial" w:hAnsi="Arial" w:cs="Arial"/>
          <w:color w:val="000000"/>
          <w:sz w:val="20"/>
        </w:rPr>
        <w:t xml:space="preserve"> explained that § 1983 provides a "unique remedy" that "encompass[es] numerous and diverse topics and subtopics" with "no precise counterpart in state law." </w:t>
      </w:r>
      <w:bookmarkStart w:id="4169" w:name="Bookmark_I5FFRMNX2N1PTW0030000400"/>
      <w:bookmarkEnd w:id="4169"/>
      <w:r>
        <w:rPr>
          <w:rFonts w:ascii="Arial" w:eastAsia="Arial" w:hAnsi="Arial" w:cs="Arial"/>
          <w:color w:val="000000"/>
          <w:sz w:val="20"/>
        </w:rPr>
        <w:t xml:space="preserve">471 U.S. at 272-73. Thus, "a simple, broad characterization of all § 1983 claims" is appropriate, and applying the personal injury limitations period avoids  [*773]  the problem of conflicting analogies "to more than one of the ancient common-law forms of action." </w:t>
      </w:r>
      <w:r>
        <w:rPr>
          <w:rFonts w:ascii="Arial" w:eastAsia="Arial" w:hAnsi="Arial" w:cs="Arial"/>
          <w:i/>
          <w:color w:val="000000"/>
          <w:sz w:val="20"/>
        </w:rPr>
        <w:t>Id</w:t>
      </w:r>
      <w:r>
        <w:rPr>
          <w:rFonts w:ascii="Arial" w:eastAsia="Arial" w:hAnsi="Arial" w:cs="Arial"/>
          <w:color w:val="000000"/>
          <w:sz w:val="20"/>
        </w:rPr>
        <w:t>. By contrast, the specific nature of claims under Title II of the ADA allows for a direct analogy to section 11135, which expressly incorporates the protections of Title II, and is not a common-law claim.</w:t>
      </w:r>
    </w:p>
    <w:p w14:paraId="7BF8FEE1" w14:textId="77777777" w:rsidR="002D0E71" w:rsidRDefault="00000000">
      <w:pPr>
        <w:pStyle w:val="Normal29"/>
        <w:widowControl w:val="0"/>
        <w:spacing w:before="200" w:line="260" w:lineRule="atLeast"/>
        <w:jc w:val="both"/>
      </w:pPr>
      <w:bookmarkStart w:id="4170" w:name="Bookmark_para_19_24"/>
      <w:bookmarkStart w:id="4171" w:name="Bookmark_I5FFRMNX2HM5WN0010000400"/>
      <w:bookmarkEnd w:id="4170"/>
      <w:bookmarkEnd w:id="4171"/>
      <w:r>
        <w:rPr>
          <w:rFonts w:ascii="Arial" w:eastAsia="Arial" w:hAnsi="Arial" w:cs="Arial"/>
          <w:color w:val="000000"/>
          <w:sz w:val="20"/>
        </w:rPr>
        <w:t>It remains for us to determine the statute of limitations applicable to section 11135 claims, a question of state law. Although the California Supreme Court has not ruled on this issue,</w:t>
      </w:r>
      <w:bookmarkStart w:id="4172" w:name="Bookmark_LNHNREFclscc4_23"/>
      <w:bookmarkEnd w:id="4172"/>
      <w:r>
        <w:rPr>
          <w:rFonts w:ascii="Arial" w:eastAsia="Arial" w:hAnsi="Arial" w:cs="Arial"/>
          <w:color w:val="000000"/>
          <w:sz w:val="20"/>
        </w:rPr>
        <w:t xml:space="preserve"> the applicable statute of limitations under state law is readily ascertainable. "[W]hen (1) a federal court is required to apply state law, and (2) there is no relevant precedent from the state's highest court, but (3) there is relevant [**15]  precedent from the state's intermediate appellate court, the federal court must follow the state intermediate appellate court decision unless the federal court finds convincing evidence that the state's supreme court likely would not follow it." </w:t>
      </w:r>
      <w:r>
        <w:rPr>
          <w:rFonts w:ascii="Arial" w:eastAsia="Arial" w:hAnsi="Arial" w:cs="Arial"/>
          <w:i/>
          <w:color w:val="000000"/>
          <w:sz w:val="20"/>
        </w:rPr>
        <w:t xml:space="preserve">See </w:t>
      </w:r>
      <w:bookmarkStart w:id="4173" w:name="Bookmark_I5FFRMNX2N1PTW0050000400"/>
      <w:bookmarkEnd w:id="4173"/>
      <w:r>
        <w:rPr>
          <w:rFonts w:ascii="Arial" w:eastAsia="Arial" w:hAnsi="Arial" w:cs="Arial"/>
          <w:i/>
          <w:color w:val="000000"/>
          <w:sz w:val="20"/>
        </w:rPr>
        <w:t>Ryman v. Sears, Roebuck &amp; Co</w:t>
      </w:r>
      <w:r>
        <w:rPr>
          <w:rFonts w:ascii="Arial" w:eastAsia="Arial" w:hAnsi="Arial" w:cs="Arial"/>
          <w:color w:val="000000"/>
          <w:sz w:val="20"/>
        </w:rPr>
        <w:t>., 505 F.3d 993, 994 (9th Cir. 2007).</w:t>
      </w:r>
    </w:p>
    <w:p w14:paraId="1A56FA0C" w14:textId="77777777" w:rsidR="002D0E71" w:rsidRDefault="00000000">
      <w:pPr>
        <w:pStyle w:val="Normal29"/>
        <w:widowControl w:val="0"/>
        <w:spacing w:before="200" w:line="260" w:lineRule="atLeast"/>
        <w:jc w:val="both"/>
      </w:pPr>
      <w:bookmarkStart w:id="4174" w:name="Bookmark_para_20_22"/>
      <w:bookmarkStart w:id="4175" w:name="Bookmark_I5FFRMNX2HM5WN0030000400"/>
      <w:bookmarkStart w:id="4176" w:name="Bookmark_I5FFRMNX2HM5WN0050000400"/>
      <w:bookmarkStart w:id="4177" w:name="Bookmark_LNHNREFclscc5_23"/>
      <w:bookmarkEnd w:id="4174"/>
      <w:bookmarkEnd w:id="4175"/>
      <w:bookmarkEnd w:id="4176"/>
      <w:bookmarkEnd w:id="4177"/>
      <w:r>
        <w:rPr>
          <w:rFonts w:ascii="Arial" w:eastAsia="Arial" w:hAnsi="Arial" w:cs="Arial"/>
          <w:color w:val="000000"/>
          <w:sz w:val="20"/>
        </w:rPr>
        <w:t xml:space="preserve">California provides a three-year statute of limitations for "[a]n action upon a liability created by statute, other than a penalty or forfeiture," Cal. Civ. Proc. Code § 338(a), which "applies only where the liability is embodied in a statutory provision and was of a type which did not exist at common law." </w:t>
      </w:r>
      <w:bookmarkStart w:id="4178" w:name="Bookmark_I5FFRMNX2HM5WN0020000400"/>
      <w:bookmarkEnd w:id="4178"/>
      <w:r>
        <w:rPr>
          <w:rFonts w:ascii="Arial" w:eastAsia="Arial" w:hAnsi="Arial" w:cs="Arial"/>
          <w:i/>
          <w:color w:val="000000"/>
          <w:sz w:val="20"/>
        </w:rPr>
        <w:t>Brandenburg v. Eureka Redevelopment Agency</w:t>
      </w:r>
      <w:r>
        <w:rPr>
          <w:rFonts w:ascii="Arial" w:eastAsia="Arial" w:hAnsi="Arial" w:cs="Arial"/>
          <w:color w:val="000000"/>
          <w:sz w:val="20"/>
        </w:rPr>
        <w:t xml:space="preserve">, 152 Cal. App. 4th 1350, 62 Cal. Rptr. 3d 339, 344 (Cal. Ct. App. 2007) (emphasis and internal quotation marks omitted). </w:t>
      </w:r>
      <w:bookmarkStart w:id="4179" w:name="Bookmark_I798GMGHDV9000G7H8S0005D"/>
      <w:bookmarkStart w:id="4180" w:name="Bookmark_I5FFRMNX2SF85V0020000400"/>
      <w:bookmarkEnd w:id="4179"/>
      <w:bookmarkEnd w:id="4180"/>
      <w:r>
        <w:rPr>
          <w:rFonts w:ascii="Arial" w:eastAsia="Arial" w:hAnsi="Arial" w:cs="Arial"/>
          <w:color w:val="000000"/>
          <w:sz w:val="20"/>
        </w:rPr>
        <w:t xml:space="preserve">In </w:t>
      </w:r>
      <w:r>
        <w:rPr>
          <w:rFonts w:ascii="Arial" w:eastAsia="Arial" w:hAnsi="Arial" w:cs="Arial"/>
          <w:i/>
          <w:color w:val="000000"/>
          <w:sz w:val="20"/>
        </w:rPr>
        <w:t>Gatto v. County of Sonoma</w:t>
      </w:r>
      <w:r>
        <w:rPr>
          <w:rFonts w:ascii="Arial" w:eastAsia="Arial" w:hAnsi="Arial" w:cs="Arial"/>
          <w:color w:val="000000"/>
          <w:sz w:val="20"/>
        </w:rPr>
        <w:t xml:space="preserve">, the California Court of Appeal explained that while state-law counterparts to Title I of the ADA would not be subject to the three-year limitations period in section 338(a) because they derive from common-law public accommodation claims, "the ADA also addresses </w:t>
      </w:r>
      <w:r>
        <w:rPr>
          <w:rFonts w:ascii="Arial" w:eastAsia="Arial" w:hAnsi="Arial" w:cs="Arial"/>
          <w:i/>
          <w:color w:val="000000"/>
          <w:sz w:val="20"/>
        </w:rPr>
        <w:t>other</w:t>
      </w:r>
      <w:r>
        <w:rPr>
          <w:rFonts w:ascii="Arial" w:eastAsia="Arial" w:hAnsi="Arial" w:cs="Arial"/>
          <w:color w:val="000000"/>
          <w:sz w:val="20"/>
        </w:rPr>
        <w:t xml:space="preserve"> rights of the disabled, such as the right[] . . . to receive the benefits of the services, programs, or activities of a public entity (42 U.S.C. § 12132 [Title II]), which are unrelated to public accommodations and do not derive from the common law." </w:t>
      </w:r>
      <w:bookmarkStart w:id="4181" w:name="Bookmark_I5FFRMNX2HM5WN0040000400"/>
      <w:bookmarkEnd w:id="4181"/>
      <w:r>
        <w:rPr>
          <w:rFonts w:ascii="Arial" w:eastAsia="Arial" w:hAnsi="Arial" w:cs="Arial"/>
          <w:color w:val="000000"/>
          <w:sz w:val="20"/>
        </w:rPr>
        <w:t xml:space="preserve">98 Cal. App. 4th 744, 120 Cal. Rptr. 2d 550, 561 (Ct. App. 2002). Because </w:t>
      </w:r>
      <w:r>
        <w:rPr>
          <w:rFonts w:ascii="Arial" w:eastAsia="Arial" w:hAnsi="Arial" w:cs="Arial"/>
          <w:i/>
          <w:color w:val="000000"/>
          <w:sz w:val="20"/>
        </w:rPr>
        <w:t>Gatto</w:t>
      </w:r>
      <w:r>
        <w:rPr>
          <w:rFonts w:ascii="Arial" w:eastAsia="Arial" w:hAnsi="Arial" w:cs="Arial"/>
          <w:color w:val="000000"/>
          <w:sz w:val="20"/>
        </w:rPr>
        <w:t xml:space="preserve"> concluded that Title II does not derive from the common law, Title II's state-law counterpart, [**16]  section 11135, does not either; both are "embodied in a statutory provision" for the purposes of section 338(a). </w:t>
      </w:r>
      <w:bookmarkStart w:id="4182" w:name="Bookmark_I5FFRMNX2SF85V0020000400_2"/>
      <w:bookmarkEnd w:id="4182"/>
      <w:r>
        <w:rPr>
          <w:rFonts w:ascii="Arial" w:eastAsia="Arial" w:hAnsi="Arial" w:cs="Arial"/>
          <w:color w:val="000000"/>
          <w:sz w:val="20"/>
        </w:rPr>
        <w:t>Thus, under</w:t>
      </w:r>
      <w:bookmarkStart w:id="4183" w:name="Bookmark_I5FFRMNX2SF85V0010000400"/>
      <w:bookmarkEnd w:id="4183"/>
      <w:r>
        <w:rPr>
          <w:rFonts w:ascii="Arial" w:eastAsia="Arial" w:hAnsi="Arial" w:cs="Arial"/>
          <w:color w:val="000000"/>
          <w:sz w:val="20"/>
        </w:rPr>
        <w:t xml:space="preserve"> </w:t>
      </w:r>
      <w:r>
        <w:rPr>
          <w:rFonts w:ascii="Arial" w:eastAsia="Arial" w:hAnsi="Arial" w:cs="Arial"/>
          <w:i/>
          <w:color w:val="000000"/>
          <w:sz w:val="20"/>
        </w:rPr>
        <w:t>Gatto</w:t>
      </w:r>
      <w:r>
        <w:rPr>
          <w:rFonts w:ascii="Arial" w:eastAsia="Arial" w:hAnsi="Arial" w:cs="Arial"/>
          <w:color w:val="000000"/>
          <w:sz w:val="20"/>
        </w:rPr>
        <w:t xml:space="preserve">, section 11135 is subject to section 338(a)'s three-year limitations period. </w:t>
      </w:r>
      <w:r>
        <w:rPr>
          <w:rFonts w:ascii="Arial" w:eastAsia="Arial" w:hAnsi="Arial" w:cs="Arial"/>
          <w:i/>
          <w:color w:val="000000"/>
          <w:sz w:val="20"/>
        </w:rPr>
        <w:t>Gatto</w:t>
      </w:r>
      <w:r>
        <w:rPr>
          <w:rFonts w:ascii="Arial" w:eastAsia="Arial" w:hAnsi="Arial" w:cs="Arial"/>
          <w:color w:val="000000"/>
          <w:sz w:val="20"/>
        </w:rPr>
        <w:t xml:space="preserve"> has remained good law in California for over a decade, and no countervailing authority convinces us that the California Supreme Court would reach a different result.</w:t>
      </w:r>
    </w:p>
    <w:p w14:paraId="15C35F07" w14:textId="77777777" w:rsidR="002D0E71" w:rsidRDefault="00000000">
      <w:pPr>
        <w:pStyle w:val="Normal29"/>
        <w:widowControl w:val="0"/>
        <w:spacing w:before="200" w:line="260" w:lineRule="atLeast"/>
        <w:jc w:val="both"/>
      </w:pPr>
      <w:bookmarkStart w:id="4184" w:name="Bookmark_para_21_21"/>
      <w:bookmarkStart w:id="4185" w:name="Bookmark_I5FFRMNX2SF85V0040000400"/>
      <w:bookmarkEnd w:id="4184"/>
      <w:bookmarkEnd w:id="4185"/>
      <w:r>
        <w:rPr>
          <w:rFonts w:ascii="Arial" w:eastAsia="Arial" w:hAnsi="Arial" w:cs="Arial"/>
          <w:color w:val="000000"/>
          <w:sz w:val="20"/>
        </w:rPr>
        <w:t xml:space="preserve">Finally, applying this three-year statute of limitations to an ADA Title II claim is not inconsistent with federal law or policy. </w:t>
      </w:r>
      <w:r>
        <w:rPr>
          <w:rFonts w:ascii="Arial" w:eastAsia="Arial" w:hAnsi="Arial" w:cs="Arial"/>
          <w:i/>
          <w:color w:val="000000"/>
          <w:sz w:val="20"/>
        </w:rPr>
        <w:t xml:space="preserve">See </w:t>
      </w:r>
      <w:bookmarkStart w:id="4186" w:name="Bookmark_I5FFRMNX2SF85V0030000400"/>
      <w:bookmarkEnd w:id="4186"/>
      <w:r>
        <w:rPr>
          <w:rFonts w:ascii="Arial" w:eastAsia="Arial" w:hAnsi="Arial" w:cs="Arial"/>
          <w:i/>
          <w:color w:val="000000"/>
          <w:sz w:val="20"/>
        </w:rPr>
        <w:t>Wilson</w:t>
      </w:r>
      <w:r>
        <w:rPr>
          <w:rFonts w:ascii="Arial" w:eastAsia="Arial" w:hAnsi="Arial" w:cs="Arial"/>
          <w:color w:val="000000"/>
          <w:sz w:val="20"/>
        </w:rPr>
        <w:t xml:space="preserve">, 471 U.S. at 266-67. </w:t>
      </w:r>
      <w:bookmarkStart w:id="4187" w:name="Bookmark_I5FFRMNX2HM5WP0010000400"/>
      <w:bookmarkStart w:id="4188" w:name="Bookmark_LNHNREFclscc6_22"/>
      <w:bookmarkEnd w:id="4187"/>
      <w:bookmarkEnd w:id="4188"/>
      <w:r>
        <w:rPr>
          <w:rFonts w:ascii="Arial" w:eastAsia="Arial" w:hAnsi="Arial" w:cs="Arial"/>
          <w:color w:val="000000"/>
          <w:sz w:val="20"/>
        </w:rPr>
        <w:t xml:space="preserve">Section 11135 expressly provides that insofar as it incorporates Title II standards, Title II provides a floor and not a ceiling for the scope of section 11135 protections and prohibitions. </w:t>
      </w:r>
      <w:bookmarkStart w:id="4189" w:name="Bookmark_I5FFRMNX2HM5WP0010000400_2"/>
      <w:bookmarkEnd w:id="4189"/>
      <w:r>
        <w:rPr>
          <w:rFonts w:ascii="Arial" w:eastAsia="Arial" w:hAnsi="Arial" w:cs="Arial"/>
          <w:color w:val="000000"/>
          <w:sz w:val="20"/>
        </w:rPr>
        <w:t xml:space="preserve">Cal. Gov't Code § 11135(b) ("[I]f the laws of this state prescribe stronger protections and prohibitions, the programs and activities subject to subdivision (a) shall be subject to the stronger protections and prohibitions."). Thus, "[i]t is most unlikely that the period of limitations applicable to [Title II] claims ever was, or ever would be, fixed in a way that would discriminate against federal claims, or be inconsistent with federal law in any respect." </w:t>
      </w:r>
      <w:bookmarkStart w:id="4190" w:name="Bookmark_I5FFRMNX2SF85V0050000400"/>
      <w:bookmarkEnd w:id="4190"/>
      <w:r>
        <w:rPr>
          <w:rFonts w:ascii="Arial" w:eastAsia="Arial" w:hAnsi="Arial" w:cs="Arial"/>
          <w:i/>
          <w:color w:val="000000"/>
          <w:sz w:val="20"/>
        </w:rPr>
        <w:t>Wilson</w:t>
      </w:r>
      <w:r>
        <w:rPr>
          <w:rFonts w:ascii="Arial" w:eastAsia="Arial" w:hAnsi="Arial" w:cs="Arial"/>
          <w:color w:val="000000"/>
          <w:sz w:val="20"/>
        </w:rPr>
        <w:t>, 471 U.S. at 279.</w:t>
      </w:r>
    </w:p>
    <w:p w14:paraId="032139A8" w14:textId="77777777" w:rsidR="002D0E71" w:rsidRDefault="00000000">
      <w:pPr>
        <w:pStyle w:val="Normal29"/>
        <w:widowControl w:val="0"/>
        <w:spacing w:before="200" w:line="260" w:lineRule="atLeast"/>
        <w:jc w:val="both"/>
      </w:pPr>
      <w:bookmarkStart w:id="4191" w:name="Bookmark_para_22_21"/>
      <w:bookmarkEnd w:id="4191"/>
      <w:r>
        <w:rPr>
          <w:rFonts w:ascii="Arial" w:eastAsia="Arial" w:hAnsi="Arial" w:cs="Arial"/>
          <w:color w:val="000000"/>
          <w:sz w:val="20"/>
        </w:rPr>
        <w:t>Sharkey filed suit two and a half years after the last events alleged in his complaint occurred. Under the applicable three-year statute of limitations, his claim [**17]  under Title II of the ADA is not time-barred.</w:t>
      </w:r>
    </w:p>
    <w:p w14:paraId="2CAD98A8" w14:textId="77777777" w:rsidR="002D0E71" w:rsidRDefault="00000000">
      <w:pPr>
        <w:pStyle w:val="Normal29"/>
        <w:widowControl w:val="0"/>
        <w:spacing w:before="240" w:line="260" w:lineRule="atLeast"/>
      </w:pPr>
      <w:r>
        <w:br/>
      </w:r>
      <w:r>
        <w:rPr>
          <w:rFonts w:ascii="Arial" w:eastAsia="Arial" w:hAnsi="Arial" w:cs="Arial"/>
          <w:color w:val="000000"/>
          <w:sz w:val="20"/>
        </w:rPr>
        <w:t xml:space="preserve"> [*774]  </w:t>
      </w:r>
      <w:r>
        <w:rPr>
          <w:rFonts w:ascii="Arial" w:eastAsia="Arial" w:hAnsi="Arial" w:cs="Arial"/>
          <w:b/>
          <w:color w:val="000000"/>
          <w:sz w:val="20"/>
        </w:rPr>
        <w:t>II</w:t>
      </w:r>
      <w:r>
        <w:rPr>
          <w:rFonts w:ascii="Arial" w:eastAsia="Arial" w:hAnsi="Arial" w:cs="Arial"/>
          <w:color w:val="000000"/>
          <w:sz w:val="20"/>
        </w:rPr>
        <w:t>.</w:t>
      </w:r>
    </w:p>
    <w:p w14:paraId="1AC62879" w14:textId="77777777" w:rsidR="002D0E71" w:rsidRDefault="00000000">
      <w:pPr>
        <w:pStyle w:val="Normal29"/>
        <w:widowControl w:val="0"/>
        <w:spacing w:before="200" w:line="260" w:lineRule="atLeast"/>
        <w:jc w:val="both"/>
      </w:pPr>
      <w:bookmarkStart w:id="4192" w:name="Bookmark_para_23_21"/>
      <w:bookmarkEnd w:id="4192"/>
      <w:r>
        <w:rPr>
          <w:rFonts w:ascii="Arial" w:eastAsia="Arial" w:hAnsi="Arial" w:cs="Arial"/>
          <w:color w:val="000000"/>
          <w:sz w:val="20"/>
        </w:rPr>
        <w:t xml:space="preserve">Sharkey also contends that the district court erred in dismissing his other claims with prejudice. </w:t>
      </w:r>
      <w:bookmarkStart w:id="4193" w:name="Bookmark_I5FFRMNX2HM5WP0030000400"/>
      <w:bookmarkEnd w:id="4193"/>
      <w:r>
        <w:rPr>
          <w:rFonts w:ascii="Arial" w:eastAsia="Arial" w:hAnsi="Arial" w:cs="Arial"/>
          <w:color w:val="000000"/>
          <w:sz w:val="20"/>
        </w:rPr>
        <w:t xml:space="preserve">While Sharkey does not contest the statute of limitations applicable to these claims, he seeks leave to amend his complaint to allege additional facts defeating the statute-of-limitations defense. </w:t>
      </w:r>
      <w:bookmarkStart w:id="4194" w:name="Bookmark_LNHNREFclscc7_21"/>
      <w:bookmarkEnd w:id="4194"/>
      <w:r>
        <w:rPr>
          <w:rFonts w:ascii="Arial" w:eastAsia="Arial" w:hAnsi="Arial" w:cs="Arial"/>
          <w:color w:val="000000"/>
          <w:sz w:val="20"/>
        </w:rPr>
        <w:t xml:space="preserve">We review the denial of an opportunity to amend for abuse of discretion. </w:t>
      </w:r>
      <w:bookmarkStart w:id="4195" w:name="Bookmark_I5FFRMNX2HM5WP0020000400"/>
      <w:bookmarkEnd w:id="4195"/>
      <w:r>
        <w:rPr>
          <w:rFonts w:ascii="Arial" w:eastAsia="Arial" w:hAnsi="Arial" w:cs="Arial"/>
          <w:i/>
          <w:color w:val="000000"/>
          <w:sz w:val="20"/>
        </w:rPr>
        <w:t>Foman v. Davis</w:t>
      </w:r>
      <w:r>
        <w:rPr>
          <w:rFonts w:ascii="Arial" w:eastAsia="Arial" w:hAnsi="Arial" w:cs="Arial"/>
          <w:color w:val="000000"/>
          <w:sz w:val="20"/>
        </w:rPr>
        <w:t>, 371 U.S. 178, 182, 83 S. Ct. 227, 9 L. Ed. 2d 222 (1962).</w:t>
      </w:r>
    </w:p>
    <w:p w14:paraId="3F0B605B" w14:textId="77777777" w:rsidR="002D0E71" w:rsidRDefault="00000000">
      <w:pPr>
        <w:pStyle w:val="Normal29"/>
        <w:widowControl w:val="0"/>
        <w:spacing w:before="200" w:line="260" w:lineRule="atLeast"/>
        <w:jc w:val="both"/>
      </w:pPr>
      <w:bookmarkStart w:id="4196" w:name="Bookmark_para_24_21"/>
      <w:bookmarkStart w:id="4197" w:name="Bookmark_I5FFRMNX2HM5WP0050000400"/>
      <w:bookmarkEnd w:id="4196"/>
      <w:bookmarkEnd w:id="4197"/>
      <w:r>
        <w:rPr>
          <w:rFonts w:ascii="Arial" w:eastAsia="Arial" w:hAnsi="Arial" w:cs="Arial"/>
          <w:color w:val="000000"/>
          <w:sz w:val="20"/>
        </w:rPr>
        <w:t xml:space="preserve">Sharkey missed the deadline to amend his pleadings as a matter of course, as he was required to do so within twenty-one days of being served with a motion to dismiss. </w:t>
      </w:r>
      <w:bookmarkStart w:id="4198" w:name="Bookmark_I5FFRMNX2D6NNC0020000400"/>
      <w:bookmarkEnd w:id="4198"/>
      <w:r>
        <w:rPr>
          <w:rFonts w:ascii="Arial" w:eastAsia="Arial" w:hAnsi="Arial" w:cs="Arial"/>
          <w:i/>
          <w:color w:val="000000"/>
          <w:sz w:val="20"/>
        </w:rPr>
        <w:t>See</w:t>
      </w:r>
      <w:r>
        <w:rPr>
          <w:rFonts w:ascii="Arial" w:eastAsia="Arial" w:hAnsi="Arial" w:cs="Arial"/>
          <w:color w:val="000000"/>
          <w:sz w:val="20"/>
        </w:rPr>
        <w:t xml:space="preserve"> Fed. R. Civ. P. 15(a)(1)(B). However, </w:t>
      </w:r>
      <w:bookmarkStart w:id="4199" w:name="Bookmark_LNHNREFclscc8_21"/>
      <w:bookmarkEnd w:id="4199"/>
      <w:r>
        <w:rPr>
          <w:rFonts w:ascii="Arial" w:eastAsia="Arial" w:hAnsi="Arial" w:cs="Arial"/>
          <w:color w:val="000000"/>
          <w:sz w:val="20"/>
        </w:rPr>
        <w:t xml:space="preserve">"Rule 15(a) declares that leave to amend shall be freely given when justice so requires; this mandate is to be heeded." </w:t>
      </w:r>
      <w:bookmarkStart w:id="4200" w:name="Bookmark_I5FFRMNX2HM5WP0040000400"/>
      <w:bookmarkEnd w:id="4200"/>
      <w:r>
        <w:rPr>
          <w:rFonts w:ascii="Arial" w:eastAsia="Arial" w:hAnsi="Arial" w:cs="Arial"/>
          <w:i/>
          <w:color w:val="000000"/>
          <w:sz w:val="20"/>
        </w:rPr>
        <w:t>Foman</w:t>
      </w:r>
      <w:r>
        <w:rPr>
          <w:rFonts w:ascii="Arial" w:eastAsia="Arial" w:hAnsi="Arial" w:cs="Arial"/>
          <w:color w:val="000000"/>
          <w:sz w:val="20"/>
        </w:rPr>
        <w:t xml:space="preserve">, 371 U.S. at 182 (internal quotation marks omitted). </w:t>
      </w:r>
      <w:bookmarkStart w:id="4201" w:name="Bookmark_I5FFRMNX2D6NNC0020000400_2"/>
      <w:bookmarkEnd w:id="4201"/>
      <w:r>
        <w:rPr>
          <w:rFonts w:ascii="Arial" w:eastAsia="Arial" w:hAnsi="Arial" w:cs="Arial"/>
          <w:color w:val="000000"/>
          <w:sz w:val="20"/>
        </w:rPr>
        <w:t xml:space="preserve">Moreover, "[w]e are very cautious in approving a district court's decision to deny pro se litigants leave to amend." </w:t>
      </w:r>
      <w:bookmarkStart w:id="4202" w:name="Bookmark_I5FFRMNX2D6NNC0010000400"/>
      <w:bookmarkEnd w:id="4202"/>
      <w:r>
        <w:rPr>
          <w:rFonts w:ascii="Arial" w:eastAsia="Arial" w:hAnsi="Arial" w:cs="Arial"/>
          <w:i/>
          <w:color w:val="000000"/>
          <w:sz w:val="20"/>
        </w:rPr>
        <w:t>Flowers v. First Hawaiian Bank</w:t>
      </w:r>
      <w:r>
        <w:rPr>
          <w:rFonts w:ascii="Arial" w:eastAsia="Arial" w:hAnsi="Arial" w:cs="Arial"/>
          <w:color w:val="000000"/>
          <w:sz w:val="20"/>
        </w:rPr>
        <w:t xml:space="preserve">, 295 F.3d 966, 976 (9th Cir. 2002); </w:t>
      </w:r>
      <w:r>
        <w:rPr>
          <w:rFonts w:ascii="Arial" w:eastAsia="Arial" w:hAnsi="Arial" w:cs="Arial"/>
          <w:i/>
          <w:color w:val="000000"/>
          <w:sz w:val="20"/>
        </w:rPr>
        <w:t xml:space="preserve">see also </w:t>
      </w:r>
      <w:bookmarkStart w:id="4203" w:name="Bookmark_I5FFRMNX2D6NNC0030000400"/>
      <w:bookmarkEnd w:id="4203"/>
      <w:r>
        <w:rPr>
          <w:rFonts w:ascii="Arial" w:eastAsia="Arial" w:hAnsi="Arial" w:cs="Arial"/>
          <w:i/>
          <w:color w:val="000000"/>
          <w:sz w:val="20"/>
        </w:rPr>
        <w:t>Lopez v. Smith</w:t>
      </w:r>
      <w:r>
        <w:rPr>
          <w:rFonts w:ascii="Arial" w:eastAsia="Arial" w:hAnsi="Arial" w:cs="Arial"/>
          <w:color w:val="000000"/>
          <w:sz w:val="20"/>
        </w:rPr>
        <w:t xml:space="preserve">, 203 F.3d 1122, 1131 (9th Cir. 2000) (en banc); </w:t>
      </w:r>
      <w:r>
        <w:rPr>
          <w:rFonts w:ascii="Arial" w:eastAsia="Arial" w:hAnsi="Arial" w:cs="Arial"/>
          <w:i/>
          <w:color w:val="000000"/>
          <w:sz w:val="20"/>
        </w:rPr>
        <w:t xml:space="preserve">see also </w:t>
      </w:r>
      <w:bookmarkStart w:id="4204" w:name="Bookmark_I5FFRMNX2D6NNC0050000400"/>
      <w:bookmarkEnd w:id="4204"/>
      <w:r>
        <w:rPr>
          <w:rFonts w:ascii="Arial" w:eastAsia="Arial" w:hAnsi="Arial" w:cs="Arial"/>
          <w:i/>
          <w:color w:val="000000"/>
          <w:sz w:val="20"/>
        </w:rPr>
        <w:t>Lucas v. Dep't of Corr</w:t>
      </w:r>
      <w:r>
        <w:rPr>
          <w:rFonts w:ascii="Arial" w:eastAsia="Arial" w:hAnsi="Arial" w:cs="Arial"/>
          <w:color w:val="000000"/>
          <w:sz w:val="20"/>
        </w:rPr>
        <w:t>., 66 F.3d 245, 248-49 (9th Cir.1995) (per curiam).</w:t>
      </w:r>
    </w:p>
    <w:p w14:paraId="327C57F4" w14:textId="77777777" w:rsidR="002D0E71" w:rsidRDefault="00000000">
      <w:pPr>
        <w:pStyle w:val="Normal29"/>
        <w:widowControl w:val="0"/>
        <w:spacing w:before="200" w:line="260" w:lineRule="atLeast"/>
        <w:jc w:val="both"/>
      </w:pPr>
      <w:bookmarkStart w:id="4205" w:name="Bookmark_para_25_21"/>
      <w:bookmarkStart w:id="4206" w:name="Bookmark_I798GMGJM0W000G7H8S000BP"/>
      <w:bookmarkStart w:id="4207" w:name="Bookmark_I5FFRMNX2HM5WR0030000400"/>
      <w:bookmarkEnd w:id="4205"/>
      <w:bookmarkEnd w:id="4206"/>
      <w:bookmarkEnd w:id="4207"/>
      <w:r>
        <w:rPr>
          <w:rFonts w:ascii="Arial" w:eastAsia="Arial" w:hAnsi="Arial" w:cs="Arial"/>
          <w:color w:val="000000"/>
          <w:sz w:val="20"/>
        </w:rPr>
        <w:t>The Supreme Court in</w:t>
      </w:r>
      <w:bookmarkStart w:id="4208" w:name="Bookmark_I5FFRMNX2HM5WR0020000400"/>
      <w:bookmarkEnd w:id="4208"/>
      <w:r>
        <w:rPr>
          <w:rFonts w:ascii="Arial" w:eastAsia="Arial" w:hAnsi="Arial" w:cs="Arial"/>
          <w:color w:val="000000"/>
          <w:sz w:val="20"/>
        </w:rPr>
        <w:t xml:space="preserve"> </w:t>
      </w:r>
      <w:r>
        <w:rPr>
          <w:rFonts w:ascii="Arial" w:eastAsia="Arial" w:hAnsi="Arial" w:cs="Arial"/>
          <w:i/>
          <w:color w:val="000000"/>
          <w:sz w:val="20"/>
        </w:rPr>
        <w:t>Foman v. Davis</w:t>
      </w:r>
      <w:r>
        <w:rPr>
          <w:rFonts w:ascii="Arial" w:eastAsia="Arial" w:hAnsi="Arial" w:cs="Arial"/>
          <w:color w:val="000000"/>
          <w:sz w:val="20"/>
        </w:rPr>
        <w:t xml:space="preserve"> held that </w:t>
      </w:r>
      <w:bookmarkStart w:id="4209" w:name="Bookmark_LNHNREFclscc9_20"/>
      <w:bookmarkEnd w:id="4209"/>
      <w:r>
        <w:rPr>
          <w:rFonts w:ascii="Arial" w:eastAsia="Arial" w:hAnsi="Arial" w:cs="Arial"/>
          <w:color w:val="000000"/>
          <w:sz w:val="20"/>
        </w:rPr>
        <w:t>district courts should consider the following factors in deciding whether to dismiss with prejudice:</w:t>
      </w:r>
    </w:p>
    <w:p w14:paraId="6746FDC3" w14:textId="77777777" w:rsidR="002D0E71" w:rsidRDefault="00000000">
      <w:pPr>
        <w:pStyle w:val="Normal29"/>
        <w:widowControl w:val="0"/>
        <w:spacing w:before="200" w:line="260" w:lineRule="atLeast"/>
        <w:ind w:left="400"/>
        <w:jc w:val="both"/>
      </w:pPr>
      <w:bookmarkStart w:id="4210" w:name="Bookmark_para_26_20"/>
      <w:bookmarkStart w:id="4211" w:name="Bookmark_I5FFRMNX2HM5WR0030000400_2"/>
      <w:bookmarkEnd w:id="4210"/>
      <w:bookmarkEnd w:id="4211"/>
      <w:r>
        <w:rPr>
          <w:rFonts w:ascii="Arial" w:eastAsia="Arial" w:hAnsi="Arial" w:cs="Arial"/>
          <w:color w:val="000000"/>
          <w:sz w:val="20"/>
        </w:rPr>
        <w:t>In the absence of any apparent or declared reason such as undue delay, bad faith or dilatory motive on the part of the movant, repeated failure to cure [**18]  deficiencies by amendments previously allowed, undue prejudice to the opposing party by virtue of allowance of the amendment, futility of amendment, etc. the leave sought should, as the rules require, be 'freely given.'</w:t>
      </w:r>
    </w:p>
    <w:p w14:paraId="2981FEAD" w14:textId="77777777" w:rsidR="002D0E71" w:rsidRDefault="00000000">
      <w:pPr>
        <w:pStyle w:val="Normal29"/>
        <w:widowControl w:val="0"/>
        <w:spacing w:before="200" w:line="260" w:lineRule="atLeast"/>
        <w:jc w:val="both"/>
      </w:pPr>
      <w:bookmarkStart w:id="4212" w:name="Bookmark_para_27_20"/>
      <w:bookmarkStart w:id="4213" w:name="Bookmark_I5FFRMNX2HM5WR0050000400"/>
      <w:bookmarkStart w:id="4214" w:name="Bookmark_I5FFRMNX2SF85W0020000400"/>
      <w:bookmarkStart w:id="4215" w:name="Bookmark_I5FFRMNX2HM5WR0040000400"/>
      <w:bookmarkEnd w:id="4212"/>
      <w:bookmarkEnd w:id="4213"/>
      <w:bookmarkEnd w:id="4214"/>
      <w:bookmarkEnd w:id="4215"/>
      <w:r>
        <w:rPr>
          <w:rFonts w:ascii="Arial" w:eastAsia="Arial" w:hAnsi="Arial" w:cs="Arial"/>
          <w:color w:val="000000"/>
          <w:sz w:val="20"/>
        </w:rPr>
        <w:t xml:space="preserve">371 U.S. at 182. "Absent prejudice, or a strong showing of any of the remaining </w:t>
      </w:r>
      <w:r>
        <w:rPr>
          <w:rFonts w:ascii="Arial" w:eastAsia="Arial" w:hAnsi="Arial" w:cs="Arial"/>
          <w:i/>
          <w:color w:val="000000"/>
          <w:sz w:val="20"/>
        </w:rPr>
        <w:t>Foman</w:t>
      </w:r>
      <w:r>
        <w:rPr>
          <w:rFonts w:ascii="Arial" w:eastAsia="Arial" w:hAnsi="Arial" w:cs="Arial"/>
          <w:color w:val="000000"/>
          <w:sz w:val="20"/>
        </w:rPr>
        <w:t xml:space="preserve"> factors, there exists a presumption under Rule 15(a) in favor of granting leave to amend." </w:t>
      </w:r>
      <w:bookmarkStart w:id="4216" w:name="Bookmark_I5FFRMNX2SF85W0010000400"/>
      <w:bookmarkEnd w:id="4216"/>
      <w:r>
        <w:rPr>
          <w:rFonts w:ascii="Arial" w:eastAsia="Arial" w:hAnsi="Arial" w:cs="Arial"/>
          <w:i/>
          <w:color w:val="000000"/>
          <w:sz w:val="20"/>
        </w:rPr>
        <w:t>Eminence Capital, LLC v. Aspeon, Inc</w:t>
      </w:r>
      <w:r>
        <w:rPr>
          <w:rFonts w:ascii="Arial" w:eastAsia="Arial" w:hAnsi="Arial" w:cs="Arial"/>
          <w:color w:val="000000"/>
          <w:sz w:val="20"/>
        </w:rPr>
        <w:t>., 316 F.3d 1048, 1052 (9th Cir. 2003)</w:t>
      </w:r>
    </w:p>
    <w:p w14:paraId="7B140EB5" w14:textId="77777777" w:rsidR="002D0E71" w:rsidRDefault="00000000">
      <w:pPr>
        <w:pStyle w:val="Normal29"/>
        <w:widowControl w:val="0"/>
        <w:spacing w:before="200" w:line="260" w:lineRule="atLeast"/>
        <w:jc w:val="both"/>
      </w:pPr>
      <w:bookmarkStart w:id="4217" w:name="Bookmark_para_28_18"/>
      <w:bookmarkStart w:id="4218" w:name="Bookmark_I5FFRMNX2SF85W0040000400"/>
      <w:bookmarkStart w:id="4219" w:name="Bookmark_I5FFRMNX2D6NND0010000400"/>
      <w:bookmarkEnd w:id="4217"/>
      <w:bookmarkEnd w:id="4218"/>
      <w:bookmarkEnd w:id="4219"/>
      <w:r>
        <w:rPr>
          <w:rFonts w:ascii="Arial" w:eastAsia="Arial" w:hAnsi="Arial" w:cs="Arial"/>
          <w:color w:val="000000"/>
          <w:sz w:val="20"/>
        </w:rPr>
        <w:t xml:space="preserve">In the instant case, the district court provided no explanation for dismissing with prejudice, despite the fact that the operative complaint was the first and only complaint filed by Sharkey, who was proceeding </w:t>
      </w:r>
      <w:r>
        <w:rPr>
          <w:rFonts w:ascii="Arial" w:eastAsia="Arial" w:hAnsi="Arial" w:cs="Arial"/>
          <w:i/>
          <w:color w:val="000000"/>
          <w:sz w:val="20"/>
        </w:rPr>
        <w:t>pro se</w:t>
      </w:r>
      <w:r>
        <w:rPr>
          <w:rFonts w:ascii="Arial" w:eastAsia="Arial" w:hAnsi="Arial" w:cs="Arial"/>
          <w:color w:val="000000"/>
          <w:sz w:val="20"/>
        </w:rPr>
        <w:t xml:space="preserve">. </w:t>
      </w:r>
      <w:bookmarkStart w:id="4220" w:name="Bookmark_LNHNREFclscc10_20"/>
      <w:bookmarkEnd w:id="4220"/>
      <w:r>
        <w:rPr>
          <w:rFonts w:ascii="Arial" w:eastAsia="Arial" w:hAnsi="Arial" w:cs="Arial"/>
          <w:color w:val="000000"/>
          <w:sz w:val="20"/>
        </w:rPr>
        <w:t xml:space="preserve">"A simple denial of leave to amend without any explanation by the district court is subject to reversal." </w:t>
      </w:r>
      <w:r>
        <w:rPr>
          <w:rFonts w:ascii="Arial" w:eastAsia="Arial" w:hAnsi="Arial" w:cs="Arial"/>
          <w:i/>
          <w:color w:val="000000"/>
          <w:sz w:val="20"/>
        </w:rPr>
        <w:t>Id</w:t>
      </w:r>
      <w:r>
        <w:rPr>
          <w:rFonts w:ascii="Arial" w:eastAsia="Arial" w:hAnsi="Arial" w:cs="Arial"/>
          <w:color w:val="000000"/>
          <w:sz w:val="20"/>
        </w:rPr>
        <w:t xml:space="preserve">. "Of course, the grant or denial of an opportunity to amend is within the discretion of the District Court, but outright refusal to grant the leave without any justifying reason appearing for the denial is not an exercise of discretion; it is merely abuse of that discretion and inconsistent with the spirit of the Federal Rules." </w:t>
      </w:r>
      <w:bookmarkStart w:id="4221" w:name="Bookmark_I5FFRMNX2SF85W0030000400"/>
      <w:bookmarkEnd w:id="4221"/>
      <w:r>
        <w:rPr>
          <w:rFonts w:ascii="Arial" w:eastAsia="Arial" w:hAnsi="Arial" w:cs="Arial"/>
          <w:i/>
          <w:color w:val="000000"/>
          <w:sz w:val="20"/>
        </w:rPr>
        <w:t>Foman</w:t>
      </w:r>
      <w:r>
        <w:rPr>
          <w:rFonts w:ascii="Arial" w:eastAsia="Arial" w:hAnsi="Arial" w:cs="Arial"/>
          <w:color w:val="000000"/>
          <w:sz w:val="20"/>
        </w:rPr>
        <w:t xml:space="preserve">, 371 U.S. at 182. Similarly, dismissal with prejudice constitutes an abuse of discretion where the district court fails to make a determination "that the pleading </w:t>
      </w:r>
      <w:r>
        <w:rPr>
          <w:rFonts w:ascii="Arial" w:eastAsia="Arial" w:hAnsi="Arial" w:cs="Arial"/>
          <w:i/>
          <w:color w:val="000000"/>
          <w:sz w:val="20"/>
        </w:rPr>
        <w:t>could not possibly</w:t>
      </w:r>
      <w:r>
        <w:rPr>
          <w:rFonts w:ascii="Arial" w:eastAsia="Arial" w:hAnsi="Arial" w:cs="Arial"/>
          <w:color w:val="000000"/>
          <w:sz w:val="20"/>
        </w:rPr>
        <w:t xml:space="preserve"> be [**19]  cured by the allegation of other facts," </w:t>
      </w:r>
      <w:bookmarkStart w:id="4222" w:name="Bookmark_I5FFRMNX2SF85W0050000400"/>
      <w:bookmarkEnd w:id="4222"/>
      <w:r>
        <w:rPr>
          <w:rFonts w:ascii="Arial" w:eastAsia="Arial" w:hAnsi="Arial" w:cs="Arial"/>
          <w:i/>
          <w:color w:val="000000"/>
          <w:sz w:val="20"/>
        </w:rPr>
        <w:t>Lopez</w:t>
      </w:r>
      <w:r>
        <w:rPr>
          <w:rFonts w:ascii="Arial" w:eastAsia="Arial" w:hAnsi="Arial" w:cs="Arial"/>
          <w:color w:val="000000"/>
          <w:sz w:val="20"/>
        </w:rPr>
        <w:t xml:space="preserve">, 203 F.3d at 1127 (emphasis added) (internal quotation marks omitted), and this is so "'even if no request to amend the pleading was made.'" </w:t>
      </w:r>
      <w:bookmarkStart w:id="4223" w:name="Bookmark_I5FFRMNX2D6NND0020000400"/>
      <w:bookmarkEnd w:id="4223"/>
      <w:r>
        <w:rPr>
          <w:rFonts w:ascii="Arial" w:eastAsia="Arial" w:hAnsi="Arial" w:cs="Arial"/>
          <w:i/>
          <w:color w:val="000000"/>
          <w:sz w:val="20"/>
        </w:rPr>
        <w:t>Doe v. United States</w:t>
      </w:r>
      <w:r>
        <w:rPr>
          <w:rFonts w:ascii="Arial" w:eastAsia="Arial" w:hAnsi="Arial" w:cs="Arial"/>
          <w:color w:val="000000"/>
          <w:sz w:val="20"/>
        </w:rPr>
        <w:t xml:space="preserve">, 58 F.3d 494, 497 (9th Cir. 1995) (quoting </w:t>
      </w:r>
      <w:bookmarkStart w:id="4224" w:name="Bookmark_I5FFRMNX2D6NND0040000400"/>
      <w:bookmarkEnd w:id="4224"/>
      <w:r>
        <w:rPr>
          <w:rFonts w:ascii="Arial" w:eastAsia="Arial" w:hAnsi="Arial" w:cs="Arial"/>
          <w:i/>
          <w:color w:val="000000"/>
          <w:sz w:val="20"/>
        </w:rPr>
        <w:t>Cook, Perkiss &amp; Liehe v. N. Cal. Collection Service</w:t>
      </w:r>
      <w:r>
        <w:rPr>
          <w:rFonts w:ascii="Arial" w:eastAsia="Arial" w:hAnsi="Arial" w:cs="Arial"/>
          <w:color w:val="000000"/>
          <w:sz w:val="20"/>
        </w:rPr>
        <w:t xml:space="preserve">, 911 F.2d 242, 247 (9th Cir.1990)). We therefore conclude that the district court erred in dismissing Sharkey's entire complaint with prejudice without explanation and we accordingly remand for application of the </w:t>
      </w:r>
      <w:r>
        <w:rPr>
          <w:rFonts w:ascii="Arial" w:eastAsia="Arial" w:hAnsi="Arial" w:cs="Arial"/>
          <w:i/>
          <w:color w:val="000000"/>
          <w:sz w:val="20"/>
        </w:rPr>
        <w:t>Foman</w:t>
      </w:r>
      <w:r>
        <w:rPr>
          <w:rFonts w:ascii="Arial" w:eastAsia="Arial" w:hAnsi="Arial" w:cs="Arial"/>
          <w:color w:val="000000"/>
          <w:sz w:val="20"/>
        </w:rPr>
        <w:t xml:space="preserve"> factors and the presumption in favor of granting leave to amend with respect to all claims other than his ADA Title II claim.</w:t>
      </w:r>
    </w:p>
    <w:p w14:paraId="4B852A1E" w14:textId="77777777" w:rsidR="002D0E71" w:rsidRDefault="00000000">
      <w:pPr>
        <w:pStyle w:val="Normal29"/>
        <w:widowControl w:val="0"/>
        <w:spacing w:before="240" w:line="260" w:lineRule="atLeast"/>
      </w:pPr>
      <w:r>
        <w:br/>
      </w:r>
      <w:r>
        <w:rPr>
          <w:rFonts w:ascii="Arial" w:eastAsia="Arial" w:hAnsi="Arial" w:cs="Arial"/>
          <w:b/>
          <w:color w:val="000000"/>
          <w:sz w:val="20"/>
        </w:rPr>
        <w:t>CONCLUSION</w:t>
      </w:r>
    </w:p>
    <w:p w14:paraId="4EAD9E2F" w14:textId="77777777" w:rsidR="002D0E71" w:rsidRDefault="00000000">
      <w:pPr>
        <w:pStyle w:val="Normal29"/>
        <w:widowControl w:val="0"/>
        <w:spacing w:before="200" w:line="260" w:lineRule="atLeast"/>
        <w:jc w:val="both"/>
      </w:pPr>
      <w:bookmarkStart w:id="4225" w:name="Bookmark_para_29_18"/>
      <w:bookmarkEnd w:id="4225"/>
      <w:r>
        <w:rPr>
          <w:rFonts w:ascii="Arial" w:eastAsia="Arial" w:hAnsi="Arial" w:cs="Arial"/>
          <w:color w:val="000000"/>
          <w:sz w:val="20"/>
        </w:rPr>
        <w:t>We hold that California's three-year limitations period for an action upon liability  [*775]  created by statute applies to claims under Title II of the ADA, and that Sharkey's Title II claim is not time-barred. We also hold that the district court abused its discretion in dismissing Sharkey's remaining claims with prejudice without affording him leave to amend.</w:t>
      </w:r>
    </w:p>
    <w:p w14:paraId="759A5061" w14:textId="77777777" w:rsidR="002D0E71" w:rsidRDefault="00000000">
      <w:pPr>
        <w:pStyle w:val="Normal29"/>
        <w:widowControl w:val="0"/>
        <w:spacing w:before="200" w:line="260" w:lineRule="atLeast"/>
        <w:jc w:val="both"/>
      </w:pPr>
      <w:bookmarkStart w:id="4226" w:name="Bookmark_para_30_17"/>
      <w:bookmarkEnd w:id="4226"/>
      <w:r>
        <w:rPr>
          <w:rFonts w:ascii="Arial" w:eastAsia="Arial" w:hAnsi="Arial" w:cs="Arial"/>
          <w:b/>
          <w:color w:val="000000"/>
          <w:sz w:val="20"/>
        </w:rPr>
        <w:t>REVERSED AND REMANDED</w:t>
      </w:r>
      <w:r>
        <w:rPr>
          <w:rFonts w:ascii="Arial" w:eastAsia="Arial" w:hAnsi="Arial" w:cs="Arial"/>
          <w:color w:val="000000"/>
          <w:sz w:val="20"/>
        </w:rPr>
        <w:t>.</w:t>
      </w:r>
    </w:p>
    <w:p w14:paraId="3C0A9B3D" w14:textId="77777777" w:rsidR="002D0E71" w:rsidRDefault="002D0E71">
      <w:pPr>
        <w:pStyle w:val="Normal29"/>
      </w:pPr>
    </w:p>
    <w:p w14:paraId="7DF252B1" w14:textId="78C72834" w:rsidR="002D0E71" w:rsidRDefault="00000000">
      <w:pPr>
        <w:pStyle w:val="Normal29"/>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20704" behindDoc="0" locked="0" layoutInCell="1" allowOverlap="1" wp14:anchorId="47A66488" wp14:editId="392C6FBB">
                <wp:simplePos x="0" y="0"/>
                <wp:positionH relativeFrom="column">
                  <wp:posOffset>0</wp:posOffset>
                </wp:positionH>
                <wp:positionV relativeFrom="paragraph">
                  <wp:posOffset>127000</wp:posOffset>
                </wp:positionV>
                <wp:extent cx="6502400" cy="0"/>
                <wp:effectExtent l="9525" t="12700" r="12700" b="6350"/>
                <wp:wrapNone/>
                <wp:docPr id="138381942"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B1BD71" id="Line 64"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45B40D8" w14:textId="77777777" w:rsidR="002D0E71" w:rsidRDefault="002D0E71">
      <w:pPr>
        <w:pStyle w:val="Normal30"/>
        <w:sectPr w:rsidR="002D0E71">
          <w:headerReference w:type="even" r:id="rId188"/>
          <w:headerReference w:type="default" r:id="rId189"/>
          <w:footerReference w:type="even" r:id="rId190"/>
          <w:footerReference w:type="default" r:id="rId191"/>
          <w:headerReference w:type="first" r:id="rId192"/>
          <w:footerReference w:type="first" r:id="rId193"/>
          <w:pgSz w:w="12240" w:h="15840"/>
          <w:pgMar w:top="840" w:right="1000" w:bottom="840" w:left="1000" w:header="400" w:footer="400" w:gutter="0"/>
          <w:cols w:space="720"/>
          <w:titlePg/>
        </w:sectPr>
      </w:pPr>
    </w:p>
    <w:p w14:paraId="4BD371B7" w14:textId="77777777" w:rsidR="002D0E71" w:rsidRDefault="002D0E71">
      <w:pPr>
        <w:pStyle w:val="Normal30"/>
      </w:pPr>
    </w:p>
    <w:p w14:paraId="09BE4BC1" w14:textId="77777777" w:rsidR="002D0E71" w:rsidRDefault="00000000">
      <w:pPr>
        <w:pStyle w:val="Heading129"/>
        <w:keepNext w:val="0"/>
        <w:widowControl w:val="0"/>
        <w:spacing w:after="200" w:line="340" w:lineRule="atLeast"/>
        <w:jc w:val="center"/>
      </w:pPr>
      <w:r>
        <w:rPr>
          <w:rFonts w:eastAsia="Arial"/>
          <w:color w:val="000000"/>
          <w:sz w:val="28"/>
        </w:rPr>
        <w:t>Daniel v. Avesta Hous. Mgmt. Corp.</w:t>
      </w:r>
    </w:p>
    <w:p w14:paraId="646CEF85" w14:textId="77777777" w:rsidR="002D0E71" w:rsidRDefault="00000000">
      <w:pPr>
        <w:pStyle w:val="Normal30"/>
        <w:widowControl w:val="0"/>
        <w:spacing w:before="120" w:line="260" w:lineRule="atLeast"/>
        <w:jc w:val="center"/>
      </w:pPr>
      <w:r>
        <w:rPr>
          <w:rFonts w:ascii="Arial" w:eastAsia="Arial" w:hAnsi="Arial" w:cs="Arial"/>
          <w:color w:val="000000"/>
          <w:sz w:val="20"/>
        </w:rPr>
        <w:t>United States Court of Appeals for the First Circuit</w:t>
      </w:r>
    </w:p>
    <w:p w14:paraId="422DBB4D" w14:textId="77777777" w:rsidR="002D0E71" w:rsidRDefault="00000000">
      <w:pPr>
        <w:pStyle w:val="Normal30"/>
        <w:widowControl w:val="0"/>
        <w:spacing w:before="120" w:line="260" w:lineRule="atLeast"/>
        <w:jc w:val="center"/>
      </w:pPr>
      <w:r>
        <w:rPr>
          <w:rFonts w:ascii="Arial" w:eastAsia="Arial" w:hAnsi="Arial" w:cs="Arial"/>
          <w:color w:val="000000"/>
          <w:sz w:val="20"/>
        </w:rPr>
        <w:t>December 11, 2014, Entered</w:t>
      </w:r>
    </w:p>
    <w:p w14:paraId="6F7747B8" w14:textId="77777777" w:rsidR="002D0E71" w:rsidRDefault="00000000">
      <w:pPr>
        <w:pStyle w:val="Normal30"/>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13-2341</w:t>
      </w:r>
    </w:p>
    <w:p w14:paraId="4E075A60" w14:textId="77777777" w:rsidR="002D0E71" w:rsidRDefault="002D0E71">
      <w:pPr>
        <w:pStyle w:val="Normal30"/>
        <w:widowControl w:val="0"/>
        <w:spacing w:line="240" w:lineRule="atLeast"/>
        <w:jc w:val="both"/>
      </w:pPr>
      <w:bookmarkStart w:id="4227" w:name="Bookmark_31"/>
      <w:bookmarkEnd w:id="4227"/>
    </w:p>
    <w:p w14:paraId="0B22EA86" w14:textId="77777777" w:rsidR="002D0E71" w:rsidRDefault="00000000">
      <w:pPr>
        <w:pStyle w:val="Normal30"/>
        <w:widowControl w:val="0"/>
        <w:spacing w:before="200" w:line="240" w:lineRule="atLeast"/>
      </w:pPr>
      <w:bookmarkStart w:id="4228" w:name="Reporter_29"/>
      <w:bookmarkEnd w:id="4228"/>
      <w:r>
        <w:rPr>
          <w:rFonts w:ascii="Arial" w:eastAsia="Arial" w:hAnsi="Arial" w:cs="Arial"/>
          <w:b/>
          <w:color w:val="000000"/>
          <w:sz w:val="18"/>
        </w:rPr>
        <w:t>Reporter</w:t>
      </w:r>
    </w:p>
    <w:p w14:paraId="558BBB65" w14:textId="77777777" w:rsidR="002D0E71" w:rsidRDefault="00000000">
      <w:pPr>
        <w:pStyle w:val="Normal30"/>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2014 U.S. App. LEXIS 25388 *; 2014 WL 12971821</w:t>
      </w:r>
    </w:p>
    <w:p w14:paraId="6CA0EBAE" w14:textId="77777777" w:rsidR="002D0E71" w:rsidRDefault="00000000">
      <w:pPr>
        <w:pStyle w:val="Normal30"/>
        <w:widowControl w:val="0"/>
        <w:spacing w:before="120" w:line="260" w:lineRule="atLeast"/>
      </w:pPr>
      <w:r>
        <w:rPr>
          <w:rFonts w:ascii="Arial" w:eastAsia="Arial" w:hAnsi="Arial" w:cs="Arial"/>
          <w:color w:val="000000"/>
          <w:sz w:val="20"/>
        </w:rPr>
        <w:t>DAVID M. DANIEL, Plaintiff, Appellant, v. AVESTA HOUSING MANAGEMENT CORPORATION; SCOTCH HILL ASSOCIATES LP; CRYSTAL CHAMBERLAIN; DEBORAH PERRY, Defendants, Appellees.</w:t>
      </w:r>
    </w:p>
    <w:p w14:paraId="747E51D1" w14:textId="77777777" w:rsidR="002D0E71" w:rsidRDefault="00000000">
      <w:pPr>
        <w:pStyle w:val="Normal30"/>
        <w:widowControl w:val="0"/>
        <w:spacing w:before="240" w:line="260" w:lineRule="atLeast"/>
        <w:jc w:val="both"/>
      </w:pPr>
      <w:bookmarkStart w:id="4229" w:name="Disposition_13"/>
      <w:bookmarkEnd w:id="4229"/>
      <w:r>
        <w:rPr>
          <w:rFonts w:ascii="Arial" w:eastAsia="Arial" w:hAnsi="Arial" w:cs="Arial"/>
          <w:b/>
          <w:color w:val="000000"/>
          <w:sz w:val="20"/>
        </w:rPr>
        <w:t>Disposition:</w:t>
      </w:r>
      <w:r>
        <w:rPr>
          <w:rFonts w:ascii="Arial" w:eastAsia="Arial" w:hAnsi="Arial" w:cs="Arial"/>
          <w:color w:val="000000"/>
          <w:sz w:val="20"/>
        </w:rPr>
        <w:t> </w:t>
      </w:r>
      <w:bookmarkStart w:id="4230" w:name="Bookmark_clspara_4_11"/>
      <w:bookmarkEnd w:id="4230"/>
      <w:r>
        <w:rPr>
          <w:rFonts w:ascii="Arial" w:eastAsia="Arial" w:hAnsi="Arial" w:cs="Arial"/>
          <w:color w:val="000000"/>
          <w:sz w:val="20"/>
        </w:rPr>
        <w:t>Affirmed.</w:t>
      </w:r>
    </w:p>
    <w:p w14:paraId="2D15B670" w14:textId="77777777" w:rsidR="002D0E71" w:rsidRDefault="00000000">
      <w:pPr>
        <w:pStyle w:val="Normal30"/>
        <w:widowControl w:val="0"/>
        <w:spacing w:before="240" w:line="260" w:lineRule="atLeast"/>
      </w:pPr>
      <w:bookmarkStart w:id="4231" w:name="Counsel_29"/>
      <w:bookmarkEnd w:id="4231"/>
      <w:r>
        <w:rPr>
          <w:rFonts w:ascii="Arial" w:eastAsia="Arial" w:hAnsi="Arial" w:cs="Arial"/>
          <w:b/>
          <w:color w:val="000000"/>
          <w:sz w:val="20"/>
        </w:rPr>
        <w:t>Counsel:</w:t>
      </w:r>
      <w:r>
        <w:rPr>
          <w:rFonts w:ascii="Arial" w:eastAsia="Arial" w:hAnsi="Arial" w:cs="Arial"/>
          <w:color w:val="000000"/>
          <w:sz w:val="20"/>
        </w:rPr>
        <w:t>  [*1] DAVID M. DANIEL, Plaintiff - Appellant, Pro se, Portland, ME.</w:t>
      </w:r>
    </w:p>
    <w:p w14:paraId="3504B5BD" w14:textId="77777777" w:rsidR="002D0E71" w:rsidRDefault="00000000">
      <w:pPr>
        <w:pStyle w:val="Normal30"/>
        <w:widowControl w:val="0"/>
        <w:spacing w:before="120" w:line="260" w:lineRule="atLeast"/>
      </w:pPr>
      <w:r>
        <w:rPr>
          <w:rFonts w:ascii="Arial" w:eastAsia="Arial" w:hAnsi="Arial" w:cs="Arial"/>
          <w:color w:val="000000"/>
          <w:sz w:val="20"/>
        </w:rPr>
        <w:t>For AVESTA HOUSING MANAGEMENT CORPORATION, SCOTCH HILL ASSOCIATES LP, CRYSTAL CHAMBERLAIN, DEBORAH PERRY, Defendants - Appellees: Joseph Linwood Cahoon Jr., Thomas R. McKeon, Richardson Whitman Large &amp; Badger, Portland, ME.</w:t>
      </w:r>
    </w:p>
    <w:p w14:paraId="10BCDF57" w14:textId="77777777" w:rsidR="002D0E71" w:rsidRDefault="00000000">
      <w:pPr>
        <w:pStyle w:val="Normal30"/>
        <w:widowControl w:val="0"/>
        <w:spacing w:before="120" w:line="260" w:lineRule="atLeast"/>
      </w:pPr>
      <w:r>
        <w:rPr>
          <w:rFonts w:ascii="Arial" w:eastAsia="Arial" w:hAnsi="Arial" w:cs="Arial"/>
          <w:color w:val="000000"/>
          <w:sz w:val="20"/>
        </w:rPr>
        <w:t>For LAUREL A. LONG, Interested Party: Hillary J. Bouchard, Thompson Bowie &amp; Hatch LLC, Portland, ME.</w:t>
      </w:r>
    </w:p>
    <w:p w14:paraId="38D0D19D" w14:textId="77777777" w:rsidR="002D0E71" w:rsidRDefault="00000000">
      <w:pPr>
        <w:pStyle w:val="Normal30"/>
        <w:widowControl w:val="0"/>
        <w:spacing w:before="240" w:line="260" w:lineRule="atLeast"/>
      </w:pPr>
      <w:bookmarkStart w:id="4232" w:name="Judges_29"/>
      <w:bookmarkEnd w:id="4232"/>
      <w:r>
        <w:rPr>
          <w:rFonts w:ascii="Arial" w:eastAsia="Arial" w:hAnsi="Arial" w:cs="Arial"/>
          <w:b/>
          <w:color w:val="000000"/>
          <w:sz w:val="20"/>
        </w:rPr>
        <w:t>Judges:</w:t>
      </w:r>
      <w:r>
        <w:rPr>
          <w:rFonts w:ascii="Arial" w:eastAsia="Arial" w:hAnsi="Arial" w:cs="Arial"/>
          <w:color w:val="000000"/>
          <w:sz w:val="20"/>
        </w:rPr>
        <w:t> Before Torruella, Kayatta and Barron, Circuit Judges.</w:t>
      </w:r>
    </w:p>
    <w:p w14:paraId="3E06590A" w14:textId="77777777" w:rsidR="002D0E71" w:rsidRDefault="00000000">
      <w:pPr>
        <w:pStyle w:val="Normal30"/>
        <w:keepNext/>
        <w:widowControl w:val="0"/>
        <w:spacing w:before="240" w:line="340" w:lineRule="atLeast"/>
      </w:pPr>
      <w:bookmarkStart w:id="4233" w:name="Opinion_29"/>
      <w:bookmarkEnd w:id="4233"/>
      <w:r>
        <w:rPr>
          <w:rFonts w:ascii="Arial" w:eastAsia="Arial" w:hAnsi="Arial" w:cs="Arial"/>
          <w:b/>
          <w:color w:val="000000"/>
          <w:sz w:val="28"/>
        </w:rPr>
        <w:t>Opinion</w:t>
      </w:r>
    </w:p>
    <w:p w14:paraId="1492A8C8" w14:textId="35002382" w:rsidR="002D0E71" w:rsidRDefault="002939DF">
      <w:pPr>
        <w:pStyle w:val="Normal30"/>
        <w:spacing w:line="60" w:lineRule="exact"/>
      </w:pPr>
      <w:r>
        <w:rPr>
          <w:noProof/>
        </w:rPr>
        <mc:AlternateContent>
          <mc:Choice Requires="wps">
            <w:drawing>
              <wp:anchor distT="0" distB="0" distL="114300" distR="114300" simplePos="0" relativeHeight="251721728" behindDoc="0" locked="0" layoutInCell="1" allowOverlap="1" wp14:anchorId="556B9085" wp14:editId="626AC478">
                <wp:simplePos x="0" y="0"/>
                <wp:positionH relativeFrom="column">
                  <wp:posOffset>0</wp:posOffset>
                </wp:positionH>
                <wp:positionV relativeFrom="paragraph">
                  <wp:posOffset>25400</wp:posOffset>
                </wp:positionV>
                <wp:extent cx="3187700" cy="0"/>
                <wp:effectExtent l="19050" t="15875" r="12700" b="12700"/>
                <wp:wrapTopAndBottom/>
                <wp:docPr id="1611759516"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F4F28" id="Line 65"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5961B375" w14:textId="77777777" w:rsidR="002D0E71" w:rsidRDefault="002D0E71">
      <w:pPr>
        <w:pStyle w:val="Normal30"/>
        <w:spacing w:line="120" w:lineRule="exact"/>
      </w:pPr>
    </w:p>
    <w:p w14:paraId="142E6F31" w14:textId="77777777" w:rsidR="002D0E71" w:rsidRDefault="00000000">
      <w:pPr>
        <w:pStyle w:val="Normal30"/>
        <w:widowControl w:val="0"/>
        <w:spacing w:before="240" w:line="260" w:lineRule="atLeast"/>
      </w:pPr>
      <w:r>
        <w:br/>
      </w:r>
      <w:r>
        <w:rPr>
          <w:rFonts w:ascii="Arial" w:eastAsia="Arial" w:hAnsi="Arial" w:cs="Arial"/>
          <w:b/>
          <w:color w:val="000000"/>
          <w:sz w:val="20"/>
        </w:rPr>
        <w:t>JUDGMENT</w:t>
      </w:r>
    </w:p>
    <w:p w14:paraId="546C5C8D" w14:textId="77777777" w:rsidR="002D0E71" w:rsidRDefault="00000000">
      <w:pPr>
        <w:pStyle w:val="Normal30"/>
        <w:widowControl w:val="0"/>
        <w:spacing w:before="200" w:line="260" w:lineRule="atLeast"/>
        <w:jc w:val="both"/>
      </w:pPr>
      <w:bookmarkStart w:id="4234" w:name="Bookmark_para_1_29"/>
      <w:bookmarkStart w:id="4235" w:name="Bookmark_I64T5DHX2D6NM50020000400"/>
      <w:bookmarkEnd w:id="4234"/>
      <w:bookmarkEnd w:id="4235"/>
      <w:r>
        <w:rPr>
          <w:rFonts w:ascii="Arial" w:eastAsia="Arial" w:hAnsi="Arial" w:cs="Arial"/>
          <w:color w:val="000000"/>
          <w:sz w:val="20"/>
        </w:rPr>
        <w:t xml:space="preserve">Plaintiff-appellant David M. Daniel appeals </w:t>
      </w:r>
      <w:r>
        <w:rPr>
          <w:rFonts w:ascii="Arial" w:eastAsia="Arial" w:hAnsi="Arial" w:cs="Arial"/>
          <w:i/>
          <w:color w:val="000000"/>
          <w:sz w:val="20"/>
        </w:rPr>
        <w:t>pro se</w:t>
      </w:r>
      <w:r>
        <w:rPr>
          <w:rFonts w:ascii="Arial" w:eastAsia="Arial" w:hAnsi="Arial" w:cs="Arial"/>
          <w:color w:val="000000"/>
          <w:sz w:val="20"/>
        </w:rPr>
        <w:t xml:space="preserve"> from the district court's grant of summary judgment in favor of defendants Avesta Housing Management Corp., et al. ("Avesta") on Daniel's claims of failure to make reasonable accommodations on account of his disability, in violation of the Maine Human Rights Act, 5 Me.Rev.Stat.Ann. tit. 5, §4582-A(2), the Fair Housing Amendments Act, 42 U.S.C. §3604(f)(3)(B), and Section 504 of the Rehabilitation Act of 1973, 29 U.S.C. § 794(a). To prevail on his claims, Daniel was required to "show that he requested a particular accommodation that is both reasonable and necessary to allow him an equal opportunity to use and enjoy the housing in question." </w:t>
      </w:r>
      <w:bookmarkStart w:id="4236" w:name="Bookmark_I64T5DHX2D6NM50010000400"/>
      <w:bookmarkEnd w:id="4236"/>
      <w:r>
        <w:rPr>
          <w:rFonts w:ascii="Arial" w:eastAsia="Arial" w:hAnsi="Arial" w:cs="Arial"/>
          <w:color w:val="000000"/>
          <w:sz w:val="20"/>
          <w:u w:val="single"/>
        </w:rPr>
        <w:t>Astralis Condominium Assn. v. Secretary, U.S. Dept. of Housing and Urban Development</w:t>
      </w:r>
      <w:r>
        <w:rPr>
          <w:rFonts w:ascii="Arial" w:eastAsia="Arial" w:hAnsi="Arial" w:cs="Arial"/>
          <w:color w:val="000000"/>
          <w:sz w:val="20"/>
        </w:rPr>
        <w:t>, 620 F.3d 62, 67 (1st Cir. 2010).</w:t>
      </w:r>
      <w:r>
        <w:rPr>
          <w:rFonts w:ascii="Arial" w:eastAsia="Arial" w:hAnsi="Arial" w:cs="Arial"/>
          <w:vertAlign w:val="superscript"/>
        </w:rPr>
        <w:footnoteReference w:customMarkFollows="1" w:id="147"/>
        <w:t>1</w:t>
      </w:r>
    </w:p>
    <w:p w14:paraId="5C277E70" w14:textId="77777777" w:rsidR="002D0E71" w:rsidRDefault="00000000">
      <w:pPr>
        <w:pStyle w:val="Normal30"/>
        <w:widowControl w:val="0"/>
        <w:spacing w:before="200" w:line="260" w:lineRule="atLeast"/>
        <w:jc w:val="both"/>
      </w:pPr>
      <w:bookmarkStart w:id="4238" w:name="Bookmark_para_2_29"/>
      <w:bookmarkStart w:id="4239" w:name="Bookmark_LNHNREFclscc1_24"/>
      <w:bookmarkEnd w:id="4238"/>
      <w:bookmarkEnd w:id="4239"/>
      <w:r>
        <w:rPr>
          <w:rFonts w:ascii="Arial" w:eastAsia="Arial" w:hAnsi="Arial" w:cs="Arial"/>
          <w:color w:val="000000"/>
          <w:sz w:val="20"/>
        </w:rPr>
        <w:t xml:space="preserve">"Our review of a district court's grant of summary judgment is de novo. In conducting our 'fresh look' at the record, we view the evidence in the light most favorable to [*2]  the non-moving party and draw all reasonable inferences in his favor. Summary judgment is appropriate only if there is no genuine dispute as to any material fact and the moving party is entitled to judgment as a matter of law. Fed.R.Civ.P. 56(a). To determine whether a trial-worthy issue exists, we look to all of the record materials on file, including the pleadings, depositions, and affidavits. </w:t>
      </w:r>
      <w:bookmarkStart w:id="4240" w:name="Bookmark_I64T5DHX2D6NM50040000400"/>
      <w:bookmarkEnd w:id="4240"/>
      <w:r>
        <w:rPr>
          <w:rFonts w:ascii="Arial" w:eastAsia="Arial" w:hAnsi="Arial" w:cs="Arial"/>
          <w:color w:val="000000"/>
          <w:sz w:val="20"/>
        </w:rPr>
        <w:t xml:space="preserve">Fed.R.Civ.P. 56(c)(1)(A). We may neither evaluate the credibility of witnesses nor weigh the evidence. Summary judgment is inappropriate if the evidence 'is sufficiently openended to permit a rational fact finder to resolve the issue in favor of either side.'" </w:t>
      </w:r>
      <w:bookmarkStart w:id="4241" w:name="Bookmark_I64T5DHX2D6NM50030000400"/>
      <w:bookmarkEnd w:id="4241"/>
      <w:r>
        <w:rPr>
          <w:rFonts w:ascii="Arial" w:eastAsia="Arial" w:hAnsi="Arial" w:cs="Arial"/>
          <w:color w:val="000000"/>
          <w:sz w:val="20"/>
          <w:u w:val="single"/>
        </w:rPr>
        <w:t>Ahmed v. Johnson</w:t>
      </w:r>
      <w:r>
        <w:rPr>
          <w:rFonts w:ascii="Arial" w:eastAsia="Arial" w:hAnsi="Arial" w:cs="Arial"/>
          <w:color w:val="000000"/>
          <w:sz w:val="20"/>
        </w:rPr>
        <w:t>, 752 F.3d 490, 495 (1st Cir. 2014)(citations omitted).</w:t>
      </w:r>
    </w:p>
    <w:p w14:paraId="722A7A22" w14:textId="77777777" w:rsidR="002D0E71" w:rsidRDefault="00000000">
      <w:pPr>
        <w:pStyle w:val="Normal30"/>
        <w:widowControl w:val="0"/>
        <w:spacing w:before="200" w:line="260" w:lineRule="atLeast"/>
        <w:jc w:val="both"/>
      </w:pPr>
      <w:bookmarkStart w:id="4242" w:name="Bookmark_para_3_29"/>
      <w:bookmarkEnd w:id="4242"/>
      <w:r>
        <w:rPr>
          <w:rFonts w:ascii="Arial" w:eastAsia="Arial" w:hAnsi="Arial" w:cs="Arial"/>
          <w:color w:val="000000"/>
          <w:sz w:val="20"/>
        </w:rPr>
        <w:t xml:space="preserve">Applying this </w:t>
      </w:r>
      <w:r>
        <w:rPr>
          <w:rFonts w:ascii="Arial" w:eastAsia="Arial" w:hAnsi="Arial" w:cs="Arial"/>
          <w:i/>
          <w:color w:val="000000"/>
          <w:sz w:val="20"/>
        </w:rPr>
        <w:t>de novo</w:t>
      </w:r>
      <w:r>
        <w:rPr>
          <w:rFonts w:ascii="Arial" w:eastAsia="Arial" w:hAnsi="Arial" w:cs="Arial"/>
          <w:color w:val="000000"/>
          <w:sz w:val="20"/>
        </w:rPr>
        <w:t xml:space="preserve"> standard of review, we conclude that summary judgment was properly granted in favor of defendants essentially for the reasons stated in the Recommended Decision of the Magistrate Judge which was affirmed by the district court in an Order dated August 27, 2013. We add the following reasons and authorities to those contained in the Recommended Decision.</w:t>
      </w:r>
    </w:p>
    <w:p w14:paraId="629C5652" w14:textId="77777777" w:rsidR="002D0E71" w:rsidRDefault="00000000">
      <w:pPr>
        <w:pStyle w:val="Normal30"/>
        <w:widowControl w:val="0"/>
        <w:spacing w:before="120" w:line="260" w:lineRule="atLeast"/>
      </w:pPr>
      <w:r>
        <w:rPr>
          <w:rFonts w:ascii="Arial" w:eastAsia="Arial" w:hAnsi="Arial" w:cs="Arial"/>
          <w:color w:val="000000"/>
          <w:sz w:val="20"/>
        </w:rPr>
        <w:t xml:space="preserve">I. </w:t>
      </w:r>
      <w:r>
        <w:rPr>
          <w:rFonts w:ascii="Arial" w:eastAsia="Arial" w:hAnsi="Arial" w:cs="Arial"/>
          <w:color w:val="000000"/>
          <w:sz w:val="20"/>
          <w:u w:val="single"/>
        </w:rPr>
        <w:t>Delay in Providing 78-Degree Thermostat</w:t>
      </w:r>
    </w:p>
    <w:p w14:paraId="22A87E41" w14:textId="77777777" w:rsidR="002D0E71" w:rsidRDefault="00000000">
      <w:pPr>
        <w:pStyle w:val="Normal30"/>
        <w:widowControl w:val="0"/>
        <w:spacing w:before="200" w:line="260" w:lineRule="atLeast"/>
        <w:jc w:val="both"/>
      </w:pPr>
      <w:bookmarkStart w:id="4243" w:name="Bookmark_para_4_29"/>
      <w:bookmarkStart w:id="4244" w:name="Bookmark_I64T5DJ028T4330010000400"/>
      <w:bookmarkStart w:id="4245" w:name="Bookmark_I64T5DJ028T4330030000400"/>
      <w:bookmarkEnd w:id="4243"/>
      <w:bookmarkEnd w:id="4244"/>
      <w:bookmarkEnd w:id="4245"/>
      <w:r>
        <w:rPr>
          <w:rFonts w:ascii="Arial" w:eastAsia="Arial" w:hAnsi="Arial" w:cs="Arial"/>
          <w:color w:val="000000"/>
          <w:sz w:val="20"/>
        </w:rPr>
        <w:t>This court has recognized that</w:t>
      </w:r>
      <w:bookmarkStart w:id="4246" w:name="Bookmark_LNHNREFclscc2_24"/>
      <w:bookmarkEnd w:id="4246"/>
      <w:r>
        <w:rPr>
          <w:rFonts w:ascii="Arial" w:eastAsia="Arial" w:hAnsi="Arial" w:cs="Arial"/>
          <w:color w:val="000000"/>
          <w:sz w:val="20"/>
        </w:rPr>
        <w:t xml:space="preserve"> "unreasonable delay may amount to a failure to provide reasonable accommodations." </w:t>
      </w:r>
      <w:bookmarkStart w:id="4247" w:name="Bookmark_I64T5DHX2D6NM50050000400"/>
      <w:bookmarkEnd w:id="4247"/>
      <w:r>
        <w:rPr>
          <w:rFonts w:ascii="Arial" w:eastAsia="Arial" w:hAnsi="Arial" w:cs="Arial"/>
          <w:color w:val="000000"/>
          <w:sz w:val="20"/>
          <w:u w:val="single"/>
        </w:rPr>
        <w:t>Valle-Arce v. Puerto Rico Ports Authority</w:t>
      </w:r>
      <w:r>
        <w:rPr>
          <w:rFonts w:ascii="Arial" w:eastAsia="Arial" w:hAnsi="Arial" w:cs="Arial"/>
          <w:color w:val="000000"/>
          <w:sz w:val="20"/>
        </w:rPr>
        <w:t xml:space="preserve">, 651 F.3d 190, 200 (1st Cir. 2011). But, requiring that Avesta's [*3]  Reasonable Accommodation Request medical form be completed by Daniel's physician before acting on the request does not alone amount to an unreasonable delay. </w:t>
      </w:r>
      <w:r>
        <w:rPr>
          <w:rFonts w:ascii="Arial" w:eastAsia="Arial" w:hAnsi="Arial" w:cs="Arial"/>
          <w:color w:val="000000"/>
          <w:sz w:val="20"/>
          <w:u w:val="single"/>
        </w:rPr>
        <w:t xml:space="preserve">See </w:t>
      </w:r>
      <w:bookmarkStart w:id="4248" w:name="Bookmark_I64T5DJ028T4330020000400"/>
      <w:bookmarkEnd w:id="4248"/>
      <w:r>
        <w:rPr>
          <w:rFonts w:ascii="Arial" w:eastAsia="Arial" w:hAnsi="Arial" w:cs="Arial"/>
          <w:color w:val="000000"/>
          <w:sz w:val="20"/>
          <w:u w:val="single"/>
        </w:rPr>
        <w:t>Ward v. McDonald</w:t>
      </w:r>
      <w:r>
        <w:rPr>
          <w:rFonts w:ascii="Arial" w:eastAsia="Arial" w:hAnsi="Arial" w:cs="Arial"/>
          <w:color w:val="000000"/>
          <w:sz w:val="20"/>
        </w:rPr>
        <w:t xml:space="preserve">, 762 F.3d 24, 31-32, 412 U.S. App. D.C. 24 (D.C. Cir. 2014) (affirming grant of summary judgment in favor of employer where employee had provided two letters from physicians but the employer requested further medical documentation to determine a reasonable accommodation); </w:t>
      </w:r>
      <w:bookmarkStart w:id="4249" w:name="Bookmark_I64T5DJ028T4330040000400"/>
      <w:bookmarkEnd w:id="4249"/>
      <w:r>
        <w:rPr>
          <w:rFonts w:ascii="Arial" w:eastAsia="Arial" w:hAnsi="Arial" w:cs="Arial"/>
          <w:color w:val="000000"/>
          <w:sz w:val="20"/>
          <w:u w:val="single"/>
        </w:rPr>
        <w:t>Stewart v. St. Elizabeth's Hosp.</w:t>
      </w:r>
      <w:r>
        <w:rPr>
          <w:rFonts w:ascii="Arial" w:eastAsia="Arial" w:hAnsi="Arial" w:cs="Arial"/>
          <w:color w:val="000000"/>
          <w:sz w:val="20"/>
        </w:rPr>
        <w:t>, 589 F.3d 1305, 1308 (D.C. Cir. 2010) (reasonable jury could not find that employer denied request for accommodation where employer "said he would try to assist Stewart as soon as she submitted the necessary paperwork").</w:t>
      </w:r>
    </w:p>
    <w:p w14:paraId="35003DC2" w14:textId="77777777" w:rsidR="002D0E71" w:rsidRDefault="00000000">
      <w:pPr>
        <w:pStyle w:val="Normal30"/>
        <w:widowControl w:val="0"/>
        <w:spacing w:before="200" w:line="260" w:lineRule="atLeast"/>
        <w:jc w:val="both"/>
      </w:pPr>
      <w:bookmarkStart w:id="4250" w:name="Bookmark_para_5_29"/>
      <w:bookmarkEnd w:id="4250"/>
      <w:r>
        <w:rPr>
          <w:rFonts w:ascii="Arial" w:eastAsia="Arial" w:hAnsi="Arial" w:cs="Arial"/>
          <w:color w:val="000000"/>
          <w:sz w:val="20"/>
        </w:rPr>
        <w:t xml:space="preserve">The initial letter from Daniel's doctor (dated 11/30/09 but not delivered until 2/3/10) described his disability: "fibromyalgia and a specific rare autonomic nervous system disorder, which prevent him from controlling his sensitivity to heat and cold." Appellant's Appendix, Ex. 7. But, the questions for the medical professional on the Request for Accommodation (RA) form that Avesta asked Daniel to have filled out by his doctor sought information beyond that provided in the doctor's initial letter. </w:t>
      </w:r>
      <w:bookmarkStart w:id="4251" w:name="Bookmark_I64T5DJ02D6NMC0020000400"/>
      <w:bookmarkEnd w:id="4251"/>
      <w:r>
        <w:rPr>
          <w:rFonts w:ascii="Arial" w:eastAsia="Arial" w:hAnsi="Arial" w:cs="Arial"/>
          <w:color w:val="000000"/>
          <w:sz w:val="20"/>
        </w:rPr>
        <w:t xml:space="preserve">Specifically, the form asked for a description of the "activities of daily living" that were substantially limited, the medical necessity [*4]  for the requested accommodation, and "how the accommodation will assist the resident with the activity of daily living." Appellant's Appendix, Ex. 73. Therefore, a reasonable factfinder could not find that Avesta's insistence on completion of its medical form constituted an unreasonable delay amounting to denial of a reasonable accommodation under the relevant statutes. </w:t>
      </w:r>
      <w:r>
        <w:rPr>
          <w:rFonts w:ascii="Arial" w:eastAsia="Arial" w:hAnsi="Arial" w:cs="Arial"/>
          <w:color w:val="000000"/>
          <w:sz w:val="20"/>
          <w:u w:val="single"/>
        </w:rPr>
        <w:t xml:space="preserve">Compare </w:t>
      </w:r>
      <w:bookmarkStart w:id="4252" w:name="Bookmark_I64T5DJ02D6NMC0010000400"/>
      <w:bookmarkEnd w:id="4252"/>
      <w:r>
        <w:rPr>
          <w:rFonts w:ascii="Arial" w:eastAsia="Arial" w:hAnsi="Arial" w:cs="Arial"/>
          <w:color w:val="000000"/>
          <w:sz w:val="20"/>
          <w:u w:val="single"/>
        </w:rPr>
        <w:t>Bhogaita v. Altamonte Heights Condominium Ass'n, Inc.</w:t>
      </w:r>
      <w:r>
        <w:rPr>
          <w:rFonts w:ascii="Arial" w:eastAsia="Arial" w:hAnsi="Arial" w:cs="Arial"/>
          <w:color w:val="000000"/>
          <w:sz w:val="20"/>
        </w:rPr>
        <w:t>, 765 F.3d 1277, 1286 (11th Cir. 2014)(affirming denial of defendant's motion for summary judgment where reasonable fact finder could not conclude that Association was still undertaking meaningful review where the latest (unanswered) request had "sought the same information already provided" in three letters submitted by plaintiff's doctor).</w:t>
      </w:r>
    </w:p>
    <w:p w14:paraId="654E1384" w14:textId="77777777" w:rsidR="002D0E71" w:rsidRDefault="00000000">
      <w:pPr>
        <w:pStyle w:val="Normal30"/>
        <w:widowControl w:val="0"/>
        <w:spacing w:before="200" w:line="260" w:lineRule="atLeast"/>
        <w:jc w:val="both"/>
      </w:pPr>
      <w:bookmarkStart w:id="4253" w:name="Bookmark_para_6_29"/>
      <w:bookmarkEnd w:id="4253"/>
      <w:r>
        <w:rPr>
          <w:rFonts w:ascii="Arial" w:eastAsia="Arial" w:hAnsi="Arial" w:cs="Arial"/>
          <w:color w:val="000000"/>
          <w:sz w:val="20"/>
        </w:rPr>
        <w:t>Appellant argues that Avesta should have offered a temporary alternative accommodation while waiting for the 78-degree thermostat to arrive. But, there is no evidence that Daniel requested such temporary alternative accommodation after his request was granted. And the uncontradicted evidence indicated that the additional two-week delay in installation of the new thermostat resulted from an unanticipated delay in Avesta's receipt of the thermostat from the thermostat distributer. On this record, a reasonable factfinder [*5]  could not conclude that the delay in installation constituted a denial of reasonable accommodation in violation of the relevant statutes.</w:t>
      </w:r>
    </w:p>
    <w:p w14:paraId="7F4F9933" w14:textId="77777777" w:rsidR="002D0E71" w:rsidRDefault="00000000">
      <w:pPr>
        <w:pStyle w:val="Normal30"/>
        <w:widowControl w:val="0"/>
        <w:spacing w:before="120" w:line="260" w:lineRule="atLeast"/>
      </w:pPr>
      <w:r>
        <w:rPr>
          <w:rFonts w:ascii="Arial" w:eastAsia="Arial" w:hAnsi="Arial" w:cs="Arial"/>
          <w:color w:val="000000"/>
          <w:sz w:val="20"/>
        </w:rPr>
        <w:t xml:space="preserve">II. </w:t>
      </w:r>
      <w:r>
        <w:rPr>
          <w:rFonts w:ascii="Arial" w:eastAsia="Arial" w:hAnsi="Arial" w:cs="Arial"/>
          <w:color w:val="000000"/>
          <w:sz w:val="20"/>
          <w:u w:val="single"/>
        </w:rPr>
        <w:t>Denial of Permission to Use Electric Space Heaters</w:t>
      </w:r>
    </w:p>
    <w:p w14:paraId="2BB52919" w14:textId="77777777" w:rsidR="002D0E71" w:rsidRDefault="00000000">
      <w:pPr>
        <w:pStyle w:val="Normal30"/>
        <w:widowControl w:val="0"/>
        <w:spacing w:before="200" w:line="260" w:lineRule="atLeast"/>
        <w:jc w:val="both"/>
      </w:pPr>
      <w:bookmarkStart w:id="4254" w:name="Bookmark_para_7_28"/>
      <w:bookmarkEnd w:id="4254"/>
      <w:r>
        <w:rPr>
          <w:rFonts w:ascii="Arial" w:eastAsia="Arial" w:hAnsi="Arial" w:cs="Arial"/>
          <w:color w:val="000000"/>
          <w:sz w:val="20"/>
        </w:rPr>
        <w:t>Because the evidence could not support a finding that Avesta unreasonably relied upon the medical form filled out by Dr. Chappelle on 3/16/10, which did not state that the requested accommodation of the use of space heaters was medically necessary under the relevant statutes, a reasonable factfinder could not find that Avesta was statutorily obligated to grant that accommodation. Therefore, the issues of whether such accommodation presented a fire risk, or whether alternative reasonable accommodations that did not pose the same risk (such as heat lamps or ceiling heaters) should have been offered, need not be reached.</w:t>
      </w:r>
    </w:p>
    <w:p w14:paraId="5FF66964" w14:textId="77777777" w:rsidR="002D0E71" w:rsidRDefault="00000000">
      <w:pPr>
        <w:pStyle w:val="Normal30"/>
        <w:widowControl w:val="0"/>
        <w:spacing w:before="120" w:line="260" w:lineRule="atLeast"/>
      </w:pPr>
      <w:r>
        <w:rPr>
          <w:rFonts w:ascii="Arial" w:eastAsia="Arial" w:hAnsi="Arial" w:cs="Arial"/>
          <w:color w:val="000000"/>
          <w:sz w:val="20"/>
        </w:rPr>
        <w:t xml:space="preserve">III. </w:t>
      </w:r>
      <w:r>
        <w:rPr>
          <w:rFonts w:ascii="Arial" w:eastAsia="Arial" w:hAnsi="Arial" w:cs="Arial"/>
          <w:color w:val="000000"/>
          <w:sz w:val="20"/>
          <w:u w:val="single"/>
        </w:rPr>
        <w:t>Denial of Exemption from New Heating Allowance Policy</w:t>
      </w:r>
    </w:p>
    <w:p w14:paraId="0B35FBD8" w14:textId="77777777" w:rsidR="002D0E71" w:rsidRDefault="00000000">
      <w:pPr>
        <w:pStyle w:val="Normal30"/>
        <w:widowControl w:val="0"/>
        <w:spacing w:before="200" w:line="260" w:lineRule="atLeast"/>
        <w:jc w:val="both"/>
      </w:pPr>
      <w:bookmarkStart w:id="4255" w:name="Bookmark_para_8_28"/>
      <w:bookmarkStart w:id="4256" w:name="Bookmark_I64T5DJ02D6NMC0040000400"/>
      <w:bookmarkEnd w:id="4255"/>
      <w:bookmarkEnd w:id="4256"/>
      <w:r>
        <w:rPr>
          <w:rFonts w:ascii="Arial" w:eastAsia="Arial" w:hAnsi="Arial" w:cs="Arial"/>
          <w:color w:val="000000"/>
          <w:sz w:val="20"/>
        </w:rPr>
        <w:t xml:space="preserve">Appellant argues that there was "no reason for [Avesta] to deny" his request that he be able to keep his "utility allowance." But, to prevail under the relevant statutes, Daniel had the burden to establish that the requested exception to the policy change was "both reasonable and necessary to allow him an equal opportunity to [*6]  use and enjoy the housing in question." </w:t>
      </w:r>
      <w:bookmarkStart w:id="4257" w:name="Bookmark_I64T5DJ02D6NMC0030000400"/>
      <w:bookmarkEnd w:id="4257"/>
      <w:r>
        <w:rPr>
          <w:rFonts w:ascii="Arial" w:eastAsia="Arial" w:hAnsi="Arial" w:cs="Arial"/>
          <w:color w:val="000000"/>
          <w:sz w:val="20"/>
        </w:rPr>
        <w:t>Astralis, 620 F.3d at 67. To meet that burden, Daniel claimed that "[w]ithout the utility allowance, [he] could not afford to keep the symptoms from his disability under control." Plaintiff's Responses to Defendants' Statement of Undisputed Facts, Dkt # 48, ¶ 80. Appellant argues that</w:t>
      </w:r>
    </w:p>
    <w:p w14:paraId="310B5121" w14:textId="77777777" w:rsidR="002D0E71" w:rsidRDefault="00000000">
      <w:pPr>
        <w:pStyle w:val="Normal30"/>
        <w:widowControl w:val="0"/>
        <w:spacing w:line="260" w:lineRule="atLeast"/>
        <w:ind w:left="400"/>
        <w:jc w:val="both"/>
      </w:pPr>
      <w:bookmarkStart w:id="4258" w:name="Bookmark_para_9_28"/>
      <w:bookmarkEnd w:id="4258"/>
      <w:r>
        <w:rPr>
          <w:rFonts w:ascii="Arial" w:eastAsia="Arial" w:hAnsi="Arial" w:cs="Arial"/>
          <w:color w:val="000000"/>
          <w:sz w:val="20"/>
        </w:rPr>
        <w:t>Avesta was required under the FHA to make an exception to their new heating policy [for Daniel] so that he could continue to pay (from his SSDI payments) for his medical costs that are directly related to his disability.</w:t>
      </w:r>
    </w:p>
    <w:p w14:paraId="1A3439A7" w14:textId="77777777" w:rsidR="002D0E71" w:rsidRDefault="00000000">
      <w:pPr>
        <w:pStyle w:val="Normal30"/>
        <w:widowControl w:val="0"/>
        <w:spacing w:line="260" w:lineRule="atLeast"/>
        <w:jc w:val="both"/>
      </w:pPr>
      <w:r>
        <w:rPr>
          <w:rFonts w:ascii="Arial" w:eastAsia="Arial" w:hAnsi="Arial" w:cs="Arial"/>
          <w:color w:val="000000"/>
          <w:sz w:val="20"/>
        </w:rPr>
        <w:t>Appellant's Brief, p. 35.</w:t>
      </w:r>
    </w:p>
    <w:p w14:paraId="60948D43" w14:textId="77777777" w:rsidR="002D0E71" w:rsidRDefault="00000000">
      <w:pPr>
        <w:pStyle w:val="Normal30"/>
        <w:widowControl w:val="0"/>
        <w:spacing w:before="200" w:line="260" w:lineRule="atLeast"/>
        <w:jc w:val="both"/>
      </w:pPr>
      <w:bookmarkStart w:id="4259" w:name="Bookmark_para_10_27"/>
      <w:bookmarkStart w:id="4260" w:name="Bookmark_I64T5DJ02SF8420010000400"/>
      <w:bookmarkEnd w:id="4259"/>
      <w:bookmarkEnd w:id="4260"/>
      <w:r>
        <w:rPr>
          <w:rFonts w:ascii="Arial" w:eastAsia="Arial" w:hAnsi="Arial" w:cs="Arial"/>
          <w:color w:val="000000"/>
          <w:sz w:val="20"/>
        </w:rPr>
        <w:t xml:space="preserve">We need not decide if and when an owner might have to relinquish funds to a tenant so that the tenant can spend more money on medical treatments. Rather, we need only observe that Daniel failed to introduce evidence of the medical necessity for such treatments, in addition to the 78-degree thermostat, in order to "'afford him equal opportunity to use and enjoy'" the apartment. </w:t>
      </w:r>
      <w:bookmarkStart w:id="4261" w:name="Bookmark_I64T5DJ02D6NMC0050000400"/>
      <w:bookmarkEnd w:id="4261"/>
      <w:r>
        <w:rPr>
          <w:rFonts w:ascii="Arial" w:eastAsia="Arial" w:hAnsi="Arial" w:cs="Arial"/>
          <w:color w:val="000000"/>
          <w:sz w:val="20"/>
          <w:u w:val="single"/>
        </w:rPr>
        <w:t>Astralis</w:t>
      </w:r>
      <w:r>
        <w:rPr>
          <w:rFonts w:ascii="Arial" w:eastAsia="Arial" w:hAnsi="Arial" w:cs="Arial"/>
          <w:color w:val="000000"/>
          <w:sz w:val="20"/>
        </w:rPr>
        <w:t xml:space="preserve">, 620 F.3d at 66 (quoting 42 U.S.C. §3604(f)(3)(B)). In her initial letter dated 12/30/09, Dr. Chappelle mentioned that Daniel "participates in physical therapy, [massage therapy], osteopathic manipulation therapy, and acupuncture to help control his symptoms and maintain a healthy lifestyle." Appellant's Appendix, [*7]  Ex. 7, p. 2. </w:t>
      </w:r>
      <w:bookmarkStart w:id="4262" w:name="Bookmark_I64T5DJ02SF8420030000400"/>
      <w:bookmarkEnd w:id="4262"/>
      <w:r>
        <w:rPr>
          <w:rFonts w:ascii="Arial" w:eastAsia="Arial" w:hAnsi="Arial" w:cs="Arial"/>
          <w:color w:val="000000"/>
          <w:sz w:val="20"/>
        </w:rPr>
        <w:t xml:space="preserve">But when asked on the Avesta RA medical form to explain the medical necessity of the requested accommodations, Dr. Chappelle wrote only that Daniel needed "to be able to control heat/thermostat in his apartment (or use space heaters) to keep symptoms from his condition under control for activities of daily living." Appellant's Appendix, Ex. 73. There was no mention or explanation of the medical necessity of the various therapies and acupuncture. On this record, a reasonable factfinder could not find that the requested utility allowance accommodation was "both reasonable and necessary to allow [Daniel] an equal opportunity to use and enjoy the housing in question." </w:t>
      </w:r>
      <w:bookmarkStart w:id="4263" w:name="Bookmark_I64T5DJ02SF8420020000400"/>
      <w:bookmarkEnd w:id="4263"/>
      <w:r>
        <w:rPr>
          <w:rFonts w:ascii="Arial" w:eastAsia="Arial" w:hAnsi="Arial" w:cs="Arial"/>
          <w:color w:val="000000"/>
          <w:sz w:val="20"/>
          <w:u w:val="single"/>
        </w:rPr>
        <w:t>Astralis</w:t>
      </w:r>
      <w:r>
        <w:rPr>
          <w:rFonts w:ascii="Arial" w:eastAsia="Arial" w:hAnsi="Arial" w:cs="Arial"/>
          <w:color w:val="000000"/>
          <w:sz w:val="20"/>
        </w:rPr>
        <w:t>, 620 F.3d at 67.</w:t>
      </w:r>
    </w:p>
    <w:p w14:paraId="3DFC3C20" w14:textId="77777777" w:rsidR="002D0E71" w:rsidRDefault="00000000">
      <w:pPr>
        <w:pStyle w:val="Normal30"/>
        <w:widowControl w:val="0"/>
        <w:spacing w:before="200" w:line="260" w:lineRule="atLeast"/>
        <w:jc w:val="both"/>
      </w:pPr>
      <w:bookmarkStart w:id="4264" w:name="Bookmark_para_11_27"/>
      <w:bookmarkEnd w:id="4264"/>
      <w:r>
        <w:rPr>
          <w:rFonts w:ascii="Arial" w:eastAsia="Arial" w:hAnsi="Arial" w:cs="Arial"/>
          <w:color w:val="000000"/>
          <w:sz w:val="20"/>
        </w:rPr>
        <w:t xml:space="preserve">Appellant's Motion for Leave of Court to Amend or Supplement Pleadings is </w:t>
      </w:r>
      <w:r>
        <w:rPr>
          <w:rFonts w:ascii="Arial" w:eastAsia="Arial" w:hAnsi="Arial" w:cs="Arial"/>
          <w:color w:val="000000"/>
          <w:sz w:val="20"/>
          <w:u w:val="single"/>
        </w:rPr>
        <w:t>denied</w:t>
      </w:r>
      <w:r>
        <w:rPr>
          <w:rFonts w:ascii="Arial" w:eastAsia="Arial" w:hAnsi="Arial" w:cs="Arial"/>
          <w:color w:val="000000"/>
          <w:sz w:val="20"/>
        </w:rPr>
        <w:t>.</w:t>
      </w:r>
    </w:p>
    <w:p w14:paraId="109B69F9" w14:textId="77777777" w:rsidR="002D0E71" w:rsidRDefault="00000000">
      <w:pPr>
        <w:pStyle w:val="Normal30"/>
        <w:widowControl w:val="0"/>
        <w:spacing w:before="200" w:line="260" w:lineRule="atLeast"/>
        <w:jc w:val="both"/>
      </w:pPr>
      <w:bookmarkStart w:id="4265" w:name="Bookmark_para_12_26"/>
      <w:bookmarkEnd w:id="4265"/>
      <w:r>
        <w:rPr>
          <w:rFonts w:ascii="Arial" w:eastAsia="Arial" w:hAnsi="Arial" w:cs="Arial"/>
          <w:color w:val="000000"/>
          <w:sz w:val="20"/>
        </w:rPr>
        <w:t xml:space="preserve">Appellant's Motions to Preserve Evidence for Trial are </w:t>
      </w:r>
      <w:r>
        <w:rPr>
          <w:rFonts w:ascii="Arial" w:eastAsia="Arial" w:hAnsi="Arial" w:cs="Arial"/>
          <w:color w:val="000000"/>
          <w:sz w:val="20"/>
          <w:u w:val="single"/>
        </w:rPr>
        <w:t>denied as moot</w:t>
      </w:r>
      <w:r>
        <w:rPr>
          <w:rFonts w:ascii="Arial" w:eastAsia="Arial" w:hAnsi="Arial" w:cs="Arial"/>
          <w:color w:val="000000"/>
          <w:sz w:val="20"/>
        </w:rPr>
        <w:t xml:space="preserve">. We need not decide whether such evidence is properly before this court because, assuming </w:t>
      </w:r>
      <w:r>
        <w:rPr>
          <w:rFonts w:ascii="Arial" w:eastAsia="Arial" w:hAnsi="Arial" w:cs="Arial"/>
          <w:i/>
          <w:color w:val="000000"/>
          <w:sz w:val="20"/>
        </w:rPr>
        <w:t>arguendo</w:t>
      </w:r>
      <w:r>
        <w:rPr>
          <w:rFonts w:ascii="Arial" w:eastAsia="Arial" w:hAnsi="Arial" w:cs="Arial"/>
          <w:color w:val="000000"/>
          <w:sz w:val="20"/>
        </w:rPr>
        <w:t xml:space="preserve"> that it is, it does not alter our judgment in this case.</w:t>
      </w:r>
    </w:p>
    <w:p w14:paraId="353D40D6" w14:textId="77777777" w:rsidR="002D0E71" w:rsidRDefault="00000000">
      <w:pPr>
        <w:pStyle w:val="Normal30"/>
        <w:widowControl w:val="0"/>
        <w:spacing w:before="200" w:line="260" w:lineRule="atLeast"/>
        <w:jc w:val="both"/>
      </w:pPr>
      <w:bookmarkStart w:id="4266" w:name="Bookmark_para_13_26"/>
      <w:bookmarkEnd w:id="4266"/>
      <w:r>
        <w:rPr>
          <w:rFonts w:ascii="Arial" w:eastAsia="Arial" w:hAnsi="Arial" w:cs="Arial"/>
          <w:color w:val="000000"/>
          <w:sz w:val="20"/>
        </w:rPr>
        <w:t>Affirmed.</w:t>
      </w:r>
    </w:p>
    <w:p w14:paraId="09ED213F" w14:textId="77777777" w:rsidR="002D0E71" w:rsidRDefault="00000000">
      <w:pPr>
        <w:pStyle w:val="Normal30"/>
        <w:widowControl w:val="0"/>
        <w:spacing w:before="240" w:line="260" w:lineRule="atLeast"/>
      </w:pPr>
      <w:r>
        <w:br/>
      </w:r>
      <w:r>
        <w:rPr>
          <w:rFonts w:ascii="Arial" w:eastAsia="Arial" w:hAnsi="Arial" w:cs="Arial"/>
          <w:b/>
          <w:color w:val="000000"/>
          <w:sz w:val="20"/>
        </w:rPr>
        <w:t>MANDATE</w:t>
      </w:r>
    </w:p>
    <w:p w14:paraId="692116A5" w14:textId="77777777" w:rsidR="002D0E71" w:rsidRDefault="00000000">
      <w:pPr>
        <w:pStyle w:val="Normal30"/>
        <w:widowControl w:val="0"/>
        <w:spacing w:before="200" w:line="260" w:lineRule="atLeast"/>
        <w:jc w:val="both"/>
      </w:pPr>
      <w:bookmarkStart w:id="4267" w:name="Bookmark_para_14_26"/>
      <w:bookmarkEnd w:id="4267"/>
      <w:r>
        <w:rPr>
          <w:rFonts w:ascii="Arial" w:eastAsia="Arial" w:hAnsi="Arial" w:cs="Arial"/>
          <w:color w:val="000000"/>
          <w:sz w:val="20"/>
        </w:rPr>
        <w:t>In accordance with the judgment of December 11, 2014, and pursuant to Federal Rule of Appellate Procedure 41(a), this constitutes the formal mandate of this Court.</w:t>
      </w:r>
    </w:p>
    <w:p w14:paraId="356EB0F4" w14:textId="77777777" w:rsidR="002D0E71" w:rsidRDefault="002D0E71">
      <w:pPr>
        <w:pStyle w:val="Normal30"/>
      </w:pPr>
    </w:p>
    <w:p w14:paraId="72874187" w14:textId="4F6CD3BA" w:rsidR="002D0E71" w:rsidRDefault="00000000">
      <w:pPr>
        <w:pStyle w:val="Normal30"/>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22752" behindDoc="0" locked="0" layoutInCell="1" allowOverlap="1" wp14:anchorId="1A94135D" wp14:editId="0DD8C0E5">
                <wp:simplePos x="0" y="0"/>
                <wp:positionH relativeFrom="column">
                  <wp:posOffset>0</wp:posOffset>
                </wp:positionH>
                <wp:positionV relativeFrom="paragraph">
                  <wp:posOffset>127000</wp:posOffset>
                </wp:positionV>
                <wp:extent cx="6502400" cy="0"/>
                <wp:effectExtent l="9525" t="12700" r="12700" b="6350"/>
                <wp:wrapNone/>
                <wp:docPr id="1174050318"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C8EA9E" id="Line 66"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9E9BD6C" w14:textId="77777777" w:rsidR="002D0E71" w:rsidRDefault="002D0E71">
      <w:pPr>
        <w:pStyle w:val="Normal31"/>
        <w:sectPr w:rsidR="002D0E71">
          <w:headerReference w:type="even" r:id="rId194"/>
          <w:headerReference w:type="default" r:id="rId195"/>
          <w:footerReference w:type="even" r:id="rId196"/>
          <w:footerReference w:type="default" r:id="rId197"/>
          <w:headerReference w:type="first" r:id="rId198"/>
          <w:footerReference w:type="first" r:id="rId199"/>
          <w:pgSz w:w="12240" w:h="15840"/>
          <w:pgMar w:top="840" w:right="1000" w:bottom="840" w:left="1000" w:header="400" w:footer="400" w:gutter="0"/>
          <w:cols w:space="720"/>
          <w:titlePg/>
        </w:sectPr>
      </w:pPr>
    </w:p>
    <w:p w14:paraId="2714A8EF" w14:textId="77777777" w:rsidR="002D0E71" w:rsidRDefault="002D0E71">
      <w:pPr>
        <w:pStyle w:val="Normal31"/>
      </w:pPr>
    </w:p>
    <w:p w14:paraId="5EA1A45A" w14:textId="77777777" w:rsidR="002D0E71" w:rsidRDefault="00000000">
      <w:pPr>
        <w:pStyle w:val="Heading130"/>
        <w:keepNext w:val="0"/>
        <w:widowControl w:val="0"/>
        <w:spacing w:after="200" w:line="340" w:lineRule="atLeast"/>
        <w:jc w:val="center"/>
      </w:pPr>
      <w:r>
        <w:rPr>
          <w:rFonts w:eastAsia="Arial"/>
          <w:color w:val="000000"/>
          <w:sz w:val="28"/>
        </w:rPr>
        <w:t>Sperry v. Maes</w:t>
      </w:r>
    </w:p>
    <w:p w14:paraId="7A2AEE21" w14:textId="77777777" w:rsidR="002D0E71" w:rsidRDefault="00000000">
      <w:pPr>
        <w:pStyle w:val="Normal31"/>
        <w:widowControl w:val="0"/>
        <w:spacing w:before="120" w:line="260" w:lineRule="atLeast"/>
        <w:jc w:val="center"/>
      </w:pPr>
      <w:r>
        <w:rPr>
          <w:rFonts w:ascii="Arial" w:eastAsia="Arial" w:hAnsi="Arial" w:cs="Arial"/>
          <w:color w:val="000000"/>
          <w:sz w:val="20"/>
        </w:rPr>
        <w:t>United States Court of Appeals for the Tenth Circuit</w:t>
      </w:r>
    </w:p>
    <w:p w14:paraId="5BFE553B" w14:textId="77777777" w:rsidR="002D0E71" w:rsidRDefault="00000000">
      <w:pPr>
        <w:pStyle w:val="Normal31"/>
        <w:widowControl w:val="0"/>
        <w:spacing w:before="120" w:line="260" w:lineRule="atLeast"/>
        <w:jc w:val="center"/>
      </w:pPr>
      <w:r>
        <w:rPr>
          <w:rFonts w:ascii="Arial" w:eastAsia="Arial" w:hAnsi="Arial" w:cs="Arial"/>
          <w:color w:val="000000"/>
          <w:sz w:val="20"/>
        </w:rPr>
        <w:t>November 17, 2014, Filed</w:t>
      </w:r>
    </w:p>
    <w:p w14:paraId="4718B258" w14:textId="77777777" w:rsidR="002D0E71" w:rsidRDefault="00000000">
      <w:pPr>
        <w:pStyle w:val="Normal31"/>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13-1336</w:t>
      </w:r>
    </w:p>
    <w:p w14:paraId="197EA1C1" w14:textId="77777777" w:rsidR="002D0E71" w:rsidRDefault="002D0E71">
      <w:pPr>
        <w:pStyle w:val="Normal31"/>
        <w:widowControl w:val="0"/>
        <w:spacing w:line="240" w:lineRule="atLeast"/>
        <w:jc w:val="both"/>
      </w:pPr>
      <w:bookmarkStart w:id="4268" w:name="Bookmark_32"/>
      <w:bookmarkEnd w:id="4268"/>
    </w:p>
    <w:p w14:paraId="2A101D0A" w14:textId="77777777" w:rsidR="002D0E71" w:rsidRDefault="00000000">
      <w:pPr>
        <w:pStyle w:val="Normal31"/>
        <w:widowControl w:val="0"/>
        <w:spacing w:before="200" w:line="240" w:lineRule="atLeast"/>
      </w:pPr>
      <w:bookmarkStart w:id="4269" w:name="Reporter_30"/>
      <w:bookmarkEnd w:id="4269"/>
      <w:r>
        <w:rPr>
          <w:rFonts w:ascii="Arial" w:eastAsia="Arial" w:hAnsi="Arial" w:cs="Arial"/>
          <w:b/>
          <w:color w:val="000000"/>
          <w:sz w:val="18"/>
        </w:rPr>
        <w:t>Reporter</w:t>
      </w:r>
    </w:p>
    <w:p w14:paraId="4736DDC0" w14:textId="77777777" w:rsidR="002D0E71" w:rsidRDefault="00000000">
      <w:pPr>
        <w:pStyle w:val="Normal31"/>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592 Fed. Appx. 688 *; 2014 U.S. App. LEXIS 21848 **; 2014 WL 6108195</w:t>
      </w:r>
    </w:p>
    <w:p w14:paraId="1EE5F5C7" w14:textId="77777777" w:rsidR="002D0E71" w:rsidRDefault="00000000">
      <w:pPr>
        <w:pStyle w:val="Normal31"/>
        <w:widowControl w:val="0"/>
        <w:spacing w:before="120" w:line="260" w:lineRule="atLeast"/>
      </w:pPr>
      <w:r>
        <w:rPr>
          <w:rFonts w:ascii="Arial" w:eastAsia="Arial" w:hAnsi="Arial" w:cs="Arial"/>
          <w:color w:val="000000"/>
          <w:sz w:val="20"/>
        </w:rPr>
        <w:t>TODD SPERRY, Plaintiff - Appellant, v. JASON T. MAES, individually, and in his official capacity as a detective with the Castle Rock Police Department; GEORGE ELDER, individually, and in his official capacity as an officer with the Castle Rock Police Department; TOWN OF CASTLE ROCK COLORADO, a municipality, Defendants - Appellees.</w:t>
      </w:r>
    </w:p>
    <w:p w14:paraId="7712A3C3" w14:textId="77777777" w:rsidR="002D0E71" w:rsidRDefault="00000000">
      <w:pPr>
        <w:pStyle w:val="Normal31"/>
        <w:widowControl w:val="0"/>
        <w:spacing w:before="240" w:line="260" w:lineRule="atLeast"/>
      </w:pPr>
      <w:bookmarkStart w:id="4270" w:name="Subsequent_History_11"/>
      <w:bookmarkEnd w:id="4270"/>
      <w:r>
        <w:rPr>
          <w:rFonts w:ascii="Arial" w:eastAsia="Arial" w:hAnsi="Arial" w:cs="Arial"/>
          <w:b/>
          <w:color w:val="000000"/>
          <w:sz w:val="20"/>
        </w:rPr>
        <w:t>Subsequent History:</w:t>
      </w:r>
      <w:r>
        <w:rPr>
          <w:rFonts w:ascii="Arial" w:eastAsia="Arial" w:hAnsi="Arial" w:cs="Arial"/>
          <w:color w:val="000000"/>
          <w:sz w:val="20"/>
        </w:rPr>
        <w:t> US Supreme Court certiorari denied by Sperry v. Maes, 2015 U.S. LEXIS 5613 (U.S., Oct. 5, 2015)</w:t>
      </w:r>
    </w:p>
    <w:p w14:paraId="21217331" w14:textId="77777777" w:rsidR="002D0E71" w:rsidRDefault="00000000">
      <w:pPr>
        <w:pStyle w:val="Normal31"/>
        <w:widowControl w:val="0"/>
        <w:spacing w:before="240" w:line="260" w:lineRule="atLeast"/>
        <w:jc w:val="both"/>
      </w:pPr>
      <w:bookmarkStart w:id="4271" w:name="Prior_History_29"/>
      <w:bookmarkEnd w:id="4271"/>
      <w:r>
        <w:rPr>
          <w:rFonts w:ascii="Arial" w:eastAsia="Arial" w:hAnsi="Arial" w:cs="Arial"/>
          <w:b/>
          <w:color w:val="000000"/>
          <w:sz w:val="20"/>
        </w:rPr>
        <w:t>Prior History:</w:t>
      </w:r>
      <w:r>
        <w:rPr>
          <w:rFonts w:ascii="Arial" w:eastAsia="Arial" w:hAnsi="Arial" w:cs="Arial"/>
          <w:color w:val="000000"/>
          <w:sz w:val="20"/>
        </w:rPr>
        <w:t> </w:t>
      </w:r>
      <w:bookmarkStart w:id="4272" w:name="Bookmark_para_1_30"/>
      <w:bookmarkEnd w:id="4272"/>
      <w:r>
        <w:rPr>
          <w:rFonts w:ascii="Arial" w:eastAsia="Arial" w:hAnsi="Arial" w:cs="Arial"/>
          <w:color w:val="000000"/>
          <w:sz w:val="20"/>
        </w:rPr>
        <w:t> [**1] (D.C. No. 1:10-CV-03171-RPM). (D. Colo.).</w:t>
      </w:r>
    </w:p>
    <w:p w14:paraId="1B4CE250" w14:textId="77777777" w:rsidR="002D0E71" w:rsidRDefault="00000000">
      <w:pPr>
        <w:pStyle w:val="Normal31"/>
        <w:widowControl w:val="0"/>
        <w:spacing w:before="120" w:line="260" w:lineRule="atLeast"/>
      </w:pPr>
      <w:r>
        <w:rPr>
          <w:rFonts w:ascii="Arial" w:eastAsia="Arial" w:hAnsi="Arial" w:cs="Arial"/>
          <w:color w:val="000000"/>
          <w:sz w:val="20"/>
        </w:rPr>
        <w:t>Sperry v. Maes, 2013 U.S. Dist. LEXIS 96328 (D. Colo., July 10, 2013)</w:t>
      </w:r>
    </w:p>
    <w:p w14:paraId="6F92E3C9" w14:textId="77777777" w:rsidR="002D0E71" w:rsidRDefault="00000000">
      <w:pPr>
        <w:pStyle w:val="Normal31"/>
        <w:widowControl w:val="0"/>
        <w:spacing w:before="240" w:line="260" w:lineRule="atLeast"/>
      </w:pPr>
      <w:bookmarkStart w:id="4273" w:name="Counsel_30"/>
      <w:bookmarkEnd w:id="4273"/>
      <w:r>
        <w:rPr>
          <w:rFonts w:ascii="Arial" w:eastAsia="Arial" w:hAnsi="Arial" w:cs="Arial"/>
          <w:b/>
          <w:color w:val="000000"/>
          <w:sz w:val="20"/>
        </w:rPr>
        <w:t>Counsel:</w:t>
      </w:r>
      <w:r>
        <w:rPr>
          <w:rFonts w:ascii="Arial" w:eastAsia="Arial" w:hAnsi="Arial" w:cs="Arial"/>
          <w:color w:val="000000"/>
          <w:sz w:val="20"/>
        </w:rPr>
        <w:t> For Todd Sperry, Plaintiff - Appellant: Jonathan Willett, Boulder, CO.</w:t>
      </w:r>
    </w:p>
    <w:p w14:paraId="71399638" w14:textId="77777777" w:rsidR="002D0E71" w:rsidRDefault="00000000">
      <w:pPr>
        <w:pStyle w:val="Normal31"/>
        <w:widowControl w:val="0"/>
        <w:spacing w:before="120" w:line="260" w:lineRule="atLeast"/>
      </w:pPr>
      <w:r>
        <w:rPr>
          <w:rFonts w:ascii="Arial" w:eastAsia="Arial" w:hAnsi="Arial" w:cs="Arial"/>
          <w:color w:val="000000"/>
          <w:sz w:val="20"/>
        </w:rPr>
        <w:t>For JASON T. MAES, individually, and official capacity, a sergeant of the Castle Rock Police Department, GEORGE P. ELDER, individually, and official capacity as an offier with the Castle Rock Police Department, TOWN OF CASTLE ROCK, COLORADO, a municipality, Defendants - Appellees: Courtney Beth Kramer, Esq., Eric Michael Ziporin, Senter Goldfarb &amp; Rice, Denver, CO.</w:t>
      </w:r>
    </w:p>
    <w:p w14:paraId="4944DA74" w14:textId="77777777" w:rsidR="002D0E71" w:rsidRDefault="00000000">
      <w:pPr>
        <w:pStyle w:val="Normal31"/>
        <w:widowControl w:val="0"/>
        <w:spacing w:before="240" w:line="260" w:lineRule="atLeast"/>
      </w:pPr>
      <w:bookmarkStart w:id="4274" w:name="Judges_30"/>
      <w:bookmarkEnd w:id="4274"/>
      <w:r>
        <w:rPr>
          <w:rFonts w:ascii="Arial" w:eastAsia="Arial" w:hAnsi="Arial" w:cs="Arial"/>
          <w:b/>
          <w:color w:val="000000"/>
          <w:sz w:val="20"/>
        </w:rPr>
        <w:t>Judges:</w:t>
      </w:r>
      <w:r>
        <w:rPr>
          <w:rFonts w:ascii="Arial" w:eastAsia="Arial" w:hAnsi="Arial" w:cs="Arial"/>
          <w:color w:val="000000"/>
          <w:sz w:val="20"/>
        </w:rPr>
        <w:t> Before BRISCOE, Chief Judge, HARTZ and HOLMES, Circuit Judges.</w:t>
      </w:r>
    </w:p>
    <w:p w14:paraId="717D7492" w14:textId="77777777" w:rsidR="002D0E71" w:rsidRDefault="00000000">
      <w:pPr>
        <w:pStyle w:val="Normal31"/>
        <w:widowControl w:val="0"/>
        <w:spacing w:before="240" w:line="260" w:lineRule="atLeast"/>
      </w:pPr>
      <w:bookmarkStart w:id="4275" w:name="Opinion_by_21"/>
      <w:bookmarkEnd w:id="4275"/>
      <w:r>
        <w:rPr>
          <w:rFonts w:ascii="Arial" w:eastAsia="Arial" w:hAnsi="Arial" w:cs="Arial"/>
          <w:b/>
          <w:color w:val="000000"/>
          <w:sz w:val="20"/>
        </w:rPr>
        <w:t>Opinion by:</w:t>
      </w:r>
      <w:r>
        <w:rPr>
          <w:rFonts w:ascii="Arial" w:eastAsia="Arial" w:hAnsi="Arial" w:cs="Arial"/>
          <w:color w:val="000000"/>
          <w:sz w:val="20"/>
        </w:rPr>
        <w:t> Mary Beck Briscoe</w:t>
      </w:r>
    </w:p>
    <w:p w14:paraId="74EDFC79" w14:textId="77777777" w:rsidR="002D0E71" w:rsidRDefault="00000000">
      <w:pPr>
        <w:pStyle w:val="Normal31"/>
        <w:keepNext/>
        <w:widowControl w:val="0"/>
        <w:spacing w:before="240" w:line="340" w:lineRule="atLeast"/>
      </w:pPr>
      <w:bookmarkStart w:id="4276" w:name="Opinion_30"/>
      <w:bookmarkEnd w:id="4276"/>
      <w:r>
        <w:rPr>
          <w:rFonts w:ascii="Arial" w:eastAsia="Arial" w:hAnsi="Arial" w:cs="Arial"/>
          <w:b/>
          <w:color w:val="000000"/>
          <w:sz w:val="28"/>
        </w:rPr>
        <w:t>Opinion</w:t>
      </w:r>
    </w:p>
    <w:p w14:paraId="68FB9C79" w14:textId="7FD1DC96" w:rsidR="002D0E71" w:rsidRDefault="002939DF">
      <w:pPr>
        <w:pStyle w:val="Normal31"/>
        <w:spacing w:line="60" w:lineRule="exact"/>
      </w:pPr>
      <w:r>
        <w:rPr>
          <w:noProof/>
        </w:rPr>
        <mc:AlternateContent>
          <mc:Choice Requires="wps">
            <w:drawing>
              <wp:anchor distT="0" distB="0" distL="114300" distR="114300" simplePos="0" relativeHeight="251723776" behindDoc="0" locked="0" layoutInCell="1" allowOverlap="1" wp14:anchorId="3DB7907B" wp14:editId="0FC125BF">
                <wp:simplePos x="0" y="0"/>
                <wp:positionH relativeFrom="column">
                  <wp:posOffset>0</wp:posOffset>
                </wp:positionH>
                <wp:positionV relativeFrom="paragraph">
                  <wp:posOffset>25400</wp:posOffset>
                </wp:positionV>
                <wp:extent cx="3187700" cy="0"/>
                <wp:effectExtent l="19050" t="15875" r="12700" b="12700"/>
                <wp:wrapTopAndBottom/>
                <wp:docPr id="345466857"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96A323" id="Line 67"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7AECB2A" w14:textId="77777777" w:rsidR="002D0E71" w:rsidRDefault="002D0E71">
      <w:pPr>
        <w:pStyle w:val="Normal31"/>
        <w:spacing w:line="120" w:lineRule="exact"/>
      </w:pPr>
    </w:p>
    <w:p w14:paraId="27B4D1BE" w14:textId="77777777" w:rsidR="002D0E71" w:rsidRDefault="00000000">
      <w:pPr>
        <w:pStyle w:val="Normal31"/>
        <w:widowControl w:val="0"/>
        <w:spacing w:before="240" w:line="260" w:lineRule="atLeast"/>
      </w:pPr>
      <w:r>
        <w:br/>
      </w:r>
      <w:r>
        <w:rPr>
          <w:rFonts w:ascii="Arial" w:eastAsia="Arial" w:hAnsi="Arial" w:cs="Arial"/>
          <w:color w:val="000000"/>
          <w:sz w:val="20"/>
        </w:rPr>
        <w:t xml:space="preserve"> [*689]  </w:t>
      </w:r>
      <w:r>
        <w:rPr>
          <w:rFonts w:ascii="Arial" w:eastAsia="Arial" w:hAnsi="Arial" w:cs="Arial"/>
          <w:b/>
          <w:color w:val="000000"/>
          <w:sz w:val="20"/>
        </w:rPr>
        <w:t>ORDER AND JUDGMENT</w:t>
      </w:r>
      <w:r>
        <w:rPr>
          <w:rFonts w:ascii="Arial" w:eastAsia="Arial" w:hAnsi="Arial" w:cs="Arial"/>
          <w:vertAlign w:val="superscript"/>
        </w:rPr>
        <w:footnoteReference w:customMarkFollows="1" w:id="148"/>
        <w:t>*</w:t>
      </w:r>
    </w:p>
    <w:p w14:paraId="5EDF2470" w14:textId="77777777" w:rsidR="002D0E71" w:rsidRDefault="00000000">
      <w:pPr>
        <w:pStyle w:val="Normal31"/>
        <w:widowControl w:val="0"/>
        <w:spacing w:before="200" w:line="260" w:lineRule="atLeast"/>
        <w:jc w:val="both"/>
      </w:pPr>
      <w:bookmarkStart w:id="4278" w:name="Bookmark_para_2_30"/>
      <w:bookmarkEnd w:id="4278"/>
      <w:r>
        <w:rPr>
          <w:rFonts w:ascii="Arial" w:eastAsia="Arial" w:hAnsi="Arial" w:cs="Arial"/>
          <w:color w:val="000000"/>
          <w:sz w:val="20"/>
        </w:rPr>
        <w:t>Plaintiff Todd Sperry filed claims against Castle Rock police officers Jason Maes and George Elder and the Town of Castle Rock, Colorado for malicious prosecution in violation of the Fourth Amendment under 42 U.S.C. § 1983 and for the failure to recognize and accommodate a disability under Title II of the Americans with Disabilities Act, 42 U.S.C. § 12132. The district court granted summary judgment in favor of the defendants. We affirm.</w:t>
      </w:r>
    </w:p>
    <w:p w14:paraId="3185C24B" w14:textId="77777777" w:rsidR="002D0E71" w:rsidRDefault="00000000">
      <w:pPr>
        <w:pStyle w:val="Normal31"/>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14:paraId="737B7668" w14:textId="77777777" w:rsidR="002D0E71" w:rsidRDefault="00000000">
      <w:pPr>
        <w:pStyle w:val="Normal31"/>
        <w:widowControl w:val="0"/>
        <w:spacing w:before="200" w:line="260" w:lineRule="atLeast"/>
        <w:jc w:val="both"/>
      </w:pPr>
      <w:bookmarkStart w:id="4279" w:name="Bookmark_para_3_30"/>
      <w:bookmarkEnd w:id="4279"/>
      <w:r>
        <w:rPr>
          <w:rFonts w:ascii="Arial" w:eastAsia="Arial" w:hAnsi="Arial" w:cs="Arial"/>
          <w:color w:val="000000"/>
          <w:sz w:val="20"/>
        </w:rPr>
        <w:t>This case arises out of [**2]  a criminal theft investigation conducted by the Town of Castle Rock Police Department. Todd Sperry contends that the investigation and his subsequent arrest were (1) in retaliation for prior complaints made by Sperry regarding how the department investigated the car crash that killed his son, and (2) without probable cause because the officers knew he was mentally disabled and unable to form the mens rea required for the type of theft charged.</w:t>
      </w:r>
    </w:p>
    <w:p w14:paraId="627A78B4" w14:textId="77777777" w:rsidR="002D0E71" w:rsidRDefault="00000000">
      <w:pPr>
        <w:pStyle w:val="Normal31"/>
        <w:widowControl w:val="0"/>
        <w:spacing w:before="240" w:line="260" w:lineRule="atLeast"/>
      </w:pPr>
      <w:r>
        <w:br/>
      </w:r>
      <w:r>
        <w:rPr>
          <w:rFonts w:ascii="Arial" w:eastAsia="Arial" w:hAnsi="Arial" w:cs="Arial"/>
          <w:b/>
          <w:color w:val="000000"/>
          <w:sz w:val="20"/>
        </w:rPr>
        <w:t>A. Factual background</w:t>
      </w:r>
    </w:p>
    <w:p w14:paraId="0F757439" w14:textId="77777777" w:rsidR="002D0E71" w:rsidRDefault="00000000">
      <w:pPr>
        <w:pStyle w:val="Normal31"/>
        <w:widowControl w:val="0"/>
        <w:spacing w:before="200" w:line="260" w:lineRule="atLeast"/>
        <w:jc w:val="both"/>
      </w:pPr>
      <w:bookmarkStart w:id="4280" w:name="Bookmark_para_4_30"/>
      <w:bookmarkEnd w:id="4280"/>
      <w:r>
        <w:rPr>
          <w:rFonts w:ascii="Arial" w:eastAsia="Arial" w:hAnsi="Arial" w:cs="Arial"/>
          <w:color w:val="000000"/>
          <w:sz w:val="20"/>
        </w:rPr>
        <w:t xml:space="preserve">On November 13, 2007, Todd Sperry's son died in a one-car crash investigated by the Castle Rock Police Department. Sperry, who is cognitively disabled and has trouble reading and adding simple numbers, was greatly upset by the crash and by the resulting police investigation. On the night of the crash, then-Castle Rock Police Chief Tony Lane went to Sperry's house because officers said Sperry was "kind of out of control" and expressed concern he might hurt himself or somebody else. Aplee. Supp. App. at 403. Lane stated that he did not know about Sperry's mental disability at the time and that Sperry's reactions were not "unexpected or out of the ordinary" for someone who had just lost a son. </w:t>
      </w:r>
      <w:r>
        <w:rPr>
          <w:rFonts w:ascii="Arial" w:eastAsia="Arial" w:hAnsi="Arial" w:cs="Arial"/>
          <w:color w:val="000000"/>
          <w:sz w:val="20"/>
          <w:u w:val="single"/>
        </w:rPr>
        <w:t>Id</w:t>
      </w:r>
      <w:r>
        <w:rPr>
          <w:rFonts w:ascii="Arial" w:eastAsia="Arial" w:hAnsi="Arial" w:cs="Arial"/>
          <w:color w:val="000000"/>
          <w:sz w:val="20"/>
        </w:rPr>
        <w:t xml:space="preserve">. Lane said he later heard that Sperry was "different" [**3]  and sometimes "mildly irrational" (though he would not go so far as to say "retarded"), but he was primarily concerned with Sperry as a "potential threat to officer safety." </w:t>
      </w:r>
      <w:r>
        <w:rPr>
          <w:rFonts w:ascii="Arial" w:eastAsia="Arial" w:hAnsi="Arial" w:cs="Arial"/>
          <w:color w:val="000000"/>
          <w:sz w:val="20"/>
          <w:u w:val="single"/>
        </w:rPr>
        <w:t>Id</w:t>
      </w:r>
      <w:r>
        <w:rPr>
          <w:rFonts w:ascii="Arial" w:eastAsia="Arial" w:hAnsi="Arial" w:cs="Arial"/>
          <w:color w:val="000000"/>
          <w:sz w:val="20"/>
        </w:rPr>
        <w:t>. at 403-04.</w:t>
      </w:r>
    </w:p>
    <w:p w14:paraId="27F87897" w14:textId="77777777" w:rsidR="002D0E71" w:rsidRDefault="00000000">
      <w:pPr>
        <w:pStyle w:val="Normal31"/>
        <w:widowControl w:val="0"/>
        <w:spacing w:before="200" w:line="260" w:lineRule="atLeast"/>
        <w:jc w:val="both"/>
      </w:pPr>
      <w:bookmarkStart w:id="4281" w:name="Bookmark_para_5_30"/>
      <w:bookmarkEnd w:id="4281"/>
      <w:r>
        <w:rPr>
          <w:rFonts w:ascii="Arial" w:eastAsia="Arial" w:hAnsi="Arial" w:cs="Arial"/>
          <w:color w:val="000000"/>
          <w:sz w:val="20"/>
        </w:rPr>
        <w:t xml:space="preserve">In the days after the crash, Sperry said he called Corporal Ty Petersen, an officer with the Castle Rock Police Department, approximately 20 times to make complaints about the investigation. According to Sperry, Petersen "threatened to arrest [him] for interfering with his investigation" and demanded to see photographs that Sperry had taken of the scene. </w:t>
      </w:r>
      <w:r>
        <w:rPr>
          <w:rFonts w:ascii="Arial" w:eastAsia="Arial" w:hAnsi="Arial" w:cs="Arial"/>
          <w:color w:val="000000"/>
          <w:sz w:val="20"/>
          <w:u w:val="single"/>
        </w:rPr>
        <w:t>Id</w:t>
      </w:r>
      <w:r>
        <w:rPr>
          <w:rFonts w:ascii="Arial" w:eastAsia="Arial" w:hAnsi="Arial" w:cs="Arial"/>
          <w:color w:val="000000"/>
          <w:sz w:val="20"/>
        </w:rPr>
        <w:t xml:space="preserve">. at 391. Sperry said "a lot of police came over asking for the photos" and threatened him following the crash, but he was not able to identify most of them. </w:t>
      </w:r>
      <w:r>
        <w:rPr>
          <w:rFonts w:ascii="Arial" w:eastAsia="Arial" w:hAnsi="Arial" w:cs="Arial"/>
          <w:color w:val="000000"/>
          <w:sz w:val="20"/>
          <w:u w:val="single"/>
        </w:rPr>
        <w:t>Id</w:t>
      </w:r>
      <w:r>
        <w:rPr>
          <w:rFonts w:ascii="Arial" w:eastAsia="Arial" w:hAnsi="Arial" w:cs="Arial"/>
          <w:color w:val="000000"/>
          <w:sz w:val="20"/>
        </w:rPr>
        <w:t>. Police officers also took Sperry to a mental health facility several days after the accident.</w:t>
      </w:r>
    </w:p>
    <w:p w14:paraId="0236F015" w14:textId="77777777" w:rsidR="002D0E71" w:rsidRDefault="00000000">
      <w:pPr>
        <w:pStyle w:val="Normal31"/>
        <w:widowControl w:val="0"/>
        <w:spacing w:before="200" w:line="260" w:lineRule="atLeast"/>
        <w:jc w:val="both"/>
      </w:pPr>
      <w:bookmarkStart w:id="4282" w:name="Bookmark_para_6_30"/>
      <w:bookmarkEnd w:id="4282"/>
      <w:r>
        <w:rPr>
          <w:rFonts w:ascii="Arial" w:eastAsia="Arial" w:hAnsi="Arial" w:cs="Arial"/>
          <w:color w:val="000000"/>
          <w:sz w:val="20"/>
        </w:rPr>
        <w:t>Lane said everyone in the department knew about the fatal crash, but said he was unaware of what officers knew about Sperry's mental health other than some circulated safety information. Specifically, a  [*690]  police lieutenant emailed the entire department shortly after the accident to tell officers that Sperry was taken in for a mental health evaluation and to advise them that Sperry had displayed aggressive behavior in the [**4]  past.</w:t>
      </w:r>
      <w:r>
        <w:rPr>
          <w:rFonts w:ascii="Arial" w:eastAsia="Arial" w:hAnsi="Arial" w:cs="Arial"/>
          <w:vertAlign w:val="superscript"/>
        </w:rPr>
        <w:footnoteReference w:customMarkFollows="1" w:id="149"/>
        <w:t>1</w:t>
      </w:r>
      <w:r>
        <w:rPr>
          <w:rFonts w:ascii="Arial" w:eastAsia="Arial" w:hAnsi="Arial" w:cs="Arial"/>
          <w:color w:val="000000"/>
          <w:sz w:val="20"/>
        </w:rPr>
        <w:t xml:space="preserve"> </w:t>
      </w:r>
      <w:r>
        <w:rPr>
          <w:rFonts w:ascii="Arial" w:eastAsia="Arial" w:hAnsi="Arial" w:cs="Arial"/>
          <w:color w:val="000000"/>
          <w:sz w:val="20"/>
          <w:u w:val="single"/>
        </w:rPr>
        <w:t>Id</w:t>
      </w:r>
      <w:r>
        <w:rPr>
          <w:rFonts w:ascii="Arial" w:eastAsia="Arial" w:hAnsi="Arial" w:cs="Arial"/>
          <w:color w:val="000000"/>
          <w:sz w:val="20"/>
        </w:rPr>
        <w:t>. at 462. Sperry stated that the unnamed officers he interacted with "knew" about his disability because his "family told them and I told them," and "they said I wasn't talking right." Aplee. Supp. App. at 385.</w:t>
      </w:r>
    </w:p>
    <w:p w14:paraId="10A50416" w14:textId="77777777" w:rsidR="002D0E71" w:rsidRDefault="00000000">
      <w:pPr>
        <w:pStyle w:val="Normal31"/>
        <w:widowControl w:val="0"/>
        <w:spacing w:before="200" w:line="260" w:lineRule="atLeast"/>
        <w:jc w:val="both"/>
      </w:pPr>
      <w:bookmarkStart w:id="4284" w:name="Bookmark_para_7_29"/>
      <w:bookmarkEnd w:id="4284"/>
      <w:r>
        <w:rPr>
          <w:rFonts w:ascii="Arial" w:eastAsia="Arial" w:hAnsi="Arial" w:cs="Arial"/>
          <w:color w:val="000000"/>
          <w:sz w:val="20"/>
        </w:rPr>
        <w:t>In February 2008, Sperry was issued a debit card by H&amp;R Block containing his tax refund. On or shortly before April 14, 2008, the card's balance was -$76.56. Between April 14, 2008, and June 6, 2008, Sperry used the card 73 times at a particular gas station and made a total of $5,109.78 in purchases. Each time the credit card reader declined the card and displayed a message that a bank authorization code was required, [**5]  and each time Sperry used what he said was his personal identification number (PIN), 1932, to make the purchase.</w:t>
      </w:r>
      <w:r>
        <w:rPr>
          <w:rFonts w:ascii="Arial" w:eastAsia="Arial" w:hAnsi="Arial" w:cs="Arial"/>
          <w:vertAlign w:val="superscript"/>
        </w:rPr>
        <w:footnoteReference w:customMarkFollows="1" w:id="150"/>
        <w:t>2</w:t>
      </w:r>
      <w:r>
        <w:rPr>
          <w:rFonts w:ascii="Arial" w:eastAsia="Arial" w:hAnsi="Arial" w:cs="Arial"/>
          <w:color w:val="000000"/>
          <w:sz w:val="20"/>
        </w:rPr>
        <w:t xml:space="preserve"> It is unknown whether Sperry understood that his debit card had a finite balance or that his PIN was not a valid bank authorization code, but after a clerk contacted the issuing bank on June 6, 2008, and informed Sperry that the debit card had no money on it, Sperry never returned to the store.</w:t>
      </w:r>
    </w:p>
    <w:p w14:paraId="259A8B26" w14:textId="77777777" w:rsidR="002D0E71" w:rsidRDefault="00000000">
      <w:pPr>
        <w:pStyle w:val="Normal31"/>
        <w:widowControl w:val="0"/>
        <w:spacing w:before="200" w:line="260" w:lineRule="atLeast"/>
        <w:jc w:val="both"/>
      </w:pPr>
      <w:bookmarkStart w:id="4286" w:name="Bookmark_para_8_29"/>
      <w:bookmarkEnd w:id="4286"/>
      <w:r>
        <w:rPr>
          <w:rFonts w:ascii="Arial" w:eastAsia="Arial" w:hAnsi="Arial" w:cs="Arial"/>
          <w:color w:val="000000"/>
          <w:sz w:val="20"/>
        </w:rPr>
        <w:t xml:space="preserve">Clifton Porter, an employee of the oil company affiliated with the gas station who was familiar with the credit card system, investigated Sperry's debit card charges for the company and filed a police report with the Castle Rock Police Department on July 8, 2008. Officer George Elder took Porter's statement that day, which detailed the charges and Porter's belief that the funds had been obtained illegally by Sperry "duping" the gas station employees into letting him use an unauthorized code. </w:t>
      </w:r>
      <w:r>
        <w:rPr>
          <w:rFonts w:ascii="Arial" w:eastAsia="Arial" w:hAnsi="Arial" w:cs="Arial"/>
          <w:color w:val="000000"/>
          <w:sz w:val="20"/>
          <w:u w:val="single"/>
        </w:rPr>
        <w:t>Id</w:t>
      </w:r>
      <w:r>
        <w:rPr>
          <w:rFonts w:ascii="Arial" w:eastAsia="Arial" w:hAnsi="Arial" w:cs="Arial"/>
          <w:color w:val="000000"/>
          <w:sz w:val="20"/>
        </w:rPr>
        <w:t>. at 68, 78. Elder passed the information he received [**6]  from Porter on to a supervisor and did not conduct any further investigation into the matter.</w:t>
      </w:r>
      <w:r>
        <w:rPr>
          <w:rFonts w:ascii="Arial" w:eastAsia="Arial" w:hAnsi="Arial" w:cs="Arial"/>
          <w:vertAlign w:val="superscript"/>
        </w:rPr>
        <w:footnoteReference w:customMarkFollows="1" w:id="151"/>
        <w:t>3</w:t>
      </w:r>
      <w:r>
        <w:rPr>
          <w:rFonts w:ascii="Arial" w:eastAsia="Arial" w:hAnsi="Arial" w:cs="Arial"/>
          <w:color w:val="000000"/>
          <w:sz w:val="20"/>
        </w:rPr>
        <w:t xml:space="preserve"> Elder said he did not know at any point that Sperry was cognitively disabled.</w:t>
      </w:r>
    </w:p>
    <w:p w14:paraId="34D90267" w14:textId="77777777" w:rsidR="002D0E71" w:rsidRDefault="00000000">
      <w:pPr>
        <w:pStyle w:val="Normal31"/>
        <w:widowControl w:val="0"/>
        <w:spacing w:before="200" w:line="260" w:lineRule="atLeast"/>
        <w:jc w:val="both"/>
      </w:pPr>
      <w:bookmarkStart w:id="4288" w:name="Bookmark_para_9_29"/>
      <w:bookmarkEnd w:id="4288"/>
      <w:r>
        <w:rPr>
          <w:rFonts w:ascii="Arial" w:eastAsia="Arial" w:hAnsi="Arial" w:cs="Arial"/>
          <w:color w:val="000000"/>
          <w:sz w:val="20"/>
        </w:rPr>
        <w:t xml:space="preserve">Detective Jason Maes was assigned to follow up on Elder's initial police report. Maes said he had never met Sperry and did not know he had a mental disability. Sperry disputed this in his deposition. Sperry identified Maes as someone who had previously spoken with Sperry after the death of his son regarding a different arrest warrant and said, "We know there's something wrong with you. . . . You're different. Did your mom drop you when you  [*691]  were a baby." </w:t>
      </w:r>
      <w:r>
        <w:rPr>
          <w:rFonts w:ascii="Arial" w:eastAsia="Arial" w:hAnsi="Arial" w:cs="Arial"/>
          <w:color w:val="000000"/>
          <w:sz w:val="20"/>
          <w:u w:val="single"/>
        </w:rPr>
        <w:t>Id</w:t>
      </w:r>
      <w:r>
        <w:rPr>
          <w:rFonts w:ascii="Arial" w:eastAsia="Arial" w:hAnsi="Arial" w:cs="Arial"/>
          <w:color w:val="000000"/>
          <w:sz w:val="20"/>
        </w:rPr>
        <w:t xml:space="preserve">. at 296. Sperry identified Maes not by his name tag, but by appearance ("holes in his face") and by the officer saying his name was "Maes" [**7]  to another person. </w:t>
      </w:r>
      <w:r>
        <w:rPr>
          <w:rFonts w:ascii="Arial" w:eastAsia="Arial" w:hAnsi="Arial" w:cs="Arial"/>
          <w:color w:val="000000"/>
          <w:sz w:val="20"/>
          <w:u w:val="single"/>
        </w:rPr>
        <w:t>Id</w:t>
      </w:r>
      <w:r>
        <w:rPr>
          <w:rFonts w:ascii="Arial" w:eastAsia="Arial" w:hAnsi="Arial" w:cs="Arial"/>
          <w:color w:val="000000"/>
          <w:sz w:val="20"/>
        </w:rPr>
        <w:t>.</w:t>
      </w:r>
    </w:p>
    <w:p w14:paraId="043DFBD8" w14:textId="77777777" w:rsidR="002D0E71" w:rsidRDefault="00000000">
      <w:pPr>
        <w:pStyle w:val="Normal31"/>
        <w:widowControl w:val="0"/>
        <w:spacing w:before="200" w:line="260" w:lineRule="atLeast"/>
        <w:jc w:val="both"/>
      </w:pPr>
      <w:bookmarkStart w:id="4289" w:name="Bookmark_para_10_28"/>
      <w:bookmarkEnd w:id="4289"/>
      <w:r>
        <w:rPr>
          <w:rFonts w:ascii="Arial" w:eastAsia="Arial" w:hAnsi="Arial" w:cs="Arial"/>
          <w:color w:val="000000"/>
          <w:sz w:val="20"/>
        </w:rPr>
        <w:t xml:space="preserve">In performing his investigation, Maes reviewed the credit card receipts and conducted a photo line-up with the two gas station clerks, both of whom identified Todd Sperry as the suspect. Maes interviewed the clerks and said neither indicated Sperry might have a mental disability, with both describing the debit card misuse as intentional. After reviewing the receipts and records from H&amp;R Block, Maes said he noticed multiple days with multiple charges at the same place, which he believed based on his experience to be "uncommon and highly suspect." </w:t>
      </w:r>
      <w:r>
        <w:rPr>
          <w:rFonts w:ascii="Arial" w:eastAsia="Arial" w:hAnsi="Arial" w:cs="Arial"/>
          <w:color w:val="000000"/>
          <w:sz w:val="20"/>
          <w:u w:val="single"/>
        </w:rPr>
        <w:t>Id</w:t>
      </w:r>
      <w:r>
        <w:rPr>
          <w:rFonts w:ascii="Arial" w:eastAsia="Arial" w:hAnsi="Arial" w:cs="Arial"/>
          <w:color w:val="000000"/>
          <w:sz w:val="20"/>
        </w:rPr>
        <w:t xml:space="preserve">. at 301. Maes also said he considered it "suspicious" that Sperry never returned to the gas station after June 6, 2008, despite being a frequent customer for the previous two months. </w:t>
      </w:r>
      <w:r>
        <w:rPr>
          <w:rFonts w:ascii="Arial" w:eastAsia="Arial" w:hAnsi="Arial" w:cs="Arial"/>
          <w:color w:val="000000"/>
          <w:sz w:val="20"/>
          <w:u w:val="single"/>
        </w:rPr>
        <w:t>Id</w:t>
      </w:r>
      <w:r>
        <w:rPr>
          <w:rFonts w:ascii="Arial" w:eastAsia="Arial" w:hAnsi="Arial" w:cs="Arial"/>
          <w:color w:val="000000"/>
          <w:sz w:val="20"/>
        </w:rPr>
        <w:t>.</w:t>
      </w:r>
    </w:p>
    <w:p w14:paraId="58F33973" w14:textId="77777777" w:rsidR="002D0E71" w:rsidRDefault="00000000">
      <w:pPr>
        <w:pStyle w:val="Normal31"/>
        <w:widowControl w:val="0"/>
        <w:spacing w:before="200" w:line="260" w:lineRule="atLeast"/>
        <w:jc w:val="both"/>
      </w:pPr>
      <w:bookmarkStart w:id="4290" w:name="Bookmark_para_11_28"/>
      <w:bookmarkEnd w:id="4290"/>
      <w:r>
        <w:rPr>
          <w:rFonts w:ascii="Arial" w:eastAsia="Arial" w:hAnsi="Arial" w:cs="Arial"/>
          <w:color w:val="000000"/>
          <w:sz w:val="20"/>
        </w:rPr>
        <w:t>Maes filed an arrest affidavit on September 4, 2008, and stated in a later affidavit that he based his probable cause determination for the theft charge</w:t>
      </w:r>
      <w:r>
        <w:rPr>
          <w:rFonts w:ascii="Arial" w:eastAsia="Arial" w:hAnsi="Arial" w:cs="Arial"/>
          <w:vertAlign w:val="superscript"/>
        </w:rPr>
        <w:footnoteReference w:customMarkFollows="1" w:id="152"/>
        <w:t>4</w:t>
      </w:r>
      <w:r>
        <w:rPr>
          <w:rFonts w:ascii="Arial" w:eastAsia="Arial" w:hAnsi="Arial" w:cs="Arial"/>
          <w:color w:val="000000"/>
          <w:sz w:val="20"/>
        </w:rPr>
        <w:t xml:space="preserve"> on the "totality of the circumstances," and that Sperry's use of a code "was not as important as the fact that he did in fact override the system and knowingly overcharge his account with a significant sum." Aplee. Supp. App. at 301-02, 324. However, his arrest affidavit does state that Sperry "somehow obtained a pre-authorization [**8]  code" to override the credit card system, which Sperry disputes. </w:t>
      </w:r>
      <w:r>
        <w:rPr>
          <w:rFonts w:ascii="Arial" w:eastAsia="Arial" w:hAnsi="Arial" w:cs="Arial"/>
          <w:color w:val="000000"/>
          <w:sz w:val="20"/>
          <w:u w:val="single"/>
        </w:rPr>
        <w:t>Id</w:t>
      </w:r>
      <w:r>
        <w:rPr>
          <w:rFonts w:ascii="Arial" w:eastAsia="Arial" w:hAnsi="Arial" w:cs="Arial"/>
          <w:color w:val="000000"/>
          <w:sz w:val="20"/>
        </w:rPr>
        <w:t>. at 323. Maes said he did not uncover any information during his investigation about Sperry having a mental disability or how that disability would have influenced Sperry's actions. Commander Tim Gorman stated that at the time of Sperry's arrest, the Castle Rock Police Department did not have formal policies for dealing with suspects with particular disabilities other than deafness, but that the manual was updated in or before 2010 to reflect the department's requirement that patrol officers undergo crisis intervention training for interacting with individuals with mental health disorders.</w:t>
      </w:r>
      <w:r>
        <w:rPr>
          <w:rFonts w:ascii="Arial" w:eastAsia="Arial" w:hAnsi="Arial" w:cs="Arial"/>
          <w:vertAlign w:val="superscript"/>
        </w:rPr>
        <w:footnoteReference w:customMarkFollows="1" w:id="153"/>
        <w:t>5</w:t>
      </w:r>
    </w:p>
    <w:p w14:paraId="05EFE286" w14:textId="77777777" w:rsidR="002D0E71" w:rsidRDefault="00000000">
      <w:pPr>
        <w:pStyle w:val="Normal31"/>
        <w:widowControl w:val="0"/>
        <w:spacing w:before="200" w:line="260" w:lineRule="atLeast"/>
        <w:jc w:val="both"/>
      </w:pPr>
      <w:bookmarkStart w:id="4296" w:name="Bookmark_para_14_27"/>
      <w:bookmarkEnd w:id="4296"/>
      <w:r>
        <w:rPr>
          <w:rFonts w:ascii="Arial" w:eastAsia="Arial" w:hAnsi="Arial" w:cs="Arial"/>
          <w:color w:val="000000"/>
          <w:sz w:val="20"/>
        </w:rPr>
        <w:t xml:space="preserve">Upon receipt of Maes' arrest affidavit, the district attorney's office filed a complaint against Sperry and a motion for an arrest warrant, which the court granted. Three separate prosecutors who worked on the case indicated that they believed that probable cause existed to arrest Sperry for theft based on Maes' arrest affidavit. Deputy District Attorney Brittany Martin, who was working on the case in 2010 when the district attorney's office made the decision to dismiss the charges against Sperry, stated the dismissal was due to "new information that led us to conclude that we might have some difficulty in successfully proving the case to a jury beyond a reasonable doubt," as well as an agreement by Sperry to reimburse the gas station. </w:t>
      </w:r>
      <w:r>
        <w:rPr>
          <w:rFonts w:ascii="Arial" w:eastAsia="Arial" w:hAnsi="Arial" w:cs="Arial"/>
          <w:color w:val="000000"/>
          <w:sz w:val="20"/>
          <w:u w:val="single"/>
        </w:rPr>
        <w:t>Id</w:t>
      </w:r>
      <w:r>
        <w:rPr>
          <w:rFonts w:ascii="Arial" w:eastAsia="Arial" w:hAnsi="Arial" w:cs="Arial"/>
          <w:color w:val="000000"/>
          <w:sz w:val="20"/>
        </w:rPr>
        <w:t>. at 336.</w:t>
      </w:r>
    </w:p>
    <w:p w14:paraId="5ED1D7D0" w14:textId="77777777" w:rsidR="002D0E71" w:rsidRDefault="00000000">
      <w:pPr>
        <w:pStyle w:val="Normal31"/>
        <w:widowControl w:val="0"/>
        <w:spacing w:before="240" w:line="260" w:lineRule="atLeast"/>
      </w:pPr>
      <w:r>
        <w:br/>
      </w:r>
      <w:r>
        <w:rPr>
          <w:rFonts w:ascii="Arial" w:eastAsia="Arial" w:hAnsi="Arial" w:cs="Arial"/>
          <w:b/>
          <w:color w:val="000000"/>
          <w:sz w:val="20"/>
        </w:rPr>
        <w:t>B. Procedural history</w:t>
      </w:r>
    </w:p>
    <w:p w14:paraId="33513C0D" w14:textId="77777777" w:rsidR="002D0E71" w:rsidRDefault="00000000">
      <w:pPr>
        <w:pStyle w:val="Normal31"/>
        <w:widowControl w:val="0"/>
        <w:spacing w:before="200" w:line="260" w:lineRule="atLeast"/>
        <w:jc w:val="both"/>
      </w:pPr>
      <w:bookmarkStart w:id="4297" w:name="Bookmark_para_15_26"/>
      <w:bookmarkEnd w:id="4297"/>
      <w:r>
        <w:rPr>
          <w:rFonts w:ascii="Arial" w:eastAsia="Arial" w:hAnsi="Arial" w:cs="Arial"/>
          <w:color w:val="000000"/>
          <w:sz w:val="20"/>
        </w:rPr>
        <w:t>After an initial timely complaint, Sperry filed a Third Amended Complaint on September  [*692]  19, 2011. That complaint named George Elder, Jason Maes, and the Town of Castle Rock as defendants (the first two parties in their individual and official capacities). Count 1 of Sperry's complaint alleged a cause of action under 42 U.S.C. § 1983 for violations of due process, deprivations of liberty, and [**10]  excessive force, which the district court interpreted as a malicious prosecution claim. The violation allegedly stemmed from the creation of "false police reports" by the named defendants and from the arrest affidavit created by Maes containing false information to "justify the unlawful purpose of the credit card case in order to harass, discredit and harm Mr. Sperry." Aplt. App. at 191-92. The alleged false information related to whether Sperry knowingly used "1932" as a pre-authorization code rather than as a PIN.</w:t>
      </w:r>
    </w:p>
    <w:p w14:paraId="4E79915E" w14:textId="77777777" w:rsidR="002D0E71" w:rsidRDefault="00000000">
      <w:pPr>
        <w:pStyle w:val="Normal31"/>
        <w:widowControl w:val="0"/>
        <w:spacing w:before="200" w:line="260" w:lineRule="atLeast"/>
        <w:jc w:val="both"/>
      </w:pPr>
      <w:bookmarkStart w:id="4298" w:name="Bookmark_para_16_26"/>
      <w:bookmarkEnd w:id="4298"/>
      <w:r>
        <w:rPr>
          <w:rFonts w:ascii="Arial" w:eastAsia="Arial" w:hAnsi="Arial" w:cs="Arial"/>
          <w:color w:val="000000"/>
          <w:sz w:val="20"/>
        </w:rPr>
        <w:t xml:space="preserve">Count 2 of the complaint alleged violations of the Americans with Disabilities Act (ADA) and corresponding Colorado state law. Sperry's complaint alleged that the named defendants and other members of the Castle Rock Police Department knew about his disability based on comments purportedly made by officers, as well as the officers' involvement in taking Sperry in for a mental health evaluation shortly after the death of his son. The complaint stated that police officers attributed to Sperry the "nefarious and brilliant ability to obtain and use a secret authorization code to deceive" the gas station clerks and credit card company despite the officers' alleged knowledge of his cognitive disability. [**11]  </w:t>
      </w:r>
      <w:r>
        <w:rPr>
          <w:rFonts w:ascii="Arial" w:eastAsia="Arial" w:hAnsi="Arial" w:cs="Arial"/>
          <w:color w:val="000000"/>
          <w:sz w:val="20"/>
          <w:u w:val="single"/>
        </w:rPr>
        <w:t>Id</w:t>
      </w:r>
      <w:r>
        <w:rPr>
          <w:rFonts w:ascii="Arial" w:eastAsia="Arial" w:hAnsi="Arial" w:cs="Arial"/>
          <w:color w:val="000000"/>
          <w:sz w:val="20"/>
        </w:rPr>
        <w:t>. at 194. Count 2 also alleged that the town is liable for failing to train its police officers on how to interact with disabled suspects such as Sperry.</w:t>
      </w:r>
    </w:p>
    <w:p w14:paraId="28CAAA67" w14:textId="77777777" w:rsidR="002D0E71" w:rsidRDefault="00000000">
      <w:pPr>
        <w:pStyle w:val="Normal31"/>
        <w:widowControl w:val="0"/>
        <w:spacing w:before="200" w:line="260" w:lineRule="atLeast"/>
        <w:jc w:val="both"/>
      </w:pPr>
      <w:bookmarkStart w:id="4299" w:name="Bookmark_para_17_25"/>
      <w:bookmarkEnd w:id="4299"/>
      <w:r>
        <w:rPr>
          <w:rFonts w:ascii="Arial" w:eastAsia="Arial" w:hAnsi="Arial" w:cs="Arial"/>
          <w:color w:val="000000"/>
          <w:sz w:val="20"/>
        </w:rPr>
        <w:t>The defendants filed a motion for summary judgment on all claims, which the district court granted. The court disposed of Sperry's § 1983 claim against Elder on the ground that Sperry did not show that Elder "caused his prosecution" by "exert[ing] improper pressure or influence over the prosecutor or conceal[ing] or misrepresent[ing] material facts to the prosecutor." Aplee. Supp. App. at 507. The court also concluded, based upon Elder's lack of interaction with the Sperry family and the limited information about Sperry known to have been circulated throughout the police department, that there was insufficient evidence to indicate that Elder knew Sperry had a cognitive disability that made him incapable of engaging in theft involving a debit account.</w:t>
      </w:r>
    </w:p>
    <w:p w14:paraId="01F7F070" w14:textId="77777777" w:rsidR="002D0E71" w:rsidRDefault="00000000">
      <w:pPr>
        <w:pStyle w:val="Normal31"/>
        <w:widowControl w:val="0"/>
        <w:spacing w:before="200" w:line="260" w:lineRule="atLeast"/>
        <w:jc w:val="both"/>
      </w:pPr>
      <w:bookmarkStart w:id="4300" w:name="Bookmark_para_18_25"/>
      <w:bookmarkEnd w:id="4300"/>
      <w:r>
        <w:rPr>
          <w:rFonts w:ascii="Arial" w:eastAsia="Arial" w:hAnsi="Arial" w:cs="Arial"/>
          <w:color w:val="000000"/>
          <w:sz w:val="20"/>
        </w:rPr>
        <w:t>The court disposed of Sperry's § 1983 claim against Maes by concluding that Maes had probable cause to charge Sperry with theft and that nothing in the record indicated Maes had knowledge that Sperry was unable to perform basic math skills and could not understand a debit account. With regard to Sperry's accusation that Maes made a false statement in his arrest affidavit [**12]  pertaining to Sperry's use of a special authorization code, the court ruled that even without that statement, the manner in which Sperry used the debit card supported probable cause. Because both § 1983 claims against the officers failed, the court concluded that any claim against the town under a municipal liability theory is also subject to dismissal.</w:t>
      </w:r>
      <w:r>
        <w:rPr>
          <w:rFonts w:ascii="Arial" w:eastAsia="Arial" w:hAnsi="Arial" w:cs="Arial"/>
          <w:vertAlign w:val="superscript"/>
        </w:rPr>
        <w:footnoteReference w:customMarkFollows="1" w:id="154"/>
        <w:t>6</w:t>
      </w:r>
    </w:p>
    <w:p w14:paraId="1FCFA2F3" w14:textId="77777777" w:rsidR="002D0E71" w:rsidRDefault="00000000">
      <w:pPr>
        <w:pStyle w:val="Normal31"/>
        <w:widowControl w:val="0"/>
        <w:spacing w:before="200" w:line="260" w:lineRule="atLeast"/>
        <w:jc w:val="both"/>
      </w:pPr>
      <w:bookmarkStart w:id="4302" w:name="Bookmark_para_19_25"/>
      <w:bookmarkEnd w:id="4302"/>
      <w:r>
        <w:rPr>
          <w:rFonts w:ascii="Arial" w:eastAsia="Arial" w:hAnsi="Arial" w:cs="Arial"/>
          <w:color w:val="000000"/>
          <w:sz w:val="20"/>
        </w:rPr>
        <w:t>The court disposed of Sperry's ADA claims by concluding that neither of the two proposed theories of Title II liability was applicable. With regard to the wrongful arrest theory, the court concluded the  [*693]  circumstances of Sperry's disability were not known by the officers at the time Sperry was investigated for theft and that Sperry's actions thus reasonably appeared to be unlawful. On the reasonable accommodation theory, the court noted that no statute or case law imposed a duty on officers to investigate whether a disability exists, particularly when a suspect's [**13]  course of conduct does not manifest a mental disability. Lastly, the court refused to consider Sperry's failure-to-train claim under the ADA because it was not sufficiently fleshed out.</w:t>
      </w:r>
    </w:p>
    <w:p w14:paraId="7BAB08D6" w14:textId="77777777" w:rsidR="002D0E71" w:rsidRDefault="00000000">
      <w:pPr>
        <w:pStyle w:val="Normal31"/>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14:paraId="6B7EF24D" w14:textId="77777777" w:rsidR="002D0E71" w:rsidRDefault="00000000">
      <w:pPr>
        <w:pStyle w:val="Normal31"/>
        <w:widowControl w:val="0"/>
        <w:spacing w:before="200" w:line="260" w:lineRule="atLeast"/>
        <w:jc w:val="both"/>
      </w:pPr>
      <w:bookmarkStart w:id="4303" w:name="Bookmark_para_20_23"/>
      <w:bookmarkEnd w:id="4303"/>
      <w:r>
        <w:rPr>
          <w:rFonts w:ascii="Arial" w:eastAsia="Arial" w:hAnsi="Arial" w:cs="Arial"/>
          <w:color w:val="000000"/>
          <w:sz w:val="20"/>
        </w:rPr>
        <w:t>On appeal, Sperry contends the district court erred in granting summary judgment because it ignored genuine issues of material fact and did not resolve factual issues in the light most favorable to the non-moving party. Sperry argues such improper judicial determinations of fact led to incorrect rulings on his § 1983 and ADA claims. Aplt. Br. at 2, 15-28.</w:t>
      </w:r>
    </w:p>
    <w:p w14:paraId="002257DB" w14:textId="77777777" w:rsidR="002D0E71" w:rsidRDefault="00000000">
      <w:pPr>
        <w:pStyle w:val="Normal31"/>
        <w:widowControl w:val="0"/>
        <w:spacing w:before="200" w:line="260" w:lineRule="atLeast"/>
        <w:jc w:val="both"/>
      </w:pPr>
      <w:bookmarkStart w:id="4304" w:name="Bookmark_para_21_22"/>
      <w:bookmarkStart w:id="4305" w:name="Bookmark_I5DV86382N1RB00020000400"/>
      <w:bookmarkStart w:id="4306" w:name="Bookmark_I5DV86382N1RB00040000400"/>
      <w:bookmarkStart w:id="4307" w:name="Bookmark_LNHNREFclscc2_25"/>
      <w:bookmarkEnd w:id="4304"/>
      <w:bookmarkEnd w:id="4305"/>
      <w:bookmarkEnd w:id="4306"/>
      <w:bookmarkEnd w:id="4307"/>
      <w:r>
        <w:rPr>
          <w:rFonts w:ascii="Arial" w:eastAsia="Arial" w:hAnsi="Arial" w:cs="Arial"/>
          <w:color w:val="000000"/>
          <w:sz w:val="20"/>
        </w:rPr>
        <w:t xml:space="preserve">We review grants of summary judgment de novo and "apply the same legal standard used by the district court." </w:t>
      </w:r>
      <w:bookmarkStart w:id="4308" w:name="Bookmark_I5DV86382N1RB00010000400"/>
      <w:bookmarkEnd w:id="4308"/>
      <w:r>
        <w:rPr>
          <w:rFonts w:ascii="Arial" w:eastAsia="Arial" w:hAnsi="Arial" w:cs="Arial"/>
          <w:color w:val="000000"/>
          <w:sz w:val="20"/>
          <w:u w:val="single"/>
        </w:rPr>
        <w:t>Toomer v. City Cab</w:t>
      </w:r>
      <w:r>
        <w:rPr>
          <w:rFonts w:ascii="Arial" w:eastAsia="Arial" w:hAnsi="Arial" w:cs="Arial"/>
          <w:color w:val="000000"/>
          <w:sz w:val="20"/>
        </w:rPr>
        <w:t xml:space="preserve">, 443 F.3d 1191, 1194 (10th Cir. 2006). "Summary judgment is proper if the evidence, viewed in the light most favorable to the non-moving party, presents no genuine issue of material fact and the moving party is entitled to judgment as a matter of law." </w:t>
      </w:r>
      <w:r>
        <w:rPr>
          <w:rFonts w:ascii="Arial" w:eastAsia="Arial" w:hAnsi="Arial" w:cs="Arial"/>
          <w:color w:val="000000"/>
          <w:sz w:val="20"/>
          <w:u w:val="single"/>
        </w:rPr>
        <w:t>Id</w:t>
      </w:r>
      <w:r>
        <w:rPr>
          <w:rFonts w:ascii="Arial" w:eastAsia="Arial" w:hAnsi="Arial" w:cs="Arial"/>
          <w:color w:val="000000"/>
          <w:sz w:val="20"/>
        </w:rPr>
        <w:t xml:space="preserve">. "An issue is 'genuine' if there is sufficient evidence on each side so that a rational trier of fact could resolve the issue either way." </w:t>
      </w:r>
      <w:bookmarkStart w:id="4309" w:name="Bookmark_I5DV86382N1RB00030000400"/>
      <w:bookmarkEnd w:id="4309"/>
      <w:r>
        <w:rPr>
          <w:rFonts w:ascii="Arial" w:eastAsia="Arial" w:hAnsi="Arial" w:cs="Arial"/>
          <w:color w:val="000000"/>
          <w:sz w:val="20"/>
          <w:u w:val="single"/>
        </w:rPr>
        <w:t>Adler v. Wal-Mart Stores, Inc</w:t>
      </w:r>
      <w:r>
        <w:rPr>
          <w:rFonts w:ascii="Arial" w:eastAsia="Arial" w:hAnsi="Arial" w:cs="Arial"/>
          <w:color w:val="000000"/>
          <w:sz w:val="20"/>
        </w:rPr>
        <w:t xml:space="preserve">., 144 F.3d 664, 670 (10th Cir. 1998) (citing </w:t>
      </w:r>
      <w:bookmarkStart w:id="4310" w:name="Bookmark_I5DV86382N1RB00050000400"/>
      <w:bookmarkEnd w:id="4310"/>
      <w:r>
        <w:rPr>
          <w:rFonts w:ascii="Arial" w:eastAsia="Arial" w:hAnsi="Arial" w:cs="Arial"/>
          <w:color w:val="000000"/>
          <w:sz w:val="20"/>
          <w:u w:val="single"/>
        </w:rPr>
        <w:t>Anderson v. Liberty Lobby, Inc</w:t>
      </w:r>
      <w:r>
        <w:rPr>
          <w:rFonts w:ascii="Arial" w:eastAsia="Arial" w:hAnsi="Arial" w:cs="Arial"/>
          <w:color w:val="000000"/>
          <w:sz w:val="20"/>
        </w:rPr>
        <w:t xml:space="preserve">., 477 U.S. 242, 248, 106 S. Ct. 2505, 91 L. Ed. 2d 202 (1986)). "An issue of fact is 'material' if under the substantive law it is essential to the proper disposition of the claim." </w:t>
      </w:r>
      <w:r>
        <w:rPr>
          <w:rFonts w:ascii="Arial" w:eastAsia="Arial" w:hAnsi="Arial" w:cs="Arial"/>
          <w:color w:val="000000"/>
          <w:sz w:val="20"/>
          <w:u w:val="single"/>
        </w:rPr>
        <w:t>Id</w:t>
      </w:r>
      <w:r>
        <w:rPr>
          <w:rFonts w:ascii="Arial" w:eastAsia="Arial" w:hAnsi="Arial" w:cs="Arial"/>
          <w:color w:val="000000"/>
          <w:sz w:val="20"/>
        </w:rPr>
        <w:t>.</w:t>
      </w:r>
    </w:p>
    <w:p w14:paraId="409124FB" w14:textId="77777777" w:rsidR="002D0E71" w:rsidRDefault="00000000">
      <w:pPr>
        <w:pStyle w:val="Normal31"/>
        <w:widowControl w:val="0"/>
        <w:spacing w:before="200" w:line="260" w:lineRule="atLeast"/>
        <w:jc w:val="both"/>
      </w:pPr>
      <w:bookmarkStart w:id="4311" w:name="Bookmark_para_22_22"/>
      <w:bookmarkStart w:id="4312" w:name="Bookmark_I5DV86382D6MX60030000400"/>
      <w:bookmarkStart w:id="4313" w:name="Bookmark_I5DV86382D6MX60050000400"/>
      <w:bookmarkStart w:id="4314" w:name="Bookmark_I5DV86382D6MX70050000400"/>
      <w:bookmarkStart w:id="4315" w:name="Bookmark_LNHNREFclscc3_24"/>
      <w:bookmarkEnd w:id="4311"/>
      <w:bookmarkEnd w:id="4312"/>
      <w:bookmarkEnd w:id="4313"/>
      <w:bookmarkEnd w:id="4314"/>
      <w:bookmarkEnd w:id="4315"/>
      <w:r>
        <w:rPr>
          <w:rFonts w:ascii="Arial" w:eastAsia="Arial" w:hAnsi="Arial" w:cs="Arial"/>
          <w:color w:val="000000"/>
          <w:sz w:val="20"/>
        </w:rPr>
        <w:t xml:space="preserve">For cases involving qualified immunity, however, the court reviews summary [**14]  judgment orders deciding such issues differently. </w:t>
      </w:r>
      <w:bookmarkStart w:id="4316" w:name="Bookmark_I5DV86382D6MX70010000400"/>
      <w:bookmarkStart w:id="4317" w:name="Bookmark_I5DV86382D6MX60020000400"/>
      <w:bookmarkEnd w:id="4316"/>
      <w:bookmarkEnd w:id="4317"/>
      <w:r>
        <w:rPr>
          <w:rFonts w:ascii="Arial" w:eastAsia="Arial" w:hAnsi="Arial" w:cs="Arial"/>
          <w:color w:val="000000"/>
          <w:sz w:val="20"/>
          <w:u w:val="single"/>
        </w:rPr>
        <w:t>Medina v. Cram</w:t>
      </w:r>
      <w:r>
        <w:rPr>
          <w:rFonts w:ascii="Arial" w:eastAsia="Arial" w:hAnsi="Arial" w:cs="Arial"/>
          <w:color w:val="000000"/>
          <w:sz w:val="20"/>
        </w:rPr>
        <w:t xml:space="preserve">, 252 F.3d 1124, 1128 (10th Cir. 2001). In particular, when a defendant asserts qualified immunity, the plaintiff bears the burden of establishing first, "that the defendant's actions violated a constitutional or statutory right," and second, "that the right at issue was clearly established at the time of the defendant's unlawful conduct." </w:t>
      </w:r>
      <w:bookmarkStart w:id="4318" w:name="Bookmark_I5DV86382D6MX60040000400"/>
      <w:bookmarkEnd w:id="4318"/>
      <w:r>
        <w:rPr>
          <w:rFonts w:ascii="Arial" w:eastAsia="Arial" w:hAnsi="Arial" w:cs="Arial"/>
          <w:color w:val="000000"/>
          <w:sz w:val="20"/>
          <w:u w:val="single"/>
        </w:rPr>
        <w:t>Id</w:t>
      </w:r>
      <w:r>
        <w:rPr>
          <w:rFonts w:ascii="Arial" w:eastAsia="Arial" w:hAnsi="Arial" w:cs="Arial"/>
          <w:color w:val="000000"/>
          <w:sz w:val="20"/>
        </w:rPr>
        <w:t xml:space="preserve">. at 1128 (citing </w:t>
      </w:r>
      <w:bookmarkStart w:id="4319" w:name="Bookmark_I5DV86382HM6HG0010000400"/>
      <w:bookmarkEnd w:id="4319"/>
      <w:r>
        <w:rPr>
          <w:rFonts w:ascii="Arial" w:eastAsia="Arial" w:hAnsi="Arial" w:cs="Arial"/>
          <w:color w:val="000000"/>
          <w:sz w:val="20"/>
          <w:u w:val="single"/>
        </w:rPr>
        <w:t>Albright v. Rodriguez</w:t>
      </w:r>
      <w:r>
        <w:rPr>
          <w:rFonts w:ascii="Arial" w:eastAsia="Arial" w:hAnsi="Arial" w:cs="Arial"/>
          <w:color w:val="000000"/>
          <w:sz w:val="20"/>
        </w:rPr>
        <w:t>, 51 F.3d 1531, 1534 (10th Cir. 1995)).</w:t>
      </w:r>
      <w:r>
        <w:rPr>
          <w:rFonts w:ascii="Arial" w:eastAsia="Arial" w:hAnsi="Arial" w:cs="Arial"/>
          <w:vertAlign w:val="superscript"/>
        </w:rPr>
        <w:footnoteReference w:customMarkFollows="1" w:id="155"/>
        <w:t>7</w:t>
      </w:r>
      <w:r>
        <w:rPr>
          <w:rFonts w:ascii="Arial" w:eastAsia="Arial" w:hAnsi="Arial" w:cs="Arial"/>
          <w:color w:val="000000"/>
          <w:sz w:val="20"/>
        </w:rPr>
        <w:t xml:space="preserve"> "If the plaintiff fails to carry either part of his two-part burden, the defendant is entitled to qualified immunity." </w:t>
      </w:r>
      <w:bookmarkStart w:id="4322" w:name="Bookmark_I5DV86382HM6HG0030000400"/>
      <w:bookmarkEnd w:id="4322"/>
      <w:r>
        <w:rPr>
          <w:rFonts w:ascii="Arial" w:eastAsia="Arial" w:hAnsi="Arial" w:cs="Arial"/>
          <w:color w:val="000000"/>
          <w:sz w:val="20"/>
          <w:u w:val="single"/>
        </w:rPr>
        <w:t>Albright</w:t>
      </w:r>
      <w:r>
        <w:rPr>
          <w:rFonts w:ascii="Arial" w:eastAsia="Arial" w:hAnsi="Arial" w:cs="Arial"/>
          <w:color w:val="000000"/>
          <w:sz w:val="20"/>
        </w:rPr>
        <w:t xml:space="preserve">, 51 F.3d at 1535. </w:t>
      </w:r>
      <w:bookmarkStart w:id="4323" w:name="Bookmark_I5DV86382D6MX70010000400_2"/>
      <w:bookmarkEnd w:id="4323"/>
      <w:r>
        <w:rPr>
          <w:rFonts w:ascii="Arial" w:eastAsia="Arial" w:hAnsi="Arial" w:cs="Arial"/>
          <w:color w:val="000000"/>
          <w:sz w:val="20"/>
        </w:rPr>
        <w:t xml:space="preserve">If the plaintiff succeeds in carrying his burden, then the burden shifts to "the defendant to show that there are no disputes of material fact as to whether his conduct was objectively reasonable in light of clearly established law and the information known to the defendant at the time." </w:t>
      </w:r>
      <w:bookmarkStart w:id="4324" w:name="Bookmark_I5DV86382HM6HG0050000400"/>
      <w:bookmarkEnd w:id="4324"/>
      <w:r>
        <w:rPr>
          <w:rFonts w:ascii="Arial" w:eastAsia="Arial" w:hAnsi="Arial" w:cs="Arial"/>
          <w:color w:val="000000"/>
          <w:sz w:val="20"/>
          <w:u w:val="single"/>
        </w:rPr>
        <w:t>Felders ex rel. Smedley v. Malcom</w:t>
      </w:r>
      <w:r>
        <w:rPr>
          <w:rFonts w:ascii="Arial" w:eastAsia="Arial" w:hAnsi="Arial" w:cs="Arial"/>
          <w:color w:val="000000"/>
          <w:sz w:val="20"/>
        </w:rPr>
        <w:t xml:space="preserve">, 755 F.3d 870, 877 (10th Cir. 2014) (quoting </w:t>
      </w:r>
      <w:bookmarkStart w:id="4325" w:name="Bookmark_I5DV86382D6MX70020000400"/>
      <w:bookmarkEnd w:id="4325"/>
      <w:r>
        <w:rPr>
          <w:rFonts w:ascii="Arial" w:eastAsia="Arial" w:hAnsi="Arial" w:cs="Arial"/>
          <w:color w:val="000000"/>
          <w:sz w:val="20"/>
          <w:u w:val="single"/>
        </w:rPr>
        <w:t>Mick v. Brewer</w:t>
      </w:r>
      <w:r>
        <w:rPr>
          <w:rFonts w:ascii="Arial" w:eastAsia="Arial" w:hAnsi="Arial" w:cs="Arial"/>
          <w:color w:val="000000"/>
          <w:sz w:val="20"/>
        </w:rPr>
        <w:t>, 76 F.3d 1127, 1131 (10th Cir. 1996)).</w:t>
      </w:r>
    </w:p>
    <w:p w14:paraId="1B448269" w14:textId="77777777" w:rsidR="002D0E71" w:rsidRDefault="00000000">
      <w:pPr>
        <w:pStyle w:val="Normal31"/>
        <w:widowControl w:val="0"/>
        <w:spacing w:before="240" w:line="260" w:lineRule="atLeast"/>
      </w:pPr>
      <w:r>
        <w:br/>
      </w:r>
      <w:r>
        <w:rPr>
          <w:rFonts w:ascii="Arial" w:eastAsia="Arial" w:hAnsi="Arial" w:cs="Arial"/>
          <w:b/>
          <w:color w:val="000000"/>
          <w:sz w:val="20"/>
        </w:rPr>
        <w:t>A. Malicious prosecution claim under 42 U.S.C. § 1983</w:t>
      </w:r>
    </w:p>
    <w:p w14:paraId="2E4BB41D" w14:textId="77777777" w:rsidR="002D0E71" w:rsidRDefault="00000000">
      <w:pPr>
        <w:pStyle w:val="Normal31"/>
        <w:widowControl w:val="0"/>
        <w:spacing w:before="200" w:line="260" w:lineRule="atLeast"/>
        <w:jc w:val="both"/>
      </w:pPr>
      <w:bookmarkStart w:id="4326" w:name="Bookmark_para_23_22"/>
      <w:bookmarkStart w:id="4327" w:name="Bookmark_I5DV863928T5190020000400"/>
      <w:bookmarkEnd w:id="4326"/>
      <w:bookmarkEnd w:id="4327"/>
      <w:r>
        <w:rPr>
          <w:rFonts w:ascii="Arial" w:eastAsia="Arial" w:hAnsi="Arial" w:cs="Arial"/>
          <w:color w:val="000000"/>
          <w:sz w:val="20"/>
        </w:rPr>
        <w:t xml:space="preserve">Although the district court granted summary judgment to the defendants on the merits, we analyze this case in the context of qualified immunity. The defendants raised the defense of qualified immunity in both their response to Sperry's complaint and their motion for summary [**15]  judgment. </w:t>
      </w:r>
      <w:bookmarkStart w:id="4328" w:name="Bookmark_LNHNREFclscc4_24"/>
      <w:bookmarkEnd w:id="4328"/>
      <w:r>
        <w:rPr>
          <w:rFonts w:ascii="Arial" w:eastAsia="Arial" w:hAnsi="Arial" w:cs="Arial"/>
          <w:color w:val="000000"/>
          <w:sz w:val="20"/>
        </w:rPr>
        <w:t xml:space="preserve">"Because qualified immunity protects government officials from suit as well as from liability, it is essential that qualified immunity claims be resolved at the earliest possible  [*694]  stage of litigation." </w:t>
      </w:r>
      <w:bookmarkStart w:id="4329" w:name="Bookmark_I5DV863928T5190010000400"/>
      <w:bookmarkEnd w:id="4329"/>
      <w:r>
        <w:rPr>
          <w:rFonts w:ascii="Arial" w:eastAsia="Arial" w:hAnsi="Arial" w:cs="Arial"/>
          <w:color w:val="000000"/>
          <w:sz w:val="20"/>
          <w:u w:val="single"/>
        </w:rPr>
        <w:t>Hunter v. Bryant</w:t>
      </w:r>
      <w:r>
        <w:rPr>
          <w:rFonts w:ascii="Arial" w:eastAsia="Arial" w:hAnsi="Arial" w:cs="Arial"/>
          <w:color w:val="000000"/>
          <w:sz w:val="20"/>
        </w:rPr>
        <w:t xml:space="preserve">, 502 U.S. 224, 233-34, 112 S. Ct. 534, 116 L. Ed. 2d 589 (1991) (citing </w:t>
      </w:r>
      <w:bookmarkStart w:id="4330" w:name="Bookmark_I5DV863928T5190030000400"/>
      <w:bookmarkEnd w:id="4330"/>
      <w:r>
        <w:rPr>
          <w:rFonts w:ascii="Arial" w:eastAsia="Arial" w:hAnsi="Arial" w:cs="Arial"/>
          <w:color w:val="000000"/>
          <w:sz w:val="20"/>
          <w:u w:val="single"/>
        </w:rPr>
        <w:t>Mitchell v. Forsyth</w:t>
      </w:r>
      <w:r>
        <w:rPr>
          <w:rFonts w:ascii="Arial" w:eastAsia="Arial" w:hAnsi="Arial" w:cs="Arial"/>
          <w:color w:val="000000"/>
          <w:sz w:val="20"/>
        </w:rPr>
        <w:t>, 472 U.S. 511, 526, 105 S. Ct. 2806, 86 L. Ed. 2d 411 (1985)). Thus, we must determine whether the evidence, construed in the light most favorable to Sperry, demonstrates that there was a violation of his clearly established constitutional rights.</w:t>
      </w:r>
    </w:p>
    <w:p w14:paraId="29497854" w14:textId="77777777" w:rsidR="002D0E71" w:rsidRDefault="00000000">
      <w:pPr>
        <w:pStyle w:val="Normal31"/>
        <w:widowControl w:val="0"/>
        <w:spacing w:before="200" w:line="260" w:lineRule="atLeast"/>
        <w:jc w:val="both"/>
      </w:pPr>
      <w:bookmarkStart w:id="4331" w:name="Bookmark_para_24_22"/>
      <w:bookmarkStart w:id="4332" w:name="Bookmark_I5DV86392SF8TW0010000400"/>
      <w:bookmarkEnd w:id="4331"/>
      <w:bookmarkEnd w:id="4332"/>
      <w:r>
        <w:rPr>
          <w:rFonts w:ascii="Arial" w:eastAsia="Arial" w:hAnsi="Arial" w:cs="Arial"/>
          <w:color w:val="000000"/>
          <w:sz w:val="20"/>
        </w:rPr>
        <w:t xml:space="preserve">Sperry argues his constitutional rights were violated by (1) Maes making material false statements in his arrest affidavit pertaining to Sperry, (2) Elder and Maes omitting material information about his mental disability in their report and arrest affidavit, respectively, that would negate probable cause, and (3) Elder and Maes' retaliatory motives for investigating Sperry. Sperry is correct that this court considers </w:t>
      </w:r>
      <w:bookmarkStart w:id="4333" w:name="Bookmark_LNHNREFclscc5_24"/>
      <w:bookmarkEnd w:id="4333"/>
      <w:r>
        <w:rPr>
          <w:rFonts w:ascii="Arial" w:eastAsia="Arial" w:hAnsi="Arial" w:cs="Arial"/>
          <w:color w:val="000000"/>
          <w:sz w:val="20"/>
        </w:rPr>
        <w:t xml:space="preserve">material false statements and omissions negating probable cause in a warrant to be clearly established violations of the Fourth Amendment. </w:t>
      </w:r>
      <w:bookmarkStart w:id="4334" w:name="Bookmark_I5DV863928T5190050000400"/>
      <w:bookmarkEnd w:id="4334"/>
      <w:r>
        <w:rPr>
          <w:rFonts w:ascii="Arial" w:eastAsia="Arial" w:hAnsi="Arial" w:cs="Arial"/>
          <w:color w:val="000000"/>
          <w:sz w:val="20"/>
          <w:u w:val="single"/>
        </w:rPr>
        <w:t>Taylor v. Meacham</w:t>
      </w:r>
      <w:r>
        <w:rPr>
          <w:rFonts w:ascii="Arial" w:eastAsia="Arial" w:hAnsi="Arial" w:cs="Arial"/>
          <w:color w:val="000000"/>
          <w:sz w:val="20"/>
        </w:rPr>
        <w:t xml:space="preserve">, 82 F.3d 1556, 1562 (10th Cir. 1996) (citing </w:t>
      </w:r>
      <w:bookmarkStart w:id="4335" w:name="Bookmark_I5DV86392SF8TW0020000400"/>
      <w:bookmarkEnd w:id="4335"/>
      <w:r>
        <w:rPr>
          <w:rFonts w:ascii="Arial" w:eastAsia="Arial" w:hAnsi="Arial" w:cs="Arial"/>
          <w:color w:val="000000"/>
          <w:sz w:val="20"/>
          <w:u w:val="single"/>
        </w:rPr>
        <w:t>Franks v. Delaware</w:t>
      </w:r>
      <w:r>
        <w:rPr>
          <w:rFonts w:ascii="Arial" w:eastAsia="Arial" w:hAnsi="Arial" w:cs="Arial"/>
          <w:color w:val="000000"/>
          <w:sz w:val="20"/>
        </w:rPr>
        <w:t xml:space="preserve">, 438 U.S. 154, 155-56, 98 S. Ct. 2674, 57 L. Ed. 2d 667 (1978); </w:t>
      </w:r>
      <w:bookmarkStart w:id="4336" w:name="Bookmark_I5DV86392SF8TW0040000400"/>
      <w:bookmarkEnd w:id="4336"/>
      <w:r>
        <w:rPr>
          <w:rFonts w:ascii="Arial" w:eastAsia="Arial" w:hAnsi="Arial" w:cs="Arial"/>
          <w:color w:val="000000"/>
          <w:sz w:val="20"/>
          <w:u w:val="single"/>
        </w:rPr>
        <w:t>Stewart v. Donges</w:t>
      </w:r>
      <w:r>
        <w:rPr>
          <w:rFonts w:ascii="Arial" w:eastAsia="Arial" w:hAnsi="Arial" w:cs="Arial"/>
          <w:color w:val="000000"/>
          <w:sz w:val="20"/>
        </w:rPr>
        <w:t>, 915 F.2d 572, 581-83 (10th Cir. 1990)). The absence of probable cause in particular is what gives a § 1983 malicious prosecution claim its constitutional character.</w:t>
      </w:r>
    </w:p>
    <w:p w14:paraId="029A0669" w14:textId="77777777" w:rsidR="002D0E71" w:rsidRDefault="00000000">
      <w:pPr>
        <w:pStyle w:val="Normal31"/>
        <w:widowControl w:val="0"/>
        <w:spacing w:before="200" w:line="260" w:lineRule="atLeast"/>
        <w:jc w:val="both"/>
      </w:pPr>
      <w:bookmarkStart w:id="4337" w:name="Bookmark_para_25_22"/>
      <w:bookmarkStart w:id="4338" w:name="Bookmark_I5DV863928T51B0020000400"/>
      <w:bookmarkStart w:id="4339" w:name="Bookmark_I48TWP68G5X0003XDX8002V4"/>
      <w:bookmarkStart w:id="4340" w:name="Bookmark_I5DV863928T51B0040000400"/>
      <w:bookmarkEnd w:id="4337"/>
      <w:bookmarkEnd w:id="4338"/>
      <w:bookmarkEnd w:id="4339"/>
      <w:bookmarkEnd w:id="4340"/>
      <w:r>
        <w:rPr>
          <w:rFonts w:ascii="Arial" w:eastAsia="Arial" w:hAnsi="Arial" w:cs="Arial"/>
          <w:color w:val="000000"/>
          <w:sz w:val="20"/>
        </w:rPr>
        <w:t xml:space="preserve">More factors can be considered, however. We "take[ ] the common law elements of malicious prosecution as the 'starting [**16]  point' for the analysis of a § 1983 malicious prosecution claim, but always reach[ ] the ultimate question, which [we] must, of whether the plaintiff has proven a </w:t>
      </w:r>
      <w:r>
        <w:rPr>
          <w:rFonts w:ascii="Arial" w:eastAsia="Arial" w:hAnsi="Arial" w:cs="Arial"/>
          <w:i/>
          <w:color w:val="000000"/>
          <w:sz w:val="20"/>
        </w:rPr>
        <w:t>constitutional</w:t>
      </w:r>
      <w:r>
        <w:rPr>
          <w:rFonts w:ascii="Arial" w:eastAsia="Arial" w:hAnsi="Arial" w:cs="Arial"/>
          <w:color w:val="000000"/>
          <w:sz w:val="20"/>
        </w:rPr>
        <w:t xml:space="preserve"> violation." </w:t>
      </w:r>
      <w:bookmarkStart w:id="4341" w:name="Bookmark_I5DV863928T51B0010000400"/>
      <w:bookmarkEnd w:id="4341"/>
      <w:r>
        <w:rPr>
          <w:rFonts w:ascii="Arial" w:eastAsia="Arial" w:hAnsi="Arial" w:cs="Arial"/>
          <w:color w:val="000000"/>
          <w:sz w:val="20"/>
          <w:u w:val="single"/>
        </w:rPr>
        <w:t>Taylor</w:t>
      </w:r>
      <w:r>
        <w:rPr>
          <w:rFonts w:ascii="Arial" w:eastAsia="Arial" w:hAnsi="Arial" w:cs="Arial"/>
          <w:color w:val="000000"/>
          <w:sz w:val="20"/>
        </w:rPr>
        <w:t xml:space="preserve">, 82 F.3d at 1561 (emphasis in original). The five elements typically considered in a § 1983 malicious prosecution claim are: "(1) the defendant caused the plaintiff's continued confinement or prosecution; (2) the original action terminated in favor of the plaintiff; (3) there was no probable cause to support the original arrest, continued confinement, or prosecution; (4) the defendant acted with malice; and (5) the plaintiff sustained damages." </w:t>
      </w:r>
      <w:bookmarkStart w:id="4342" w:name="Bookmark_I5DV863928T51B0030000400"/>
      <w:bookmarkEnd w:id="4342"/>
      <w:r>
        <w:rPr>
          <w:rFonts w:ascii="Arial" w:eastAsia="Arial" w:hAnsi="Arial" w:cs="Arial"/>
          <w:color w:val="000000"/>
          <w:sz w:val="20"/>
          <w:u w:val="single"/>
        </w:rPr>
        <w:t>Novitsky v. City Of Aurora</w:t>
      </w:r>
      <w:r>
        <w:rPr>
          <w:rFonts w:ascii="Arial" w:eastAsia="Arial" w:hAnsi="Arial" w:cs="Arial"/>
          <w:color w:val="000000"/>
          <w:sz w:val="20"/>
        </w:rPr>
        <w:t>, 491 F.3d 1244, 1258 (10th Cir. 2007). We analyze how these factors apply to Officers Elder and Maes, in turn, and conclude that neither officer committed a constitutional violation.</w:t>
      </w:r>
    </w:p>
    <w:p w14:paraId="69F4A017" w14:textId="77777777" w:rsidR="002D0E71" w:rsidRDefault="00000000">
      <w:pPr>
        <w:pStyle w:val="Normal31"/>
        <w:widowControl w:val="0"/>
        <w:spacing w:before="240" w:line="260" w:lineRule="atLeast"/>
      </w:pPr>
      <w:r>
        <w:br/>
      </w:r>
      <w:r>
        <w:rPr>
          <w:rFonts w:ascii="Arial" w:eastAsia="Arial" w:hAnsi="Arial" w:cs="Arial"/>
          <w:b/>
          <w:color w:val="000000"/>
          <w:sz w:val="20"/>
        </w:rPr>
        <w:t>1. Officer Elder</w:t>
      </w:r>
    </w:p>
    <w:p w14:paraId="68AE8A2A" w14:textId="77777777" w:rsidR="002D0E71" w:rsidRDefault="00000000">
      <w:pPr>
        <w:pStyle w:val="Normal31"/>
        <w:widowControl w:val="0"/>
        <w:spacing w:before="200" w:line="260" w:lineRule="atLeast"/>
        <w:jc w:val="both"/>
      </w:pPr>
      <w:bookmarkStart w:id="4343" w:name="Bookmark_para_26_21"/>
      <w:bookmarkEnd w:id="4343"/>
      <w:r>
        <w:rPr>
          <w:rFonts w:ascii="Arial" w:eastAsia="Arial" w:hAnsi="Arial" w:cs="Arial"/>
          <w:color w:val="000000"/>
          <w:sz w:val="20"/>
        </w:rPr>
        <w:t>The district court concluded that Sperry's complaint against Officer Elder failed on the first element of a malicious prosecution claim because Elder's limited involvement in the investigation was not sufficient to show he "caused" Sperry's prosecution. Sperry argues on appeal that the district court improperly believed Elder's statement that he did not know Sperry had a disability and that Elder should have included his knowledge [**17]  of Sperry's disability in his report. Even if this court were to go further in its factual inferences in Sperry's favor, as he desires, and assume that Elder knew Sperry had some type of cognitive disability, Elder's assignment in this case was to memorialize a victim's statement, not to investigate the crime or absolve Sperry.</w:t>
      </w:r>
    </w:p>
    <w:p w14:paraId="0AF76F1D" w14:textId="77777777" w:rsidR="002D0E71" w:rsidRDefault="00000000">
      <w:pPr>
        <w:pStyle w:val="Normal31"/>
        <w:widowControl w:val="0"/>
        <w:spacing w:before="200" w:line="260" w:lineRule="atLeast"/>
        <w:jc w:val="both"/>
      </w:pPr>
      <w:bookmarkStart w:id="4344" w:name="Bookmark_para_27_21"/>
      <w:bookmarkStart w:id="4345" w:name="Bookmark_I5DV86392SF8TX0010000400"/>
      <w:bookmarkEnd w:id="4344"/>
      <w:bookmarkEnd w:id="4345"/>
      <w:r>
        <w:rPr>
          <w:rFonts w:ascii="Arial" w:eastAsia="Arial" w:hAnsi="Arial" w:cs="Arial"/>
          <w:color w:val="000000"/>
          <w:sz w:val="20"/>
        </w:rPr>
        <w:t xml:space="preserve">As this court stated in </w:t>
      </w:r>
      <w:r>
        <w:rPr>
          <w:rFonts w:ascii="Arial" w:eastAsia="Arial" w:hAnsi="Arial" w:cs="Arial"/>
          <w:color w:val="000000"/>
          <w:sz w:val="20"/>
          <w:u w:val="single"/>
        </w:rPr>
        <w:t>Taylor</w:t>
      </w:r>
      <w:r>
        <w:rPr>
          <w:rFonts w:ascii="Arial" w:eastAsia="Arial" w:hAnsi="Arial" w:cs="Arial"/>
          <w:color w:val="000000"/>
          <w:sz w:val="20"/>
        </w:rPr>
        <w:t xml:space="preserve">, </w:t>
      </w:r>
      <w:bookmarkStart w:id="4346" w:name="Bookmark_LNHNREFclscc6_23"/>
      <w:bookmarkEnd w:id="4346"/>
      <w:r>
        <w:rPr>
          <w:rFonts w:ascii="Arial" w:eastAsia="Arial" w:hAnsi="Arial" w:cs="Arial"/>
          <w:color w:val="000000"/>
          <w:sz w:val="20"/>
        </w:rPr>
        <w:t xml:space="preserve">generally for police officers, "the chain of causation [for a malicious prosecution claim] is broken by an indictment, absent an allegation of pressure or influence exerted by the police officers, or knowing misstatements made by the officers to the prosecutor." </w:t>
      </w:r>
      <w:bookmarkStart w:id="4347" w:name="Bookmark_I5DV863928T51B0050000400"/>
      <w:bookmarkEnd w:id="4347"/>
      <w:r>
        <w:rPr>
          <w:rFonts w:ascii="Arial" w:eastAsia="Arial" w:hAnsi="Arial" w:cs="Arial"/>
          <w:color w:val="000000"/>
          <w:sz w:val="20"/>
        </w:rPr>
        <w:t xml:space="preserve">82 F.3d at 1564 (quoting </w:t>
      </w:r>
      <w:bookmarkStart w:id="4348" w:name="Bookmark_I5DV86392SF8TX0020000400"/>
      <w:bookmarkEnd w:id="4348"/>
      <w:r>
        <w:rPr>
          <w:rFonts w:ascii="Arial" w:eastAsia="Arial" w:hAnsi="Arial" w:cs="Arial"/>
          <w:color w:val="000000"/>
          <w:sz w:val="20"/>
          <w:u w:val="single"/>
        </w:rPr>
        <w:t>Reed v. City of Chicago</w:t>
      </w:r>
      <w:r>
        <w:rPr>
          <w:rFonts w:ascii="Arial" w:eastAsia="Arial" w:hAnsi="Arial" w:cs="Arial"/>
          <w:color w:val="000000"/>
          <w:sz w:val="20"/>
        </w:rPr>
        <w:t>, 77 F.3d 1049 (7th Cir. 1996)). Elder did not make any knowing misstatements because the report memorialized the statements of a victim for further investigation; none of Elder's "statements" were Elder's own observations, and none went to the prosecutor directly. Thus,  [*695]  Elder did not commit a constitutional violation and is entitled to qualified immunity.</w:t>
      </w:r>
    </w:p>
    <w:p w14:paraId="516E56B1" w14:textId="77777777" w:rsidR="002D0E71" w:rsidRDefault="00000000">
      <w:pPr>
        <w:pStyle w:val="Normal31"/>
        <w:widowControl w:val="0"/>
        <w:spacing w:before="240" w:line="260" w:lineRule="atLeast"/>
      </w:pPr>
      <w:r>
        <w:br/>
      </w:r>
      <w:r>
        <w:rPr>
          <w:rFonts w:ascii="Arial" w:eastAsia="Arial" w:hAnsi="Arial" w:cs="Arial"/>
          <w:b/>
          <w:color w:val="000000"/>
          <w:sz w:val="20"/>
        </w:rPr>
        <w:t>2. Officer Maes</w:t>
      </w:r>
    </w:p>
    <w:p w14:paraId="1100B61F" w14:textId="77777777" w:rsidR="002D0E71" w:rsidRDefault="00000000">
      <w:pPr>
        <w:pStyle w:val="Normal31"/>
        <w:widowControl w:val="0"/>
        <w:spacing w:before="200" w:line="260" w:lineRule="atLeast"/>
        <w:jc w:val="both"/>
      </w:pPr>
      <w:bookmarkStart w:id="4349" w:name="Bookmark_para_28_19"/>
      <w:bookmarkEnd w:id="4349"/>
      <w:r>
        <w:rPr>
          <w:rFonts w:ascii="Arial" w:eastAsia="Arial" w:hAnsi="Arial" w:cs="Arial"/>
          <w:color w:val="000000"/>
          <w:sz w:val="20"/>
        </w:rPr>
        <w:t>Perhaps more crucially, both Officer Maes and Officer Elder are entitled to qualified immunity because there was probable cause to support Sperry's arrest. Sperry argues on appeal that Maes did not have probable cause because [**18]  Maes made material misstatements in and omissions from his arrest affidavit regarding Sperry's cognitive disability and capacity to have the mens rea for theft. On the issue of false statements within or omitted information from arrest affidavits, this court has stated:</w:t>
      </w:r>
    </w:p>
    <w:p w14:paraId="6357735D" w14:textId="77777777" w:rsidR="002D0E71" w:rsidRDefault="00000000">
      <w:pPr>
        <w:pStyle w:val="Normal31"/>
        <w:widowControl w:val="0"/>
        <w:spacing w:line="260" w:lineRule="atLeast"/>
        <w:ind w:left="400"/>
        <w:jc w:val="both"/>
      </w:pPr>
      <w:bookmarkStart w:id="4350" w:name="Bookmark_para_29_19"/>
      <w:bookmarkStart w:id="4351" w:name="Bookmark_I5DV86392SF8TX0050000400"/>
      <w:bookmarkStart w:id="4352" w:name="Bookmark_LNHNREFclscc7_22"/>
      <w:bookmarkEnd w:id="4350"/>
      <w:bookmarkEnd w:id="4351"/>
      <w:bookmarkEnd w:id="4352"/>
      <w:r>
        <w:rPr>
          <w:rFonts w:ascii="Arial" w:eastAsia="Arial" w:hAnsi="Arial" w:cs="Arial"/>
          <w:color w:val="000000"/>
          <w:sz w:val="20"/>
        </w:rPr>
        <w:t>Where false statements have been included in an arrest warrant affidavit, the existence of probable cause is determined by setting aside the false information and reviewing the remaining contents of the affidavit. In a case involving information omitted from an affidavit, the existence of probable cause is determined by examining the affidavit as if the omitted information had been included and inquiring if the affidavit would still have given rise to probable cause for the warrant.</w:t>
      </w:r>
    </w:p>
    <w:p w14:paraId="2CF1A827" w14:textId="77777777" w:rsidR="002D0E71" w:rsidRDefault="00000000">
      <w:pPr>
        <w:pStyle w:val="Normal31"/>
        <w:widowControl w:val="0"/>
        <w:spacing w:before="200" w:line="260" w:lineRule="atLeast"/>
        <w:jc w:val="both"/>
      </w:pPr>
      <w:bookmarkStart w:id="4353" w:name="Bookmark_I5DV86392SF8TX0050000400_2"/>
      <w:bookmarkStart w:id="4354" w:name="Bookmark_I5DV86392SF8TX0040000400"/>
      <w:bookmarkEnd w:id="4353"/>
      <w:bookmarkEnd w:id="4354"/>
      <w:r>
        <w:rPr>
          <w:rFonts w:ascii="Arial" w:eastAsia="Arial" w:hAnsi="Arial" w:cs="Arial"/>
          <w:color w:val="000000"/>
          <w:sz w:val="20"/>
          <w:u w:val="single"/>
        </w:rPr>
        <w:t>Wolford v. Lasater</w:t>
      </w:r>
      <w:r>
        <w:rPr>
          <w:rFonts w:ascii="Arial" w:eastAsia="Arial" w:hAnsi="Arial" w:cs="Arial"/>
          <w:color w:val="000000"/>
          <w:sz w:val="20"/>
        </w:rPr>
        <w:t>, 78 F.3d 484, 489 (10th Cir. 1996) (internal citations and quotation marks omitted).</w:t>
      </w:r>
    </w:p>
    <w:p w14:paraId="4DCCB330" w14:textId="77777777" w:rsidR="002D0E71" w:rsidRDefault="00000000">
      <w:pPr>
        <w:pStyle w:val="Normal31"/>
        <w:widowControl w:val="0"/>
        <w:spacing w:before="200" w:line="260" w:lineRule="atLeast"/>
        <w:jc w:val="both"/>
      </w:pPr>
      <w:bookmarkStart w:id="4355" w:name="Bookmark_para_30_18"/>
      <w:bookmarkStart w:id="4356" w:name="Bookmark_I5DV86392N1RB10020000400"/>
      <w:bookmarkEnd w:id="4355"/>
      <w:bookmarkEnd w:id="4356"/>
      <w:r>
        <w:rPr>
          <w:rFonts w:ascii="Arial" w:eastAsia="Arial" w:hAnsi="Arial" w:cs="Arial"/>
          <w:color w:val="000000"/>
          <w:sz w:val="20"/>
        </w:rPr>
        <w:t xml:space="preserve">Federal law requires that Maes knowingly or recklessly made a false statement. </w:t>
      </w:r>
      <w:bookmarkStart w:id="4357" w:name="Bookmark_I5DV86392N1RB10010000400"/>
      <w:bookmarkEnd w:id="4357"/>
      <w:r>
        <w:rPr>
          <w:rFonts w:ascii="Arial" w:eastAsia="Arial" w:hAnsi="Arial" w:cs="Arial"/>
          <w:color w:val="000000"/>
          <w:sz w:val="20"/>
          <w:u w:val="single"/>
        </w:rPr>
        <w:t>Franks</w:t>
      </w:r>
      <w:r>
        <w:rPr>
          <w:rFonts w:ascii="Arial" w:eastAsia="Arial" w:hAnsi="Arial" w:cs="Arial"/>
          <w:color w:val="000000"/>
          <w:sz w:val="20"/>
        </w:rPr>
        <w:t xml:space="preserve">, 438 U.S. at 155-56. The only statements in the arrest affidavit that Sperry points to as false are (1) Maes' characterization that Mark Bigler of H&amp;R Block stated Sperry "must have" provided a pre-authorization code to the gas station attendants and (2) Maes' statement that Sperry "somehow obtained a pre-authorization code." Aplee. Supp. App. at 322-23. Given [**19]  that Porter stated that Sperry "scammed" the gas station employees and repeatedly used the same "1932" code to override the system, and that Porter represented himself as someone who knew the company's credit card system well, Maes' statements in the arrest affidavit were plausible, non-reckless characterizations of the information he gleaned from his investigation. </w:t>
      </w:r>
      <w:r>
        <w:rPr>
          <w:rFonts w:ascii="Arial" w:eastAsia="Arial" w:hAnsi="Arial" w:cs="Arial"/>
          <w:color w:val="000000"/>
          <w:sz w:val="20"/>
          <w:u w:val="single"/>
        </w:rPr>
        <w:t>Id</w:t>
      </w:r>
      <w:r>
        <w:rPr>
          <w:rFonts w:ascii="Arial" w:eastAsia="Arial" w:hAnsi="Arial" w:cs="Arial"/>
          <w:color w:val="000000"/>
          <w:sz w:val="20"/>
        </w:rPr>
        <w:t>. at 78.</w:t>
      </w:r>
    </w:p>
    <w:p w14:paraId="41031C2B" w14:textId="77777777" w:rsidR="002D0E71" w:rsidRDefault="00000000">
      <w:pPr>
        <w:pStyle w:val="Normal31"/>
        <w:widowControl w:val="0"/>
        <w:spacing w:before="200" w:line="260" w:lineRule="atLeast"/>
        <w:jc w:val="both"/>
      </w:pPr>
      <w:bookmarkStart w:id="4358" w:name="Bookmark_para_31_17"/>
      <w:bookmarkStart w:id="4359" w:name="Bookmark_I5DV86392N1RB10040000400"/>
      <w:bookmarkEnd w:id="4358"/>
      <w:bookmarkEnd w:id="4359"/>
      <w:r>
        <w:rPr>
          <w:rFonts w:ascii="Arial" w:eastAsia="Arial" w:hAnsi="Arial" w:cs="Arial"/>
          <w:color w:val="000000"/>
          <w:sz w:val="20"/>
        </w:rPr>
        <w:t xml:space="preserve">Thus, it is questionable whether this information could be considered knowingly false, but even construing it in that light, it is not material. </w:t>
      </w:r>
      <w:bookmarkStart w:id="4360" w:name="Bookmark_LNHNREFclscc8_22"/>
      <w:bookmarkEnd w:id="4360"/>
      <w:r>
        <w:rPr>
          <w:rFonts w:ascii="Arial" w:eastAsia="Arial" w:hAnsi="Arial" w:cs="Arial"/>
          <w:color w:val="000000"/>
          <w:sz w:val="20"/>
        </w:rPr>
        <w:t xml:space="preserve">"Probable cause exists where 'the facts and circumstances within their (the officers') knowledge and of which they had reasonably trustworthy information (are) sufficient in themselves to warrant a man of reasonable caution in the belief that' an offense has been or is being committed." </w:t>
      </w:r>
      <w:bookmarkStart w:id="4361" w:name="Bookmark_I5DV86392N1RB10030000400"/>
      <w:bookmarkEnd w:id="4361"/>
      <w:r>
        <w:rPr>
          <w:rFonts w:ascii="Arial" w:eastAsia="Arial" w:hAnsi="Arial" w:cs="Arial"/>
          <w:color w:val="000000"/>
          <w:sz w:val="20"/>
          <w:u w:val="single"/>
        </w:rPr>
        <w:t>Brinegar v. United States</w:t>
      </w:r>
      <w:r>
        <w:rPr>
          <w:rFonts w:ascii="Arial" w:eastAsia="Arial" w:hAnsi="Arial" w:cs="Arial"/>
          <w:color w:val="000000"/>
          <w:sz w:val="20"/>
        </w:rPr>
        <w:t xml:space="preserve">, 338 U.S. 160, 175-76, 69 S. Ct. 1302, 93 L. Ed. 1879 (1949) (quoting </w:t>
      </w:r>
      <w:bookmarkStart w:id="4362" w:name="Bookmark_I5DV86392N1RB10050000400"/>
      <w:bookmarkEnd w:id="4362"/>
      <w:r>
        <w:rPr>
          <w:rFonts w:ascii="Arial" w:eastAsia="Arial" w:hAnsi="Arial" w:cs="Arial"/>
          <w:color w:val="000000"/>
          <w:sz w:val="20"/>
          <w:u w:val="single"/>
        </w:rPr>
        <w:t>Carroll v. United States</w:t>
      </w:r>
      <w:r>
        <w:rPr>
          <w:rFonts w:ascii="Arial" w:eastAsia="Arial" w:hAnsi="Arial" w:cs="Arial"/>
          <w:color w:val="000000"/>
          <w:sz w:val="20"/>
        </w:rPr>
        <w:t>, 267 U.S. 132, 162, 45 S. Ct. 280, 69 L. Ed. 543, T.D. 3686 (1925)) (parentheticals in original).</w:t>
      </w:r>
    </w:p>
    <w:p w14:paraId="2F5C6E65" w14:textId="77777777" w:rsidR="002D0E71" w:rsidRDefault="00000000">
      <w:pPr>
        <w:pStyle w:val="Normal31"/>
        <w:widowControl w:val="0"/>
        <w:spacing w:before="200" w:line="260" w:lineRule="atLeast"/>
        <w:jc w:val="both"/>
      </w:pPr>
      <w:bookmarkStart w:id="4363" w:name="Bookmark_para_32_16"/>
      <w:bookmarkEnd w:id="4363"/>
      <w:r>
        <w:rPr>
          <w:rFonts w:ascii="Arial" w:eastAsia="Arial" w:hAnsi="Arial" w:cs="Arial"/>
          <w:color w:val="000000"/>
          <w:sz w:val="20"/>
        </w:rPr>
        <w:t>Setting aside the two challenged statements, the arrest affidavit offers ample evidence to indicate Sperry had engaged in theft, including but not limited to the high number of transactions in a relatively brief period of time, the consistency of the encounters, the victim statements, the statement from Bigler that Sperry should not have been able to spend [**20]  more than his refund with the card, and that Sperry never returned to the gas station after the clerk who first checked with the bank told Sperry that the card had no money on it. Moreover, all of the district attorneys who provided affidavits indicated their own assessments of probable cause were based on the totality of the circumstances, not just the use of a pre-authorization code. Thus, the statements in question are not material to the probable cause determination.</w:t>
      </w:r>
    </w:p>
    <w:p w14:paraId="0803EB31" w14:textId="77777777" w:rsidR="002D0E71" w:rsidRDefault="00000000">
      <w:pPr>
        <w:pStyle w:val="Normal31"/>
        <w:widowControl w:val="0"/>
        <w:spacing w:before="200" w:line="260" w:lineRule="atLeast"/>
        <w:jc w:val="both"/>
      </w:pPr>
      <w:bookmarkStart w:id="4364" w:name="Bookmark_para_33_15"/>
      <w:bookmarkEnd w:id="4364"/>
      <w:r>
        <w:rPr>
          <w:rFonts w:ascii="Arial" w:eastAsia="Arial" w:hAnsi="Arial" w:cs="Arial"/>
          <w:color w:val="000000"/>
          <w:sz w:val="20"/>
        </w:rPr>
        <w:t> [*696]  Maes' alleged omission is a slightly more challenging question. However, even considering the record in the light most favorable to Sperry, there is no evidence that Maes knew Sperry was incapable of understanding a bank account. It is also not clear that an officer's knowledge of a suspect's unspecified cognitive disability would negate probable cause. We have found no case standing for the proposition that an officer must take a suspect's potential mental disability into account in determining probable cause.</w:t>
      </w:r>
      <w:r>
        <w:rPr>
          <w:rFonts w:ascii="Arial" w:eastAsia="Arial" w:hAnsi="Arial" w:cs="Arial"/>
          <w:vertAlign w:val="superscript"/>
        </w:rPr>
        <w:footnoteReference w:customMarkFollows="1" w:id="156"/>
        <w:t>8</w:t>
      </w:r>
      <w:r>
        <w:rPr>
          <w:rFonts w:ascii="Arial" w:eastAsia="Arial" w:hAnsi="Arial" w:cs="Arial"/>
          <w:color w:val="000000"/>
          <w:sz w:val="20"/>
        </w:rPr>
        <w:t xml:space="preserve"> Even someone who cannot manage his finances is capable of forming the mens rea for theft, and Sperry's repeated use of the debit card at the very least indicated that Sperry understood that the card represented [**21]  money and that he was receiving goods and services by using it.</w:t>
      </w:r>
    </w:p>
    <w:p w14:paraId="196269C1" w14:textId="77777777" w:rsidR="002D0E71" w:rsidRDefault="00000000">
      <w:pPr>
        <w:pStyle w:val="Normal31"/>
        <w:widowControl w:val="0"/>
        <w:spacing w:before="200" w:line="260" w:lineRule="atLeast"/>
        <w:jc w:val="both"/>
      </w:pPr>
      <w:bookmarkStart w:id="4370" w:name="Bookmark_para_34_14"/>
      <w:bookmarkStart w:id="4371" w:name="Bookmark_I5DV86392HM6HH0020000400"/>
      <w:bookmarkStart w:id="4372" w:name="Bookmark_I5DV86392HM6HH0040000400"/>
      <w:bookmarkEnd w:id="4370"/>
      <w:bookmarkEnd w:id="4371"/>
      <w:bookmarkEnd w:id="4372"/>
      <w:r>
        <w:rPr>
          <w:rFonts w:ascii="Arial" w:eastAsia="Arial" w:hAnsi="Arial" w:cs="Arial"/>
          <w:color w:val="000000"/>
          <w:sz w:val="20"/>
        </w:rPr>
        <w:t xml:space="preserve">While it is possible that Maes could have uncovered Sperry's alleged inability to maintain his finances prior to requesting an arrest warrant, </w:t>
      </w:r>
      <w:bookmarkStart w:id="4373" w:name="Bookmark_LNHNREFclscc9_21"/>
      <w:bookmarkEnd w:id="4373"/>
      <w:r>
        <w:rPr>
          <w:rFonts w:ascii="Arial" w:eastAsia="Arial" w:hAnsi="Arial" w:cs="Arial"/>
          <w:color w:val="000000"/>
          <w:sz w:val="20"/>
        </w:rPr>
        <w:t xml:space="preserve">a police officer who has reasonably concluded that probable cause exists to arrest a suspect is not required to further investigate all possible defenses or claims of innocence. </w:t>
      </w:r>
      <w:r>
        <w:rPr>
          <w:rFonts w:ascii="Arial" w:eastAsia="Arial" w:hAnsi="Arial" w:cs="Arial"/>
          <w:color w:val="000000"/>
          <w:sz w:val="20"/>
          <w:u w:val="single"/>
        </w:rPr>
        <w:t xml:space="preserve">See </w:t>
      </w:r>
      <w:bookmarkStart w:id="4374" w:name="Bookmark_I5DV86392HM6HH0010000400"/>
      <w:bookmarkEnd w:id="4374"/>
      <w:r>
        <w:rPr>
          <w:rFonts w:ascii="Arial" w:eastAsia="Arial" w:hAnsi="Arial" w:cs="Arial"/>
          <w:color w:val="000000"/>
          <w:sz w:val="20"/>
          <w:u w:val="single"/>
        </w:rPr>
        <w:t>Romero v. Fay</w:t>
      </w:r>
      <w:r>
        <w:rPr>
          <w:rFonts w:ascii="Arial" w:eastAsia="Arial" w:hAnsi="Arial" w:cs="Arial"/>
          <w:color w:val="000000"/>
          <w:sz w:val="20"/>
        </w:rPr>
        <w:t xml:space="preserve">, 45 F.3d 1472, 1477-78 (10th Cir. 1995). As one circuit court noted, "the practical restraints on police in the field are greater with respect to ascertaining intent and, therefore, the latitude accorded to officers considering the probable cause issue in the context of mens rea crimes must be correspondingly great." </w:t>
      </w:r>
      <w:bookmarkStart w:id="4375" w:name="Bookmark_I5DV86392HM6HH0030000400"/>
      <w:bookmarkEnd w:id="4375"/>
      <w:r>
        <w:rPr>
          <w:rFonts w:ascii="Arial" w:eastAsia="Arial" w:hAnsi="Arial" w:cs="Arial"/>
          <w:color w:val="000000"/>
          <w:sz w:val="20"/>
          <w:u w:val="single"/>
        </w:rPr>
        <w:t>Cox v. Hainey</w:t>
      </w:r>
      <w:r>
        <w:rPr>
          <w:rFonts w:ascii="Arial" w:eastAsia="Arial" w:hAnsi="Arial" w:cs="Arial"/>
          <w:color w:val="000000"/>
          <w:sz w:val="20"/>
        </w:rPr>
        <w:t>, 391 F.3d 25, 34 (1st Cir. 2004). All the evidence Maes uncovered in his investigation pointed to probable cause that Sperry intentionally committed theft, and Maes was not required to investigate the extent of Sperry's [**22]  cognitive disability to negate that. To the extent Maes omitted information about Sperry potentially having a cognitive disability, it is therefore not material.</w:t>
      </w:r>
    </w:p>
    <w:p w14:paraId="6F7FD85E" w14:textId="77777777" w:rsidR="002D0E71" w:rsidRDefault="00000000">
      <w:pPr>
        <w:pStyle w:val="Normal31"/>
        <w:widowControl w:val="0"/>
        <w:spacing w:before="200" w:line="260" w:lineRule="atLeast"/>
        <w:jc w:val="both"/>
      </w:pPr>
      <w:bookmarkStart w:id="4376" w:name="Bookmark_para_35_14"/>
      <w:bookmarkEnd w:id="4376"/>
      <w:r>
        <w:rPr>
          <w:rFonts w:ascii="Arial" w:eastAsia="Arial" w:hAnsi="Arial" w:cs="Arial"/>
          <w:color w:val="000000"/>
          <w:sz w:val="20"/>
        </w:rPr>
        <w:t xml:space="preserve">Thus, the existence of probable cause defeats Sperry's claims that Officers Maes and Elder violated his constitutional rights under 42 U.S.C. § 1983. </w:t>
      </w:r>
      <w:bookmarkStart w:id="4377" w:name="Bookmark_I5DV86392D6MX80010000400"/>
      <w:bookmarkEnd w:id="4377"/>
      <w:r>
        <w:rPr>
          <w:rFonts w:ascii="Arial" w:eastAsia="Arial" w:hAnsi="Arial" w:cs="Arial"/>
          <w:color w:val="000000"/>
          <w:sz w:val="20"/>
        </w:rPr>
        <w:t xml:space="preserve">With no constitutional violations at issue, both officers are entitled to qualified immunity. As for the remaining claim against the town, the district court correctly concluded that because the malicious prosecution claims against Elder and Maes fail, any resulting municipal liability for the Town of Castle Rock also fails. </w:t>
      </w:r>
      <w:bookmarkStart w:id="4378" w:name="Bookmark_I5DV86392HM6HH0050000400"/>
      <w:bookmarkEnd w:id="4378"/>
      <w:r>
        <w:rPr>
          <w:rFonts w:ascii="Arial" w:eastAsia="Arial" w:hAnsi="Arial" w:cs="Arial"/>
          <w:color w:val="000000"/>
          <w:sz w:val="20"/>
          <w:u w:val="single"/>
        </w:rPr>
        <w:t>Trigalet v. City of Tulsa, Okla</w:t>
      </w:r>
      <w:r>
        <w:rPr>
          <w:rFonts w:ascii="Arial" w:eastAsia="Arial" w:hAnsi="Arial" w:cs="Arial"/>
          <w:color w:val="000000"/>
          <w:sz w:val="20"/>
        </w:rPr>
        <w:t>., 239 F.3d 1150, 1154-56 (10th Cir. 2001).</w:t>
      </w:r>
    </w:p>
    <w:p w14:paraId="169C8463" w14:textId="77777777" w:rsidR="002D0E71" w:rsidRDefault="00000000">
      <w:pPr>
        <w:pStyle w:val="Normal31"/>
        <w:widowControl w:val="0"/>
        <w:spacing w:before="240" w:line="260" w:lineRule="atLeast"/>
      </w:pPr>
      <w:r>
        <w:br/>
      </w:r>
      <w:r>
        <w:rPr>
          <w:rFonts w:ascii="Arial" w:eastAsia="Arial" w:hAnsi="Arial" w:cs="Arial"/>
          <w:b/>
          <w:color w:val="000000"/>
          <w:sz w:val="20"/>
        </w:rPr>
        <w:t>B. ADA claim</w:t>
      </w:r>
    </w:p>
    <w:p w14:paraId="0D8F95B9" w14:textId="77777777" w:rsidR="002D0E71" w:rsidRDefault="00000000">
      <w:pPr>
        <w:pStyle w:val="Normal31"/>
        <w:widowControl w:val="0"/>
        <w:spacing w:before="200" w:line="260" w:lineRule="atLeast"/>
        <w:jc w:val="both"/>
      </w:pPr>
      <w:bookmarkStart w:id="4379" w:name="Bookmark_para_36_14"/>
      <w:bookmarkStart w:id="4380" w:name="Bookmark_I5DV86392D6MX80030000400"/>
      <w:bookmarkEnd w:id="4379"/>
      <w:bookmarkEnd w:id="4380"/>
      <w:r>
        <w:rPr>
          <w:rFonts w:ascii="Arial" w:eastAsia="Arial" w:hAnsi="Arial" w:cs="Arial"/>
          <w:color w:val="000000"/>
          <w:sz w:val="20"/>
        </w:rPr>
        <w:t xml:space="preserve">Sperry argues this court's decision in </w:t>
      </w:r>
      <w:bookmarkStart w:id="4381" w:name="Bookmark_I5DV86392D6MX80020000400"/>
      <w:bookmarkEnd w:id="4381"/>
      <w:r>
        <w:rPr>
          <w:rFonts w:ascii="Arial" w:eastAsia="Arial" w:hAnsi="Arial" w:cs="Arial"/>
          <w:color w:val="000000"/>
          <w:sz w:val="20"/>
          <w:u w:val="single"/>
        </w:rPr>
        <w:t>Gohier v. Enright</w:t>
      </w:r>
      <w:r>
        <w:rPr>
          <w:rFonts w:ascii="Arial" w:eastAsia="Arial" w:hAnsi="Arial" w:cs="Arial"/>
          <w:color w:val="000000"/>
          <w:sz w:val="20"/>
        </w:rPr>
        <w:t xml:space="preserve">, 186 F.3d 1216 (10th Cir. 1999), supports his claim that the Castle Rock police wrongfully arrested him after misperceiving his disability as unlawful conduct. There, this court confirmed that </w:t>
      </w:r>
      <w:bookmarkStart w:id="4382" w:name="Bookmark_LNHNREFclscc10_21"/>
      <w:bookmarkEnd w:id="4382"/>
      <w:r>
        <w:rPr>
          <w:rFonts w:ascii="Arial" w:eastAsia="Arial" w:hAnsi="Arial" w:cs="Arial"/>
          <w:color w:val="000000"/>
          <w:sz w:val="20"/>
        </w:rPr>
        <w:t>the test to apply in evaluating an ADA claim against police officers under Title II</w:t>
      </w:r>
      <w:r>
        <w:rPr>
          <w:rFonts w:ascii="Arial" w:eastAsia="Arial" w:hAnsi="Arial" w:cs="Arial"/>
          <w:vertAlign w:val="superscript"/>
        </w:rPr>
        <w:footnoteReference w:customMarkFollows="1" w:id="157"/>
        <w:t>9</w:t>
      </w:r>
      <w:r>
        <w:rPr>
          <w:rFonts w:ascii="Arial" w:eastAsia="Arial" w:hAnsi="Arial" w:cs="Arial"/>
          <w:color w:val="000000"/>
          <w:sz w:val="20"/>
        </w:rPr>
        <w:t xml:space="preserve"> requires a plaintiff prove:</w:t>
      </w:r>
    </w:p>
    <w:p w14:paraId="586F7FD2" w14:textId="77777777" w:rsidR="002D0E71" w:rsidRDefault="00000000">
      <w:pPr>
        <w:pStyle w:val="Normal31"/>
        <w:widowControl w:val="0"/>
        <w:spacing w:line="260" w:lineRule="atLeast"/>
        <w:ind w:left="400"/>
        <w:jc w:val="both"/>
      </w:pPr>
      <w:bookmarkStart w:id="4385" w:name="Bookmark_para_37_14"/>
      <w:bookmarkStart w:id="4386" w:name="Bookmark_I5DV86392D6MX80030000400_2"/>
      <w:bookmarkEnd w:id="4385"/>
      <w:bookmarkEnd w:id="4386"/>
      <w:r>
        <w:rPr>
          <w:rFonts w:ascii="Arial" w:eastAsia="Arial" w:hAnsi="Arial" w:cs="Arial"/>
          <w:color w:val="000000"/>
          <w:sz w:val="20"/>
        </w:rPr>
        <w:t>(1) that he [or she] is a qualified individual with a disability;</w:t>
      </w:r>
    </w:p>
    <w:p w14:paraId="48877C2C" w14:textId="77777777" w:rsidR="002D0E71" w:rsidRDefault="00000000">
      <w:pPr>
        <w:pStyle w:val="Normal31"/>
        <w:widowControl w:val="0"/>
        <w:spacing w:before="200" w:line="260" w:lineRule="atLeast"/>
        <w:ind w:left="400"/>
        <w:jc w:val="both"/>
      </w:pPr>
      <w:bookmarkStart w:id="4387" w:name="Bookmark_para_38_13"/>
      <w:bookmarkEnd w:id="4387"/>
      <w:r>
        <w:rPr>
          <w:rFonts w:ascii="Arial" w:eastAsia="Arial" w:hAnsi="Arial" w:cs="Arial"/>
          <w:color w:val="000000"/>
          <w:sz w:val="20"/>
        </w:rPr>
        <w:t xml:space="preserve"> [*697]  </w:t>
      </w:r>
      <w:bookmarkStart w:id="4388" w:name="Bookmark_I848H4V946H00002SHX000Y8"/>
      <w:bookmarkStart w:id="4389" w:name="Bookmark_I848H4V9C8500002SHX000YC"/>
      <w:bookmarkStart w:id="4390" w:name="Bookmark_I5DV86392D6MX80050000400"/>
      <w:bookmarkEnd w:id="4388"/>
      <w:bookmarkEnd w:id="4389"/>
      <w:bookmarkEnd w:id="4390"/>
      <w:r>
        <w:rPr>
          <w:rFonts w:ascii="Arial" w:eastAsia="Arial" w:hAnsi="Arial" w:cs="Arial"/>
          <w:color w:val="000000"/>
          <w:sz w:val="20"/>
        </w:rPr>
        <w:t xml:space="preserve"> (2) that he [or she] was either excluded from participation in or denied the benefits of some public entity's services, programs, or activities, or was otherwise discriminated against by the [**23]  public entity; and</w:t>
      </w:r>
    </w:p>
    <w:p w14:paraId="10B37882" w14:textId="77777777" w:rsidR="002D0E71" w:rsidRDefault="00000000">
      <w:pPr>
        <w:pStyle w:val="Normal31"/>
        <w:widowControl w:val="0"/>
        <w:spacing w:before="200" w:line="260" w:lineRule="atLeast"/>
        <w:ind w:left="400"/>
        <w:jc w:val="both"/>
      </w:pPr>
      <w:bookmarkStart w:id="4391" w:name="Bookmark_para_39_13"/>
      <w:bookmarkStart w:id="4392" w:name="Bookmark_I5DV86392D6MX80050000400_2"/>
      <w:bookmarkEnd w:id="4391"/>
      <w:bookmarkEnd w:id="4392"/>
      <w:r>
        <w:rPr>
          <w:rFonts w:ascii="Arial" w:eastAsia="Arial" w:hAnsi="Arial" w:cs="Arial"/>
          <w:color w:val="000000"/>
          <w:sz w:val="20"/>
        </w:rPr>
        <w:t>(3) that such exclusion, denial of benefits, or discrimination was by reason of the plaintiff's disability.</w:t>
      </w:r>
    </w:p>
    <w:p w14:paraId="5022C281" w14:textId="77777777" w:rsidR="002D0E71" w:rsidRDefault="00000000">
      <w:pPr>
        <w:pStyle w:val="Normal31"/>
        <w:widowControl w:val="0"/>
        <w:spacing w:before="200" w:line="260" w:lineRule="atLeast"/>
        <w:jc w:val="both"/>
      </w:pPr>
      <w:bookmarkStart w:id="4393" w:name="Bookmark_I5DV86392D6MX80050000400_3"/>
      <w:bookmarkStart w:id="4394" w:name="Bookmark_I5DV86392D6MX80040000400"/>
      <w:bookmarkEnd w:id="4393"/>
      <w:bookmarkEnd w:id="4394"/>
      <w:r>
        <w:rPr>
          <w:rFonts w:ascii="Arial" w:eastAsia="Arial" w:hAnsi="Arial" w:cs="Arial"/>
          <w:color w:val="000000"/>
          <w:sz w:val="20"/>
          <w:u w:val="single"/>
        </w:rPr>
        <w:t>Gohier</w:t>
      </w:r>
      <w:r>
        <w:rPr>
          <w:rFonts w:ascii="Arial" w:eastAsia="Arial" w:hAnsi="Arial" w:cs="Arial"/>
          <w:color w:val="000000"/>
          <w:sz w:val="20"/>
        </w:rPr>
        <w:t xml:space="preserve">, 186 F.3d at 1219, quoting </w:t>
      </w:r>
      <w:bookmarkStart w:id="4395" w:name="Bookmark_I5DV86392D6MX90010000400"/>
      <w:bookmarkEnd w:id="4395"/>
      <w:r>
        <w:rPr>
          <w:rFonts w:ascii="Arial" w:eastAsia="Arial" w:hAnsi="Arial" w:cs="Arial"/>
          <w:color w:val="000000"/>
          <w:sz w:val="20"/>
          <w:u w:val="single"/>
        </w:rPr>
        <w:t>Tyler v. City of Manhattan</w:t>
      </w:r>
      <w:r>
        <w:rPr>
          <w:rFonts w:ascii="Arial" w:eastAsia="Arial" w:hAnsi="Arial" w:cs="Arial"/>
          <w:color w:val="000000"/>
          <w:sz w:val="20"/>
        </w:rPr>
        <w:t>, 849 F. Supp. 1429, 1439 (D. Kan. 1994).</w:t>
      </w:r>
    </w:p>
    <w:p w14:paraId="608CC04E" w14:textId="77777777" w:rsidR="002D0E71" w:rsidRDefault="00000000">
      <w:pPr>
        <w:pStyle w:val="Normal31"/>
        <w:widowControl w:val="0"/>
        <w:spacing w:before="200" w:line="260" w:lineRule="atLeast"/>
        <w:jc w:val="both"/>
      </w:pPr>
      <w:bookmarkStart w:id="4396" w:name="Bookmark_para_40_13"/>
      <w:bookmarkEnd w:id="4396"/>
      <w:r>
        <w:rPr>
          <w:rFonts w:ascii="Arial" w:eastAsia="Arial" w:hAnsi="Arial" w:cs="Arial"/>
          <w:color w:val="000000"/>
          <w:sz w:val="20"/>
        </w:rPr>
        <w:t xml:space="preserve">In </w:t>
      </w:r>
      <w:r>
        <w:rPr>
          <w:rFonts w:ascii="Arial" w:eastAsia="Arial" w:hAnsi="Arial" w:cs="Arial"/>
          <w:color w:val="000000"/>
          <w:sz w:val="20"/>
          <w:u w:val="single"/>
        </w:rPr>
        <w:t>Gohier</w:t>
      </w:r>
      <w:r>
        <w:rPr>
          <w:rFonts w:ascii="Arial" w:eastAsia="Arial" w:hAnsi="Arial" w:cs="Arial"/>
          <w:color w:val="000000"/>
          <w:sz w:val="20"/>
        </w:rPr>
        <w:t>, we discussed, but did not expressly adopt, two theories regarding police accommodation of disabilities that other courts had proposed as circumstances in which an individual may demonstrate they were denied the benefit of police services due to their disability.</w:t>
      </w:r>
    </w:p>
    <w:p w14:paraId="12BA4A54" w14:textId="77777777" w:rsidR="002D0E71" w:rsidRDefault="00000000">
      <w:pPr>
        <w:pStyle w:val="Normal31"/>
        <w:widowControl w:val="0"/>
        <w:spacing w:line="260" w:lineRule="atLeast"/>
        <w:ind w:left="400"/>
        <w:jc w:val="both"/>
      </w:pPr>
      <w:bookmarkStart w:id="4397" w:name="Bookmark_para_41_12"/>
      <w:bookmarkStart w:id="4398" w:name="Bookmark_I5DV86392D6MX90040000400"/>
      <w:bookmarkEnd w:id="4397"/>
      <w:bookmarkEnd w:id="4398"/>
      <w:r>
        <w:rPr>
          <w:rFonts w:ascii="Arial" w:eastAsia="Arial" w:hAnsi="Arial" w:cs="Arial"/>
          <w:color w:val="000000"/>
          <w:sz w:val="20"/>
        </w:rPr>
        <w:t>The first is that police wrongly arrested someone with a disability because they misperceived the effects of that disability as criminal activity. The second is that, while police properly investigated and arrested a person with a disability for a crime unrelated to that disability, they failed to reasonably accommodate the person's disability in the course of investigation or arrest, causing the person to suffer greater injury or indignity in that process than other arrestees.</w:t>
      </w:r>
    </w:p>
    <w:p w14:paraId="0FC231C4" w14:textId="77777777" w:rsidR="002D0E71" w:rsidRDefault="00000000">
      <w:pPr>
        <w:pStyle w:val="Normal31"/>
        <w:widowControl w:val="0"/>
        <w:spacing w:before="200" w:line="260" w:lineRule="atLeast"/>
        <w:jc w:val="both"/>
      </w:pPr>
      <w:bookmarkStart w:id="4399" w:name="Bookmark_I5DV86392D6MX90040000400_2"/>
      <w:bookmarkStart w:id="4400" w:name="Bookmark_I5DV86392D6MX90030000400"/>
      <w:bookmarkEnd w:id="4399"/>
      <w:bookmarkEnd w:id="4400"/>
      <w:r>
        <w:rPr>
          <w:rFonts w:ascii="Arial" w:eastAsia="Arial" w:hAnsi="Arial" w:cs="Arial"/>
          <w:color w:val="000000"/>
          <w:sz w:val="20"/>
          <w:u w:val="single"/>
        </w:rPr>
        <w:t>Id</w:t>
      </w:r>
      <w:r>
        <w:rPr>
          <w:rFonts w:ascii="Arial" w:eastAsia="Arial" w:hAnsi="Arial" w:cs="Arial"/>
          <w:color w:val="000000"/>
          <w:sz w:val="20"/>
        </w:rPr>
        <w:t>. at 1220-21 (citations omitted).</w:t>
      </w:r>
    </w:p>
    <w:p w14:paraId="27FBD6FD" w14:textId="77777777" w:rsidR="002D0E71" w:rsidRDefault="00000000">
      <w:pPr>
        <w:pStyle w:val="Normal31"/>
        <w:widowControl w:val="0"/>
        <w:spacing w:before="200" w:line="260" w:lineRule="atLeast"/>
        <w:jc w:val="both"/>
      </w:pPr>
      <w:bookmarkStart w:id="4401" w:name="Bookmark_para_42_10"/>
      <w:bookmarkStart w:id="4402" w:name="Bookmark_I48TWP69PM60003XDX8002VC"/>
      <w:bookmarkStart w:id="4403" w:name="Bookmark_I5DV863928T51C0010000400"/>
      <w:bookmarkEnd w:id="4401"/>
      <w:bookmarkEnd w:id="4402"/>
      <w:bookmarkEnd w:id="4403"/>
      <w:r>
        <w:rPr>
          <w:rFonts w:ascii="Arial" w:eastAsia="Arial" w:hAnsi="Arial" w:cs="Arial"/>
          <w:color w:val="000000"/>
          <w:sz w:val="20"/>
        </w:rPr>
        <w:t xml:space="preserve"> [**24] We need not go further here than we did in </w:t>
      </w:r>
      <w:r>
        <w:rPr>
          <w:rFonts w:ascii="Arial" w:eastAsia="Arial" w:hAnsi="Arial" w:cs="Arial"/>
          <w:color w:val="000000"/>
          <w:sz w:val="20"/>
          <w:u w:val="single"/>
        </w:rPr>
        <w:t>Gohier</w:t>
      </w:r>
      <w:r>
        <w:rPr>
          <w:rFonts w:ascii="Arial" w:eastAsia="Arial" w:hAnsi="Arial" w:cs="Arial"/>
          <w:color w:val="000000"/>
          <w:sz w:val="20"/>
        </w:rPr>
        <w:t xml:space="preserve"> in discussing these theories because Sperry has failed to meet the first prong of the test, which requires him to demonstrate that he is a "qualified individual with a disability." </w:t>
      </w:r>
      <w:bookmarkStart w:id="4404" w:name="Bookmark_LNHNREFclscc12_16"/>
      <w:bookmarkEnd w:id="4404"/>
      <w:r>
        <w:rPr>
          <w:rFonts w:ascii="Arial" w:eastAsia="Arial" w:hAnsi="Arial" w:cs="Arial"/>
          <w:color w:val="000000"/>
          <w:sz w:val="20"/>
        </w:rPr>
        <w:t xml:space="preserve">The ADA requires that a person establish that he has or is regarded as having "a physical or mental impairment that substantially limits one or more major life activities." 42 U.S.C. § 12102(1)(A). In particular, we have held that the "substantially limits" portion of a disability claim must indicate how a person's disability affects him as "compared to the average person in the general population" and that "courts must take into account: (1) the nature and severity of the impairment; (2) the expected duration of the impairment; and (3) the permanent or long term impact resulting from the impairment." </w:t>
      </w:r>
      <w:bookmarkStart w:id="4405" w:name="Bookmark_I5DV86392D6MX90050000400"/>
      <w:bookmarkEnd w:id="4405"/>
      <w:r>
        <w:rPr>
          <w:rFonts w:ascii="Arial" w:eastAsia="Arial" w:hAnsi="Arial" w:cs="Arial"/>
          <w:color w:val="000000"/>
          <w:sz w:val="20"/>
          <w:u w:val="single"/>
        </w:rPr>
        <w:t>Sanchez v. Vilsack</w:t>
      </w:r>
      <w:r>
        <w:rPr>
          <w:rFonts w:ascii="Arial" w:eastAsia="Arial" w:hAnsi="Arial" w:cs="Arial"/>
          <w:color w:val="000000"/>
          <w:sz w:val="20"/>
        </w:rPr>
        <w:t>, 695 F.3d 1174, 1178 (10th Cir. 2012) (citations omitted).</w:t>
      </w:r>
    </w:p>
    <w:p w14:paraId="037376E3" w14:textId="77777777" w:rsidR="002D0E71" w:rsidRDefault="00000000">
      <w:pPr>
        <w:pStyle w:val="Normal31"/>
        <w:widowControl w:val="0"/>
        <w:spacing w:before="200" w:line="260" w:lineRule="atLeast"/>
        <w:jc w:val="both"/>
      </w:pPr>
      <w:bookmarkStart w:id="4406" w:name="Bookmark_para_43_10"/>
      <w:bookmarkEnd w:id="4406"/>
      <w:r>
        <w:rPr>
          <w:rFonts w:ascii="Arial" w:eastAsia="Arial" w:hAnsi="Arial" w:cs="Arial"/>
          <w:color w:val="000000"/>
          <w:sz w:val="20"/>
        </w:rPr>
        <w:t>In this case, there is not sufficient evidence in the record regarding Sperry's impairment such that we could adequately conduct this analysis, nor is Sperry's disability so obvious from the facts that we may assume it substantially limits a major life activity. The extent to which Sperry pleaded his disability include statements in his Third Amended Complaint that "The United States Social Security Administration has classified Mr. Sperry as a person with a mental disability (mild retardation)," and "Mr. Sperry is a disabled person within the meaning of 42 U.S.C. §§ 12101 &amp; 12102 and C.R.S. §§27-10.5-101 &amp;102 [sic]." Aplt. App. at 177, 194. Of the evidence that appears to have been available to the district court in the motion for summary judgment, only the affidavit of a family friend provides any additional insight into Sperry's disability.</w:t>
      </w:r>
      <w:r>
        <w:rPr>
          <w:rFonts w:ascii="Arial" w:eastAsia="Arial" w:hAnsi="Arial" w:cs="Arial"/>
          <w:vertAlign w:val="superscript"/>
        </w:rPr>
        <w:footnoteReference w:customMarkFollows="1" w:id="158"/>
        <w:t>10</w:t>
      </w:r>
      <w:r>
        <w:rPr>
          <w:rFonts w:ascii="Arial" w:eastAsia="Arial" w:hAnsi="Arial" w:cs="Arial"/>
          <w:color w:val="000000"/>
          <w:sz w:val="20"/>
        </w:rPr>
        <w:t xml:space="preserve"> Adam Devone stated in the affidavit that "Todd is mentally challenged, has trouble reading and adding simple numbers. Todd receives federal funds from the Social Security Administration as a mentally disabled person. Todd's disability is evident to the  [*698]  average person, because of the way he talks and acts." Aplee. Supp. App. at 415. Such broad, bare assertions do not establish [**25]  that Sperry is a qualified individual with a disability under 42 U.S.C. § 12102(1).</w:t>
      </w:r>
    </w:p>
    <w:p w14:paraId="7FA4A72C" w14:textId="77777777" w:rsidR="002D0E71" w:rsidRDefault="00000000">
      <w:pPr>
        <w:pStyle w:val="Normal31"/>
        <w:widowControl w:val="0"/>
        <w:spacing w:before="200" w:line="260" w:lineRule="atLeast"/>
        <w:jc w:val="both"/>
      </w:pPr>
      <w:bookmarkStart w:id="4410" w:name="Bookmark_para_44_8"/>
      <w:bookmarkStart w:id="4411" w:name="Bookmark_I5DV863928T51C0050000400"/>
      <w:bookmarkEnd w:id="4410"/>
      <w:bookmarkEnd w:id="4411"/>
      <w:r>
        <w:rPr>
          <w:rFonts w:ascii="Arial" w:eastAsia="Arial" w:hAnsi="Arial" w:cs="Arial"/>
          <w:color w:val="000000"/>
          <w:sz w:val="20"/>
        </w:rPr>
        <w:t xml:space="preserve">Even if this court could assume that Sperry is a qualified individual with a disability under the ADA, there is similarly insufficient evidence that the Castle Rock police officers knew about his disability to the extent of knowing that they must provide an accommodation. </w:t>
      </w:r>
      <w:bookmarkStart w:id="4412" w:name="Bookmark_LNHNREFclscc13_13"/>
      <w:bookmarkEnd w:id="4412"/>
      <w:r>
        <w:rPr>
          <w:rFonts w:ascii="Arial" w:eastAsia="Arial" w:hAnsi="Arial" w:cs="Arial"/>
          <w:color w:val="000000"/>
          <w:sz w:val="20"/>
        </w:rPr>
        <w:t xml:space="preserve">"Before a public entity can be required under the ADA to provide a disabled individual an auxiliary aid or service, a public entity must have knowledge of the individual's disability </w:t>
      </w:r>
      <w:r>
        <w:rPr>
          <w:rFonts w:ascii="Arial" w:eastAsia="Arial" w:hAnsi="Arial" w:cs="Arial"/>
          <w:i/>
          <w:color w:val="000000"/>
          <w:sz w:val="20"/>
        </w:rPr>
        <w:t>and the individual's need for an accommodation</w:t>
      </w:r>
      <w:r>
        <w:rPr>
          <w:rFonts w:ascii="Arial" w:eastAsia="Arial" w:hAnsi="Arial" w:cs="Arial"/>
          <w:color w:val="000000"/>
          <w:sz w:val="20"/>
        </w:rPr>
        <w:t xml:space="preserve">." </w:t>
      </w:r>
      <w:bookmarkStart w:id="4413" w:name="Bookmark_I5DV863928T51C0040000400"/>
      <w:bookmarkEnd w:id="4413"/>
      <w:r>
        <w:rPr>
          <w:rFonts w:ascii="Arial" w:eastAsia="Arial" w:hAnsi="Arial" w:cs="Arial"/>
          <w:color w:val="000000"/>
          <w:sz w:val="20"/>
          <w:u w:val="single"/>
        </w:rPr>
        <w:t>Robertson v. Las Animas County Sheriff's Dept</w:t>
      </w:r>
      <w:r>
        <w:rPr>
          <w:rFonts w:ascii="Arial" w:eastAsia="Arial" w:hAnsi="Arial" w:cs="Arial"/>
          <w:color w:val="000000"/>
          <w:sz w:val="20"/>
        </w:rPr>
        <w:t>., 500 F.3d 1185, 1196 (10th Cir. 2007) (emphasis added). As discussed above, the evidence in the record shows that Castle Rock police officers had, at best, only some knowledge that Sperry had an unspecified cognitive disability or emotional disorder. In the context of police investigations, such an amorphous level of knowledge does not impose on police officers the duty [**26]  to further investigate the extent of a suspect's disability, particularly when all of the evidence uncovered indicates the suspect's behavior was intentional.</w:t>
      </w:r>
    </w:p>
    <w:p w14:paraId="6AAE327A" w14:textId="77777777" w:rsidR="002D0E71" w:rsidRDefault="00000000">
      <w:pPr>
        <w:pStyle w:val="Normal31"/>
        <w:widowControl w:val="0"/>
        <w:spacing w:before="200" w:line="260" w:lineRule="atLeast"/>
        <w:jc w:val="both"/>
      </w:pPr>
      <w:bookmarkStart w:id="4414" w:name="Bookmark_para_45_7"/>
      <w:bookmarkStart w:id="4415" w:name="Bookmark_I5DV86392SF8TY0020000400"/>
      <w:bookmarkStart w:id="4416" w:name="Bookmark_I5DV86392SF8TY0040000400"/>
      <w:bookmarkEnd w:id="4414"/>
      <w:bookmarkEnd w:id="4415"/>
      <w:bookmarkEnd w:id="4416"/>
      <w:r>
        <w:rPr>
          <w:rFonts w:ascii="Arial" w:eastAsia="Arial" w:hAnsi="Arial" w:cs="Arial"/>
          <w:color w:val="000000"/>
          <w:sz w:val="20"/>
        </w:rPr>
        <w:t xml:space="preserve">Thus, we decline to apply either theory of ADA liability for police officers discussed in </w:t>
      </w:r>
      <w:r>
        <w:rPr>
          <w:rFonts w:ascii="Arial" w:eastAsia="Arial" w:hAnsi="Arial" w:cs="Arial"/>
          <w:color w:val="000000"/>
          <w:sz w:val="20"/>
          <w:u w:val="single"/>
        </w:rPr>
        <w:t>Gohier</w:t>
      </w:r>
      <w:r>
        <w:rPr>
          <w:rFonts w:ascii="Arial" w:eastAsia="Arial" w:hAnsi="Arial" w:cs="Arial"/>
          <w:color w:val="000000"/>
          <w:sz w:val="20"/>
        </w:rPr>
        <w:t xml:space="preserve">. With regard to Sperry's failure-to-train claim, it must be noted that </w:t>
      </w:r>
      <w:r>
        <w:rPr>
          <w:rFonts w:ascii="Arial" w:eastAsia="Arial" w:hAnsi="Arial" w:cs="Arial"/>
          <w:color w:val="000000"/>
          <w:sz w:val="20"/>
          <w:u w:val="single"/>
        </w:rPr>
        <w:t>Gohier</w:t>
      </w:r>
      <w:r>
        <w:rPr>
          <w:rFonts w:ascii="Arial" w:eastAsia="Arial" w:hAnsi="Arial" w:cs="Arial"/>
          <w:color w:val="000000"/>
          <w:sz w:val="20"/>
        </w:rPr>
        <w:t xml:space="preserve"> only briefly noted the possibility of such a claim. </w:t>
      </w:r>
      <w:bookmarkStart w:id="4417" w:name="Bookmark_I5DV86392SF8TY0010000400"/>
      <w:bookmarkEnd w:id="4417"/>
      <w:r>
        <w:rPr>
          <w:rFonts w:ascii="Arial" w:eastAsia="Arial" w:hAnsi="Arial" w:cs="Arial"/>
          <w:color w:val="000000"/>
          <w:sz w:val="20"/>
        </w:rPr>
        <w:t xml:space="preserve">186 F.3d at 1222 ("Gohier might have argued that Title II required Colorado Springs to better train its police officers to recognize reported disturbances that are likely to involve persons with mental disabilities, and to investigate and arrest such persons in a manner reasonably accommodating their disability"). Nonetheless, we do not have to determine whether such a claim exists because, even assuming it does, Sperry has not demonstrated the "deliberate indifference" required to prove a failure-to-train claim by showing that the Town of Castle Rock was "on notice" of the need for "more or different training." </w:t>
      </w:r>
      <w:bookmarkStart w:id="4418" w:name="Bookmark_I5DV86392SF8TY0030000400"/>
      <w:bookmarkEnd w:id="4418"/>
      <w:r>
        <w:rPr>
          <w:rFonts w:ascii="Arial" w:eastAsia="Arial" w:hAnsi="Arial" w:cs="Arial"/>
          <w:color w:val="000000"/>
          <w:sz w:val="20"/>
          <w:u w:val="single"/>
        </w:rPr>
        <w:t>City of Canton, Ohio v. Harris</w:t>
      </w:r>
      <w:r>
        <w:rPr>
          <w:rFonts w:ascii="Arial" w:eastAsia="Arial" w:hAnsi="Arial" w:cs="Arial"/>
          <w:color w:val="000000"/>
          <w:sz w:val="20"/>
        </w:rPr>
        <w:t>, 489 U.S. 378, 390, 397, 109 S. Ct. 1197, 103 L. Ed. 2d 412 (1989). Given the dearth of case law on police investigations of people with cognitive disabilities, much less claims against this town in particular, Castle Rock can hardly be considered to have had such notice. Moreover, [**27]  Sperry does not address what type of training police could or should be required to undergo to better recognize and consider mental disabilities when conducting investigations. The only training that Sperry points to as being available is crisis intervention training, which pertains to police interactions with mentally ill suspects in high-intensity situations, not routine criminal investigations.</w:t>
      </w:r>
    </w:p>
    <w:p w14:paraId="37D356F3" w14:textId="77777777" w:rsidR="002D0E71" w:rsidRDefault="00000000">
      <w:pPr>
        <w:pStyle w:val="Normal31"/>
        <w:widowControl w:val="0"/>
        <w:spacing w:before="200" w:line="260" w:lineRule="atLeast"/>
        <w:jc w:val="both"/>
      </w:pPr>
      <w:bookmarkStart w:id="4419" w:name="Bookmark_para_46_6"/>
      <w:bookmarkEnd w:id="4419"/>
      <w:r>
        <w:rPr>
          <w:rFonts w:ascii="Arial" w:eastAsia="Arial" w:hAnsi="Arial" w:cs="Arial"/>
          <w:color w:val="000000"/>
          <w:sz w:val="20"/>
        </w:rPr>
        <w:t>Thus, we conclude that the district court correctly determined that Sperry's ADA claims against Maes, Elder, and the Town of Castle Rock must also fail.</w:t>
      </w:r>
    </w:p>
    <w:p w14:paraId="41BB7FF2" w14:textId="77777777" w:rsidR="002D0E71" w:rsidRDefault="00000000">
      <w:pPr>
        <w:pStyle w:val="Normal31"/>
        <w:widowControl w:val="0"/>
        <w:spacing w:before="240" w:line="260" w:lineRule="atLeast"/>
      </w:pPr>
      <w:r>
        <w:br/>
      </w:r>
      <w:r>
        <w:rPr>
          <w:rFonts w:ascii="Arial" w:eastAsia="Arial" w:hAnsi="Arial" w:cs="Arial"/>
          <w:b/>
          <w:color w:val="000000"/>
          <w:sz w:val="20"/>
        </w:rPr>
        <w:t>III</w:t>
      </w:r>
      <w:r>
        <w:rPr>
          <w:rFonts w:ascii="Arial" w:eastAsia="Arial" w:hAnsi="Arial" w:cs="Arial"/>
          <w:color w:val="000000"/>
          <w:sz w:val="20"/>
        </w:rPr>
        <w:t>.</w:t>
      </w:r>
    </w:p>
    <w:p w14:paraId="51282E52" w14:textId="77777777" w:rsidR="002D0E71" w:rsidRDefault="00000000">
      <w:pPr>
        <w:pStyle w:val="Normal31"/>
        <w:widowControl w:val="0"/>
        <w:spacing w:before="200" w:line="260" w:lineRule="atLeast"/>
        <w:jc w:val="both"/>
      </w:pPr>
      <w:bookmarkStart w:id="4420" w:name="Bookmark_para_47_6"/>
      <w:bookmarkEnd w:id="4420"/>
      <w:r>
        <w:rPr>
          <w:rFonts w:ascii="Arial" w:eastAsia="Arial" w:hAnsi="Arial" w:cs="Arial"/>
          <w:color w:val="000000"/>
          <w:sz w:val="20"/>
        </w:rPr>
        <w:t>For the reasons set forth above, the district court's order granting summary judgment to Elder, Maes, and the Town of Castle Rock is AFFIRMED. Sperry's motion to file a supplemental appendix is DENIED.</w:t>
      </w:r>
    </w:p>
    <w:p w14:paraId="0D85DD9A" w14:textId="77777777" w:rsidR="002D0E71" w:rsidRDefault="00000000">
      <w:pPr>
        <w:pStyle w:val="Normal31"/>
        <w:widowControl w:val="0"/>
        <w:spacing w:before="200" w:line="260" w:lineRule="atLeast"/>
        <w:jc w:val="both"/>
      </w:pPr>
      <w:bookmarkStart w:id="4421" w:name="Bookmark_para_48_6"/>
      <w:bookmarkEnd w:id="4421"/>
      <w:r>
        <w:rPr>
          <w:rFonts w:ascii="Arial" w:eastAsia="Arial" w:hAnsi="Arial" w:cs="Arial"/>
          <w:color w:val="000000"/>
          <w:sz w:val="20"/>
        </w:rPr>
        <w:t>Entered for the Court</w:t>
      </w:r>
    </w:p>
    <w:p w14:paraId="6393204E" w14:textId="77777777" w:rsidR="002D0E71" w:rsidRDefault="00000000">
      <w:pPr>
        <w:pStyle w:val="Normal31"/>
        <w:widowControl w:val="0"/>
        <w:spacing w:before="200" w:line="260" w:lineRule="atLeast"/>
        <w:jc w:val="both"/>
      </w:pPr>
      <w:bookmarkStart w:id="4422" w:name="Bookmark_para_49_6"/>
      <w:bookmarkEnd w:id="4422"/>
      <w:r>
        <w:rPr>
          <w:rFonts w:ascii="Arial" w:eastAsia="Arial" w:hAnsi="Arial" w:cs="Arial"/>
          <w:color w:val="000000"/>
          <w:sz w:val="20"/>
        </w:rPr>
        <w:t>Mary Beck Briscoe</w:t>
      </w:r>
    </w:p>
    <w:p w14:paraId="1E4B357E" w14:textId="77777777" w:rsidR="002D0E71" w:rsidRDefault="00000000">
      <w:pPr>
        <w:pStyle w:val="Normal31"/>
        <w:widowControl w:val="0"/>
        <w:spacing w:before="200" w:line="260" w:lineRule="atLeast"/>
        <w:jc w:val="both"/>
      </w:pPr>
      <w:bookmarkStart w:id="4423" w:name="Bookmark_para_50_6"/>
      <w:bookmarkEnd w:id="4423"/>
      <w:r>
        <w:rPr>
          <w:rFonts w:ascii="Arial" w:eastAsia="Arial" w:hAnsi="Arial" w:cs="Arial"/>
          <w:color w:val="000000"/>
          <w:sz w:val="20"/>
        </w:rPr>
        <w:t>Chief Judge</w:t>
      </w:r>
    </w:p>
    <w:p w14:paraId="464FDE7E" w14:textId="77777777" w:rsidR="002D0E71" w:rsidRDefault="002D0E71">
      <w:pPr>
        <w:pStyle w:val="Normal31"/>
      </w:pPr>
    </w:p>
    <w:p w14:paraId="011758B3" w14:textId="21C0AE5E" w:rsidR="002D0E71" w:rsidRDefault="00000000">
      <w:pPr>
        <w:pStyle w:val="Normal31"/>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24800" behindDoc="0" locked="0" layoutInCell="1" allowOverlap="1" wp14:anchorId="462E9347" wp14:editId="4116C642">
                <wp:simplePos x="0" y="0"/>
                <wp:positionH relativeFrom="column">
                  <wp:posOffset>0</wp:posOffset>
                </wp:positionH>
                <wp:positionV relativeFrom="paragraph">
                  <wp:posOffset>127000</wp:posOffset>
                </wp:positionV>
                <wp:extent cx="6502400" cy="0"/>
                <wp:effectExtent l="9525" t="12700" r="12700" b="6350"/>
                <wp:wrapNone/>
                <wp:docPr id="1025988846"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74144" id="Line 68"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7B28518" w14:textId="77777777" w:rsidR="002D0E71" w:rsidRDefault="002D0E71">
      <w:pPr>
        <w:pStyle w:val="Normal32"/>
        <w:sectPr w:rsidR="002D0E71">
          <w:headerReference w:type="even" r:id="rId200"/>
          <w:headerReference w:type="default" r:id="rId201"/>
          <w:footerReference w:type="even" r:id="rId202"/>
          <w:footerReference w:type="default" r:id="rId203"/>
          <w:headerReference w:type="first" r:id="rId204"/>
          <w:footerReference w:type="first" r:id="rId205"/>
          <w:pgSz w:w="12240" w:h="15840"/>
          <w:pgMar w:top="840" w:right="1000" w:bottom="840" w:left="1000" w:header="400" w:footer="400" w:gutter="0"/>
          <w:cols w:space="720"/>
          <w:titlePg/>
        </w:sectPr>
      </w:pPr>
    </w:p>
    <w:p w14:paraId="16A8E129" w14:textId="77777777" w:rsidR="002D0E71" w:rsidRDefault="002D0E71">
      <w:pPr>
        <w:pStyle w:val="Normal32"/>
      </w:pPr>
    </w:p>
    <w:p w14:paraId="67D28F13" w14:textId="77777777" w:rsidR="002D0E71" w:rsidRDefault="00000000">
      <w:pPr>
        <w:pStyle w:val="Heading131"/>
        <w:keepNext w:val="0"/>
        <w:widowControl w:val="0"/>
        <w:spacing w:after="200" w:line="340" w:lineRule="atLeast"/>
        <w:jc w:val="center"/>
      </w:pPr>
      <w:r>
        <w:rPr>
          <w:rFonts w:eastAsia="Arial"/>
          <w:color w:val="000000"/>
          <w:sz w:val="28"/>
        </w:rPr>
        <w:t>McCullum v. Orlando Reg'l Healthcare Sys.</w:t>
      </w:r>
    </w:p>
    <w:p w14:paraId="13C7BA0D" w14:textId="77777777" w:rsidR="002D0E71" w:rsidRDefault="00000000">
      <w:pPr>
        <w:pStyle w:val="Normal32"/>
        <w:widowControl w:val="0"/>
        <w:spacing w:before="120" w:line="260" w:lineRule="atLeast"/>
        <w:jc w:val="center"/>
      </w:pPr>
      <w:r>
        <w:rPr>
          <w:rFonts w:ascii="Arial" w:eastAsia="Arial" w:hAnsi="Arial" w:cs="Arial"/>
          <w:color w:val="000000"/>
          <w:sz w:val="20"/>
        </w:rPr>
        <w:t>United States Court of Appeals for the Eleventh Circuit</w:t>
      </w:r>
    </w:p>
    <w:p w14:paraId="703938A5" w14:textId="77777777" w:rsidR="002D0E71" w:rsidRDefault="00000000">
      <w:pPr>
        <w:pStyle w:val="Normal32"/>
        <w:widowControl w:val="0"/>
        <w:spacing w:before="120" w:line="260" w:lineRule="atLeast"/>
        <w:jc w:val="center"/>
      </w:pPr>
      <w:r>
        <w:rPr>
          <w:rFonts w:ascii="Arial" w:eastAsia="Arial" w:hAnsi="Arial" w:cs="Arial"/>
          <w:color w:val="000000"/>
          <w:sz w:val="20"/>
        </w:rPr>
        <w:t>October 3, 2014, Decided</w:t>
      </w:r>
    </w:p>
    <w:p w14:paraId="5E3F0D6C" w14:textId="77777777" w:rsidR="002D0E71" w:rsidRDefault="00000000">
      <w:pPr>
        <w:pStyle w:val="Normal32"/>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13-12118</w:t>
      </w:r>
    </w:p>
    <w:p w14:paraId="33F2CF43" w14:textId="77777777" w:rsidR="002D0E71" w:rsidRDefault="002D0E71">
      <w:pPr>
        <w:pStyle w:val="Normal32"/>
        <w:widowControl w:val="0"/>
        <w:spacing w:line="240" w:lineRule="atLeast"/>
        <w:jc w:val="both"/>
      </w:pPr>
      <w:bookmarkStart w:id="4424" w:name="Bookmark_33"/>
      <w:bookmarkEnd w:id="4424"/>
    </w:p>
    <w:p w14:paraId="05060DD1" w14:textId="77777777" w:rsidR="002D0E71" w:rsidRDefault="00000000">
      <w:pPr>
        <w:pStyle w:val="Normal32"/>
        <w:widowControl w:val="0"/>
        <w:spacing w:before="200" w:line="240" w:lineRule="atLeast"/>
      </w:pPr>
      <w:bookmarkStart w:id="4425" w:name="Reporter_31"/>
      <w:bookmarkEnd w:id="4425"/>
      <w:r>
        <w:rPr>
          <w:rFonts w:ascii="Arial" w:eastAsia="Arial" w:hAnsi="Arial" w:cs="Arial"/>
          <w:b/>
          <w:color w:val="000000"/>
          <w:sz w:val="18"/>
        </w:rPr>
        <w:t>Reporter</w:t>
      </w:r>
    </w:p>
    <w:p w14:paraId="544CC18C" w14:textId="77777777" w:rsidR="002D0E71" w:rsidRDefault="00000000">
      <w:pPr>
        <w:pStyle w:val="Normal32"/>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768 F.3d 1135 *; 2014 U.S. App. LEXIS 18911 **; 25 Fla. L. Weekly Fed. C 501</w:t>
      </w:r>
    </w:p>
    <w:p w14:paraId="1FAA01A9" w14:textId="77777777" w:rsidR="002D0E71" w:rsidRDefault="00000000">
      <w:pPr>
        <w:pStyle w:val="Normal32"/>
        <w:widowControl w:val="0"/>
        <w:spacing w:before="120" w:line="260" w:lineRule="atLeast"/>
      </w:pPr>
      <w:r>
        <w:rPr>
          <w:rFonts w:ascii="Arial" w:eastAsia="Arial" w:hAnsi="Arial" w:cs="Arial"/>
          <w:color w:val="000000"/>
          <w:sz w:val="20"/>
        </w:rPr>
        <w:t>DOROTHY MCCULLUM, individually and as parent of DF &amp; TF, JIMMY FRAZIER, individually and as parent of DF &amp; TF, Plaintiffs-Appellants, versus ORLANDO REGIONAL HEALTHCARE SYSTEM, INC., d.b.a. Arnold Palmer Hospital for Children, NORTH BREVARD COUNTY HOSPITAL DISTRICT, d.b.a. Parrish Medical Center, Defendants-Appellees.</w:t>
      </w:r>
    </w:p>
    <w:p w14:paraId="580E7627" w14:textId="77777777" w:rsidR="002D0E71" w:rsidRDefault="00000000">
      <w:pPr>
        <w:pStyle w:val="Normal32"/>
        <w:widowControl w:val="0"/>
        <w:spacing w:before="240" w:line="260" w:lineRule="atLeast"/>
        <w:jc w:val="both"/>
      </w:pPr>
      <w:bookmarkStart w:id="4426" w:name="Prior_History_30"/>
      <w:bookmarkEnd w:id="4426"/>
      <w:r>
        <w:rPr>
          <w:rFonts w:ascii="Arial" w:eastAsia="Arial" w:hAnsi="Arial" w:cs="Arial"/>
          <w:b/>
          <w:color w:val="000000"/>
          <w:sz w:val="20"/>
        </w:rPr>
        <w:t>Prior History:</w:t>
      </w:r>
      <w:r>
        <w:rPr>
          <w:rFonts w:ascii="Arial" w:eastAsia="Arial" w:hAnsi="Arial" w:cs="Arial"/>
          <w:color w:val="000000"/>
          <w:sz w:val="20"/>
        </w:rPr>
        <w:t> </w:t>
      </w:r>
      <w:bookmarkStart w:id="4427" w:name="Bookmark_para_1_31"/>
      <w:bookmarkEnd w:id="4427"/>
      <w:r>
        <w:rPr>
          <w:rFonts w:ascii="Arial" w:eastAsia="Arial" w:hAnsi="Arial" w:cs="Arial"/>
          <w:color w:val="000000"/>
          <w:sz w:val="20"/>
        </w:rPr>
        <w:t> [**1] Appeal from the United States District Court for the Middle District of Florida. D.C. Docket No. 6:11-cv-01387-GAP-GJK.</w:t>
      </w:r>
    </w:p>
    <w:p w14:paraId="3DD79421" w14:textId="77777777" w:rsidR="002D0E71" w:rsidRDefault="00000000">
      <w:pPr>
        <w:pStyle w:val="Normal32"/>
        <w:widowControl w:val="0"/>
        <w:spacing w:before="120" w:line="260" w:lineRule="atLeast"/>
      </w:pPr>
      <w:r>
        <w:rPr>
          <w:rFonts w:ascii="Arial" w:eastAsia="Arial" w:hAnsi="Arial" w:cs="Arial"/>
          <w:color w:val="000000"/>
          <w:sz w:val="20"/>
        </w:rPr>
        <w:t>McCullum v. Orlando Reg'l Healthcare Sys., 2013 U.S. Dist. LEXIS 41320 (M.D. Fla., Mar. 25, 2013)</w:t>
      </w:r>
    </w:p>
    <w:p w14:paraId="125A874A" w14:textId="77777777" w:rsidR="002D0E71" w:rsidRDefault="00000000">
      <w:pPr>
        <w:pStyle w:val="Normal32"/>
        <w:widowControl w:val="0"/>
        <w:spacing w:before="240" w:line="260" w:lineRule="atLeast"/>
        <w:jc w:val="both"/>
      </w:pPr>
      <w:bookmarkStart w:id="4428" w:name="Disposition_14"/>
      <w:bookmarkEnd w:id="4428"/>
      <w:r>
        <w:rPr>
          <w:rFonts w:ascii="Arial" w:eastAsia="Arial" w:hAnsi="Arial" w:cs="Arial"/>
          <w:b/>
          <w:color w:val="000000"/>
          <w:sz w:val="20"/>
        </w:rPr>
        <w:t>Disposition:</w:t>
      </w:r>
      <w:r>
        <w:rPr>
          <w:rFonts w:ascii="Arial" w:eastAsia="Arial" w:hAnsi="Arial" w:cs="Arial"/>
          <w:color w:val="000000"/>
          <w:sz w:val="20"/>
        </w:rPr>
        <w:t> </w:t>
      </w:r>
      <w:bookmarkStart w:id="4429" w:name="Bookmark_clspara_4_12"/>
      <w:bookmarkEnd w:id="4429"/>
      <w:r>
        <w:rPr>
          <w:rFonts w:ascii="Arial" w:eastAsia="Arial" w:hAnsi="Arial" w:cs="Arial"/>
          <w:color w:val="000000"/>
          <w:sz w:val="20"/>
        </w:rPr>
        <w:t>AFFIRMED.</w:t>
      </w:r>
    </w:p>
    <w:p w14:paraId="3604D86E" w14:textId="77777777" w:rsidR="002D0E71" w:rsidRDefault="00000000">
      <w:pPr>
        <w:pStyle w:val="Normal32"/>
        <w:widowControl w:val="0"/>
        <w:spacing w:before="240" w:line="260" w:lineRule="atLeast"/>
      </w:pPr>
      <w:bookmarkStart w:id="4430" w:name="Counsel_31"/>
      <w:bookmarkEnd w:id="4430"/>
      <w:r>
        <w:rPr>
          <w:rFonts w:ascii="Arial" w:eastAsia="Arial" w:hAnsi="Arial" w:cs="Arial"/>
          <w:b/>
          <w:color w:val="000000"/>
          <w:sz w:val="20"/>
        </w:rPr>
        <w:t>Counsel:</w:t>
      </w:r>
      <w:r>
        <w:rPr>
          <w:rFonts w:ascii="Arial" w:eastAsia="Arial" w:hAnsi="Arial" w:cs="Arial"/>
          <w:color w:val="000000"/>
          <w:sz w:val="20"/>
        </w:rPr>
        <w:t> For DOROTHY MCCULLUM, individually and as parent of DF &amp; TF, JIMMY FRAZIER, individually and as parent of DF &amp; TF, Plaintiffs - Appellants: Matthew W. Dietz, Disability Independence Group, Miami, FL.</w:t>
      </w:r>
    </w:p>
    <w:p w14:paraId="72EFD6CA" w14:textId="77777777" w:rsidR="002D0E71" w:rsidRDefault="00000000">
      <w:pPr>
        <w:pStyle w:val="Normal32"/>
        <w:widowControl w:val="0"/>
        <w:spacing w:before="120" w:line="260" w:lineRule="atLeast"/>
      </w:pPr>
      <w:r>
        <w:rPr>
          <w:rFonts w:ascii="Arial" w:eastAsia="Arial" w:hAnsi="Arial" w:cs="Arial"/>
          <w:color w:val="000000"/>
          <w:sz w:val="20"/>
        </w:rPr>
        <w:t>For Orlando Regional Healthcare System, Inc., d.b.a.: Arnold Palmer Hospital for Children, Defendant - Appellee: Bradley Paul Blystone, Andrea L. Diederich, Marshall Dennehey Warner Coleman &amp; Goggin, Orlando, FL.</w:t>
      </w:r>
    </w:p>
    <w:p w14:paraId="760FF39F" w14:textId="77777777" w:rsidR="002D0E71" w:rsidRDefault="00000000">
      <w:pPr>
        <w:pStyle w:val="Normal32"/>
        <w:widowControl w:val="0"/>
        <w:spacing w:before="120" w:line="260" w:lineRule="atLeast"/>
      </w:pPr>
      <w:r>
        <w:rPr>
          <w:rFonts w:ascii="Arial" w:eastAsia="Arial" w:hAnsi="Arial" w:cs="Arial"/>
          <w:color w:val="000000"/>
          <w:sz w:val="20"/>
        </w:rPr>
        <w:t>For North Brevard County Hospital District, d.b.a.: Parrish Medical Center, Defendant - Appellee: Saqib Ishaq, Deborah Lynn La Fleur, GrayRobinson, PA, Orlando, FL; Kristie Hatcher-Bolin, GrayRobinson, PA, Lakeland, FL.</w:t>
      </w:r>
    </w:p>
    <w:p w14:paraId="5D021EDC" w14:textId="77777777" w:rsidR="002D0E71" w:rsidRDefault="00000000">
      <w:pPr>
        <w:pStyle w:val="Normal32"/>
        <w:widowControl w:val="0"/>
        <w:spacing w:before="240" w:line="260" w:lineRule="atLeast"/>
      </w:pPr>
      <w:bookmarkStart w:id="4431" w:name="Judges_31"/>
      <w:bookmarkEnd w:id="4431"/>
      <w:r>
        <w:rPr>
          <w:rFonts w:ascii="Arial" w:eastAsia="Arial" w:hAnsi="Arial" w:cs="Arial"/>
          <w:b/>
          <w:color w:val="000000"/>
          <w:sz w:val="20"/>
        </w:rPr>
        <w:t>Judges:</w:t>
      </w:r>
      <w:r>
        <w:rPr>
          <w:rFonts w:ascii="Arial" w:eastAsia="Arial" w:hAnsi="Arial" w:cs="Arial"/>
          <w:color w:val="000000"/>
          <w:sz w:val="20"/>
        </w:rPr>
        <w:t> Before ED CARNES, Chief Judge, DUBINA and SILER,</w:t>
      </w:r>
      <w:r>
        <w:rPr>
          <w:rFonts w:ascii="Arial" w:eastAsia="Arial" w:hAnsi="Arial" w:cs="Arial"/>
          <w:vertAlign w:val="superscript"/>
        </w:rPr>
        <w:footnoteReference w:customMarkFollows="1" w:id="159"/>
        <w:t>*</w:t>
      </w:r>
      <w:r>
        <w:rPr>
          <w:rFonts w:ascii="Arial" w:eastAsia="Arial" w:hAnsi="Arial" w:cs="Arial"/>
          <w:color w:val="000000"/>
          <w:sz w:val="20"/>
        </w:rPr>
        <w:t xml:space="preserve"> Circuit Judges.</w:t>
      </w:r>
    </w:p>
    <w:p w14:paraId="3566C0C1" w14:textId="77777777" w:rsidR="002D0E71" w:rsidRDefault="00000000">
      <w:pPr>
        <w:pStyle w:val="Normal32"/>
        <w:widowControl w:val="0"/>
        <w:spacing w:before="240" w:line="260" w:lineRule="atLeast"/>
      </w:pPr>
      <w:bookmarkStart w:id="4433" w:name="Opinion_by_22"/>
      <w:bookmarkEnd w:id="4433"/>
      <w:r>
        <w:rPr>
          <w:rFonts w:ascii="Arial" w:eastAsia="Arial" w:hAnsi="Arial" w:cs="Arial"/>
          <w:b/>
          <w:color w:val="000000"/>
          <w:sz w:val="20"/>
        </w:rPr>
        <w:t>Opinion by:</w:t>
      </w:r>
      <w:r>
        <w:rPr>
          <w:rFonts w:ascii="Arial" w:eastAsia="Arial" w:hAnsi="Arial" w:cs="Arial"/>
          <w:color w:val="000000"/>
          <w:sz w:val="20"/>
        </w:rPr>
        <w:t> ED CARNES</w:t>
      </w:r>
    </w:p>
    <w:p w14:paraId="41FD75FE" w14:textId="77777777" w:rsidR="002D0E71" w:rsidRDefault="00000000">
      <w:pPr>
        <w:pStyle w:val="Normal32"/>
        <w:keepNext/>
        <w:widowControl w:val="0"/>
        <w:spacing w:before="240" w:line="340" w:lineRule="atLeast"/>
      </w:pPr>
      <w:bookmarkStart w:id="4434" w:name="Opinion_31"/>
      <w:bookmarkEnd w:id="4434"/>
      <w:r>
        <w:rPr>
          <w:rFonts w:ascii="Arial" w:eastAsia="Arial" w:hAnsi="Arial" w:cs="Arial"/>
          <w:b/>
          <w:color w:val="000000"/>
          <w:sz w:val="28"/>
        </w:rPr>
        <w:t>Opinion</w:t>
      </w:r>
    </w:p>
    <w:p w14:paraId="33A46EDC" w14:textId="14A90C9A" w:rsidR="002D0E71" w:rsidRDefault="002939DF">
      <w:pPr>
        <w:pStyle w:val="Normal32"/>
        <w:spacing w:line="60" w:lineRule="exact"/>
      </w:pPr>
      <w:r>
        <w:rPr>
          <w:noProof/>
        </w:rPr>
        <mc:AlternateContent>
          <mc:Choice Requires="wps">
            <w:drawing>
              <wp:anchor distT="0" distB="0" distL="114300" distR="114300" simplePos="0" relativeHeight="251725824" behindDoc="0" locked="0" layoutInCell="1" allowOverlap="1" wp14:anchorId="03D4E769" wp14:editId="0450390B">
                <wp:simplePos x="0" y="0"/>
                <wp:positionH relativeFrom="column">
                  <wp:posOffset>0</wp:posOffset>
                </wp:positionH>
                <wp:positionV relativeFrom="paragraph">
                  <wp:posOffset>25400</wp:posOffset>
                </wp:positionV>
                <wp:extent cx="3187700" cy="0"/>
                <wp:effectExtent l="19050" t="15875" r="12700" b="12700"/>
                <wp:wrapTopAndBottom/>
                <wp:docPr id="1735252158"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7793E" id="Line 69"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63DC2BE" w14:textId="77777777" w:rsidR="002D0E71" w:rsidRDefault="002D0E71">
      <w:pPr>
        <w:pStyle w:val="Normal32"/>
      </w:pPr>
    </w:p>
    <w:p w14:paraId="4A64BE2D" w14:textId="77777777" w:rsidR="002D0E71" w:rsidRDefault="00000000">
      <w:pPr>
        <w:pStyle w:val="Normal32"/>
        <w:widowControl w:val="0"/>
        <w:spacing w:before="200" w:line="260" w:lineRule="atLeast"/>
        <w:jc w:val="both"/>
      </w:pPr>
      <w:bookmarkStart w:id="4435" w:name="Bookmark_para_2_31"/>
      <w:bookmarkEnd w:id="4435"/>
      <w:r>
        <w:rPr>
          <w:rFonts w:ascii="Arial" w:eastAsia="Arial" w:hAnsi="Arial" w:cs="Arial"/>
          <w:color w:val="000000"/>
          <w:sz w:val="20"/>
        </w:rPr>
        <w:t> [*1138]  ED CARNES, Chief Judge:</w:t>
      </w:r>
    </w:p>
    <w:p w14:paraId="15E0A54F" w14:textId="77777777" w:rsidR="002D0E71" w:rsidRDefault="00000000">
      <w:pPr>
        <w:pStyle w:val="Normal32"/>
        <w:widowControl w:val="0"/>
        <w:spacing w:before="200" w:line="260" w:lineRule="atLeast"/>
        <w:jc w:val="both"/>
      </w:pPr>
      <w:bookmarkStart w:id="4436" w:name="Bookmark_para_3_31"/>
      <w:bookmarkEnd w:id="4436"/>
      <w:r>
        <w:rPr>
          <w:rFonts w:ascii="Arial" w:eastAsia="Arial" w:hAnsi="Arial" w:cs="Arial"/>
          <w:color w:val="000000"/>
          <w:sz w:val="20"/>
        </w:rPr>
        <w:t>It's often said that the path to perdition is paved with good intentions. It might also be said that sometimes the road to the courthouse is littered with the efforts of well-meaning people who never thought they'd be taking [**2]  the trip. This is one of those kind of cases.</w:t>
      </w:r>
    </w:p>
    <w:p w14:paraId="66327CD2" w14:textId="77777777" w:rsidR="002D0E71" w:rsidRDefault="00000000">
      <w:pPr>
        <w:pStyle w:val="Normal32"/>
        <w:widowControl w:val="0"/>
        <w:spacing w:before="200" w:line="260" w:lineRule="atLeast"/>
        <w:jc w:val="both"/>
      </w:pPr>
      <w:bookmarkStart w:id="4437" w:name="Bookmark_para_4_31"/>
      <w:bookmarkEnd w:id="4437"/>
      <w:r>
        <w:rPr>
          <w:rFonts w:ascii="Arial" w:eastAsia="Arial" w:hAnsi="Arial" w:cs="Arial"/>
          <w:color w:val="000000"/>
          <w:sz w:val="20"/>
        </w:rPr>
        <w:t>When he was fourteen years old, D.F. was diagnosed with ulcerative colitis, a serious disease that affects the colon. He was hospitalized at Parrish Medical Center for twenty days and the Arnold Palmer Hospital for Children for eleven days to receive treatment and have his colon removed. At least one of D.F.'s parents remained by his bedside, as any loving parent would, at all times during those two hospital stays.</w:t>
      </w:r>
    </w:p>
    <w:p w14:paraId="39EB7C2D" w14:textId="77777777" w:rsidR="002D0E71" w:rsidRDefault="00000000">
      <w:pPr>
        <w:pStyle w:val="Normal32"/>
        <w:widowControl w:val="0"/>
        <w:spacing w:before="200" w:line="260" w:lineRule="atLeast"/>
        <w:jc w:val="both"/>
      </w:pPr>
      <w:bookmarkStart w:id="4438" w:name="Bookmark_para_5_31"/>
      <w:bookmarkEnd w:id="4438"/>
      <w:r>
        <w:rPr>
          <w:rFonts w:ascii="Arial" w:eastAsia="Arial" w:hAnsi="Arial" w:cs="Arial"/>
          <w:color w:val="000000"/>
          <w:sz w:val="20"/>
        </w:rPr>
        <w:t>Because D.F. is deaf and mute, the staff at both hospitals took steps to ensure that they were able to effectively communicate with him. They used written notes and visual aids, and they also relied on D.F.'s parents and deaf sister, who interpreted for D.F. using sign language. The staff believed that they had taken appropriate steps to communicate effectively with the child while he was hospitalized, but they did not provide him with a professionally trained sign language interpreter nor did they ask him or his parents whether they wanted one to be provided. The failure to do so led to this lawsuit.</w:t>
      </w:r>
    </w:p>
    <w:p w14:paraId="1A0795CE" w14:textId="77777777" w:rsidR="002D0E71" w:rsidRDefault="00000000">
      <w:pPr>
        <w:pStyle w:val="Normal32"/>
        <w:widowControl w:val="0"/>
        <w:spacing w:before="200" w:line="260" w:lineRule="atLeast"/>
        <w:jc w:val="both"/>
      </w:pPr>
      <w:bookmarkStart w:id="4439" w:name="Bookmark_para_6_31"/>
      <w:bookmarkEnd w:id="4439"/>
      <w:r>
        <w:rPr>
          <w:rFonts w:ascii="Arial" w:eastAsia="Arial" w:hAnsi="Arial" w:cs="Arial"/>
          <w:color w:val="000000"/>
          <w:sz w:val="20"/>
        </w:rPr>
        <w:t>D.F.'s parents brought this disability discrimination lawsuit individually and on behalf of D.F. and his deaf sister. The district [**3]  court dismissed the individual claims asserted by D.F.'s parents and sister for lack of standing, and it granted summary judgment to the defendants on the claims that D.F.'s parents brought on his behalf seeking damages and injunctive relief. This is the plaintiffs' appeal.</w:t>
      </w:r>
    </w:p>
    <w:p w14:paraId="300AAFF1" w14:textId="77777777" w:rsidR="002D0E71" w:rsidRDefault="00000000">
      <w:pPr>
        <w:pStyle w:val="Normal32"/>
        <w:widowControl w:val="0"/>
        <w:spacing w:before="120" w:line="260" w:lineRule="atLeast"/>
      </w:pPr>
      <w:r>
        <w:rPr>
          <w:rFonts w:ascii="Arial" w:eastAsia="Arial" w:hAnsi="Arial" w:cs="Arial"/>
          <w:color w:val="000000"/>
          <w:sz w:val="20"/>
        </w:rPr>
        <w:t>I.</w:t>
      </w:r>
    </w:p>
    <w:p w14:paraId="250C7B8E" w14:textId="77777777" w:rsidR="002D0E71" w:rsidRDefault="00000000">
      <w:pPr>
        <w:pStyle w:val="Normal32"/>
        <w:widowControl w:val="0"/>
        <w:spacing w:before="120" w:line="260" w:lineRule="atLeast"/>
      </w:pPr>
      <w:r>
        <w:rPr>
          <w:rFonts w:ascii="Arial" w:eastAsia="Arial" w:hAnsi="Arial" w:cs="Arial"/>
          <w:color w:val="000000"/>
          <w:sz w:val="20"/>
        </w:rPr>
        <w:t>A.</w:t>
      </w:r>
    </w:p>
    <w:p w14:paraId="6AECC99B" w14:textId="77777777" w:rsidR="002D0E71" w:rsidRDefault="00000000">
      <w:pPr>
        <w:pStyle w:val="Normal32"/>
        <w:widowControl w:val="0"/>
        <w:spacing w:before="200" w:line="260" w:lineRule="atLeast"/>
        <w:jc w:val="both"/>
      </w:pPr>
      <w:bookmarkStart w:id="4440" w:name="Bookmark_para_7_30"/>
      <w:bookmarkEnd w:id="4440"/>
      <w:r>
        <w:rPr>
          <w:rFonts w:ascii="Arial" w:eastAsia="Arial" w:hAnsi="Arial" w:cs="Arial"/>
          <w:color w:val="000000"/>
          <w:sz w:val="20"/>
        </w:rPr>
        <w:t>On March 19, 2009, D.F. began experiencing severe abdominal pain and his mother, Dorothy McCullum, took him to the emergency room at Parrish Medical Center (Parrish). As part of the intake process, the ER staff noted that D.F. was deaf. When the ER doctor came to examine D.F., he asked him how he was feeling. D.F. did not respond to the question, and McCullum explained that her son was deaf. The doctor asked McCullum if she knew sign language, and she replied that she could "do some signing." The doctor then asked her about D.F.'s symptoms, and she told him that he had been vomiting and having diarrhea. After examining D.F.'s stomach, the doctor told McCullum that her son needed to have a CAT scan so they could determine what was wrong. D.F. was formally admitted to the hospital when the CAT scan revealed that he had blood in his colon. He remained at Parrish until April 8, 2009, and during that time he underwent [**4]  a variety of tests and had a colonoscopy to determine the source of his ailment. At least one of his parents was with him throughout his entire stay.</w:t>
      </w:r>
    </w:p>
    <w:p w14:paraId="18FF230A" w14:textId="77777777" w:rsidR="002D0E71" w:rsidRDefault="00000000">
      <w:pPr>
        <w:pStyle w:val="Normal32"/>
        <w:widowControl w:val="0"/>
        <w:spacing w:before="200" w:line="260" w:lineRule="atLeast"/>
        <w:jc w:val="both"/>
      </w:pPr>
      <w:bookmarkStart w:id="4441" w:name="Bookmark_para_8_30"/>
      <w:bookmarkEnd w:id="4441"/>
      <w:r>
        <w:rPr>
          <w:rFonts w:ascii="Arial" w:eastAsia="Arial" w:hAnsi="Arial" w:cs="Arial"/>
          <w:color w:val="000000"/>
          <w:sz w:val="20"/>
        </w:rPr>
        <w:t> [*1139]  Since 1996, Parrish has had a written policy in place titled "Communication with Impaired or Language Barrier Patients." That policy states that the hospital "will provide for appropriate communication with patients who experience communication barriers," which may include providing interpreters for hearing-impaired patients. It further provides that the hospital staff will communicate with a hearing-impaired patient by using the patient's preferred method of communication. During D.F.'s stay at Parrish, the hospital's staff relied on a variety of methods to facilitate communication with him. One nurse who had taken several college classes in sign language communicated with D.F. by signing. Other staff members used written notes to communicate with D.F. When staff members consulted with D.F. and his parents about his treatment, they often used printed handouts to enhance communication and understanding. Parrish doctors and nurses also communicated with the help of McCullum (D.F.'s mother), Jimmy Frazier (D.F.'s father), and T.F. (D.F.'s [**5]  deaf sister),</w:t>
      </w:r>
      <w:r>
        <w:rPr>
          <w:rFonts w:ascii="Arial" w:eastAsia="Arial" w:hAnsi="Arial" w:cs="Arial"/>
          <w:vertAlign w:val="superscript"/>
        </w:rPr>
        <w:footnoteReference w:customMarkFollows="1" w:id="160"/>
        <w:t>1</w:t>
      </w:r>
      <w:r>
        <w:rPr>
          <w:rFonts w:ascii="Arial" w:eastAsia="Arial" w:hAnsi="Arial" w:cs="Arial"/>
          <w:color w:val="000000"/>
          <w:sz w:val="20"/>
        </w:rPr>
        <w:t xml:space="preserve"> all of whom interpreted for D.F. using "home signs" (made up sign language), American Sign Language (ASL) finger spelling, and their otherwise limited knowledge of ASL.</w:t>
      </w:r>
    </w:p>
    <w:p w14:paraId="0EF0077C" w14:textId="77777777" w:rsidR="002D0E71" w:rsidRDefault="00000000">
      <w:pPr>
        <w:pStyle w:val="Normal32"/>
        <w:widowControl w:val="0"/>
        <w:spacing w:before="200" w:line="260" w:lineRule="atLeast"/>
        <w:jc w:val="both"/>
      </w:pPr>
      <w:bookmarkStart w:id="4443" w:name="Bookmark_para_9_30"/>
      <w:bookmarkEnd w:id="4443"/>
      <w:r>
        <w:rPr>
          <w:rFonts w:ascii="Arial" w:eastAsia="Arial" w:hAnsi="Arial" w:cs="Arial"/>
          <w:color w:val="000000"/>
          <w:sz w:val="20"/>
        </w:rPr>
        <w:t>While D.F. was a patient at Parrish, nobody at the hospital directly told him or his parents that the hospital could provide a sign language interpreter. The parents did not know that they could request an interpreter, thinking instead that they were obligated to help their son communicate. As a result, neither D.F. nor his parents ever requested an interpreter. D.F. claims that he did not fully understand what was happening to him while he was at Parrish, but there is no evidence that he or his parents informed the Parrish doctors or nurses that some of their statements were being lost in translation. To the contrary, D.F.'s attending physician believed that he was effectively communicating with D.F. through the mother's translations. D.F.'s medical records also indicate that D.F. "nod[ded] understanding" or "verbalize[d] understanding" [**6]  when the Parrish nurses communicated with him about his treatment.</w:t>
      </w:r>
    </w:p>
    <w:p w14:paraId="295BD326" w14:textId="77777777" w:rsidR="002D0E71" w:rsidRDefault="00000000">
      <w:pPr>
        <w:pStyle w:val="Normal32"/>
        <w:widowControl w:val="0"/>
        <w:spacing w:before="120" w:line="260" w:lineRule="atLeast"/>
      </w:pPr>
      <w:r>
        <w:rPr>
          <w:rFonts w:ascii="Arial" w:eastAsia="Arial" w:hAnsi="Arial" w:cs="Arial"/>
          <w:color w:val="000000"/>
          <w:sz w:val="20"/>
        </w:rPr>
        <w:t>B.</w:t>
      </w:r>
    </w:p>
    <w:p w14:paraId="42C02E00" w14:textId="77777777" w:rsidR="002D0E71" w:rsidRDefault="00000000">
      <w:pPr>
        <w:pStyle w:val="Normal32"/>
        <w:widowControl w:val="0"/>
        <w:spacing w:before="200" w:line="260" w:lineRule="atLeast"/>
        <w:jc w:val="both"/>
      </w:pPr>
      <w:bookmarkStart w:id="4444" w:name="Bookmark_para_10_29"/>
      <w:bookmarkEnd w:id="4444"/>
      <w:r>
        <w:rPr>
          <w:rFonts w:ascii="Arial" w:eastAsia="Arial" w:hAnsi="Arial" w:cs="Arial"/>
          <w:color w:val="000000"/>
          <w:sz w:val="20"/>
        </w:rPr>
        <w:t>On April 8, 2009, after D.F.'s condition failed to improve, he was transferred to the pediatric critical care unit at the Arnold Palmer Hospital for Children (Arnold Palmer) in Orlando. Arnold Palmer is a private hospital that offers special treatment programs for children. Similar to Parrish, Arnold Palmer has a written policy, in effect since 1987, addressing accommodations that will be made for patients with communication barriers. That policy provides that a qualified interpreter will be offered to every patient who needs communication support, though for children it allows the patient's adult family members or friends to interpret if they are comfortable doing so and understand the non-clinical information to be interpreted. The hospital publicizes its policy by posting signs throughout the hospital informing patients that interpretation services are available.</w:t>
      </w:r>
    </w:p>
    <w:p w14:paraId="61B17DA1" w14:textId="77777777" w:rsidR="002D0E71" w:rsidRDefault="00000000">
      <w:pPr>
        <w:pStyle w:val="Normal32"/>
        <w:widowControl w:val="0"/>
        <w:spacing w:before="200" w:line="260" w:lineRule="atLeast"/>
        <w:jc w:val="both"/>
      </w:pPr>
      <w:bookmarkStart w:id="4445" w:name="Bookmark_para_11_29"/>
      <w:bookmarkEnd w:id="4445"/>
      <w:r>
        <w:rPr>
          <w:rFonts w:ascii="Arial" w:eastAsia="Arial" w:hAnsi="Arial" w:cs="Arial"/>
          <w:color w:val="000000"/>
          <w:sz w:val="20"/>
        </w:rPr>
        <w:t>When D.F. arrived at Arnold Palmer, he and his father met with Dr. Carey McCade to discuss D.F.'s treatment plan. During that discussion the father interpreted for his son. The doctors at Arnold Palmer determined that surgery would be necessary, and the [**7]  surgeon who would be performing  [*1140]  the operation met with D.F.'s family the day after D.F. was admitted to the hospital to discuss the need for the procedure and the associated risks. Kimberly Burbage, a Child Life Specialist,</w:t>
      </w:r>
      <w:r>
        <w:rPr>
          <w:rFonts w:ascii="Arial" w:eastAsia="Arial" w:hAnsi="Arial" w:cs="Arial"/>
          <w:vertAlign w:val="superscript"/>
        </w:rPr>
        <w:footnoteReference w:customMarkFollows="1" w:id="161"/>
        <w:t>2</w:t>
      </w:r>
      <w:r>
        <w:rPr>
          <w:rFonts w:ascii="Arial" w:eastAsia="Arial" w:hAnsi="Arial" w:cs="Arial"/>
          <w:color w:val="000000"/>
          <w:sz w:val="20"/>
        </w:rPr>
        <w:t xml:space="preserve"> met with D.F. and his parents to prepare them for the operation and educate them about the procedure. During that consultation, Burbage relied in part on the parents to help interpret for D.F. But she also used other communication aids to help D.F. understand what he would be going through. After noting that D.F.'s learning preferences included "pictorial[s]" and "skill demonstration," Burbage used pictures of the digestive system and a preoperative teaching book to show D.F. what the surgeon would be doing.</w:t>
      </w:r>
      <w:r>
        <w:rPr>
          <w:rFonts w:ascii="Arial" w:eastAsia="Arial" w:hAnsi="Arial" w:cs="Arial"/>
          <w:vertAlign w:val="superscript"/>
        </w:rPr>
        <w:footnoteReference w:customMarkFollows="1" w:id="162"/>
        <w:t>3</w:t>
      </w:r>
      <w:r>
        <w:rPr>
          <w:rFonts w:ascii="Arial" w:eastAsia="Arial" w:hAnsi="Arial" w:cs="Arial"/>
          <w:color w:val="000000"/>
          <w:sz w:val="20"/>
        </w:rPr>
        <w:t xml:space="preserve"> She also provided D.F. with "diagnosis education using written materials from kidshealth.org" and gave him an ostomy doll. D.F. eventually had surgery, and the procedure was successful. On April 17, 2009, D.F. was discharged from the hospital, though he returned in December 2009 for a follow-up procedure.</w:t>
      </w:r>
    </w:p>
    <w:p w14:paraId="712D7C33" w14:textId="77777777" w:rsidR="002D0E71" w:rsidRDefault="00000000">
      <w:pPr>
        <w:pStyle w:val="Normal32"/>
        <w:widowControl w:val="0"/>
        <w:spacing w:before="200" w:line="260" w:lineRule="atLeast"/>
        <w:jc w:val="both"/>
      </w:pPr>
      <w:bookmarkStart w:id="4448" w:name="Bookmark_para_12_28"/>
      <w:bookmarkEnd w:id="4448"/>
      <w:r>
        <w:rPr>
          <w:rFonts w:ascii="Arial" w:eastAsia="Arial" w:hAnsi="Arial" w:cs="Arial"/>
          <w:color w:val="000000"/>
          <w:sz w:val="20"/>
        </w:rPr>
        <w:t>While D.F. was a patient at Arnold Palmer in April 2009, he was given a writing board to help him communicate, and the staff also often relied on his parents to help interpret for him. However, none of the staff members ever directly offered D.F. or his parents interpretive services. At some point McCullum told the doctors and nurses that D.F. could read, but she also said that he preferred to communicate through sign language. Still, neither D.F. nor his parents ever asked the hospital staff to provide a sign language interpreter. Toward the end of D.F.'s stay, his mother told some nurses that she did not "know a lot of sign language" when they asked her to find out whether D.F. was experiencing any pain; however, [**9]  there is no evidence that the nurses continued to rely on D.F.'s mother to interpret for him after she told them that her sign language abilities were limited.</w:t>
      </w:r>
    </w:p>
    <w:p w14:paraId="7902B440" w14:textId="77777777" w:rsidR="002D0E71" w:rsidRDefault="00000000">
      <w:pPr>
        <w:pStyle w:val="Normal32"/>
        <w:widowControl w:val="0"/>
        <w:spacing w:before="200" w:line="260" w:lineRule="atLeast"/>
        <w:jc w:val="both"/>
      </w:pPr>
      <w:bookmarkStart w:id="4449" w:name="Bookmark_para_13_28"/>
      <w:bookmarkEnd w:id="4449"/>
      <w:r>
        <w:rPr>
          <w:rFonts w:ascii="Arial" w:eastAsia="Arial" w:hAnsi="Arial" w:cs="Arial"/>
          <w:color w:val="000000"/>
          <w:sz w:val="20"/>
        </w:rPr>
        <w:t>Since D.F.'s surgery, Dr. Devandra Mehta — D.F.'s attending physician at Arnold Palmer — has continued to monitor D.F.'s progress through outpatient appointments at Arnold Palmer's medical campus. Dr. Mehta currently provides D.F. with an interpreter for those office visits. The doctor has stated that D.F. is "doing well" in his recovery and that the surgery resulted in a "very good outcome." As a result, with the help of over-the-counter medication, D.F. is able to control his symptoms. He has not been hospitalized at either Parrish or Arnold Palmer since his two operations in 2009.</w:t>
      </w:r>
    </w:p>
    <w:p w14:paraId="77C9E1AD" w14:textId="77777777" w:rsidR="002D0E71" w:rsidRDefault="00000000">
      <w:pPr>
        <w:pStyle w:val="Normal32"/>
        <w:widowControl w:val="0"/>
        <w:spacing w:before="120" w:line="260" w:lineRule="atLeast"/>
      </w:pPr>
      <w:r>
        <w:rPr>
          <w:rFonts w:ascii="Arial" w:eastAsia="Arial" w:hAnsi="Arial" w:cs="Arial"/>
          <w:color w:val="000000"/>
          <w:sz w:val="20"/>
        </w:rPr>
        <w:t>II.</w:t>
      </w:r>
    </w:p>
    <w:p w14:paraId="16E38F61" w14:textId="77777777" w:rsidR="002D0E71" w:rsidRDefault="00000000">
      <w:pPr>
        <w:pStyle w:val="Normal32"/>
        <w:widowControl w:val="0"/>
        <w:spacing w:before="200" w:line="260" w:lineRule="atLeast"/>
        <w:jc w:val="both"/>
      </w:pPr>
      <w:bookmarkStart w:id="4450" w:name="Bookmark_para_14_28"/>
      <w:bookmarkEnd w:id="4450"/>
      <w:r>
        <w:rPr>
          <w:rFonts w:ascii="Arial" w:eastAsia="Arial" w:hAnsi="Arial" w:cs="Arial"/>
          <w:color w:val="000000"/>
          <w:sz w:val="20"/>
        </w:rPr>
        <w:t>More than two years after D.F.'s initial hospitalization, his parents filed a complaint in federal court, individually and on behalf of D.F. and his sister, alleging violations of their rights under the Americans with Disabilities Act (ADA), 42 U.S.C. §§ 12132 &amp; 12182, and the Rehabilitation Act of 1973 (RA), 29 U.S.C. § 706.</w:t>
      </w:r>
      <w:r>
        <w:rPr>
          <w:rFonts w:ascii="Arial" w:eastAsia="Arial" w:hAnsi="Arial" w:cs="Arial"/>
          <w:vertAlign w:val="superscript"/>
        </w:rPr>
        <w:footnoteReference w:customMarkFollows="1" w:id="163"/>
        <w:t>4</w:t>
      </w:r>
      <w:r>
        <w:rPr>
          <w:rFonts w:ascii="Arial" w:eastAsia="Arial" w:hAnsi="Arial" w:cs="Arial"/>
          <w:color w:val="000000"/>
          <w:sz w:val="20"/>
        </w:rPr>
        <w:t xml:space="preserve"> They  [*1141]  sought compensatory damages for disability discrimination, as well as declaratory relief and an injunction to stop the defendants from denying D.F. equal [**10]  access to their services in the future. The district court dismissed with prejudice the claims of the parents and the sister, concluding that they had not suffered cognizable injuries under either statute. The claims brought on D.F.'s behalf survived the defendants' motions to dismiss but not their motions for summary judgment. The district court granted summary judgment to the defendants on D.F.'s ADA and RA claims insofar as they sought injunctive relief because the parents had failed to create a genuine issue that D.F. was likely to return to either hospital in the near future. The court also granted summary judgment on D.F.'s ADA and RA claims insofar as they sought damages because the parents had not created a genuine issue that the defendants had been deliberately indifferent to D.F.'s rights under the ADA and RA.</w:t>
      </w:r>
    </w:p>
    <w:p w14:paraId="33003483" w14:textId="77777777" w:rsidR="002D0E71" w:rsidRDefault="00000000">
      <w:pPr>
        <w:pStyle w:val="Normal32"/>
        <w:widowControl w:val="0"/>
        <w:spacing w:before="200" w:line="260" w:lineRule="atLeast"/>
        <w:jc w:val="both"/>
      </w:pPr>
      <w:bookmarkStart w:id="4452" w:name="Bookmark_para_15_27"/>
      <w:bookmarkEnd w:id="4452"/>
      <w:r>
        <w:rPr>
          <w:rFonts w:ascii="Arial" w:eastAsia="Arial" w:hAnsi="Arial" w:cs="Arial"/>
          <w:color w:val="000000"/>
          <w:sz w:val="20"/>
        </w:rPr>
        <w:t>D.F.'s parents brought this appeal, raising three issues for our review. First, they contend that the district court erred when it determined that they and D.F.'s sister did [**11]  not have standing to assert claims for associational discrimination under the ADA and RA. Second, they contend that the district court incorrectly concluded that D.F. lacked standing to seek injunctive relief because the threat of future harm was too speculative. Third, they assert that they demonstrated there was a genuine issue of material fact about whether the defendants had been deliberately indifferent to D.F.'s rights under the ADA and RA.</w:t>
      </w:r>
    </w:p>
    <w:p w14:paraId="29EB48E1" w14:textId="77777777" w:rsidR="002D0E71" w:rsidRDefault="00000000">
      <w:pPr>
        <w:pStyle w:val="Normal32"/>
        <w:widowControl w:val="0"/>
        <w:spacing w:before="120" w:line="260" w:lineRule="atLeast"/>
      </w:pPr>
      <w:r>
        <w:rPr>
          <w:rFonts w:ascii="Arial" w:eastAsia="Arial" w:hAnsi="Arial" w:cs="Arial"/>
          <w:color w:val="000000"/>
          <w:sz w:val="20"/>
        </w:rPr>
        <w:t>III.</w:t>
      </w:r>
    </w:p>
    <w:p w14:paraId="4257978F" w14:textId="77777777" w:rsidR="002D0E71" w:rsidRDefault="00000000">
      <w:pPr>
        <w:pStyle w:val="Normal32"/>
        <w:widowControl w:val="0"/>
        <w:spacing w:before="200" w:line="260" w:lineRule="atLeast"/>
        <w:jc w:val="both"/>
      </w:pPr>
      <w:bookmarkStart w:id="4453" w:name="Bookmark_para_16_27"/>
      <w:bookmarkStart w:id="4454" w:name="Bookmark_I5DG18K02HM6520020000400"/>
      <w:bookmarkStart w:id="4455" w:name="Bookmark_I5DG18K028T4RX0010000400"/>
      <w:bookmarkStart w:id="4456" w:name="Bookmark_LNHNREFclscc1_26"/>
      <w:bookmarkEnd w:id="4453"/>
      <w:bookmarkEnd w:id="4454"/>
      <w:bookmarkEnd w:id="4455"/>
      <w:bookmarkEnd w:id="4456"/>
      <w:r>
        <w:rPr>
          <w:rFonts w:ascii="Arial" w:eastAsia="Arial" w:hAnsi="Arial" w:cs="Arial"/>
          <w:color w:val="000000"/>
          <w:sz w:val="20"/>
        </w:rPr>
        <w:t xml:space="preserve">When a district court dismisses a plaintiff's claim for lack of standing, we review </w:t>
      </w:r>
      <w:r>
        <w:rPr>
          <w:rFonts w:ascii="Arial" w:eastAsia="Arial" w:hAnsi="Arial" w:cs="Arial"/>
          <w:color w:val="000000"/>
          <w:sz w:val="20"/>
          <w:u w:val="single"/>
        </w:rPr>
        <w:t>de novo</w:t>
      </w:r>
      <w:r>
        <w:rPr>
          <w:rFonts w:ascii="Arial" w:eastAsia="Arial" w:hAnsi="Arial" w:cs="Arial"/>
          <w:color w:val="000000"/>
          <w:sz w:val="20"/>
        </w:rPr>
        <w:t xml:space="preserve"> the court's legal conclusions, and we review its factual findings for clear error. </w:t>
      </w:r>
      <w:bookmarkStart w:id="4457" w:name="Bookmark_I5DG18K02HM6520010000400"/>
      <w:bookmarkEnd w:id="4457"/>
      <w:r>
        <w:rPr>
          <w:rFonts w:ascii="Arial" w:eastAsia="Arial" w:hAnsi="Arial" w:cs="Arial"/>
          <w:color w:val="000000"/>
          <w:sz w:val="20"/>
          <w:u w:val="single"/>
        </w:rPr>
        <w:t>ACLU of Fla., Inc. v. Miami-Dade Cnty. Sch. Bd</w:t>
      </w:r>
      <w:r>
        <w:rPr>
          <w:rFonts w:ascii="Arial" w:eastAsia="Arial" w:hAnsi="Arial" w:cs="Arial"/>
          <w:color w:val="000000"/>
          <w:sz w:val="20"/>
        </w:rPr>
        <w:t xml:space="preserve">., 557 F.3d 1177, 1190, 1195 (11th Cir. 2009); </w:t>
      </w:r>
      <w:bookmarkStart w:id="4458" w:name="Bookmark_I5DG18K02HM6520030000400"/>
      <w:bookmarkEnd w:id="4458"/>
      <w:r>
        <w:rPr>
          <w:rFonts w:ascii="Arial" w:eastAsia="Arial" w:hAnsi="Arial" w:cs="Arial"/>
          <w:color w:val="000000"/>
          <w:sz w:val="20"/>
          <w:u w:val="single"/>
        </w:rPr>
        <w:t>Stalley ex rel. United States v. Orlando Reg'l Healthcare Sys., Inc</w:t>
      </w:r>
      <w:r>
        <w:rPr>
          <w:rFonts w:ascii="Arial" w:eastAsia="Arial" w:hAnsi="Arial" w:cs="Arial"/>
          <w:color w:val="000000"/>
          <w:sz w:val="20"/>
        </w:rPr>
        <w:t xml:space="preserve">., 524 F.3d 1229, 1232 (11th Cir. 2008). </w:t>
      </w:r>
      <w:bookmarkStart w:id="4459" w:name="Bookmark_LNHNREFclscc2_26"/>
      <w:bookmarkEnd w:id="4459"/>
      <w:r>
        <w:rPr>
          <w:rFonts w:ascii="Arial" w:eastAsia="Arial" w:hAnsi="Arial" w:cs="Arial"/>
          <w:color w:val="000000"/>
          <w:sz w:val="20"/>
        </w:rPr>
        <w:t xml:space="preserve">We review </w:t>
      </w:r>
      <w:r>
        <w:rPr>
          <w:rFonts w:ascii="Arial" w:eastAsia="Arial" w:hAnsi="Arial" w:cs="Arial"/>
          <w:color w:val="000000"/>
          <w:sz w:val="20"/>
          <w:u w:val="single"/>
        </w:rPr>
        <w:t>de novo</w:t>
      </w:r>
      <w:r>
        <w:rPr>
          <w:rFonts w:ascii="Arial" w:eastAsia="Arial" w:hAnsi="Arial" w:cs="Arial"/>
          <w:color w:val="000000"/>
          <w:sz w:val="20"/>
        </w:rPr>
        <w:t xml:space="preserve"> a district court's grant of summary judgment, viewing all facts in the light most favorable to the nonmoving party and drawing all reasonable inferences in favor of that party as well. </w:t>
      </w:r>
      <w:bookmarkStart w:id="4460" w:name="Bookmark_I5DG18K02HM6520050000400"/>
      <w:bookmarkEnd w:id="4460"/>
      <w:r>
        <w:rPr>
          <w:rFonts w:ascii="Arial" w:eastAsia="Arial" w:hAnsi="Arial" w:cs="Arial"/>
          <w:color w:val="000000"/>
          <w:sz w:val="20"/>
          <w:u w:val="single"/>
        </w:rPr>
        <w:t>Allison v. McGhan Med. Corp</w:t>
      </w:r>
      <w:r>
        <w:rPr>
          <w:rFonts w:ascii="Arial" w:eastAsia="Arial" w:hAnsi="Arial" w:cs="Arial"/>
          <w:color w:val="000000"/>
          <w:sz w:val="20"/>
        </w:rPr>
        <w:t xml:space="preserve">., 184 F.3d 1300, 1306 (11th Cir. 1999). Summary judgment is appropriate where there is no genuine issue as to any material fact and the moving party is entitled to judgment as a matter of law. </w:t>
      </w:r>
      <w:r>
        <w:rPr>
          <w:rFonts w:ascii="Arial" w:eastAsia="Arial" w:hAnsi="Arial" w:cs="Arial"/>
          <w:color w:val="000000"/>
          <w:sz w:val="20"/>
          <w:u w:val="single"/>
        </w:rPr>
        <w:t>Id</w:t>
      </w:r>
      <w:r>
        <w:rPr>
          <w:rFonts w:ascii="Arial" w:eastAsia="Arial" w:hAnsi="Arial" w:cs="Arial"/>
          <w:color w:val="000000"/>
          <w:sz w:val="20"/>
        </w:rPr>
        <w:t xml:space="preserve">. We may uphold the district court's grant of summary judgment on any basis supported by the record. </w:t>
      </w:r>
      <w:r>
        <w:rPr>
          <w:rFonts w:ascii="Arial" w:eastAsia="Arial" w:hAnsi="Arial" w:cs="Arial"/>
          <w:color w:val="000000"/>
          <w:sz w:val="20"/>
          <w:u w:val="single"/>
        </w:rPr>
        <w:t>Id</w:t>
      </w:r>
      <w:r>
        <w:rPr>
          <w:rFonts w:ascii="Arial" w:eastAsia="Arial" w:hAnsi="Arial" w:cs="Arial"/>
          <w:color w:val="000000"/>
          <w:sz w:val="20"/>
        </w:rPr>
        <w:t>.</w:t>
      </w:r>
    </w:p>
    <w:p w14:paraId="355E2F27" w14:textId="77777777" w:rsidR="002D0E71" w:rsidRDefault="00000000">
      <w:pPr>
        <w:pStyle w:val="Normal32"/>
        <w:widowControl w:val="0"/>
        <w:spacing w:before="120" w:line="260" w:lineRule="atLeast"/>
      </w:pPr>
      <w:r>
        <w:rPr>
          <w:rFonts w:ascii="Arial" w:eastAsia="Arial" w:hAnsi="Arial" w:cs="Arial"/>
          <w:color w:val="000000"/>
          <w:sz w:val="20"/>
        </w:rPr>
        <w:t>A.</w:t>
      </w:r>
    </w:p>
    <w:p w14:paraId="7943BBB6" w14:textId="77777777" w:rsidR="002D0E71" w:rsidRDefault="00000000">
      <w:pPr>
        <w:pStyle w:val="Normal32"/>
        <w:widowControl w:val="0"/>
        <w:spacing w:before="200" w:line="260" w:lineRule="atLeast"/>
        <w:jc w:val="both"/>
      </w:pPr>
      <w:bookmarkStart w:id="4461" w:name="Bookmark_para_17_26"/>
      <w:bookmarkStart w:id="4462" w:name="Bookmark_I5DG18K028T4RX0030000400"/>
      <w:bookmarkEnd w:id="4461"/>
      <w:bookmarkEnd w:id="4462"/>
      <w:r>
        <w:rPr>
          <w:rFonts w:ascii="Arial" w:eastAsia="Arial" w:hAnsi="Arial" w:cs="Arial"/>
          <w:color w:val="000000"/>
          <w:sz w:val="20"/>
        </w:rPr>
        <w:t xml:space="preserve">The district court determined that D.F.'s parents and sister lacked statutory standing to assert claims [**12]  of their own under the RA and ADA because they had not alleged that they were personally excluded or denied benefits on the basis of D.F.'s disability. Relying on the Second Circuit's decision in </w:t>
      </w:r>
      <w:bookmarkStart w:id="4463" w:name="Bookmark_I5DG18K028T4RX0020000400"/>
      <w:bookmarkEnd w:id="4463"/>
      <w:r>
        <w:rPr>
          <w:rFonts w:ascii="Arial" w:eastAsia="Arial" w:hAnsi="Arial" w:cs="Arial"/>
          <w:color w:val="000000"/>
          <w:sz w:val="20"/>
          <w:u w:val="single"/>
        </w:rPr>
        <w:t>Loeffler v. Staten Island University Hospital</w:t>
      </w:r>
      <w:r>
        <w:rPr>
          <w:rFonts w:ascii="Arial" w:eastAsia="Arial" w:hAnsi="Arial" w:cs="Arial"/>
          <w:color w:val="000000"/>
          <w:sz w:val="20"/>
        </w:rPr>
        <w:t>, 582 F.3d 268 (2d Cir. 2009), D.F.'s parents contend that the district court interpreted the RA and ADA too narrowly when it held that non-disabled individuals allege cognizable injuries under those statutes only when they claim to have been personally excluded, discriminated against, or denied benefits on the basis of someone else's disability. They  [*1142]  assert that both statutes grant standing more broadly to persons who suffer any "independent injury" because of their association with a disabled individual. They claim that they and D.F.'s sister suffered an injury independent from D.F.'s injury when Parrish and Arnold Palmer relied on them to help communicate with D.F.</w:t>
      </w:r>
      <w:r>
        <w:rPr>
          <w:rFonts w:ascii="Arial" w:eastAsia="Arial" w:hAnsi="Arial" w:cs="Arial"/>
          <w:vertAlign w:val="superscript"/>
        </w:rPr>
        <w:footnoteReference w:customMarkFollows="1" w:id="164"/>
        <w:t>5</w:t>
      </w:r>
    </w:p>
    <w:p w14:paraId="36853F70" w14:textId="77777777" w:rsidR="002D0E71" w:rsidRDefault="00000000">
      <w:pPr>
        <w:pStyle w:val="Normal32"/>
        <w:widowControl w:val="0"/>
        <w:spacing w:before="200" w:line="260" w:lineRule="atLeast"/>
        <w:jc w:val="both"/>
      </w:pPr>
      <w:bookmarkStart w:id="4467" w:name="Bookmark_para_18_26"/>
      <w:bookmarkStart w:id="4468" w:name="Bookmark_I5DG18K02SF88B0020000400"/>
      <w:bookmarkStart w:id="4469" w:name="Bookmark_LNHNREFclscc3_25"/>
      <w:bookmarkEnd w:id="4467"/>
      <w:bookmarkEnd w:id="4468"/>
      <w:bookmarkEnd w:id="4469"/>
      <w:r>
        <w:rPr>
          <w:rFonts w:ascii="Arial" w:eastAsia="Arial" w:hAnsi="Arial" w:cs="Arial"/>
          <w:color w:val="000000"/>
          <w:sz w:val="20"/>
        </w:rPr>
        <w:t xml:space="preserve">It is widely accepted that under both the RA and the ADA, non-disabled individuals have standing to bring claims when they are injured because of their association with a disabled person. </w:t>
      </w:r>
      <w:r>
        <w:rPr>
          <w:rFonts w:ascii="Arial" w:eastAsia="Arial" w:hAnsi="Arial" w:cs="Arial"/>
          <w:color w:val="000000"/>
          <w:sz w:val="20"/>
          <w:u w:val="single"/>
        </w:rPr>
        <w:t xml:space="preserve">See </w:t>
      </w:r>
      <w:bookmarkStart w:id="4470" w:name="Bookmark_I5DG18K02SF88B0010000400"/>
      <w:bookmarkEnd w:id="4470"/>
      <w:r>
        <w:rPr>
          <w:rFonts w:ascii="Arial" w:eastAsia="Arial" w:hAnsi="Arial" w:cs="Arial"/>
          <w:color w:val="000000"/>
          <w:sz w:val="20"/>
          <w:u w:val="single"/>
        </w:rPr>
        <w:t>Addiction Specialists, Inc. v. Twp. of Hampton</w:t>
      </w:r>
      <w:r>
        <w:rPr>
          <w:rFonts w:ascii="Arial" w:eastAsia="Arial" w:hAnsi="Arial" w:cs="Arial"/>
          <w:color w:val="000000"/>
          <w:sz w:val="20"/>
        </w:rPr>
        <w:t xml:space="preserve">, 411 F.3d 399, 405-09 (3d Cir. 2005) (addressing standing of non-disabled party under both the ADA and RA); </w:t>
      </w:r>
      <w:bookmarkStart w:id="4471" w:name="Bookmark_I5DG18K02SF88B0030000400"/>
      <w:bookmarkEnd w:id="4471"/>
      <w:r>
        <w:rPr>
          <w:rFonts w:ascii="Arial" w:eastAsia="Arial" w:hAnsi="Arial" w:cs="Arial"/>
          <w:color w:val="000000"/>
          <w:sz w:val="20"/>
          <w:u w:val="single"/>
        </w:rPr>
        <w:t>MX Grp., Inc. v. City of Covington</w:t>
      </w:r>
      <w:r>
        <w:rPr>
          <w:rFonts w:ascii="Arial" w:eastAsia="Arial" w:hAnsi="Arial" w:cs="Arial"/>
          <w:color w:val="000000"/>
          <w:sz w:val="20"/>
        </w:rPr>
        <w:t xml:space="preserve">, 293 F.3d 326, 333-35 (6th Cir. 2002) (same); </w:t>
      </w:r>
      <w:bookmarkStart w:id="4472" w:name="Bookmark_I5DG18K02SF88B0050000400"/>
      <w:bookmarkEnd w:id="4472"/>
      <w:r>
        <w:rPr>
          <w:rFonts w:ascii="Arial" w:eastAsia="Arial" w:hAnsi="Arial" w:cs="Arial"/>
          <w:color w:val="000000"/>
          <w:sz w:val="20"/>
          <w:u w:val="single"/>
        </w:rPr>
        <w:t>Innovative Health Sys., Inc. v. City of White Plains</w:t>
      </w:r>
      <w:r>
        <w:rPr>
          <w:rFonts w:ascii="Arial" w:eastAsia="Arial" w:hAnsi="Arial" w:cs="Arial"/>
          <w:color w:val="000000"/>
          <w:sz w:val="20"/>
        </w:rPr>
        <w:t xml:space="preserve">, 117 F.3d 37, 46-48 (2d Cir. 1997) (same); </w:t>
      </w:r>
      <w:r>
        <w:rPr>
          <w:rFonts w:ascii="Arial" w:eastAsia="Arial" w:hAnsi="Arial" w:cs="Arial"/>
          <w:color w:val="000000"/>
          <w:sz w:val="20"/>
          <w:u w:val="single"/>
        </w:rPr>
        <w:t xml:space="preserve">see also </w:t>
      </w:r>
      <w:bookmarkStart w:id="4473" w:name="Bookmark_I5DG18K02HM6530020000400"/>
      <w:bookmarkEnd w:id="4473"/>
      <w:r>
        <w:rPr>
          <w:rFonts w:ascii="Arial" w:eastAsia="Arial" w:hAnsi="Arial" w:cs="Arial"/>
          <w:color w:val="000000"/>
          <w:sz w:val="20"/>
          <w:u w:val="single"/>
        </w:rPr>
        <w:t>A Helping Hand, LLC v. Baltimore Cnty</w:t>
      </w:r>
      <w:r>
        <w:rPr>
          <w:rFonts w:ascii="Arial" w:eastAsia="Arial" w:hAnsi="Arial" w:cs="Arial"/>
          <w:color w:val="000000"/>
          <w:sz w:val="20"/>
        </w:rPr>
        <w:t xml:space="preserve">., 515 F.3d 356, 362-64 (4th Cir. 2008) (addressing standing of non-disabled party under the ADA); </w:t>
      </w:r>
      <w:bookmarkStart w:id="4474" w:name="Bookmark_I5DG18K02HM6530040000400"/>
      <w:bookmarkEnd w:id="4474"/>
      <w:r>
        <w:rPr>
          <w:rFonts w:ascii="Arial" w:eastAsia="Arial" w:hAnsi="Arial" w:cs="Arial"/>
          <w:color w:val="000000"/>
          <w:sz w:val="20"/>
          <w:u w:val="single"/>
        </w:rPr>
        <w:t>Weber v. Cranston Sch. Comm</w:t>
      </w:r>
      <w:r>
        <w:rPr>
          <w:rFonts w:ascii="Arial" w:eastAsia="Arial" w:hAnsi="Arial" w:cs="Arial"/>
          <w:color w:val="000000"/>
          <w:sz w:val="20"/>
        </w:rPr>
        <w:t>., 212 F.3d 41, 47-49 (1st Cir. 2000) (addressing standing of non-disabled party under the RA).</w:t>
      </w:r>
    </w:p>
    <w:p w14:paraId="30DF6B27" w14:textId="77777777" w:rsidR="002D0E71" w:rsidRDefault="00000000">
      <w:pPr>
        <w:pStyle w:val="Normal32"/>
        <w:widowControl w:val="0"/>
        <w:spacing w:before="200" w:line="260" w:lineRule="atLeast"/>
        <w:jc w:val="both"/>
      </w:pPr>
      <w:bookmarkStart w:id="4475" w:name="Bookmark_para_19_26"/>
      <w:bookmarkStart w:id="4476" w:name="Bookmark_LNHNREFclscc4_25"/>
      <w:bookmarkEnd w:id="4475"/>
      <w:bookmarkEnd w:id="4476"/>
      <w:r>
        <w:rPr>
          <w:rFonts w:ascii="Arial" w:eastAsia="Arial" w:hAnsi="Arial" w:cs="Arial"/>
          <w:color w:val="000000"/>
          <w:sz w:val="20"/>
        </w:rPr>
        <w:t xml:space="preserve">The section of the ADA conferring standing on a non-disabled party states that "[i]t shall be discriminatory to exclude or otherwise deny equal goods, services, facilities, privileges, advantages, accommodations, or other opportunities to an individual or entity because of the known disability of an individual with whom the individual or entity is known to have a relationship or association." 42 U.S.C. § 12182(b)(1)(E). </w:t>
      </w:r>
      <w:bookmarkStart w:id="4477" w:name="Bookmark_I5DG18K02D6N7Y0020000400"/>
      <w:bookmarkEnd w:id="4477"/>
      <w:r>
        <w:rPr>
          <w:rFonts w:ascii="Arial" w:eastAsia="Arial" w:hAnsi="Arial" w:cs="Arial"/>
          <w:color w:val="000000"/>
          <w:sz w:val="20"/>
        </w:rPr>
        <w:t xml:space="preserve">On its face § 12182(b)(1)(E) recognizes only certain kinds of injuries that may form the basis of an ADA suit brought [**14]  by a non-disabled individual. The text makes clear that a non-disabled individual has standing to bring suit under the ADA only if she was personally discriminated against or denied some benefit because of her association with a disabled person. </w:t>
      </w:r>
      <w:r>
        <w:rPr>
          <w:rFonts w:ascii="Arial" w:eastAsia="Arial" w:hAnsi="Arial" w:cs="Arial"/>
          <w:color w:val="000000"/>
          <w:sz w:val="20"/>
          <w:u w:val="single"/>
        </w:rPr>
        <w:t xml:space="preserve">See id.; </w:t>
      </w:r>
      <w:bookmarkStart w:id="4478" w:name="Bookmark_I5DG18K02D6N7Y0010000400"/>
      <w:bookmarkEnd w:id="4478"/>
      <w:r>
        <w:rPr>
          <w:rFonts w:ascii="Arial" w:eastAsia="Arial" w:hAnsi="Arial" w:cs="Arial"/>
          <w:color w:val="000000"/>
          <w:sz w:val="20"/>
          <w:u w:val="single"/>
        </w:rPr>
        <w:t>A Helping Hand, LLC</w:t>
      </w:r>
      <w:r>
        <w:rPr>
          <w:rFonts w:ascii="Arial" w:eastAsia="Arial" w:hAnsi="Arial" w:cs="Arial"/>
          <w:color w:val="000000"/>
          <w:sz w:val="20"/>
        </w:rPr>
        <w:t xml:space="preserve">, 515 F.3d at 358-59, 363-64 (holding that the operator of a methadone clinic had standing to challenge a zoning ordinance that was enacted to make it unlawful for the clinic to operate at its chosen location); </w:t>
      </w:r>
      <w:bookmarkStart w:id="4479" w:name="Bookmark_I5DG18K02D6N7Y0030000400"/>
      <w:bookmarkEnd w:id="4479"/>
      <w:r>
        <w:rPr>
          <w:rFonts w:ascii="Arial" w:eastAsia="Arial" w:hAnsi="Arial" w:cs="Arial"/>
          <w:color w:val="000000"/>
          <w:sz w:val="20"/>
          <w:u w:val="single"/>
        </w:rPr>
        <w:t>MX Grp., Inc</w:t>
      </w:r>
      <w:r>
        <w:rPr>
          <w:rFonts w:ascii="Arial" w:eastAsia="Arial" w:hAnsi="Arial" w:cs="Arial"/>
          <w:color w:val="000000"/>
          <w:sz w:val="20"/>
        </w:rPr>
        <w:t>., 293 F.3d at 329-31, 333-35 (holding that a drug treatment provider had standing to challenge the city's denial of a zoning permit, which prevented the provider from opening a methadone clinic in the city). That much is clear.</w:t>
      </w:r>
    </w:p>
    <w:p w14:paraId="061E8B3E" w14:textId="77777777" w:rsidR="002D0E71" w:rsidRDefault="00000000">
      <w:pPr>
        <w:pStyle w:val="Normal32"/>
        <w:widowControl w:val="0"/>
        <w:spacing w:before="200" w:line="260" w:lineRule="atLeast"/>
        <w:jc w:val="both"/>
      </w:pPr>
      <w:bookmarkStart w:id="4480" w:name="Bookmark_para_20_24"/>
      <w:bookmarkStart w:id="4481" w:name="Bookmark_I5DG18K02N1RBD0010000400"/>
      <w:bookmarkStart w:id="4482" w:name="Bookmark_LNHNREFclscc5_25"/>
      <w:bookmarkEnd w:id="4480"/>
      <w:bookmarkEnd w:id="4481"/>
      <w:bookmarkEnd w:id="4482"/>
      <w:r>
        <w:rPr>
          <w:rFonts w:ascii="Arial" w:eastAsia="Arial" w:hAnsi="Arial" w:cs="Arial"/>
          <w:color w:val="000000"/>
          <w:sz w:val="20"/>
        </w:rPr>
        <w:t xml:space="preserve">The scope of the RA provision granting standing to non-disabled persons is less clear. </w:t>
      </w:r>
      <w:bookmarkStart w:id="4483" w:name="Bookmark_I5DG18K02N1RBD0030000400"/>
      <w:bookmarkEnd w:id="4483"/>
      <w:r>
        <w:rPr>
          <w:rFonts w:ascii="Arial" w:eastAsia="Arial" w:hAnsi="Arial" w:cs="Arial"/>
          <w:color w:val="000000"/>
          <w:sz w:val="20"/>
        </w:rPr>
        <w:t xml:space="preserve">The relevant section of the statute provides that "[t]he remedies, procedures, and rights set forth in title VI of the Civil Rights Act of 1964 . . . shall be available to </w:t>
      </w:r>
      <w:r>
        <w:rPr>
          <w:rFonts w:ascii="Arial" w:eastAsia="Arial" w:hAnsi="Arial" w:cs="Arial"/>
          <w:color w:val="000000"/>
          <w:sz w:val="20"/>
          <w:u w:val="single"/>
        </w:rPr>
        <w:t>any person aggrieved by any act or failure to act</w:t>
      </w:r>
      <w:r>
        <w:rPr>
          <w:rFonts w:ascii="Arial" w:eastAsia="Arial" w:hAnsi="Arial" w:cs="Arial"/>
          <w:color w:val="000000"/>
          <w:sz w:val="20"/>
        </w:rPr>
        <w:t xml:space="preserve"> by any" entity subject to the RA. </w:t>
      </w:r>
      <w:r>
        <w:rPr>
          <w:rFonts w:ascii="Arial" w:eastAsia="Arial" w:hAnsi="Arial" w:cs="Arial"/>
          <w:color w:val="000000"/>
          <w:sz w:val="20"/>
          <w:u w:val="single"/>
        </w:rPr>
        <w:t>See</w:t>
      </w:r>
      <w:r>
        <w:rPr>
          <w:rFonts w:ascii="Arial" w:eastAsia="Arial" w:hAnsi="Arial" w:cs="Arial"/>
          <w:color w:val="000000"/>
          <w:sz w:val="20"/>
        </w:rPr>
        <w:t xml:space="preserve"> 29 U.S.C. § 794a(a)(2) (emphasis added). As we have noted, "the Supreme Court and this Court have said on numerous occasions, 'any' is a powerful and broad word. It does not mean some or all but a few, but instead means all." </w:t>
      </w:r>
      <w:bookmarkStart w:id="4484" w:name="Bookmark_I5DG18K02D6N7Y0050000400"/>
      <w:bookmarkEnd w:id="4484"/>
      <w:r>
        <w:rPr>
          <w:rFonts w:ascii="Arial" w:eastAsia="Arial" w:hAnsi="Arial" w:cs="Arial"/>
          <w:color w:val="000000"/>
          <w:sz w:val="20"/>
          <w:u w:val="single"/>
        </w:rPr>
        <w:t>United  [*1143]  States v. Fleet</w:t>
      </w:r>
      <w:r>
        <w:rPr>
          <w:rFonts w:ascii="Arial" w:eastAsia="Arial" w:hAnsi="Arial" w:cs="Arial"/>
          <w:color w:val="000000"/>
          <w:sz w:val="20"/>
        </w:rPr>
        <w:t xml:space="preserve">, 498 F.3d 1225, 1229 (11th Cir. 2007). </w:t>
      </w:r>
      <w:bookmarkStart w:id="4485" w:name="Bookmark_I5DG18K02N1RBD0030000400_2"/>
      <w:bookmarkEnd w:id="4485"/>
      <w:r>
        <w:rPr>
          <w:rFonts w:ascii="Arial" w:eastAsia="Arial" w:hAnsi="Arial" w:cs="Arial"/>
          <w:color w:val="000000"/>
          <w:sz w:val="20"/>
        </w:rPr>
        <w:t xml:space="preserve">But the Supreme [**15]  Court has also said that "broad language is not limitless" and "a liberal construction nonetheless can find limits in a text's language, context, history, and purposes." </w:t>
      </w:r>
      <w:bookmarkStart w:id="4486" w:name="Bookmark_I5DG18K02N1RBD0020000400"/>
      <w:bookmarkEnd w:id="4486"/>
      <w:r>
        <w:rPr>
          <w:rFonts w:ascii="Arial" w:eastAsia="Arial" w:hAnsi="Arial" w:cs="Arial"/>
          <w:color w:val="000000"/>
          <w:sz w:val="20"/>
          <w:u w:val="single"/>
        </w:rPr>
        <w:t>Watson v. Philip Morris Cos</w:t>
      </w:r>
      <w:r>
        <w:rPr>
          <w:rFonts w:ascii="Arial" w:eastAsia="Arial" w:hAnsi="Arial" w:cs="Arial"/>
          <w:color w:val="000000"/>
          <w:sz w:val="20"/>
        </w:rPr>
        <w:t>., 551 U.S. 142, 147, 127 S.Ct. 2301, 2305, 168 L. Ed. 2d 42 (2007).</w:t>
      </w:r>
    </w:p>
    <w:p w14:paraId="5CD0755B" w14:textId="77777777" w:rsidR="002D0E71" w:rsidRDefault="00000000">
      <w:pPr>
        <w:pStyle w:val="Normal32"/>
        <w:widowControl w:val="0"/>
        <w:spacing w:before="200" w:line="260" w:lineRule="atLeast"/>
        <w:jc w:val="both"/>
      </w:pPr>
      <w:bookmarkStart w:id="4487" w:name="Bookmark_para_21_23"/>
      <w:bookmarkEnd w:id="4487"/>
      <w:r>
        <w:rPr>
          <w:rFonts w:ascii="Arial" w:eastAsia="Arial" w:hAnsi="Arial" w:cs="Arial"/>
          <w:color w:val="000000"/>
          <w:sz w:val="20"/>
        </w:rPr>
        <w:t xml:space="preserve">The statutory context does limit the scope of § 794a(a)(2). </w:t>
      </w:r>
      <w:bookmarkStart w:id="4488" w:name="Bookmark_I5DG18K02N1RBD0050000400"/>
      <w:bookmarkEnd w:id="4488"/>
      <w:r>
        <w:rPr>
          <w:rFonts w:ascii="Arial" w:eastAsia="Arial" w:hAnsi="Arial" w:cs="Arial"/>
          <w:color w:val="000000"/>
          <w:sz w:val="20"/>
        </w:rPr>
        <w:t xml:space="preserve">It shows that the RA was meant to ensure that "[n]o otherwise qualified individual with a disability . . . shall, solely by reason of her or his disability, be </w:t>
      </w:r>
      <w:r>
        <w:rPr>
          <w:rFonts w:ascii="Arial" w:eastAsia="Arial" w:hAnsi="Arial" w:cs="Arial"/>
          <w:color w:val="000000"/>
          <w:sz w:val="20"/>
          <w:u w:val="single"/>
        </w:rPr>
        <w:t>excluded from the participation in</w:t>
      </w:r>
      <w:r>
        <w:rPr>
          <w:rFonts w:ascii="Arial" w:eastAsia="Arial" w:hAnsi="Arial" w:cs="Arial"/>
          <w:color w:val="000000"/>
          <w:sz w:val="20"/>
        </w:rPr>
        <w:t xml:space="preserve">, be </w:t>
      </w:r>
      <w:r>
        <w:rPr>
          <w:rFonts w:ascii="Arial" w:eastAsia="Arial" w:hAnsi="Arial" w:cs="Arial"/>
          <w:color w:val="000000"/>
          <w:sz w:val="20"/>
          <w:u w:val="single"/>
        </w:rPr>
        <w:t>denied the benefits of</w:t>
      </w:r>
      <w:r>
        <w:rPr>
          <w:rFonts w:ascii="Arial" w:eastAsia="Arial" w:hAnsi="Arial" w:cs="Arial"/>
          <w:color w:val="000000"/>
          <w:sz w:val="20"/>
        </w:rPr>
        <w:t xml:space="preserve">, or be </w:t>
      </w:r>
      <w:r>
        <w:rPr>
          <w:rFonts w:ascii="Arial" w:eastAsia="Arial" w:hAnsi="Arial" w:cs="Arial"/>
          <w:color w:val="000000"/>
          <w:sz w:val="20"/>
          <w:u w:val="single"/>
        </w:rPr>
        <w:t>subjected to discrimination</w:t>
      </w:r>
      <w:r>
        <w:rPr>
          <w:rFonts w:ascii="Arial" w:eastAsia="Arial" w:hAnsi="Arial" w:cs="Arial"/>
          <w:color w:val="000000"/>
          <w:sz w:val="20"/>
        </w:rPr>
        <w:t xml:space="preserve"> under any program or activity" covered by the statute. 29 U.S.C. § 794(a) (emphasis added). That proscribed conduct is what the statute makes unlawful, and a party is "aggrieved" within the meaning of § 794a(a)(2) only if she suffers injury because she was subject to one of those types of conduct. </w:t>
      </w:r>
      <w:r>
        <w:rPr>
          <w:rFonts w:ascii="Arial" w:eastAsia="Arial" w:hAnsi="Arial" w:cs="Arial"/>
          <w:color w:val="000000"/>
          <w:sz w:val="20"/>
          <w:u w:val="single"/>
        </w:rPr>
        <w:t xml:space="preserve">See </w:t>
      </w:r>
      <w:bookmarkStart w:id="4489" w:name="Bookmark_I5DG18K02N1RBD0040000400"/>
      <w:bookmarkEnd w:id="4489"/>
      <w:r>
        <w:rPr>
          <w:rFonts w:ascii="Arial" w:eastAsia="Arial" w:hAnsi="Arial" w:cs="Arial"/>
          <w:color w:val="000000"/>
          <w:sz w:val="20"/>
          <w:u w:val="single"/>
        </w:rPr>
        <w:t>Roberts v. Sea-Land Servs., Inc</w:t>
      </w:r>
      <w:r>
        <w:rPr>
          <w:rFonts w:ascii="Arial" w:eastAsia="Arial" w:hAnsi="Arial" w:cs="Arial"/>
          <w:color w:val="000000"/>
          <w:sz w:val="20"/>
        </w:rPr>
        <w:t xml:space="preserve">., </w:t>
      </w:r>
      <w:r>
        <w:rPr>
          <w:rFonts w:ascii="Arial" w:eastAsia="Arial" w:hAnsi="Arial" w:cs="Arial"/>
          <w:color w:val="000000"/>
          <w:sz w:val="20"/>
          <w:u w:val="single"/>
        </w:rPr>
        <w:t>   </w:t>
      </w:r>
      <w:r>
        <w:rPr>
          <w:rFonts w:ascii="Arial" w:eastAsia="Arial" w:hAnsi="Arial" w:cs="Arial"/>
          <w:color w:val="000000"/>
          <w:sz w:val="20"/>
        </w:rPr>
        <w:t xml:space="preserve"> U.S. </w:t>
      </w:r>
      <w:r>
        <w:rPr>
          <w:rFonts w:ascii="Arial" w:eastAsia="Arial" w:hAnsi="Arial" w:cs="Arial"/>
          <w:color w:val="000000"/>
          <w:sz w:val="20"/>
          <w:u w:val="single"/>
        </w:rPr>
        <w:t>   </w:t>
      </w:r>
      <w:r>
        <w:rPr>
          <w:rFonts w:ascii="Arial" w:eastAsia="Arial" w:hAnsi="Arial" w:cs="Arial"/>
          <w:color w:val="000000"/>
          <w:sz w:val="20"/>
        </w:rPr>
        <w:t>, 132 S. Ct. 1350, 1357, 182 L. Ed. 2d 341 (2012) (</w:t>
      </w:r>
      <w:bookmarkStart w:id="4490" w:name="Bookmark_LNHNREFclscc6_24"/>
      <w:bookmarkEnd w:id="4490"/>
      <w:r>
        <w:rPr>
          <w:rFonts w:ascii="Arial" w:eastAsia="Arial" w:hAnsi="Arial" w:cs="Arial"/>
          <w:color w:val="000000"/>
          <w:sz w:val="20"/>
        </w:rPr>
        <w:t xml:space="preserve">"Statutory language . . . cannot be construed in a vacuum.") (quotation marks omitted); </w:t>
      </w:r>
      <w:bookmarkStart w:id="4491" w:name="Bookmark_I5DG18K02HM6540010000400"/>
      <w:bookmarkEnd w:id="4491"/>
      <w:r>
        <w:rPr>
          <w:rFonts w:ascii="Arial" w:eastAsia="Arial" w:hAnsi="Arial" w:cs="Arial"/>
          <w:color w:val="000000"/>
          <w:sz w:val="20"/>
          <w:u w:val="single"/>
        </w:rPr>
        <w:t>FDA v. Brown &amp; Williamson Tobacco Corp</w:t>
      </w:r>
      <w:r>
        <w:rPr>
          <w:rFonts w:ascii="Arial" w:eastAsia="Arial" w:hAnsi="Arial" w:cs="Arial"/>
          <w:color w:val="000000"/>
          <w:sz w:val="20"/>
        </w:rPr>
        <w:t xml:space="preserve">., 529 U.S. 120, 133, 120 S.Ct. 1291, 1301, 146 L. Ed. 2d 121 (2000) ("It is a fundamental canon of statutory construction that the words of a statute must be read in their context and with a view to their place in the overall statutory scheme.") (quotation marks omitted); </w:t>
      </w:r>
      <w:bookmarkStart w:id="4492" w:name="Bookmark_I5DG18K02HM6540030000400"/>
      <w:bookmarkEnd w:id="4492"/>
      <w:r>
        <w:rPr>
          <w:rFonts w:ascii="Arial" w:eastAsia="Arial" w:hAnsi="Arial" w:cs="Arial"/>
          <w:color w:val="000000"/>
          <w:sz w:val="20"/>
          <w:u w:val="single"/>
        </w:rPr>
        <w:t>Edison v. Douberly</w:t>
      </w:r>
      <w:r>
        <w:rPr>
          <w:rFonts w:ascii="Arial" w:eastAsia="Arial" w:hAnsi="Arial" w:cs="Arial"/>
          <w:color w:val="000000"/>
          <w:sz w:val="20"/>
        </w:rPr>
        <w:t xml:space="preserve">, 604 F.3d 1307, 1310 (11th Cir. 2010) ("We too have long recognized that our authority to interpret statutory language is constrained by the plain meaning of the statutory language in the context [**16]  of the entire statute, as assisted by the canons of statutory construction."). Therefore, </w:t>
      </w:r>
      <w:bookmarkStart w:id="4493" w:name="Bookmark_LNHNREFclscc7_23"/>
      <w:bookmarkEnd w:id="4493"/>
      <w:r>
        <w:rPr>
          <w:rFonts w:ascii="Arial" w:eastAsia="Arial" w:hAnsi="Arial" w:cs="Arial"/>
          <w:color w:val="000000"/>
          <w:sz w:val="20"/>
        </w:rPr>
        <w:t>the threshold for associational standing under both the RA and the ADA is the same: non-disabled persons have standing to seek relief under either statute only if they allege that they were personally excluded, personally denied benefits, or personally discriminated against because of their association with a disabled person.</w:t>
      </w:r>
    </w:p>
    <w:p w14:paraId="443307DD" w14:textId="77777777" w:rsidR="002D0E71" w:rsidRDefault="00000000">
      <w:pPr>
        <w:pStyle w:val="Normal32"/>
        <w:widowControl w:val="0"/>
        <w:spacing w:before="200" w:line="260" w:lineRule="atLeast"/>
        <w:jc w:val="both"/>
      </w:pPr>
      <w:bookmarkStart w:id="4494" w:name="Bookmark_para_22_23"/>
      <w:bookmarkEnd w:id="4494"/>
      <w:r>
        <w:rPr>
          <w:rFonts w:ascii="Arial" w:eastAsia="Arial" w:hAnsi="Arial" w:cs="Arial"/>
          <w:color w:val="000000"/>
          <w:sz w:val="20"/>
        </w:rPr>
        <w:t xml:space="preserve">This interpretation complies with the </w:t>
      </w:r>
      <w:bookmarkStart w:id="4495" w:name="Bookmark_LNHNREFclscc8_23"/>
      <w:bookmarkEnd w:id="4495"/>
      <w:r>
        <w:rPr>
          <w:rFonts w:ascii="Arial" w:eastAsia="Arial" w:hAnsi="Arial" w:cs="Arial"/>
          <w:color w:val="000000"/>
          <w:sz w:val="20"/>
        </w:rPr>
        <w:t xml:space="preserve">ADA's express directive that we must not construe that statute to apply a lesser standard than the standards that apply under the RA. </w:t>
      </w:r>
      <w:r>
        <w:rPr>
          <w:rFonts w:ascii="Arial" w:eastAsia="Arial" w:hAnsi="Arial" w:cs="Arial"/>
          <w:color w:val="000000"/>
          <w:sz w:val="20"/>
          <w:u w:val="single"/>
        </w:rPr>
        <w:t>See</w:t>
      </w:r>
      <w:r>
        <w:rPr>
          <w:rFonts w:ascii="Arial" w:eastAsia="Arial" w:hAnsi="Arial" w:cs="Arial"/>
          <w:color w:val="000000"/>
          <w:sz w:val="20"/>
        </w:rPr>
        <w:t xml:space="preserve"> 42 U.S.C. § 12201(a) ("Except as otherwise provided in this chapter, nothing in this chapter shall be construed to apply a lesser standard than the standards applied under title V of the Rehabilitation Act of 1973 . . . ."). If we held that § 794a(a)(2), the associational standing provision of the RA, covered injuries beyond the exclusion, denial of benefits, or discrimination that a plaintiff personally suffers, the RA would impose a higher standard than the ADA associational standing provision does. </w:t>
      </w:r>
      <w:bookmarkStart w:id="4496" w:name="Bookmark_LNHNREFclscc9_22"/>
      <w:bookmarkEnd w:id="4496"/>
      <w:r>
        <w:rPr>
          <w:rFonts w:ascii="Arial" w:eastAsia="Arial" w:hAnsi="Arial" w:cs="Arial"/>
          <w:color w:val="000000"/>
          <w:sz w:val="20"/>
        </w:rPr>
        <w:t xml:space="preserve">The ADA's associational standard extends only to those who have personally suffered exclusion, denial of benefits, or discrimination [**17]  because of their association with someone who is disabled. 42 U.S.C. § 12182(b)(1)(E) ("It shall be discriminatory </w:t>
      </w:r>
      <w:r>
        <w:rPr>
          <w:rFonts w:ascii="Arial" w:eastAsia="Arial" w:hAnsi="Arial" w:cs="Arial"/>
          <w:color w:val="000000"/>
          <w:sz w:val="20"/>
          <w:u w:val="single"/>
        </w:rPr>
        <w:t>to exclude or otherwise deny</w:t>
      </w:r>
      <w:r>
        <w:rPr>
          <w:rFonts w:ascii="Arial" w:eastAsia="Arial" w:hAnsi="Arial" w:cs="Arial"/>
          <w:color w:val="000000"/>
          <w:sz w:val="20"/>
        </w:rPr>
        <w:t xml:space="preserve"> equal goods, services, facilities, privileges, advantages, accommodations, or other opportunities </w:t>
      </w:r>
      <w:r>
        <w:rPr>
          <w:rFonts w:ascii="Arial" w:eastAsia="Arial" w:hAnsi="Arial" w:cs="Arial"/>
          <w:color w:val="000000"/>
          <w:sz w:val="20"/>
          <w:u w:val="single"/>
        </w:rPr>
        <w:t>to an individual</w:t>
      </w:r>
      <w:r>
        <w:rPr>
          <w:rFonts w:ascii="Arial" w:eastAsia="Arial" w:hAnsi="Arial" w:cs="Arial"/>
          <w:color w:val="000000"/>
          <w:sz w:val="20"/>
        </w:rPr>
        <w:t xml:space="preserve"> or entity because of the known disability of an individual with whom the individual or entity is known to have a relationship or association.") (emphasis added).</w:t>
      </w:r>
    </w:p>
    <w:p w14:paraId="74C18106" w14:textId="77777777" w:rsidR="002D0E71" w:rsidRDefault="00000000">
      <w:pPr>
        <w:pStyle w:val="Normal32"/>
        <w:widowControl w:val="0"/>
        <w:spacing w:before="200" w:line="260" w:lineRule="atLeast"/>
        <w:jc w:val="both"/>
      </w:pPr>
      <w:bookmarkStart w:id="4497" w:name="Bookmark_para_23_23"/>
      <w:bookmarkStart w:id="4498" w:name="Bookmark_LNHNREFclscc10_22"/>
      <w:bookmarkEnd w:id="4497"/>
      <w:bookmarkEnd w:id="4498"/>
      <w:r>
        <w:rPr>
          <w:rFonts w:ascii="Arial" w:eastAsia="Arial" w:hAnsi="Arial" w:cs="Arial"/>
          <w:color w:val="000000"/>
          <w:sz w:val="20"/>
        </w:rPr>
        <w:t xml:space="preserve">We reject the contention that non-disabled individuals may seek relief under the RA and ADA for injuries other than exclusion, denial of benefits, or discrimination that they themselves suffer. If that contention were correct, it would mean that Congress granted non-disabled persons more rights under the ADA and RA than it granted to disabled persons, who can  [*1144]  recover only if they are personally excluded, denied benefits, or discriminated against on the basis of their disability. </w:t>
      </w:r>
      <w:bookmarkStart w:id="4499" w:name="Bookmark_I5DG18K02D6N800010000400"/>
      <w:bookmarkEnd w:id="4499"/>
      <w:r>
        <w:rPr>
          <w:rFonts w:ascii="Arial" w:eastAsia="Arial" w:hAnsi="Arial" w:cs="Arial"/>
          <w:color w:val="000000"/>
          <w:sz w:val="20"/>
          <w:u w:val="single"/>
        </w:rPr>
        <w:t>See</w:t>
      </w:r>
      <w:r>
        <w:rPr>
          <w:rFonts w:ascii="Arial" w:eastAsia="Arial" w:hAnsi="Arial" w:cs="Arial"/>
          <w:color w:val="000000"/>
          <w:sz w:val="20"/>
        </w:rPr>
        <w:t xml:space="preserve"> 29 U.S.C. § 794(a); 42 U.S.C. § 12182. That cannot be right given that Congress enacted both laws to promote the rights of the disabled. </w:t>
      </w:r>
      <w:r>
        <w:rPr>
          <w:rFonts w:ascii="Arial" w:eastAsia="Arial" w:hAnsi="Arial" w:cs="Arial"/>
          <w:color w:val="000000"/>
          <w:sz w:val="20"/>
          <w:u w:val="single"/>
        </w:rPr>
        <w:t>See</w:t>
      </w:r>
      <w:r>
        <w:rPr>
          <w:rFonts w:ascii="Arial" w:eastAsia="Arial" w:hAnsi="Arial" w:cs="Arial"/>
          <w:color w:val="000000"/>
          <w:sz w:val="20"/>
        </w:rPr>
        <w:t xml:space="preserve"> Rehabilitation Act of 1973, Pub. L. No. 93-112, § 2, 87 Stat. 355, 357 (explaining Congress' purpose in enacting the RA); Americans with Disabilities Act of 1990, Pub. L. No. 101-336, § 2(b), 104 Stat. 327, 329 (explaining Congress' purpose in enacting the ADA); </w:t>
      </w:r>
      <w:r>
        <w:rPr>
          <w:rFonts w:ascii="Arial" w:eastAsia="Arial" w:hAnsi="Arial" w:cs="Arial"/>
          <w:color w:val="000000"/>
          <w:sz w:val="20"/>
          <w:u w:val="single"/>
        </w:rPr>
        <w:t xml:space="preserve">see also </w:t>
      </w:r>
      <w:bookmarkStart w:id="4500" w:name="Bookmark_I5DG18K02HM6540050000400"/>
      <w:bookmarkEnd w:id="4500"/>
      <w:r>
        <w:rPr>
          <w:rFonts w:ascii="Arial" w:eastAsia="Arial" w:hAnsi="Arial" w:cs="Arial"/>
          <w:color w:val="000000"/>
          <w:sz w:val="20"/>
          <w:u w:val="single"/>
        </w:rPr>
        <w:t>Loeffler</w:t>
      </w:r>
      <w:r>
        <w:rPr>
          <w:rFonts w:ascii="Arial" w:eastAsia="Arial" w:hAnsi="Arial" w:cs="Arial"/>
          <w:color w:val="000000"/>
          <w:sz w:val="20"/>
        </w:rPr>
        <w:t>, 582 F.3d at 287 (Jacobs, C.J., dissenting) (rejecting [**18]  an expansive interpretation of standing under the RA that would "grant more extensive remedies to associated persons than to persons with disabilities" because "only the disabled would actually have to be excluded, denied, or subjected to discrimination in order to recover damages").</w:t>
      </w:r>
    </w:p>
    <w:p w14:paraId="3E7FB7EB" w14:textId="77777777" w:rsidR="002D0E71" w:rsidRDefault="00000000">
      <w:pPr>
        <w:pStyle w:val="Normal32"/>
        <w:widowControl w:val="0"/>
        <w:spacing w:before="200" w:line="260" w:lineRule="atLeast"/>
        <w:jc w:val="both"/>
      </w:pPr>
      <w:bookmarkStart w:id="4501" w:name="Bookmark_para_24_23"/>
      <w:bookmarkStart w:id="4502" w:name="Bookmark_I08S7D7CVHF000W151300066"/>
      <w:bookmarkStart w:id="4503" w:name="Bookmark_I5DG18K02D6N800030000400"/>
      <w:bookmarkStart w:id="4504" w:name="Bookmark_I5DG18K028T4RY0020000400"/>
      <w:bookmarkEnd w:id="4501"/>
      <w:bookmarkEnd w:id="4502"/>
      <w:bookmarkEnd w:id="4503"/>
      <w:bookmarkEnd w:id="4504"/>
      <w:r>
        <w:rPr>
          <w:rFonts w:ascii="Arial" w:eastAsia="Arial" w:hAnsi="Arial" w:cs="Arial"/>
          <w:color w:val="000000"/>
          <w:sz w:val="20"/>
        </w:rPr>
        <w:t xml:space="preserve">We are not persuaded by the Second Circuit's </w:t>
      </w:r>
      <w:bookmarkStart w:id="4505" w:name="Bookmark_I5DG18K02D6N800020000400"/>
      <w:bookmarkEnd w:id="4505"/>
      <w:r>
        <w:rPr>
          <w:rFonts w:ascii="Arial" w:eastAsia="Arial" w:hAnsi="Arial" w:cs="Arial"/>
          <w:color w:val="000000"/>
          <w:sz w:val="20"/>
          <w:u w:val="single"/>
        </w:rPr>
        <w:t>Loeffler</w:t>
      </w:r>
      <w:r>
        <w:rPr>
          <w:rFonts w:ascii="Arial" w:eastAsia="Arial" w:hAnsi="Arial" w:cs="Arial"/>
          <w:color w:val="000000"/>
          <w:sz w:val="20"/>
        </w:rPr>
        <w:t xml:space="preserve"> decision and its broad interpretation of standing under the RA. In </w:t>
      </w:r>
      <w:r>
        <w:rPr>
          <w:rFonts w:ascii="Arial" w:eastAsia="Arial" w:hAnsi="Arial" w:cs="Arial"/>
          <w:color w:val="000000"/>
          <w:sz w:val="20"/>
          <w:u w:val="single"/>
        </w:rPr>
        <w:t>Loeffler</w:t>
      </w:r>
      <w:r>
        <w:rPr>
          <w:rFonts w:ascii="Arial" w:eastAsia="Arial" w:hAnsi="Arial" w:cs="Arial"/>
          <w:color w:val="000000"/>
          <w:sz w:val="20"/>
        </w:rPr>
        <w:t xml:space="preserve">, the Second Circuit held that non-disabled plaintiffs were aggrieved within the meaning of § 794a(a)(2) so long as they could show "an independent injury causally related to the denial of federally required services to the disabled persons with whom [they] are associated." </w:t>
      </w:r>
      <w:bookmarkStart w:id="4506" w:name="Bookmark_I5DG18K02D6N800040000400"/>
      <w:bookmarkEnd w:id="4506"/>
      <w:r>
        <w:rPr>
          <w:rFonts w:ascii="Arial" w:eastAsia="Arial" w:hAnsi="Arial" w:cs="Arial"/>
          <w:color w:val="000000"/>
          <w:sz w:val="20"/>
        </w:rPr>
        <w:t>582 F.3d at 279 (Wesley, J. concurring).</w:t>
      </w:r>
      <w:r>
        <w:rPr>
          <w:rFonts w:ascii="Arial" w:eastAsia="Arial" w:hAnsi="Arial" w:cs="Arial"/>
          <w:vertAlign w:val="superscript"/>
        </w:rPr>
        <w:footnoteReference w:customMarkFollows="1" w:id="165"/>
        <w:t>6</w:t>
      </w:r>
      <w:r>
        <w:rPr>
          <w:rFonts w:ascii="Arial" w:eastAsia="Arial" w:hAnsi="Arial" w:cs="Arial"/>
          <w:color w:val="000000"/>
          <w:sz w:val="20"/>
        </w:rPr>
        <w:t xml:space="preserve"> The Second Circuit rejected the idea that the class of cognizable injuries under the RA was limited to exclusion, denial of benefits, or discrimination. </w:t>
      </w:r>
      <w:bookmarkStart w:id="4511" w:name="Bookmark_I5DG18K028T4RY0010000400"/>
      <w:bookmarkEnd w:id="4511"/>
      <w:r>
        <w:rPr>
          <w:rFonts w:ascii="Arial" w:eastAsia="Arial" w:hAnsi="Arial" w:cs="Arial"/>
          <w:color w:val="000000"/>
          <w:sz w:val="20"/>
          <w:u w:val="single"/>
        </w:rPr>
        <w:t>Id</w:t>
      </w:r>
      <w:r>
        <w:rPr>
          <w:rFonts w:ascii="Arial" w:eastAsia="Arial" w:hAnsi="Arial" w:cs="Arial"/>
          <w:color w:val="000000"/>
          <w:sz w:val="20"/>
        </w:rPr>
        <w:t xml:space="preserve">. at 280. It did so because "[t]he standing provision of the RA . . . is distinct from the provision prohibiting discriminatory conduct," and prior Second Circuit precedent indicated that associational standing under the RA should be interpreted "as broadly as possible under the Constitution, irrespective of § 794(a)." </w:t>
      </w:r>
      <w:r>
        <w:rPr>
          <w:rFonts w:ascii="Arial" w:eastAsia="Arial" w:hAnsi="Arial" w:cs="Arial"/>
          <w:color w:val="000000"/>
          <w:sz w:val="20"/>
          <w:u w:val="single"/>
        </w:rPr>
        <w:t>Id</w:t>
      </w:r>
      <w:r>
        <w:rPr>
          <w:rFonts w:ascii="Arial" w:eastAsia="Arial" w:hAnsi="Arial" w:cs="Arial"/>
          <w:color w:val="000000"/>
          <w:sz w:val="20"/>
        </w:rPr>
        <w:t xml:space="preserve">. The Second Circuit also concluded that, [**19]  even if the non-disabled plaintiffs in that case had been required to show that they were personally denied benefits, they had made that showing because "they were denied the benefits of adequate sign language interpretation services" when the hospital where their father was receiving treatment ignored their repeated requests to provide him with an interpreter. </w:t>
      </w:r>
      <w:r>
        <w:rPr>
          <w:rFonts w:ascii="Arial" w:eastAsia="Arial" w:hAnsi="Arial" w:cs="Arial"/>
          <w:color w:val="000000"/>
          <w:sz w:val="20"/>
          <w:u w:val="single"/>
        </w:rPr>
        <w:t>Id</w:t>
      </w:r>
      <w:r>
        <w:rPr>
          <w:rFonts w:ascii="Arial" w:eastAsia="Arial" w:hAnsi="Arial" w:cs="Arial"/>
          <w:color w:val="000000"/>
          <w:sz w:val="20"/>
        </w:rPr>
        <w:t>.</w:t>
      </w:r>
    </w:p>
    <w:p w14:paraId="44BF8C36" w14:textId="77777777" w:rsidR="002D0E71" w:rsidRDefault="00000000">
      <w:pPr>
        <w:pStyle w:val="Normal32"/>
        <w:widowControl w:val="0"/>
        <w:spacing w:before="200" w:line="260" w:lineRule="atLeast"/>
        <w:jc w:val="both"/>
      </w:pPr>
      <w:bookmarkStart w:id="4512" w:name="Bookmark_para_25_23"/>
      <w:bookmarkEnd w:id="4512"/>
      <w:r>
        <w:rPr>
          <w:rFonts w:ascii="Arial" w:eastAsia="Arial" w:hAnsi="Arial" w:cs="Arial"/>
          <w:color w:val="000000"/>
          <w:sz w:val="20"/>
        </w:rPr>
        <w:t xml:space="preserve">We disagree with </w:t>
      </w:r>
      <w:r>
        <w:rPr>
          <w:rFonts w:ascii="Arial" w:eastAsia="Arial" w:hAnsi="Arial" w:cs="Arial"/>
          <w:color w:val="000000"/>
          <w:sz w:val="20"/>
          <w:u w:val="single"/>
        </w:rPr>
        <w:t>Loeffler</w:t>
      </w:r>
      <w:r>
        <w:rPr>
          <w:rFonts w:ascii="Arial" w:eastAsia="Arial" w:hAnsi="Arial" w:cs="Arial"/>
          <w:color w:val="000000"/>
          <w:sz w:val="20"/>
        </w:rPr>
        <w:t xml:space="preserve">'s reasoning. </w:t>
      </w:r>
      <w:bookmarkStart w:id="4513" w:name="Bookmark_I5DG18K02D6N810030000400"/>
      <w:bookmarkEnd w:id="4513"/>
      <w:r>
        <w:rPr>
          <w:rFonts w:ascii="Arial" w:eastAsia="Arial" w:hAnsi="Arial" w:cs="Arial"/>
          <w:color w:val="000000"/>
          <w:sz w:val="20"/>
        </w:rPr>
        <w:t xml:space="preserve">As we have explained, </w:t>
      </w:r>
      <w:bookmarkStart w:id="4514" w:name="Bookmark_LNHNREFclscc11_17"/>
      <w:bookmarkEnd w:id="4514"/>
      <w:r>
        <w:rPr>
          <w:rFonts w:ascii="Arial" w:eastAsia="Arial" w:hAnsi="Arial" w:cs="Arial"/>
          <w:color w:val="000000"/>
          <w:sz w:val="20"/>
        </w:rPr>
        <w:t xml:space="preserve">the statutory context of the RA indicates that a party is "aggrieved" within the meaning of § 794a(a)(2) only if she is personally excluded, denied benefits, or discriminated against because of her association with [**20]  a disabled person. The associational standing provision of the RA should not be interpreted "irrespective of § 794(a)," the provision that prohibits discrimination against disabled people. </w:t>
      </w:r>
      <w:r>
        <w:rPr>
          <w:rFonts w:ascii="Arial" w:eastAsia="Arial" w:hAnsi="Arial" w:cs="Arial"/>
          <w:color w:val="000000"/>
          <w:sz w:val="20"/>
          <w:u w:val="single"/>
        </w:rPr>
        <w:t xml:space="preserve">See </w:t>
      </w:r>
      <w:bookmarkStart w:id="4515" w:name="Bookmark_I5DG18K02D6N810020000400"/>
      <w:bookmarkEnd w:id="4515"/>
      <w:r>
        <w:rPr>
          <w:rFonts w:ascii="Arial" w:eastAsia="Arial" w:hAnsi="Arial" w:cs="Arial"/>
          <w:color w:val="000000"/>
          <w:sz w:val="20"/>
          <w:u w:val="single"/>
        </w:rPr>
        <w:t>Loeffler</w:t>
      </w:r>
      <w:r>
        <w:rPr>
          <w:rFonts w:ascii="Arial" w:eastAsia="Arial" w:hAnsi="Arial" w:cs="Arial"/>
          <w:color w:val="000000"/>
          <w:sz w:val="20"/>
        </w:rPr>
        <w:t xml:space="preserve">, 582 F.3d at 280. We also disagree with the Second Circuit's conclusion that non-disabled persons are denied benefits when a hospital relies on them to help interpret for a deaf patient. </w:t>
      </w:r>
      <w:bookmarkStart w:id="4516" w:name="Bookmark_LNHNREFclscc12_17"/>
      <w:bookmarkEnd w:id="4516"/>
      <w:r>
        <w:rPr>
          <w:rFonts w:ascii="Arial" w:eastAsia="Arial" w:hAnsi="Arial" w:cs="Arial"/>
          <w:color w:val="000000"/>
          <w:sz w:val="20"/>
        </w:rPr>
        <w:t xml:space="preserve">Although disabled persons are entitled to appropriate benefits in the form of accommodations, </w:t>
      </w:r>
      <w:r>
        <w:rPr>
          <w:rFonts w:ascii="Arial" w:eastAsia="Arial" w:hAnsi="Arial" w:cs="Arial"/>
          <w:color w:val="000000"/>
          <w:sz w:val="20"/>
          <w:u w:val="single"/>
        </w:rPr>
        <w:t>see</w:t>
      </w:r>
      <w:r>
        <w:rPr>
          <w:rFonts w:ascii="Arial" w:eastAsia="Arial" w:hAnsi="Arial" w:cs="Arial"/>
          <w:color w:val="000000"/>
          <w:sz w:val="20"/>
        </w:rPr>
        <w:t xml:space="preserve"> 28 C.F.R. § 35.160(b)(1), the relevant federal regulations in effect at the time of D.F.'s hospitalization did not confer any corresponding benefit on non-disabled persons.</w:t>
      </w:r>
    </w:p>
    <w:p w14:paraId="0372C54B" w14:textId="77777777" w:rsidR="002D0E71" w:rsidRDefault="00000000">
      <w:pPr>
        <w:pStyle w:val="Normal32"/>
        <w:widowControl w:val="0"/>
        <w:spacing w:before="200" w:line="260" w:lineRule="atLeast"/>
        <w:jc w:val="both"/>
      </w:pPr>
      <w:bookmarkStart w:id="4517" w:name="Bookmark_para_26_22"/>
      <w:bookmarkStart w:id="4518" w:name="Bookmark_I08S7D7D0BK000W151300067"/>
      <w:bookmarkStart w:id="4519" w:name="Bookmark_I5DG18K02D6N810050000400"/>
      <w:bookmarkStart w:id="4520" w:name="Bookmark_I5DG18K02N1RBF0040000400"/>
      <w:bookmarkEnd w:id="4517"/>
      <w:bookmarkEnd w:id="4518"/>
      <w:bookmarkEnd w:id="4519"/>
      <w:bookmarkEnd w:id="4520"/>
      <w:r>
        <w:rPr>
          <w:rFonts w:ascii="Arial" w:eastAsia="Arial" w:hAnsi="Arial" w:cs="Arial"/>
          <w:color w:val="000000"/>
          <w:sz w:val="20"/>
        </w:rPr>
        <w:t xml:space="preserve">Beyond its reasoning, </w:t>
      </w:r>
      <w:bookmarkStart w:id="4521" w:name="Bookmark_I5DG18K02D6N810040000400"/>
      <w:bookmarkEnd w:id="4521"/>
      <w:r>
        <w:rPr>
          <w:rFonts w:ascii="Arial" w:eastAsia="Arial" w:hAnsi="Arial" w:cs="Arial"/>
          <w:color w:val="000000"/>
          <w:sz w:val="20"/>
          <w:u w:val="single"/>
        </w:rPr>
        <w:t>Loeffler</w:t>
      </w:r>
      <w:r>
        <w:rPr>
          <w:rFonts w:ascii="Arial" w:eastAsia="Arial" w:hAnsi="Arial" w:cs="Arial"/>
          <w:color w:val="000000"/>
          <w:sz w:val="20"/>
        </w:rPr>
        <w:t xml:space="preserve">'s extreme facts distinguish it from this case. In that  [*1145]  case the plaintiffs repeatedly asked hospital officials to provide a sign language interpreter for their deaf father, but those requests were persistently ignored or "laughed off." </w:t>
      </w:r>
      <w:bookmarkStart w:id="4522" w:name="Bookmark_I5DG18K02N1RBF0010000400"/>
      <w:bookmarkEnd w:id="4522"/>
      <w:r>
        <w:rPr>
          <w:rFonts w:ascii="Arial" w:eastAsia="Arial" w:hAnsi="Arial" w:cs="Arial"/>
          <w:color w:val="000000"/>
          <w:sz w:val="20"/>
        </w:rPr>
        <w:t xml:space="preserve">582 F.3d at 271, 273, 276. Instead, the hospital conscripted the 17-year-old and 13-year-old plaintiffs to serve as interpreters, going so far as to give one of the children a pager so she could be "on call," and causing both children to miss more than a week of school. </w:t>
      </w:r>
      <w:bookmarkStart w:id="4523" w:name="Bookmark_I5DG18K02N1RBF0030000400"/>
      <w:bookmarkEnd w:id="4523"/>
      <w:r>
        <w:rPr>
          <w:rFonts w:ascii="Arial" w:eastAsia="Arial" w:hAnsi="Arial" w:cs="Arial"/>
          <w:color w:val="000000"/>
          <w:sz w:val="20"/>
          <w:u w:val="single"/>
        </w:rPr>
        <w:t>Id</w:t>
      </w:r>
      <w:r>
        <w:rPr>
          <w:rFonts w:ascii="Arial" w:eastAsia="Arial" w:hAnsi="Arial" w:cs="Arial"/>
          <w:color w:val="000000"/>
          <w:sz w:val="20"/>
        </w:rPr>
        <w:t>. at 272-73. Here, the Parrish and Arnold Palmer hospitals did not ignore, reject, or laugh off [**21]  any requests for an interpreter. It is undisputed that D.F. and his family members never requested one. D.F.'s parents and his sister have also failed to identify any evidence indicating that they missed either work or school because they were at the hospital interpreting for D.F.</w:t>
      </w:r>
    </w:p>
    <w:p w14:paraId="65078145" w14:textId="77777777" w:rsidR="002D0E71" w:rsidRDefault="00000000">
      <w:pPr>
        <w:pStyle w:val="Normal32"/>
        <w:widowControl w:val="0"/>
        <w:spacing w:before="200" w:line="260" w:lineRule="atLeast"/>
        <w:jc w:val="both"/>
      </w:pPr>
      <w:bookmarkStart w:id="4524" w:name="Bookmark_para_27_22"/>
      <w:bookmarkStart w:id="4525" w:name="Bookmark_I5DG18K028T4S00010000400"/>
      <w:bookmarkEnd w:id="4524"/>
      <w:bookmarkEnd w:id="4525"/>
      <w:r>
        <w:rPr>
          <w:rFonts w:ascii="Arial" w:eastAsia="Arial" w:hAnsi="Arial" w:cs="Arial"/>
          <w:color w:val="000000"/>
          <w:sz w:val="20"/>
        </w:rPr>
        <w:t xml:space="preserve">There are not even any allegations that Parrish or Arnold Palmer hospitals excluded, denied benefits to, or discriminated against the parents or sister because of their association with D.F. As a result they lack standing to sue under the RA and ADA, and the district court properly dismissed their claims. </w:t>
      </w:r>
      <w:r>
        <w:rPr>
          <w:rFonts w:ascii="Arial" w:eastAsia="Arial" w:hAnsi="Arial" w:cs="Arial"/>
          <w:color w:val="000000"/>
          <w:sz w:val="20"/>
          <w:u w:val="single"/>
        </w:rPr>
        <w:t xml:space="preserve">See </w:t>
      </w:r>
      <w:bookmarkStart w:id="4526" w:name="Bookmark_I5DG18K02N1RBF0050000400"/>
      <w:bookmarkEnd w:id="4526"/>
      <w:r>
        <w:rPr>
          <w:rFonts w:ascii="Arial" w:eastAsia="Arial" w:hAnsi="Arial" w:cs="Arial"/>
          <w:color w:val="000000"/>
          <w:sz w:val="20"/>
          <w:u w:val="single"/>
        </w:rPr>
        <w:t>Lexmark Int'l, Inc. v. Static Control Components, Inc</w:t>
      </w:r>
      <w:r>
        <w:rPr>
          <w:rFonts w:ascii="Arial" w:eastAsia="Arial" w:hAnsi="Arial" w:cs="Arial"/>
          <w:color w:val="000000"/>
          <w:sz w:val="20"/>
        </w:rPr>
        <w:t xml:space="preserve">., </w:t>
      </w:r>
      <w:r>
        <w:rPr>
          <w:rFonts w:ascii="Arial" w:eastAsia="Arial" w:hAnsi="Arial" w:cs="Arial"/>
          <w:color w:val="000000"/>
          <w:sz w:val="20"/>
          <w:u w:val="single"/>
        </w:rPr>
        <w:t>   </w:t>
      </w:r>
      <w:r>
        <w:rPr>
          <w:rFonts w:ascii="Arial" w:eastAsia="Arial" w:hAnsi="Arial" w:cs="Arial"/>
          <w:color w:val="000000"/>
          <w:sz w:val="20"/>
        </w:rPr>
        <w:t xml:space="preserve"> U.S. </w:t>
      </w:r>
      <w:r>
        <w:rPr>
          <w:rFonts w:ascii="Arial" w:eastAsia="Arial" w:hAnsi="Arial" w:cs="Arial"/>
          <w:color w:val="000000"/>
          <w:sz w:val="20"/>
          <w:u w:val="single"/>
        </w:rPr>
        <w:t>   </w:t>
      </w:r>
      <w:r>
        <w:rPr>
          <w:rFonts w:ascii="Arial" w:eastAsia="Arial" w:hAnsi="Arial" w:cs="Arial"/>
          <w:color w:val="000000"/>
          <w:sz w:val="20"/>
        </w:rPr>
        <w:t xml:space="preserve">, 134 S.Ct. 1377, 1387, 188 L. Ed. 2d 392 (2014) (noting that </w:t>
      </w:r>
      <w:bookmarkStart w:id="4527" w:name="Bookmark_LNHNREFclscc13_14"/>
      <w:bookmarkEnd w:id="4527"/>
      <w:r>
        <w:rPr>
          <w:rFonts w:ascii="Arial" w:eastAsia="Arial" w:hAnsi="Arial" w:cs="Arial"/>
          <w:color w:val="000000"/>
          <w:sz w:val="20"/>
        </w:rPr>
        <w:t>a plaintiff lacks statutory standing if, under a proper construction of the statute at issue, her claim does not fall within the cause of action created by the statute).</w:t>
      </w:r>
    </w:p>
    <w:p w14:paraId="6BF728A7" w14:textId="77777777" w:rsidR="002D0E71" w:rsidRDefault="00000000">
      <w:pPr>
        <w:pStyle w:val="Normal32"/>
        <w:widowControl w:val="0"/>
        <w:spacing w:before="120" w:line="260" w:lineRule="atLeast"/>
      </w:pPr>
      <w:r>
        <w:rPr>
          <w:rFonts w:ascii="Arial" w:eastAsia="Arial" w:hAnsi="Arial" w:cs="Arial"/>
          <w:color w:val="000000"/>
          <w:sz w:val="20"/>
        </w:rPr>
        <w:t>B.</w:t>
      </w:r>
    </w:p>
    <w:p w14:paraId="03DF80CA" w14:textId="77777777" w:rsidR="002D0E71" w:rsidRDefault="00000000">
      <w:pPr>
        <w:pStyle w:val="Normal32"/>
        <w:widowControl w:val="0"/>
        <w:spacing w:before="200" w:line="260" w:lineRule="atLeast"/>
        <w:jc w:val="both"/>
      </w:pPr>
      <w:bookmarkStart w:id="4528" w:name="Bookmark_para_28_20"/>
      <w:bookmarkEnd w:id="4528"/>
      <w:r>
        <w:rPr>
          <w:rFonts w:ascii="Arial" w:eastAsia="Arial" w:hAnsi="Arial" w:cs="Arial"/>
          <w:color w:val="000000"/>
          <w:sz w:val="20"/>
        </w:rPr>
        <w:t>D.F. contends that the district court erred when it found that his claims seeking injunctive relief were too speculative and granted the defendants summary judgment on those claims.</w:t>
      </w:r>
      <w:r>
        <w:rPr>
          <w:rFonts w:ascii="Arial" w:eastAsia="Arial" w:hAnsi="Arial" w:cs="Arial"/>
          <w:vertAlign w:val="superscript"/>
        </w:rPr>
        <w:footnoteReference w:customMarkFollows="1" w:id="166"/>
        <w:t>7</w:t>
      </w:r>
      <w:r>
        <w:rPr>
          <w:rFonts w:ascii="Arial" w:eastAsia="Arial" w:hAnsi="Arial" w:cs="Arial"/>
          <w:color w:val="000000"/>
          <w:sz w:val="20"/>
        </w:rPr>
        <w:t xml:space="preserve"> He contends that he suffers from a "chronic medical condition" from which he "continues to experience complications." As a result, he asserts, he is likely to return to the Parrish and Arnold Palmer hospitals for treatment and suffer the same [**22]  alleged denial of benefits or discrimination that he experienced during his initial hospitalizations there.</w:t>
      </w:r>
    </w:p>
    <w:p w14:paraId="305C6B13" w14:textId="77777777" w:rsidR="002D0E71" w:rsidRDefault="00000000">
      <w:pPr>
        <w:pStyle w:val="Normal32"/>
        <w:widowControl w:val="0"/>
        <w:spacing w:before="200" w:line="260" w:lineRule="atLeast"/>
        <w:jc w:val="both"/>
      </w:pPr>
      <w:bookmarkStart w:id="4530" w:name="Bookmark_para_29_20"/>
      <w:bookmarkStart w:id="4531" w:name="Bookmark_I08S7D7CF21000W151300063"/>
      <w:bookmarkStart w:id="4532" w:name="Bookmark_I5DG18K028T4S00030000400"/>
      <w:bookmarkStart w:id="4533" w:name="Bookmark_LNHNREFclscc14_10"/>
      <w:bookmarkEnd w:id="4530"/>
      <w:bookmarkEnd w:id="4531"/>
      <w:bookmarkEnd w:id="4532"/>
      <w:bookmarkEnd w:id="4533"/>
      <w:r>
        <w:rPr>
          <w:rFonts w:ascii="Arial" w:eastAsia="Arial" w:hAnsi="Arial" w:cs="Arial"/>
          <w:color w:val="000000"/>
          <w:sz w:val="20"/>
        </w:rPr>
        <w:t xml:space="preserve">At the summary judgment stage, a plaintiff must come forward with evidence showing the following in order to have Article III standing: (1) an injury in fact that is concrete, particularized, and either actual or imminent; (2) a causal connection between the injury and the conduct complained of; and (3) a likelihood that a favorable judicial decision will redress the injury. </w:t>
      </w:r>
      <w:bookmarkStart w:id="4534" w:name="Bookmark_I5DG18K028T4S00050000400"/>
      <w:bookmarkEnd w:id="4534"/>
      <w:r>
        <w:rPr>
          <w:rFonts w:ascii="Arial" w:eastAsia="Arial" w:hAnsi="Arial" w:cs="Arial"/>
          <w:color w:val="000000"/>
          <w:sz w:val="20"/>
          <w:u w:val="single"/>
        </w:rPr>
        <w:t xml:space="preserve">See </w:t>
      </w:r>
      <w:bookmarkStart w:id="4535" w:name="Bookmark_I5DG18K028T4S00020000400"/>
      <w:bookmarkEnd w:id="4535"/>
      <w:r>
        <w:rPr>
          <w:rFonts w:ascii="Arial" w:eastAsia="Arial" w:hAnsi="Arial" w:cs="Arial"/>
          <w:color w:val="000000"/>
          <w:sz w:val="20"/>
          <w:u w:val="single"/>
        </w:rPr>
        <w:t>Lujan v. Defenders of Wildlife</w:t>
      </w:r>
      <w:r>
        <w:rPr>
          <w:rFonts w:ascii="Arial" w:eastAsia="Arial" w:hAnsi="Arial" w:cs="Arial"/>
          <w:color w:val="000000"/>
          <w:sz w:val="20"/>
        </w:rPr>
        <w:t xml:space="preserve">, 504 U.S. 555, 560-61, 112 S.Ct. 2130, 2136-37, 119 L. Ed. 2d 351 (1992). A plaintiff has standing to assert a claim for injunctive relief only when the threatened harm is real and immediate, not conjectural or hypothetical. </w:t>
      </w:r>
      <w:bookmarkStart w:id="4536" w:name="Bookmark_I5DG18K028T4S00050000400_2"/>
      <w:bookmarkStart w:id="4537" w:name="Bookmark_I5DG18K028T4S00040000400"/>
      <w:bookmarkEnd w:id="4536"/>
      <w:bookmarkEnd w:id="4537"/>
      <w:r>
        <w:rPr>
          <w:rFonts w:ascii="Arial" w:eastAsia="Arial" w:hAnsi="Arial" w:cs="Arial"/>
          <w:color w:val="000000"/>
          <w:sz w:val="20"/>
          <w:u w:val="single"/>
        </w:rPr>
        <w:t>Shotz v. Cates</w:t>
      </w:r>
      <w:r>
        <w:rPr>
          <w:rFonts w:ascii="Arial" w:eastAsia="Arial" w:hAnsi="Arial" w:cs="Arial"/>
          <w:color w:val="000000"/>
          <w:sz w:val="20"/>
        </w:rPr>
        <w:t xml:space="preserve">, 256 F.3d 1077, 1081 (11th Cir. 2001) ("In addition, '[b]ecause injunctions regulate future conduct, a party has standing to seek injunctive relief only if the party alleges . . . a real and immediate — as opposed to a merely conjectural or hypothetical — threat of </w:t>
      </w:r>
      <w:r>
        <w:rPr>
          <w:rFonts w:ascii="Arial" w:eastAsia="Arial" w:hAnsi="Arial" w:cs="Arial"/>
          <w:color w:val="000000"/>
          <w:sz w:val="20"/>
          <w:u w:val="single"/>
        </w:rPr>
        <w:t>future</w:t>
      </w:r>
      <w:r>
        <w:rPr>
          <w:rFonts w:ascii="Arial" w:eastAsia="Arial" w:hAnsi="Arial" w:cs="Arial"/>
          <w:color w:val="000000"/>
          <w:sz w:val="20"/>
        </w:rPr>
        <w:t xml:space="preserve"> injury.'") (alterations in original) (quoting </w:t>
      </w:r>
      <w:bookmarkStart w:id="4538" w:name="Bookmark_I5DG18K028T4S10010000400"/>
      <w:bookmarkEnd w:id="4538"/>
      <w:r>
        <w:rPr>
          <w:rFonts w:ascii="Arial" w:eastAsia="Arial" w:hAnsi="Arial" w:cs="Arial"/>
          <w:color w:val="000000"/>
          <w:sz w:val="20"/>
          <w:u w:val="single"/>
        </w:rPr>
        <w:t>Wooden v. Bd. of Regents of Univ. Sys. of Ga</w:t>
      </w:r>
      <w:r>
        <w:rPr>
          <w:rFonts w:ascii="Arial" w:eastAsia="Arial" w:hAnsi="Arial" w:cs="Arial"/>
          <w:color w:val="000000"/>
          <w:sz w:val="20"/>
        </w:rPr>
        <w:t>., 247 F.3d 1262, 1284 (11th Cir. 2001)).</w:t>
      </w:r>
    </w:p>
    <w:p w14:paraId="64847963" w14:textId="77777777" w:rsidR="002D0E71" w:rsidRDefault="00000000">
      <w:pPr>
        <w:pStyle w:val="Normal32"/>
        <w:widowControl w:val="0"/>
        <w:spacing w:before="200" w:line="260" w:lineRule="atLeast"/>
        <w:jc w:val="both"/>
      </w:pPr>
      <w:bookmarkStart w:id="4539" w:name="Bookmark_para_30_19"/>
      <w:bookmarkStart w:id="4540" w:name="Bookmark_I5DG18K028T4S10040000400"/>
      <w:bookmarkEnd w:id="4539"/>
      <w:bookmarkEnd w:id="4540"/>
      <w:r>
        <w:rPr>
          <w:rFonts w:ascii="Arial" w:eastAsia="Arial" w:hAnsi="Arial" w:cs="Arial"/>
          <w:color w:val="000000"/>
          <w:sz w:val="20"/>
        </w:rPr>
        <w:t xml:space="preserve">For two reasons, the district court was [**23]  correct to grant the defendants summary judgment on D.F.'s claims seeking injunctive relief. First, the parents failed to present evidence showing that there was a real and immediate threat that D.F. would be hospitalized again at either of the two  [*1146]  hospitals. </w:t>
      </w:r>
      <w:r>
        <w:rPr>
          <w:rFonts w:ascii="Arial" w:eastAsia="Arial" w:hAnsi="Arial" w:cs="Arial"/>
          <w:color w:val="000000"/>
          <w:sz w:val="20"/>
          <w:u w:val="single"/>
        </w:rPr>
        <w:t xml:space="preserve">See </w:t>
      </w:r>
      <w:bookmarkStart w:id="4541" w:name="Bookmark_I5DG18K028T4S10030000400"/>
      <w:bookmarkEnd w:id="4541"/>
      <w:r>
        <w:rPr>
          <w:rFonts w:ascii="Arial" w:eastAsia="Arial" w:hAnsi="Arial" w:cs="Arial"/>
          <w:color w:val="000000"/>
          <w:sz w:val="20"/>
          <w:u w:val="single"/>
        </w:rPr>
        <w:t>Shotz</w:t>
      </w:r>
      <w:r>
        <w:rPr>
          <w:rFonts w:ascii="Arial" w:eastAsia="Arial" w:hAnsi="Arial" w:cs="Arial"/>
          <w:color w:val="000000"/>
          <w:sz w:val="20"/>
        </w:rPr>
        <w:t>, 256 F.3d at 1081. Although D.F. asserts that ulcerative colitis is a chronic condition, he does not point to any medical evidence in support of that claim. Dr. Mehta testified that during D.F.'s initial hospitalization doctors removed his colon, which was "the organ [causing] the problem" for D.F. He also testified that D.F. is currently "doing well" and had achieved a "very good outcome" in the time since his surgery. Dr. Mehta indicated that D.F. can now control his symptoms with the help of over-the-counter medication. Finally, it is undisputed that between the time of D.F.'s December 2009 surgery and the time the appellees' briefs were filed in this appeal in October 2013, D.F. has not been hospitalized. Even viewing all of the evidence in D.F.'s favor, he has failed to establish a real and immediate threat that he will be readmitted to either Parrish or Arnold Palmer.</w:t>
      </w:r>
    </w:p>
    <w:p w14:paraId="4931C1BA" w14:textId="77777777" w:rsidR="002D0E71" w:rsidRDefault="00000000">
      <w:pPr>
        <w:pStyle w:val="Normal32"/>
        <w:widowControl w:val="0"/>
        <w:spacing w:before="200" w:line="260" w:lineRule="atLeast"/>
        <w:jc w:val="both"/>
      </w:pPr>
      <w:bookmarkStart w:id="4542" w:name="Bookmark_para_31_18"/>
      <w:bookmarkEnd w:id="4542"/>
      <w:r>
        <w:rPr>
          <w:rFonts w:ascii="Arial" w:eastAsia="Arial" w:hAnsi="Arial" w:cs="Arial"/>
          <w:color w:val="000000"/>
          <w:sz w:val="20"/>
        </w:rPr>
        <w:t xml:space="preserve">And even if we assume that D.F. will be hospitalized again at Parrish [**24]  or Arnold Palmer hospital, there is no evidence indicating that he will likely experience a denial of benefits or discrimination at either facility. As mentioned earlier, both hospitals have written policies stating that they will provide appropriate accommodations for hearing-impaired patients, which may include the use of a hospital-provided interpreter. Dr. Mehta also currently ensures that D.F. has a sign language interpreter present for his outpatient appointments on Arnold Palmer's medical campus. </w:t>
      </w:r>
      <w:bookmarkStart w:id="4543" w:name="Bookmark_I5DG18K02SF88C0010000400"/>
      <w:bookmarkEnd w:id="4543"/>
      <w:r>
        <w:rPr>
          <w:rFonts w:ascii="Arial" w:eastAsia="Arial" w:hAnsi="Arial" w:cs="Arial"/>
          <w:color w:val="000000"/>
          <w:sz w:val="20"/>
        </w:rPr>
        <w:t xml:space="preserve">Now that both hospitals know that D.F. wants an interpreter to help him communicate and D.F.'s parents know that all they have to do is request one, there is little or no chance that either hospital will refuse to provide D.F. with an interpreter if he is readmitted. Therefore there is no real and immediate threat of future injury, and the district court properly concluded that D.F. lacked standing to seek injunctive relief. </w:t>
      </w:r>
      <w:r>
        <w:rPr>
          <w:rFonts w:ascii="Arial" w:eastAsia="Arial" w:hAnsi="Arial" w:cs="Arial"/>
          <w:color w:val="000000"/>
          <w:sz w:val="20"/>
          <w:u w:val="single"/>
        </w:rPr>
        <w:t xml:space="preserve">See </w:t>
      </w:r>
      <w:bookmarkStart w:id="4544" w:name="Bookmark_I5DG18K028T4S10050000400"/>
      <w:bookmarkEnd w:id="4544"/>
      <w:r>
        <w:rPr>
          <w:rFonts w:ascii="Arial" w:eastAsia="Arial" w:hAnsi="Arial" w:cs="Arial"/>
          <w:color w:val="000000"/>
          <w:sz w:val="20"/>
          <w:u w:val="single"/>
        </w:rPr>
        <w:t>Houston v. Marod Supermarkets, Inc</w:t>
      </w:r>
      <w:r>
        <w:rPr>
          <w:rFonts w:ascii="Arial" w:eastAsia="Arial" w:hAnsi="Arial" w:cs="Arial"/>
          <w:color w:val="000000"/>
          <w:sz w:val="20"/>
        </w:rPr>
        <w:t xml:space="preserve">., 733 F.3d 1323, 1334 (11th Cir. 2013); </w:t>
      </w:r>
      <w:bookmarkStart w:id="4545" w:name="Bookmark_I5DG18K02SF88C0020000400"/>
      <w:bookmarkEnd w:id="4545"/>
      <w:r>
        <w:rPr>
          <w:rFonts w:ascii="Arial" w:eastAsia="Arial" w:hAnsi="Arial" w:cs="Arial"/>
          <w:color w:val="000000"/>
          <w:sz w:val="20"/>
          <w:u w:val="single"/>
        </w:rPr>
        <w:t>Shotz</w:t>
      </w:r>
      <w:r>
        <w:rPr>
          <w:rFonts w:ascii="Arial" w:eastAsia="Arial" w:hAnsi="Arial" w:cs="Arial"/>
          <w:color w:val="000000"/>
          <w:sz w:val="20"/>
        </w:rPr>
        <w:t>, 256 F.3d at 1081.</w:t>
      </w:r>
    </w:p>
    <w:p w14:paraId="14E1D297" w14:textId="77777777" w:rsidR="002D0E71" w:rsidRDefault="00000000">
      <w:pPr>
        <w:pStyle w:val="Normal32"/>
        <w:widowControl w:val="0"/>
        <w:spacing w:before="120" w:line="260" w:lineRule="atLeast"/>
      </w:pPr>
      <w:r>
        <w:rPr>
          <w:rFonts w:ascii="Arial" w:eastAsia="Arial" w:hAnsi="Arial" w:cs="Arial"/>
          <w:color w:val="000000"/>
          <w:sz w:val="20"/>
        </w:rPr>
        <w:t>C.</w:t>
      </w:r>
    </w:p>
    <w:p w14:paraId="3658B26A" w14:textId="77777777" w:rsidR="002D0E71" w:rsidRDefault="00000000">
      <w:pPr>
        <w:pStyle w:val="Normal32"/>
        <w:widowControl w:val="0"/>
        <w:spacing w:before="200" w:line="260" w:lineRule="atLeast"/>
        <w:jc w:val="both"/>
      </w:pPr>
      <w:bookmarkStart w:id="4546" w:name="Bookmark_para_32_17"/>
      <w:bookmarkEnd w:id="4546"/>
      <w:r>
        <w:rPr>
          <w:rFonts w:ascii="Arial" w:eastAsia="Arial" w:hAnsi="Arial" w:cs="Arial"/>
          <w:color w:val="000000"/>
          <w:sz w:val="20"/>
        </w:rPr>
        <w:t>Finally, D.F. argues that the district court erred in granting the defendants summary judgment on his claims seeking compensatory damages because a reasonable jury could have found that the defendants were deliberately indifferent to his rights under the [**25]  RA and ADA. He asserts that a reasonable jury could find deliberate indifference based on the fact that the staff (including doctors) at Parrish and Arnold Palmer hospitals knew that he was deaf, they had the authority to get a sign language interpreter for him, and they failed to do so. He argues that the fact he was deaf made his need for an interpreter obvious.</w:t>
      </w:r>
    </w:p>
    <w:p w14:paraId="03C151E5" w14:textId="77777777" w:rsidR="002D0E71" w:rsidRDefault="00000000">
      <w:pPr>
        <w:pStyle w:val="Normal32"/>
        <w:widowControl w:val="0"/>
        <w:spacing w:before="200" w:line="260" w:lineRule="atLeast"/>
        <w:jc w:val="both"/>
      </w:pPr>
      <w:bookmarkStart w:id="4547" w:name="Bookmark_para_33_16"/>
      <w:bookmarkStart w:id="4548" w:name="Bookmark_LNHNREFclscc15_8"/>
      <w:bookmarkEnd w:id="4547"/>
      <w:bookmarkEnd w:id="4548"/>
      <w:r>
        <w:rPr>
          <w:rFonts w:ascii="Arial" w:eastAsia="Arial" w:hAnsi="Arial" w:cs="Arial"/>
          <w:color w:val="000000"/>
          <w:sz w:val="20"/>
        </w:rPr>
        <w:t xml:space="preserve">Under regulations in effect at the time of D.F.'s hospitalization, the defendants were required to "furnish </w:t>
      </w:r>
      <w:r>
        <w:rPr>
          <w:rFonts w:ascii="Arial" w:eastAsia="Arial" w:hAnsi="Arial" w:cs="Arial"/>
          <w:color w:val="000000"/>
          <w:sz w:val="20"/>
          <w:u w:val="single"/>
        </w:rPr>
        <w:t>appropriate</w:t>
      </w:r>
      <w:r>
        <w:rPr>
          <w:rFonts w:ascii="Arial" w:eastAsia="Arial" w:hAnsi="Arial" w:cs="Arial"/>
          <w:color w:val="000000"/>
          <w:sz w:val="20"/>
        </w:rPr>
        <w:t xml:space="preserve"> auxiliary aids and services </w:t>
      </w:r>
      <w:r>
        <w:rPr>
          <w:rFonts w:ascii="Arial" w:eastAsia="Arial" w:hAnsi="Arial" w:cs="Arial"/>
          <w:color w:val="000000"/>
          <w:sz w:val="20"/>
          <w:u w:val="single"/>
        </w:rPr>
        <w:t>where necessary</w:t>
      </w:r>
      <w:r>
        <w:rPr>
          <w:rFonts w:ascii="Arial" w:eastAsia="Arial" w:hAnsi="Arial" w:cs="Arial"/>
          <w:color w:val="000000"/>
          <w:sz w:val="20"/>
        </w:rPr>
        <w:t xml:space="preserve"> to afford an individual with a disability an equal opportunity to participate in, and enjoy the benefits of," their treatment programs. 28 C.F.R. § 35.160(b)(1) (emphasis added). The regulations now provide that "[t]he type of auxiliary aid or service necessary to ensure effective communication will vary in accordance with the method of communication used by the individual; the nature, length, and complexity of the communication involved; and the context in which the communication is taking place." 28 C.F.R. § 35.160(b)(2) (2011). In determining what the appropriate auxiliary aids are, hospitals must "give primary consideration to the </w:t>
      </w:r>
      <w:r>
        <w:rPr>
          <w:rFonts w:ascii="Arial" w:eastAsia="Arial" w:hAnsi="Arial" w:cs="Arial"/>
          <w:color w:val="000000"/>
          <w:sz w:val="20"/>
          <w:u w:val="single"/>
        </w:rPr>
        <w:t>requests</w:t>
      </w:r>
      <w:r>
        <w:rPr>
          <w:rFonts w:ascii="Arial" w:eastAsia="Arial" w:hAnsi="Arial" w:cs="Arial"/>
          <w:color w:val="000000"/>
          <w:sz w:val="20"/>
        </w:rPr>
        <w:t xml:space="preserve"> of individuals with disabilities." </w:t>
      </w:r>
      <w:r>
        <w:rPr>
          <w:rFonts w:ascii="Arial" w:eastAsia="Arial" w:hAnsi="Arial" w:cs="Arial"/>
          <w:color w:val="000000"/>
          <w:sz w:val="20"/>
          <w:u w:val="single"/>
        </w:rPr>
        <w:t>Id</w:t>
      </w:r>
      <w:r>
        <w:rPr>
          <w:rFonts w:ascii="Arial" w:eastAsia="Arial" w:hAnsi="Arial" w:cs="Arial"/>
          <w:color w:val="000000"/>
          <w:sz w:val="20"/>
        </w:rPr>
        <w:t>. § 35.160(b)(2) (emphasis added).</w:t>
      </w:r>
    </w:p>
    <w:p w14:paraId="2A6F7950" w14:textId="77777777" w:rsidR="002D0E71" w:rsidRDefault="00000000">
      <w:pPr>
        <w:pStyle w:val="Normal32"/>
        <w:widowControl w:val="0"/>
        <w:spacing w:before="200" w:line="260" w:lineRule="atLeast"/>
        <w:jc w:val="both"/>
      </w:pPr>
      <w:bookmarkStart w:id="4549" w:name="Bookmark_para_34_15"/>
      <w:bookmarkStart w:id="4550" w:name="Bookmark_I5DG18K02SF88C0050000400"/>
      <w:bookmarkStart w:id="4551" w:name="Bookmark_I5DG18K02HM6550010000400"/>
      <w:bookmarkStart w:id="4552" w:name="Bookmark_LNHNREFclscc16_7"/>
      <w:bookmarkEnd w:id="4549"/>
      <w:bookmarkEnd w:id="4550"/>
      <w:bookmarkEnd w:id="4551"/>
      <w:bookmarkEnd w:id="4552"/>
      <w:r>
        <w:rPr>
          <w:rFonts w:ascii="Arial" w:eastAsia="Arial" w:hAnsi="Arial" w:cs="Arial"/>
          <w:color w:val="000000"/>
          <w:sz w:val="20"/>
        </w:rPr>
        <w:t>To prevail [**26]  on a claim for compensatory damages under either the RA or  [*1147]  the ADA, a plaintiff must show that a defendant violated his rights under the statutes and did so with discriminatory intent.</w:t>
      </w:r>
      <w:r>
        <w:rPr>
          <w:rFonts w:ascii="Arial" w:eastAsia="Arial" w:hAnsi="Arial" w:cs="Arial"/>
          <w:vertAlign w:val="superscript"/>
        </w:rPr>
        <w:footnoteReference w:customMarkFollows="1" w:id="167"/>
        <w:t>8</w:t>
      </w:r>
      <w:r>
        <w:rPr>
          <w:rFonts w:ascii="Arial" w:eastAsia="Arial" w:hAnsi="Arial" w:cs="Arial"/>
          <w:color w:val="000000"/>
          <w:sz w:val="20"/>
        </w:rPr>
        <w:t xml:space="preserve"> </w:t>
      </w:r>
      <w:bookmarkStart w:id="4559" w:name="Bookmark_I5DG18K02SF88C0040000400"/>
      <w:bookmarkEnd w:id="4559"/>
      <w:r>
        <w:rPr>
          <w:rFonts w:ascii="Arial" w:eastAsia="Arial" w:hAnsi="Arial" w:cs="Arial"/>
          <w:color w:val="000000"/>
          <w:sz w:val="20"/>
          <w:u w:val="single"/>
        </w:rPr>
        <w:t>Liese v. Indian River Cnty. Hosp. Dist</w:t>
      </w:r>
      <w:r>
        <w:rPr>
          <w:rFonts w:ascii="Arial" w:eastAsia="Arial" w:hAnsi="Arial" w:cs="Arial"/>
          <w:color w:val="000000"/>
          <w:sz w:val="20"/>
        </w:rPr>
        <w:t xml:space="preserve">., 701 F.3d 334, 342 (11th Cir. 2012) (noting that a plaintiff seeking compensatory damages under the RA must show that his rights were violated "with discriminatory intent"); </w:t>
      </w:r>
      <w:bookmarkStart w:id="4560" w:name="Bookmark_I5DG18K02SF88D0010000400"/>
      <w:bookmarkEnd w:id="4560"/>
      <w:r>
        <w:rPr>
          <w:rFonts w:ascii="Arial" w:eastAsia="Arial" w:hAnsi="Arial" w:cs="Arial"/>
          <w:color w:val="000000"/>
          <w:sz w:val="20"/>
          <w:u w:val="single"/>
        </w:rPr>
        <w:t>Delano-Pyle v. Victoria Cnty</w:t>
      </w:r>
      <w:r>
        <w:rPr>
          <w:rFonts w:ascii="Arial" w:eastAsia="Arial" w:hAnsi="Arial" w:cs="Arial"/>
          <w:color w:val="000000"/>
          <w:sz w:val="20"/>
        </w:rPr>
        <w:t xml:space="preserve">., 302 F.3d 567, 574 (5th Cir. 2002) ("A plaintiff asserting a private cause of action for violations of the ADA or the RA may only recover compensatory damages upon a showing of intentional discrimination."); </w:t>
      </w:r>
      <w:bookmarkStart w:id="4561" w:name="Bookmark_I5DG18K02SF88D0030000400"/>
      <w:bookmarkEnd w:id="4561"/>
      <w:r>
        <w:rPr>
          <w:rFonts w:ascii="Arial" w:eastAsia="Arial" w:hAnsi="Arial" w:cs="Arial"/>
          <w:color w:val="000000"/>
          <w:sz w:val="20"/>
          <w:u w:val="single"/>
        </w:rPr>
        <w:t>Duvall v. Cnty. of Kitsap</w:t>
      </w:r>
      <w:r>
        <w:rPr>
          <w:rFonts w:ascii="Arial" w:eastAsia="Arial" w:hAnsi="Arial" w:cs="Arial"/>
          <w:color w:val="000000"/>
          <w:sz w:val="20"/>
        </w:rPr>
        <w:t xml:space="preserve">, 260 F.3d 1124, 1138 (9th Cir. 2001) ("To recover monetary damages under Title II of the ADA or the Rehabilitation Act, a plaintiff must prove intentional discrimination on the part of the defendant.") (footnote omitted). </w:t>
      </w:r>
      <w:bookmarkStart w:id="4562" w:name="Bookmark_I5DG18K02HM6550030000400"/>
      <w:bookmarkEnd w:id="4562"/>
      <w:r>
        <w:rPr>
          <w:rFonts w:ascii="Arial" w:eastAsia="Arial" w:hAnsi="Arial" w:cs="Arial"/>
          <w:color w:val="000000"/>
          <w:sz w:val="20"/>
        </w:rPr>
        <w:t xml:space="preserve">A plaintiff may prove discriminatory intent by showing that a defendant was deliberately indifferent to his statutory rights. </w:t>
      </w:r>
      <w:bookmarkStart w:id="4563" w:name="Bookmark_I08S7D7CJW5000W151300064"/>
      <w:bookmarkStart w:id="4564" w:name="Bookmark_I5DG18K02SF88G0020000400"/>
      <w:bookmarkStart w:id="4565" w:name="Bookmark_I5DG18K02SF88D0050000400"/>
      <w:bookmarkEnd w:id="4563"/>
      <w:bookmarkEnd w:id="4564"/>
      <w:bookmarkEnd w:id="4565"/>
      <w:r>
        <w:rPr>
          <w:rFonts w:ascii="Arial" w:eastAsia="Arial" w:hAnsi="Arial" w:cs="Arial"/>
          <w:color w:val="000000"/>
          <w:sz w:val="20"/>
          <w:u w:val="single"/>
        </w:rPr>
        <w:t>Liese</w:t>
      </w:r>
      <w:r>
        <w:rPr>
          <w:rFonts w:ascii="Arial" w:eastAsia="Arial" w:hAnsi="Arial" w:cs="Arial"/>
          <w:color w:val="000000"/>
          <w:sz w:val="20"/>
        </w:rPr>
        <w:t xml:space="preserve">, 701 F.3d at 345 ("[A] plaintiff may demonstrate discriminatory intent through a showing of deliberate indifference."). </w:t>
      </w:r>
      <w:bookmarkStart w:id="4566" w:name="Bookmark_I5DG18K02SF88G0020000400_2"/>
      <w:bookmarkStart w:id="4567" w:name="Bookmark_I5DG18K02HM6550030000400_2"/>
      <w:bookmarkStart w:id="4568" w:name="Bookmark_I5DG18K02SF88G0040000400"/>
      <w:bookmarkEnd w:id="4566"/>
      <w:bookmarkEnd w:id="4567"/>
      <w:bookmarkEnd w:id="4568"/>
      <w:r>
        <w:rPr>
          <w:rFonts w:ascii="Arial" w:eastAsia="Arial" w:hAnsi="Arial" w:cs="Arial"/>
          <w:color w:val="000000"/>
          <w:sz w:val="20"/>
        </w:rPr>
        <w:t xml:space="preserve">That is an "exacting standard," </w:t>
      </w:r>
      <w:bookmarkStart w:id="4569" w:name="Bookmark_I5DG18K02HM6550020000400"/>
      <w:bookmarkEnd w:id="4569"/>
      <w:r>
        <w:rPr>
          <w:rFonts w:ascii="Arial" w:eastAsia="Arial" w:hAnsi="Arial" w:cs="Arial"/>
          <w:color w:val="000000"/>
          <w:sz w:val="20"/>
          <w:u w:val="single"/>
        </w:rPr>
        <w:t>Doe v. Sch. Bd. of Broward Cnty</w:t>
      </w:r>
      <w:r>
        <w:rPr>
          <w:rFonts w:ascii="Arial" w:eastAsia="Arial" w:hAnsi="Arial" w:cs="Arial"/>
          <w:color w:val="000000"/>
          <w:sz w:val="20"/>
        </w:rPr>
        <w:t xml:space="preserve">., 604 F.3d 1248, 1259 (11th Cir. 2010), which requires showing more than gross negligence, </w:t>
      </w:r>
      <w:bookmarkStart w:id="4570" w:name="Bookmark_I5DG18K02HM6550040000400"/>
      <w:bookmarkEnd w:id="4570"/>
      <w:r>
        <w:rPr>
          <w:rFonts w:ascii="Arial" w:eastAsia="Arial" w:hAnsi="Arial" w:cs="Arial"/>
          <w:color w:val="000000"/>
          <w:sz w:val="20"/>
          <w:u w:val="single"/>
        </w:rPr>
        <w:t>Liese</w:t>
      </w:r>
      <w:r>
        <w:rPr>
          <w:rFonts w:ascii="Arial" w:eastAsia="Arial" w:hAnsi="Arial" w:cs="Arial"/>
          <w:color w:val="000000"/>
          <w:sz w:val="20"/>
        </w:rPr>
        <w:t xml:space="preserve">, 701 F.3d at 344. </w:t>
      </w:r>
      <w:bookmarkStart w:id="4571" w:name="Bookmark_I5DG18K02SF88G0040000400_2"/>
      <w:bookmarkEnd w:id="4571"/>
      <w:r>
        <w:rPr>
          <w:rFonts w:ascii="Arial" w:eastAsia="Arial" w:hAnsi="Arial" w:cs="Arial"/>
          <w:color w:val="000000"/>
          <w:sz w:val="20"/>
        </w:rPr>
        <w:t>To establish deliberate indifference, a plaintiff must show that the defendant "</w:t>
      </w:r>
      <w:r>
        <w:rPr>
          <w:rFonts w:ascii="Arial" w:eastAsia="Arial" w:hAnsi="Arial" w:cs="Arial"/>
          <w:color w:val="000000"/>
          <w:sz w:val="20"/>
          <w:u w:val="single"/>
        </w:rPr>
        <w:t>knew</w:t>
      </w:r>
      <w:r>
        <w:rPr>
          <w:rFonts w:ascii="Arial" w:eastAsia="Arial" w:hAnsi="Arial" w:cs="Arial"/>
          <w:color w:val="000000"/>
          <w:sz w:val="20"/>
        </w:rPr>
        <w:t xml:space="preserve"> that harm to a federally protected right was substantially likely" and "</w:t>
      </w:r>
      <w:r>
        <w:rPr>
          <w:rFonts w:ascii="Arial" w:eastAsia="Arial" w:hAnsi="Arial" w:cs="Arial"/>
          <w:color w:val="000000"/>
          <w:sz w:val="20"/>
          <w:u w:val="single"/>
        </w:rPr>
        <w:t>failed</w:t>
      </w:r>
      <w:r>
        <w:rPr>
          <w:rFonts w:ascii="Arial" w:eastAsia="Arial" w:hAnsi="Arial" w:cs="Arial"/>
          <w:color w:val="000000"/>
          <w:sz w:val="20"/>
        </w:rPr>
        <w:t xml:space="preserve"> to act on that likelihood." </w:t>
      </w:r>
      <w:bookmarkStart w:id="4572" w:name="Bookmark_I5DG18K02SF88G0010000400"/>
      <w:bookmarkEnd w:id="4572"/>
      <w:r>
        <w:rPr>
          <w:rFonts w:ascii="Arial" w:eastAsia="Arial" w:hAnsi="Arial" w:cs="Arial"/>
          <w:color w:val="000000"/>
          <w:sz w:val="20"/>
          <w:u w:val="single"/>
        </w:rPr>
        <w:t>Liese</w:t>
      </w:r>
      <w:r>
        <w:rPr>
          <w:rFonts w:ascii="Arial" w:eastAsia="Arial" w:hAnsi="Arial" w:cs="Arial"/>
          <w:color w:val="000000"/>
          <w:sz w:val="20"/>
        </w:rPr>
        <w:t xml:space="preserve">, 701 F.3d at 344 (quotation [**27]  marks omitted). </w:t>
      </w:r>
      <w:bookmarkStart w:id="4573" w:name="Bookmark_I5DG18K02SF88G0040000400_3"/>
      <w:bookmarkEnd w:id="4573"/>
      <w:r>
        <w:rPr>
          <w:rFonts w:ascii="Arial" w:eastAsia="Arial" w:hAnsi="Arial" w:cs="Arial"/>
          <w:color w:val="000000"/>
          <w:sz w:val="20"/>
        </w:rPr>
        <w:t xml:space="preserve">Where the substantial likelihood of harm is obvious, a jury may infer that the defendant had actual knowledge of that substantial risk of harm. </w:t>
      </w:r>
      <w:r>
        <w:rPr>
          <w:rFonts w:ascii="Arial" w:eastAsia="Arial" w:hAnsi="Arial" w:cs="Arial"/>
          <w:color w:val="000000"/>
          <w:sz w:val="20"/>
          <w:u w:val="single"/>
        </w:rPr>
        <w:t xml:space="preserve">See </w:t>
      </w:r>
      <w:bookmarkStart w:id="4574" w:name="Bookmark_I5DG18K02SF88G0030000400"/>
      <w:bookmarkEnd w:id="4574"/>
      <w:r>
        <w:rPr>
          <w:rFonts w:ascii="Arial" w:eastAsia="Arial" w:hAnsi="Arial" w:cs="Arial"/>
          <w:color w:val="000000"/>
          <w:sz w:val="20"/>
          <w:u w:val="single"/>
        </w:rPr>
        <w:t>Farmer v. Brennan</w:t>
      </w:r>
      <w:r>
        <w:rPr>
          <w:rFonts w:ascii="Arial" w:eastAsia="Arial" w:hAnsi="Arial" w:cs="Arial"/>
          <w:color w:val="000000"/>
          <w:sz w:val="20"/>
        </w:rPr>
        <w:t xml:space="preserve">, 511 U.S. 825, 842, 114 S.Ct. 1970, 1981, 128 L. Ed. 2d 811 (1994) ("Whether a prison official had the requisite knowledge of a substantial risk is a question of fact subject to demonstration in the usual ways, including inference from circumstantial evidence, and a factfinder may conclude that a prison official knew of a substantial risk from the very fact that the risk was 'obvious.'") (citation omitted); </w:t>
      </w:r>
      <w:r>
        <w:rPr>
          <w:rFonts w:ascii="Arial" w:eastAsia="Arial" w:hAnsi="Arial" w:cs="Arial"/>
          <w:color w:val="000000"/>
          <w:sz w:val="20"/>
          <w:u w:val="single"/>
        </w:rPr>
        <w:t xml:space="preserve">see also </w:t>
      </w:r>
      <w:bookmarkStart w:id="4575" w:name="Bookmark_I5DG18K02SF88G0050000400"/>
      <w:bookmarkEnd w:id="4575"/>
      <w:r>
        <w:rPr>
          <w:rFonts w:ascii="Arial" w:eastAsia="Arial" w:hAnsi="Arial" w:cs="Arial"/>
          <w:color w:val="000000"/>
          <w:sz w:val="20"/>
          <w:u w:val="single"/>
        </w:rPr>
        <w:t>Robertson v. Las Animas Cnty. Sheriff's Dep't</w:t>
      </w:r>
      <w:r>
        <w:rPr>
          <w:rFonts w:ascii="Arial" w:eastAsia="Arial" w:hAnsi="Arial" w:cs="Arial"/>
          <w:color w:val="000000"/>
          <w:sz w:val="20"/>
        </w:rPr>
        <w:t>, 500 F.3d 1185, 1197 (10th Cir. 2007) ("That is, the entity will know of the individual's need for an accommodation because it is obvious.").</w:t>
      </w:r>
    </w:p>
    <w:p w14:paraId="118DB19B" w14:textId="77777777" w:rsidR="002D0E71" w:rsidRDefault="00000000">
      <w:pPr>
        <w:pStyle w:val="Normal32"/>
        <w:widowControl w:val="0"/>
        <w:spacing w:before="200" w:line="260" w:lineRule="atLeast"/>
        <w:jc w:val="both"/>
      </w:pPr>
      <w:bookmarkStart w:id="4576" w:name="Bookmark_para_35_15"/>
      <w:bookmarkStart w:id="4577" w:name="Bookmark_I5DG18K02D6N820020000400"/>
      <w:bookmarkEnd w:id="4576"/>
      <w:bookmarkEnd w:id="4577"/>
      <w:r>
        <w:rPr>
          <w:rFonts w:ascii="Arial" w:eastAsia="Arial" w:hAnsi="Arial" w:cs="Arial"/>
          <w:color w:val="000000"/>
          <w:sz w:val="20"/>
        </w:rPr>
        <w:t xml:space="preserve">That means, in this case, that the failure of Parrish and Arnold Palmer to provide D.F. with an interpreter is not enough to support a finding of deliberate indifference. </w:t>
      </w:r>
      <w:r>
        <w:rPr>
          <w:rFonts w:ascii="Arial" w:eastAsia="Arial" w:hAnsi="Arial" w:cs="Arial"/>
          <w:color w:val="000000"/>
          <w:sz w:val="20"/>
          <w:u w:val="single"/>
        </w:rPr>
        <w:t xml:space="preserve">See </w:t>
      </w:r>
      <w:bookmarkStart w:id="4578" w:name="Bookmark_I5DG18K02D6N820010000400"/>
      <w:bookmarkEnd w:id="4578"/>
      <w:r>
        <w:rPr>
          <w:rFonts w:ascii="Arial" w:eastAsia="Arial" w:hAnsi="Arial" w:cs="Arial"/>
          <w:color w:val="000000"/>
          <w:sz w:val="20"/>
          <w:u w:val="single"/>
        </w:rPr>
        <w:t>Liese</w:t>
      </w:r>
      <w:r>
        <w:rPr>
          <w:rFonts w:ascii="Arial" w:eastAsia="Arial" w:hAnsi="Arial" w:cs="Arial"/>
          <w:color w:val="000000"/>
          <w:sz w:val="20"/>
        </w:rPr>
        <w:t>, 701 F.3d at 343 (</w:t>
      </w:r>
      <w:bookmarkStart w:id="4579" w:name="Bookmark_LNHNREFclscc17_7"/>
      <w:bookmarkEnd w:id="4579"/>
      <w:r>
        <w:rPr>
          <w:rFonts w:ascii="Arial" w:eastAsia="Arial" w:hAnsi="Arial" w:cs="Arial"/>
          <w:color w:val="000000"/>
          <w:sz w:val="20"/>
        </w:rPr>
        <w:t xml:space="preserve">"[T]he simple failure to provide an interpreter on request is not necessarily deliberately indifferent to an individual's rights under the RA."). The regulations do not require healthcare providers to supply any and all auxiliary aids even if they are desired and demanded. </w:t>
      </w:r>
      <w:bookmarkStart w:id="4580" w:name="Bookmark_I5DG18K02D6N820040000400"/>
      <w:bookmarkEnd w:id="4580"/>
      <w:r>
        <w:rPr>
          <w:rFonts w:ascii="Arial" w:eastAsia="Arial" w:hAnsi="Arial" w:cs="Arial"/>
          <w:color w:val="000000"/>
          <w:sz w:val="20"/>
          <w:u w:val="single"/>
        </w:rPr>
        <w:t>See id</w:t>
      </w:r>
      <w:r>
        <w:rPr>
          <w:rFonts w:ascii="Arial" w:eastAsia="Arial" w:hAnsi="Arial" w:cs="Arial"/>
          <w:color w:val="000000"/>
          <w:sz w:val="20"/>
        </w:rPr>
        <w:t xml:space="preserve">. (noting that "construing the regulations in this manner would effectively substitute 'demanded' auxiliary aid for 'necessary' auxiliary aid"). Or, as in this case, not demanded. To prevail, D.F. must show that the defendants knew there was a substantial likelihood that they would be unable to communicate effectively with him absent an interpreter but still made a "deliberate choice" not to provide  [*1148]  one. </w:t>
      </w:r>
      <w:r>
        <w:rPr>
          <w:rFonts w:ascii="Arial" w:eastAsia="Arial" w:hAnsi="Arial" w:cs="Arial"/>
          <w:color w:val="000000"/>
          <w:sz w:val="20"/>
          <w:u w:val="single"/>
        </w:rPr>
        <w:t xml:space="preserve">See </w:t>
      </w:r>
      <w:bookmarkStart w:id="4581" w:name="Bookmark_I5DG18K02D6N820030000400"/>
      <w:bookmarkEnd w:id="4581"/>
      <w:r>
        <w:rPr>
          <w:rFonts w:ascii="Arial" w:eastAsia="Arial" w:hAnsi="Arial" w:cs="Arial"/>
          <w:color w:val="000000"/>
          <w:sz w:val="20"/>
          <w:u w:val="single"/>
        </w:rPr>
        <w:t>id</w:t>
      </w:r>
      <w:r>
        <w:rPr>
          <w:rFonts w:ascii="Arial" w:eastAsia="Arial" w:hAnsi="Arial" w:cs="Arial"/>
          <w:color w:val="000000"/>
          <w:sz w:val="20"/>
        </w:rPr>
        <w:t>. at 344. He has failed to make that showing.</w:t>
      </w:r>
    </w:p>
    <w:p w14:paraId="03E33BFD" w14:textId="77777777" w:rsidR="002D0E71" w:rsidRDefault="00000000">
      <w:pPr>
        <w:pStyle w:val="Normal32"/>
        <w:widowControl w:val="0"/>
        <w:spacing w:before="120" w:line="260" w:lineRule="atLeast"/>
      </w:pPr>
      <w:r>
        <w:rPr>
          <w:rFonts w:ascii="Arial" w:eastAsia="Arial" w:hAnsi="Arial" w:cs="Arial"/>
          <w:color w:val="000000"/>
          <w:sz w:val="20"/>
        </w:rPr>
        <w:t>1.</w:t>
      </w:r>
    </w:p>
    <w:p w14:paraId="3F81009F" w14:textId="77777777" w:rsidR="002D0E71" w:rsidRDefault="00000000">
      <w:pPr>
        <w:pStyle w:val="Normal32"/>
        <w:widowControl w:val="0"/>
        <w:spacing w:before="200" w:line="260" w:lineRule="atLeast"/>
        <w:jc w:val="both"/>
      </w:pPr>
      <w:bookmarkStart w:id="4582" w:name="Bookmark_para_36_15"/>
      <w:bookmarkEnd w:id="4582"/>
      <w:r>
        <w:rPr>
          <w:rFonts w:ascii="Arial" w:eastAsia="Arial" w:hAnsi="Arial" w:cs="Arial"/>
          <w:color w:val="000000"/>
          <w:sz w:val="20"/>
        </w:rPr>
        <w:t>First, D.F. has failed to create a genuine issue of material fact about whether the Parrish staff acted with deliberate indifference. The evidence [**29]  showed that Parrish provided several accommodations to facilitate communication between D.F. and the hospital staff. One nurse who knew some sign language communicated with D.F. by signing. Other staff members relied on written notes and printed handouts to help D.F. understand the different aspects of his treatment. Many of the staff members also communicated with D.F. through his parents and sister.</w:t>
      </w:r>
    </w:p>
    <w:p w14:paraId="5301B7F1" w14:textId="77777777" w:rsidR="002D0E71" w:rsidRDefault="00000000">
      <w:pPr>
        <w:pStyle w:val="Normal32"/>
        <w:widowControl w:val="0"/>
        <w:spacing w:before="200" w:line="260" w:lineRule="atLeast"/>
        <w:jc w:val="both"/>
      </w:pPr>
      <w:bookmarkStart w:id="4583" w:name="Bookmark_para_37_15"/>
      <w:bookmarkStart w:id="4584" w:name="Bookmark_I5DG18K02SF88H0010000400"/>
      <w:bookmarkEnd w:id="4583"/>
      <w:bookmarkEnd w:id="4584"/>
      <w:r>
        <w:rPr>
          <w:rFonts w:ascii="Arial" w:eastAsia="Arial" w:hAnsi="Arial" w:cs="Arial"/>
          <w:color w:val="000000"/>
          <w:sz w:val="20"/>
        </w:rPr>
        <w:t>D.F. has not presented enough evidence to create a genuine issue of material fact about whether the staff at Parrish Hospital: (1) knew it was substantially likely that the accommodations they provided were ineffective and (2) were aware that an interpreter was required for them to effectively communicate with D.F. but made a "deliberate choice" not to provide one.</w:t>
      </w:r>
      <w:r>
        <w:rPr>
          <w:rFonts w:ascii="Arial" w:eastAsia="Arial" w:hAnsi="Arial" w:cs="Arial"/>
          <w:vertAlign w:val="superscript"/>
        </w:rPr>
        <w:footnoteReference w:customMarkFollows="1" w:id="168"/>
        <w:t>9</w:t>
      </w:r>
      <w:r>
        <w:rPr>
          <w:rFonts w:ascii="Arial" w:eastAsia="Arial" w:hAnsi="Arial" w:cs="Arial"/>
          <w:color w:val="000000"/>
          <w:sz w:val="20"/>
        </w:rPr>
        <w:t xml:space="preserve"> D.F.'s attending physician testified that he believed he was effectively communicating with D.F., and D.F.'s medical records stated that the nurses observed him "nod[ding] understanding" or "verbaliz[ing] understanding" when they spoke to him. There is no evidence that D.F. or his family members did anything to disabuse the Parrish staff of their allegedly mistaken belief that the staff was communicating effectively with him. D.F.'s mother told the [**30]  staff that she knew some sign language, but there is no evidence that she told the staff at that time that her knowledge was inadequate or that she felt unqualified to interpret for her son. Nor is there any evidence that D.F. or his family members ever requested an interpreter or that his family members told the staff that they were struggling to translate the doctors' and nurses' questions and statements for their son. Finally, there is no evidence suggesting that the staff's written notes were ineffective as auxiliary aids or, assuming that they were, that the nurses and doctors at Parrish knew that fact. Because there is no evidence to support a conclusion that the Parrish staff knew that their accommodations were ineffective in enabling D.F. to communicate with his nurses and doctors, a reasonable jury could not find that the Parrish staff acted with deliberate indifference.</w:t>
      </w:r>
    </w:p>
    <w:p w14:paraId="03FA6CC6" w14:textId="77777777" w:rsidR="002D0E71" w:rsidRDefault="00000000">
      <w:pPr>
        <w:pStyle w:val="Normal32"/>
        <w:widowControl w:val="0"/>
        <w:spacing w:before="120" w:line="260" w:lineRule="atLeast"/>
      </w:pPr>
      <w:r>
        <w:rPr>
          <w:rFonts w:ascii="Arial" w:eastAsia="Arial" w:hAnsi="Arial" w:cs="Arial"/>
          <w:color w:val="000000"/>
          <w:sz w:val="20"/>
        </w:rPr>
        <w:t>2.</w:t>
      </w:r>
    </w:p>
    <w:p w14:paraId="392BA1B3" w14:textId="77777777" w:rsidR="002D0E71" w:rsidRDefault="00000000">
      <w:pPr>
        <w:pStyle w:val="Normal32"/>
        <w:widowControl w:val="0"/>
        <w:spacing w:before="200" w:line="260" w:lineRule="atLeast"/>
        <w:jc w:val="both"/>
      </w:pPr>
      <w:bookmarkStart w:id="4588" w:name="Bookmark_para_38_14"/>
      <w:bookmarkEnd w:id="4588"/>
      <w:r>
        <w:rPr>
          <w:rFonts w:ascii="Arial" w:eastAsia="Arial" w:hAnsi="Arial" w:cs="Arial"/>
          <w:color w:val="000000"/>
          <w:sz w:val="20"/>
        </w:rPr>
        <w:t>Second, D.F. has also failed to create a genuine issue of material fact about whether the Arnold Palmer Hospital staff acted with deliberate indifference. As we have discussed, it relied on several auxiliary aids to communicate with D.F. For instance, one of its staff members used pictures, written materials, and a doll to help him learn about his treatment. Other staff members communicated with him by using his parents to help translate. The hospital also provided D.F. with a writing  [*1149]  board next to his bed so he and the staff could write messages to each other.</w:t>
      </w:r>
    </w:p>
    <w:p w14:paraId="59E72B97" w14:textId="77777777" w:rsidR="002D0E71" w:rsidRDefault="00000000">
      <w:pPr>
        <w:pStyle w:val="Normal32"/>
        <w:widowControl w:val="0"/>
        <w:spacing w:before="200" w:line="260" w:lineRule="atLeast"/>
        <w:jc w:val="both"/>
      </w:pPr>
      <w:bookmarkStart w:id="4589" w:name="Bookmark_para_39_14"/>
      <w:bookmarkEnd w:id="4589"/>
      <w:r>
        <w:rPr>
          <w:rFonts w:ascii="Arial" w:eastAsia="Arial" w:hAnsi="Arial" w:cs="Arial"/>
          <w:color w:val="000000"/>
          <w:sz w:val="20"/>
        </w:rPr>
        <w:t>D.F. has not presented enough evidence to create a genuine issue of material fact about whether the staff at Arnold Palmer Hospital knew it was substantially likely that the accommodations that were provided were ineffective. Although the hospital [**32]  had posted signs stating that interpretation services were available to patients who had communication difficulties, neither D.F. nor his family members asked the hospital to provide those services. And although D.F. testified that he had a hard time understanding the book he had been given so that he could learn more about his surgery, there is no evidence that he or his family did anything to let the Arnold Palmer staff know that. Finally, although the hospital staff did communicate with D.F. through writing, it did so only after his mother told them that he could read.</w:t>
      </w:r>
    </w:p>
    <w:p w14:paraId="14801859" w14:textId="77777777" w:rsidR="002D0E71" w:rsidRDefault="00000000">
      <w:pPr>
        <w:pStyle w:val="Normal32"/>
        <w:widowControl w:val="0"/>
        <w:spacing w:before="200" w:line="260" w:lineRule="atLeast"/>
        <w:jc w:val="both"/>
      </w:pPr>
      <w:bookmarkStart w:id="4590" w:name="Bookmark_para_40_14"/>
      <w:bookmarkEnd w:id="4590"/>
      <w:r>
        <w:rPr>
          <w:rFonts w:ascii="Arial" w:eastAsia="Arial" w:hAnsi="Arial" w:cs="Arial"/>
          <w:color w:val="000000"/>
          <w:sz w:val="20"/>
        </w:rPr>
        <w:t>The mother's testimony that she told some unspecified nurses she did not "know a lot of sign language" is the plaintiffs' best evidence that the Arnold Palmer staff knew it was substantially likely that the accommodations D.F. was receiving were insufficient. But the mother waited until the end of D.F.'s 11-day hospitalization to let those nurses know that her sign language ability was limited, and she has not presented any evidence that the nurses or any other staff members continued relying on her as an interpreter afterward. Simply stated, D.F.'s parents have not presented sufficient evidence to create a genuine [**33]  issue of material fact about whether the staff at Arnold Palmer Hospital knew it was substantially likely that the accommodations they were providing were ineffective.</w:t>
      </w:r>
    </w:p>
    <w:p w14:paraId="1132D5AB" w14:textId="77777777" w:rsidR="002D0E71" w:rsidRDefault="00000000">
      <w:pPr>
        <w:pStyle w:val="Normal32"/>
        <w:widowControl w:val="0"/>
        <w:spacing w:before="120" w:line="260" w:lineRule="atLeast"/>
      </w:pPr>
      <w:r>
        <w:rPr>
          <w:rFonts w:ascii="Arial" w:eastAsia="Arial" w:hAnsi="Arial" w:cs="Arial"/>
          <w:color w:val="000000"/>
          <w:sz w:val="20"/>
        </w:rPr>
        <w:t>3.</w:t>
      </w:r>
    </w:p>
    <w:p w14:paraId="663BB199" w14:textId="77777777" w:rsidR="002D0E71" w:rsidRDefault="00000000">
      <w:pPr>
        <w:pStyle w:val="Normal32"/>
        <w:widowControl w:val="0"/>
        <w:spacing w:before="200" w:line="260" w:lineRule="atLeast"/>
        <w:jc w:val="both"/>
      </w:pPr>
      <w:bookmarkStart w:id="4591" w:name="Bookmark_para_41_13"/>
      <w:bookmarkStart w:id="4592" w:name="Bookmark_I5DG18K02SF88H0050000400"/>
      <w:bookmarkStart w:id="4593" w:name="Bookmark_I5DG18K02HM6560020000400"/>
      <w:bookmarkEnd w:id="4591"/>
      <w:bookmarkEnd w:id="4592"/>
      <w:bookmarkEnd w:id="4593"/>
      <w:r>
        <w:rPr>
          <w:rFonts w:ascii="Arial" w:eastAsia="Arial" w:hAnsi="Arial" w:cs="Arial"/>
          <w:color w:val="000000"/>
          <w:sz w:val="20"/>
        </w:rPr>
        <w:t xml:space="preserve">The circumstances in this case are in stark contrast to the facts in other cases where courts have found sufficient evidence to avoid summary judgment on deliberate indifference. For example, we concluded in </w:t>
      </w:r>
      <w:r>
        <w:rPr>
          <w:rFonts w:ascii="Arial" w:eastAsia="Arial" w:hAnsi="Arial" w:cs="Arial"/>
          <w:color w:val="000000"/>
          <w:sz w:val="20"/>
          <w:u w:val="single"/>
        </w:rPr>
        <w:t>Liese</w:t>
      </w:r>
      <w:r>
        <w:rPr>
          <w:rFonts w:ascii="Arial" w:eastAsia="Arial" w:hAnsi="Arial" w:cs="Arial"/>
          <w:color w:val="000000"/>
          <w:sz w:val="20"/>
        </w:rPr>
        <w:t xml:space="preserve"> that there was enough evidence to find deliberate indifference where a deaf patient (1) told her doctor on two occasions that she needed an interpreter and was ignored, (2) told her doctor that her ability to read lips was limited and was "laughed at" by him, and (3) repeatedly asked her doctor why she needed to have her gallbladder removed after her doctor simply wrote her a note stating, "remove it and you'll feel better." </w:t>
      </w:r>
      <w:bookmarkStart w:id="4594" w:name="Bookmark_I5DG18K02SF88H0040000400"/>
      <w:bookmarkEnd w:id="4594"/>
      <w:r>
        <w:rPr>
          <w:rFonts w:ascii="Arial" w:eastAsia="Arial" w:hAnsi="Arial" w:cs="Arial"/>
          <w:color w:val="000000"/>
          <w:sz w:val="20"/>
        </w:rPr>
        <w:t xml:space="preserve">701 F.3d at 351. Similarly, in </w:t>
      </w:r>
      <w:r>
        <w:rPr>
          <w:rFonts w:ascii="Arial" w:eastAsia="Arial" w:hAnsi="Arial" w:cs="Arial"/>
          <w:color w:val="000000"/>
          <w:sz w:val="20"/>
          <w:u w:val="single"/>
        </w:rPr>
        <w:t>Loeffler</w:t>
      </w:r>
      <w:r>
        <w:rPr>
          <w:rFonts w:ascii="Arial" w:eastAsia="Arial" w:hAnsi="Arial" w:cs="Arial"/>
          <w:color w:val="000000"/>
          <w:sz w:val="20"/>
        </w:rPr>
        <w:t xml:space="preserve"> the Second Circuit held that there was sufficient evidence for a reasonable jury to find deliberate indifference where numerous requests for an interpreter and other accommodations were ignored by hospital officials and one demand for an interpreter was "laughed off" by the patient's doctor. </w:t>
      </w:r>
      <w:bookmarkStart w:id="4595" w:name="Bookmark_I5DG18K02HM6560010000400"/>
      <w:bookmarkEnd w:id="4595"/>
      <w:r>
        <w:rPr>
          <w:rFonts w:ascii="Arial" w:eastAsia="Arial" w:hAnsi="Arial" w:cs="Arial"/>
          <w:color w:val="000000"/>
          <w:sz w:val="20"/>
        </w:rPr>
        <w:t>582 F.3d at 276-77.</w:t>
      </w:r>
    </w:p>
    <w:p w14:paraId="1B19286E" w14:textId="77777777" w:rsidR="002D0E71" w:rsidRDefault="00000000">
      <w:pPr>
        <w:pStyle w:val="Normal32"/>
        <w:widowControl w:val="0"/>
        <w:spacing w:before="120" w:line="260" w:lineRule="atLeast"/>
      </w:pPr>
      <w:r>
        <w:rPr>
          <w:rFonts w:ascii="Arial" w:eastAsia="Arial" w:hAnsi="Arial" w:cs="Arial"/>
          <w:color w:val="000000"/>
          <w:sz w:val="20"/>
        </w:rPr>
        <w:t>IV.</w:t>
      </w:r>
    </w:p>
    <w:p w14:paraId="2F30C261" w14:textId="77777777" w:rsidR="002D0E71" w:rsidRDefault="00000000">
      <w:pPr>
        <w:pStyle w:val="Normal32"/>
        <w:widowControl w:val="0"/>
        <w:spacing w:before="200" w:line="260" w:lineRule="atLeast"/>
        <w:jc w:val="both"/>
      </w:pPr>
      <w:bookmarkStart w:id="4596" w:name="Bookmark_para_42_11"/>
      <w:bookmarkEnd w:id="4596"/>
      <w:r>
        <w:rPr>
          <w:rFonts w:ascii="Arial" w:eastAsia="Arial" w:hAnsi="Arial" w:cs="Arial"/>
          <w:color w:val="000000"/>
          <w:sz w:val="20"/>
        </w:rPr>
        <w:t>For the reasons discussed, we affirm the district court's order dismissing [**34]  the associational claims brought by D.F.'s parents individually and on behalf of D.F.'s sister. We also affirm the district court's grant of summary judgment in favor of the defendants on the claims brought on D.F.'s behalf.</w:t>
      </w:r>
    </w:p>
    <w:p w14:paraId="7C9DC279" w14:textId="77777777" w:rsidR="002D0E71" w:rsidRDefault="00000000">
      <w:pPr>
        <w:pStyle w:val="Normal32"/>
        <w:widowControl w:val="0"/>
        <w:spacing w:before="200" w:line="260" w:lineRule="atLeast"/>
        <w:jc w:val="both"/>
      </w:pPr>
      <w:bookmarkStart w:id="4597" w:name="Bookmark_para_43_11"/>
      <w:bookmarkEnd w:id="4597"/>
      <w:r>
        <w:rPr>
          <w:rFonts w:ascii="Arial" w:eastAsia="Arial" w:hAnsi="Arial" w:cs="Arial"/>
          <w:b/>
          <w:color w:val="000000"/>
          <w:sz w:val="20"/>
        </w:rPr>
        <w:t>AFFIRMED</w:t>
      </w:r>
      <w:r>
        <w:rPr>
          <w:rFonts w:ascii="Arial" w:eastAsia="Arial" w:hAnsi="Arial" w:cs="Arial"/>
          <w:color w:val="000000"/>
          <w:sz w:val="20"/>
        </w:rPr>
        <w:t>.</w:t>
      </w:r>
    </w:p>
    <w:p w14:paraId="4B3AA7D9" w14:textId="77777777" w:rsidR="002D0E71" w:rsidRDefault="002D0E71">
      <w:pPr>
        <w:pStyle w:val="Normal32"/>
      </w:pPr>
    </w:p>
    <w:p w14:paraId="24460E78" w14:textId="3EB36B06" w:rsidR="002D0E71" w:rsidRDefault="00000000">
      <w:pPr>
        <w:pStyle w:val="Normal32"/>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26848" behindDoc="0" locked="0" layoutInCell="1" allowOverlap="1" wp14:anchorId="19BE47BE" wp14:editId="3B441A58">
                <wp:simplePos x="0" y="0"/>
                <wp:positionH relativeFrom="column">
                  <wp:posOffset>0</wp:posOffset>
                </wp:positionH>
                <wp:positionV relativeFrom="paragraph">
                  <wp:posOffset>127000</wp:posOffset>
                </wp:positionV>
                <wp:extent cx="6502400" cy="0"/>
                <wp:effectExtent l="9525" t="12700" r="12700" b="6350"/>
                <wp:wrapNone/>
                <wp:docPr id="595854696"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503B2" id="Line 70"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EA5D4E1" w14:textId="77777777" w:rsidR="002D0E71" w:rsidRDefault="002D0E71">
      <w:pPr>
        <w:pStyle w:val="Normal33"/>
        <w:sectPr w:rsidR="002D0E71">
          <w:headerReference w:type="even" r:id="rId206"/>
          <w:headerReference w:type="default" r:id="rId207"/>
          <w:footerReference w:type="even" r:id="rId208"/>
          <w:footerReference w:type="default" r:id="rId209"/>
          <w:headerReference w:type="first" r:id="rId210"/>
          <w:footerReference w:type="first" r:id="rId211"/>
          <w:pgSz w:w="12240" w:h="15840"/>
          <w:pgMar w:top="840" w:right="1000" w:bottom="840" w:left="1000" w:header="400" w:footer="400" w:gutter="0"/>
          <w:cols w:space="720"/>
          <w:titlePg/>
        </w:sectPr>
      </w:pPr>
    </w:p>
    <w:p w14:paraId="2AE499ED" w14:textId="77777777" w:rsidR="002D0E71" w:rsidRDefault="002D0E71">
      <w:pPr>
        <w:pStyle w:val="Normal33"/>
      </w:pPr>
    </w:p>
    <w:p w14:paraId="1EF1D8F0" w14:textId="77777777" w:rsidR="002D0E71" w:rsidRDefault="00000000">
      <w:pPr>
        <w:pStyle w:val="Heading132"/>
        <w:keepNext w:val="0"/>
        <w:widowControl w:val="0"/>
        <w:spacing w:after="200" w:line="340" w:lineRule="atLeast"/>
        <w:jc w:val="center"/>
      </w:pPr>
      <w:r>
        <w:rPr>
          <w:rFonts w:eastAsia="Arial"/>
          <w:color w:val="000000"/>
          <w:sz w:val="28"/>
        </w:rPr>
        <w:t>Sunrise Detox V, LLC v. City of White Plains</w:t>
      </w:r>
    </w:p>
    <w:p w14:paraId="3F1C3FBC" w14:textId="77777777" w:rsidR="002D0E71" w:rsidRDefault="00000000">
      <w:pPr>
        <w:pStyle w:val="Normal33"/>
        <w:widowControl w:val="0"/>
        <w:spacing w:before="120" w:line="260" w:lineRule="atLeast"/>
        <w:jc w:val="center"/>
      </w:pPr>
      <w:r>
        <w:rPr>
          <w:rFonts w:ascii="Arial" w:eastAsia="Arial" w:hAnsi="Arial" w:cs="Arial"/>
          <w:color w:val="000000"/>
          <w:sz w:val="20"/>
        </w:rPr>
        <w:t>United States Court of Appeals for the Second Circuit</w:t>
      </w:r>
    </w:p>
    <w:p w14:paraId="39C5F340" w14:textId="77777777" w:rsidR="002D0E71" w:rsidRDefault="00000000">
      <w:pPr>
        <w:pStyle w:val="Normal33"/>
        <w:widowControl w:val="0"/>
        <w:spacing w:before="120" w:line="260" w:lineRule="atLeast"/>
        <w:jc w:val="center"/>
      </w:pPr>
      <w:r>
        <w:rPr>
          <w:rFonts w:ascii="Arial" w:eastAsia="Arial" w:hAnsi="Arial" w:cs="Arial"/>
          <w:color w:val="000000"/>
          <w:sz w:val="20"/>
        </w:rPr>
        <w:t>May 8, 2014, Argued; October 2, 2014, Decided</w:t>
      </w:r>
    </w:p>
    <w:p w14:paraId="7A11C3ED" w14:textId="77777777" w:rsidR="002D0E71" w:rsidRDefault="00000000">
      <w:pPr>
        <w:pStyle w:val="Normal33"/>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Docket No.13-2911</w:t>
      </w:r>
    </w:p>
    <w:p w14:paraId="16964799" w14:textId="77777777" w:rsidR="002D0E71" w:rsidRDefault="002D0E71">
      <w:pPr>
        <w:pStyle w:val="Normal33"/>
        <w:widowControl w:val="0"/>
        <w:spacing w:line="240" w:lineRule="atLeast"/>
        <w:jc w:val="both"/>
      </w:pPr>
      <w:bookmarkStart w:id="4598" w:name="Bookmark_34"/>
      <w:bookmarkEnd w:id="4598"/>
    </w:p>
    <w:p w14:paraId="1E456CA9" w14:textId="77777777" w:rsidR="002D0E71" w:rsidRDefault="00000000">
      <w:pPr>
        <w:pStyle w:val="Normal33"/>
        <w:widowControl w:val="0"/>
        <w:spacing w:before="200" w:line="240" w:lineRule="atLeast"/>
      </w:pPr>
      <w:bookmarkStart w:id="4599" w:name="Reporter_32"/>
      <w:bookmarkEnd w:id="4599"/>
      <w:r>
        <w:rPr>
          <w:rFonts w:ascii="Arial" w:eastAsia="Arial" w:hAnsi="Arial" w:cs="Arial"/>
          <w:b/>
          <w:color w:val="000000"/>
          <w:sz w:val="18"/>
        </w:rPr>
        <w:t>Reporter</w:t>
      </w:r>
    </w:p>
    <w:p w14:paraId="68664C16" w14:textId="77777777" w:rsidR="002D0E71" w:rsidRDefault="00000000">
      <w:pPr>
        <w:pStyle w:val="Normal33"/>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769 F.3d 118 *; 2014 U.S. App. LEXIS 18840 **</w:t>
      </w:r>
    </w:p>
    <w:p w14:paraId="3781C6C7" w14:textId="77777777" w:rsidR="002D0E71" w:rsidRDefault="00000000">
      <w:pPr>
        <w:pStyle w:val="Normal33"/>
        <w:widowControl w:val="0"/>
        <w:spacing w:before="120" w:line="260" w:lineRule="atLeast"/>
      </w:pPr>
      <w:r>
        <w:rPr>
          <w:rFonts w:ascii="Arial" w:eastAsia="Arial" w:hAnsi="Arial" w:cs="Arial"/>
          <w:color w:val="000000"/>
          <w:sz w:val="20"/>
        </w:rPr>
        <w:t>Sunrise Detox V, LLC, Plaintiff-Appellant, v. City of White Plains, City of While Plains Common Council, City of White Plains Department of Building, Defendants-Appellees.</w:t>
      </w:r>
    </w:p>
    <w:p w14:paraId="08B39185" w14:textId="77777777" w:rsidR="002D0E71" w:rsidRDefault="00000000">
      <w:pPr>
        <w:pStyle w:val="Normal33"/>
        <w:widowControl w:val="0"/>
        <w:spacing w:before="240" w:line="260" w:lineRule="atLeast"/>
        <w:jc w:val="both"/>
      </w:pPr>
      <w:bookmarkStart w:id="4600" w:name="Prior_History_31"/>
      <w:bookmarkEnd w:id="4600"/>
      <w:r>
        <w:rPr>
          <w:rFonts w:ascii="Arial" w:eastAsia="Arial" w:hAnsi="Arial" w:cs="Arial"/>
          <w:b/>
          <w:color w:val="000000"/>
          <w:sz w:val="20"/>
        </w:rPr>
        <w:t>Prior History:</w:t>
      </w:r>
      <w:r>
        <w:rPr>
          <w:rFonts w:ascii="Arial" w:eastAsia="Arial" w:hAnsi="Arial" w:cs="Arial"/>
          <w:color w:val="000000"/>
          <w:sz w:val="20"/>
        </w:rPr>
        <w:t> </w:t>
      </w:r>
      <w:bookmarkStart w:id="4601" w:name="Bookmark_para_1_32"/>
      <w:bookmarkEnd w:id="4601"/>
      <w:r>
        <w:rPr>
          <w:rFonts w:ascii="Arial" w:eastAsia="Arial" w:hAnsi="Arial" w:cs="Arial"/>
          <w:color w:val="000000"/>
          <w:sz w:val="20"/>
        </w:rPr>
        <w:t> [**1] The plaintiff, a provider of medically supervised care for individuals recovering from alcohol and drug abuse, sought permission to operate a treatment facility in White Plains, New York. After a determination that the facility did not meet applicable zoning regulations, the plaintiff brought this suit under the Americans with Disabilities Act. The United States District Court for the Southern District of New York (Vincent L. Briccetti, Judge) dismissed the complaint for lack of subject-matter jurisdiction, concluding that the plaintiff, by declining to seek a variance or appeal the zoning decision, had failed to obtain a final decision on its application. Because we reject the plaintiff's argument that its allegations of intentional discrimination relieve it from the final-decision requirement, the judgment of the district court is AFFIRMED.</w:t>
      </w:r>
    </w:p>
    <w:p w14:paraId="6BE24AE5" w14:textId="77777777" w:rsidR="002D0E71" w:rsidRDefault="00000000">
      <w:pPr>
        <w:pStyle w:val="Normal33"/>
        <w:widowControl w:val="0"/>
        <w:spacing w:before="240" w:line="260" w:lineRule="atLeast"/>
      </w:pPr>
      <w:bookmarkStart w:id="4602" w:name="Counsel_32"/>
      <w:bookmarkEnd w:id="4602"/>
      <w:r>
        <w:rPr>
          <w:rFonts w:ascii="Arial" w:eastAsia="Arial" w:hAnsi="Arial" w:cs="Arial"/>
          <w:b/>
          <w:color w:val="000000"/>
          <w:sz w:val="20"/>
        </w:rPr>
        <w:t>Counsel:</w:t>
      </w:r>
      <w:r>
        <w:rPr>
          <w:rFonts w:ascii="Arial" w:eastAsia="Arial" w:hAnsi="Arial" w:cs="Arial"/>
          <w:color w:val="000000"/>
          <w:sz w:val="20"/>
        </w:rPr>
        <w:t> JAMES K. GREEN, West Palm Beach, FL (Robert L. Schonfeld, Moritt Hock &amp; Hamroff LLP, Garden City, NY, on the brief), for Plaintiff-Appellant.</w:t>
      </w:r>
    </w:p>
    <w:p w14:paraId="63601A24" w14:textId="77777777" w:rsidR="002D0E71" w:rsidRDefault="00000000">
      <w:pPr>
        <w:pStyle w:val="Normal33"/>
        <w:widowControl w:val="0"/>
        <w:spacing w:before="120" w:line="260" w:lineRule="atLeast"/>
      </w:pPr>
      <w:r>
        <w:rPr>
          <w:rFonts w:ascii="Arial" w:eastAsia="Arial" w:hAnsi="Arial" w:cs="Arial"/>
          <w:color w:val="000000"/>
          <w:sz w:val="20"/>
        </w:rPr>
        <w:t>LALIT K. LOOMBA (Peter A. Meisels, John M. Flannery, on the brief), Wilson, Elser, Moskowitz, Edelman &amp; Dicker LLP, White Plains, NY, for Defendants-Appellees.</w:t>
      </w:r>
    </w:p>
    <w:p w14:paraId="78D7C718" w14:textId="77777777" w:rsidR="002D0E71" w:rsidRDefault="00000000">
      <w:pPr>
        <w:pStyle w:val="Normal33"/>
        <w:widowControl w:val="0"/>
        <w:spacing w:before="240" w:line="260" w:lineRule="atLeast"/>
      </w:pPr>
      <w:bookmarkStart w:id="4603" w:name="Judges_32"/>
      <w:bookmarkEnd w:id="4603"/>
      <w:r>
        <w:rPr>
          <w:rFonts w:ascii="Arial" w:eastAsia="Arial" w:hAnsi="Arial" w:cs="Arial"/>
          <w:b/>
          <w:color w:val="000000"/>
          <w:sz w:val="20"/>
        </w:rPr>
        <w:t>Judges:</w:t>
      </w:r>
      <w:r>
        <w:rPr>
          <w:rFonts w:ascii="Arial" w:eastAsia="Arial" w:hAnsi="Arial" w:cs="Arial"/>
          <w:color w:val="000000"/>
          <w:sz w:val="20"/>
        </w:rPr>
        <w:t> Before: JACOBS, SACK, and LYNCH, Circuit Judges. [**2] </w:t>
      </w:r>
    </w:p>
    <w:p w14:paraId="08FDD2C4" w14:textId="77777777" w:rsidR="002D0E71" w:rsidRDefault="00000000">
      <w:pPr>
        <w:pStyle w:val="Normal33"/>
        <w:widowControl w:val="0"/>
        <w:spacing w:before="240" w:line="260" w:lineRule="atLeast"/>
      </w:pPr>
      <w:bookmarkStart w:id="4604" w:name="Opinion_by_23"/>
      <w:bookmarkEnd w:id="4604"/>
      <w:r>
        <w:rPr>
          <w:rFonts w:ascii="Arial" w:eastAsia="Arial" w:hAnsi="Arial" w:cs="Arial"/>
          <w:b/>
          <w:color w:val="000000"/>
          <w:sz w:val="20"/>
        </w:rPr>
        <w:t>Opinion by:</w:t>
      </w:r>
      <w:r>
        <w:rPr>
          <w:rFonts w:ascii="Arial" w:eastAsia="Arial" w:hAnsi="Arial" w:cs="Arial"/>
          <w:color w:val="000000"/>
          <w:sz w:val="20"/>
        </w:rPr>
        <w:t> SACK</w:t>
      </w:r>
    </w:p>
    <w:p w14:paraId="0C8B642D" w14:textId="77777777" w:rsidR="002D0E71" w:rsidRDefault="00000000">
      <w:pPr>
        <w:pStyle w:val="Normal33"/>
        <w:keepNext/>
        <w:widowControl w:val="0"/>
        <w:spacing w:before="240" w:line="340" w:lineRule="atLeast"/>
      </w:pPr>
      <w:bookmarkStart w:id="4605" w:name="Opinion_32"/>
      <w:bookmarkEnd w:id="4605"/>
      <w:r>
        <w:rPr>
          <w:rFonts w:ascii="Arial" w:eastAsia="Arial" w:hAnsi="Arial" w:cs="Arial"/>
          <w:b/>
          <w:color w:val="000000"/>
          <w:sz w:val="28"/>
        </w:rPr>
        <w:t>Opinion</w:t>
      </w:r>
    </w:p>
    <w:p w14:paraId="5A8EC3F3" w14:textId="7321ED2E" w:rsidR="002D0E71" w:rsidRDefault="002939DF">
      <w:pPr>
        <w:pStyle w:val="Normal33"/>
        <w:spacing w:line="60" w:lineRule="exact"/>
      </w:pPr>
      <w:r>
        <w:rPr>
          <w:noProof/>
        </w:rPr>
        <mc:AlternateContent>
          <mc:Choice Requires="wps">
            <w:drawing>
              <wp:anchor distT="0" distB="0" distL="114300" distR="114300" simplePos="0" relativeHeight="251727872" behindDoc="0" locked="0" layoutInCell="1" allowOverlap="1" wp14:anchorId="33D2F806" wp14:editId="6F8597EA">
                <wp:simplePos x="0" y="0"/>
                <wp:positionH relativeFrom="column">
                  <wp:posOffset>0</wp:posOffset>
                </wp:positionH>
                <wp:positionV relativeFrom="paragraph">
                  <wp:posOffset>25400</wp:posOffset>
                </wp:positionV>
                <wp:extent cx="3187700" cy="0"/>
                <wp:effectExtent l="19050" t="15875" r="12700" b="12700"/>
                <wp:wrapTopAndBottom/>
                <wp:docPr id="426217812"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5357FC" id="Line 71"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200248F" w14:textId="77777777" w:rsidR="002D0E71" w:rsidRDefault="002D0E71">
      <w:pPr>
        <w:pStyle w:val="Normal33"/>
      </w:pPr>
    </w:p>
    <w:p w14:paraId="4A874F46" w14:textId="77777777" w:rsidR="002D0E71" w:rsidRDefault="00000000">
      <w:pPr>
        <w:pStyle w:val="Normal33"/>
        <w:widowControl w:val="0"/>
        <w:spacing w:before="200" w:line="260" w:lineRule="atLeast"/>
        <w:jc w:val="both"/>
      </w:pPr>
      <w:bookmarkStart w:id="4606" w:name="Bookmark_para_2_32"/>
      <w:bookmarkEnd w:id="4606"/>
      <w:r>
        <w:rPr>
          <w:rFonts w:ascii="Arial" w:eastAsia="Arial" w:hAnsi="Arial" w:cs="Arial"/>
          <w:color w:val="000000"/>
          <w:sz w:val="20"/>
        </w:rPr>
        <w:t xml:space="preserve"> [*119]  </w:t>
      </w:r>
      <w:r>
        <w:rPr>
          <w:rFonts w:ascii="Arial" w:eastAsia="Arial" w:hAnsi="Arial" w:cs="Arial"/>
          <w:smallCaps/>
          <w:color w:val="000000"/>
          <w:sz w:val="20"/>
        </w:rPr>
        <w:t>Sack</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w:t>
      </w:r>
    </w:p>
    <w:p w14:paraId="43F91BA7" w14:textId="77777777" w:rsidR="002D0E71" w:rsidRDefault="00000000">
      <w:pPr>
        <w:pStyle w:val="Normal33"/>
        <w:widowControl w:val="0"/>
        <w:spacing w:before="200" w:line="260" w:lineRule="atLeast"/>
        <w:jc w:val="both"/>
      </w:pPr>
      <w:bookmarkStart w:id="4607" w:name="Bookmark_para_3_32"/>
      <w:bookmarkEnd w:id="4607"/>
      <w:r>
        <w:rPr>
          <w:rFonts w:ascii="Arial" w:eastAsia="Arial" w:hAnsi="Arial" w:cs="Arial"/>
          <w:color w:val="000000"/>
          <w:sz w:val="20"/>
        </w:rPr>
        <w:t xml:space="preserve">Sunrise Detox V, LLC, applied for a special permit under the zoning ordinance of White Plains, New York, to establish a facility for individuals recovering from drug or alcohol addiction. In order to satisfy the zoning regulations in force at its identified site, Sunrise sought to have its proposed facility designated a "community residence." The commissioner of the city's Department of Building determined that the facility did not qualify as a community residence and that, as a result, the city could take no further action on the application until Sunrise either applied for a variance or appealed the determination. Instead, Sunrise brought this action alleging intentional discrimination, disparate impact discrimination, and failure to grant a reasonable accommodation in violation of the Americans with Disabilities Act ("ADA"), 42 U.S.C. § 12101 </w:t>
      </w:r>
      <w:r>
        <w:rPr>
          <w:rFonts w:ascii="Arial" w:eastAsia="Arial" w:hAnsi="Arial" w:cs="Arial"/>
          <w:i/>
          <w:color w:val="000000"/>
          <w:sz w:val="20"/>
        </w:rPr>
        <w:t>et seq</w:t>
      </w:r>
      <w:r>
        <w:rPr>
          <w:rFonts w:ascii="Arial" w:eastAsia="Arial" w:hAnsi="Arial" w:cs="Arial"/>
          <w:color w:val="000000"/>
          <w:sz w:val="20"/>
        </w:rPr>
        <w:t>. Because we conclude that the dispute is not ripe, we affirm the judgment of the district court.</w:t>
      </w:r>
    </w:p>
    <w:p w14:paraId="46A6ACBC" w14:textId="77777777" w:rsidR="002D0E71" w:rsidRDefault="00000000">
      <w:pPr>
        <w:pStyle w:val="Normal33"/>
        <w:widowControl w:val="0"/>
        <w:spacing w:before="240" w:line="260" w:lineRule="atLeast"/>
      </w:pPr>
      <w:r>
        <w:br/>
      </w:r>
      <w:r>
        <w:rPr>
          <w:rFonts w:ascii="Arial" w:eastAsia="Arial" w:hAnsi="Arial" w:cs="Arial"/>
          <w:b/>
          <w:color w:val="000000"/>
          <w:sz w:val="20"/>
        </w:rPr>
        <w:t>BACKGROUND</w:t>
      </w:r>
    </w:p>
    <w:p w14:paraId="033D84B0" w14:textId="77777777" w:rsidR="002D0E71" w:rsidRDefault="00000000">
      <w:pPr>
        <w:pStyle w:val="Normal33"/>
        <w:widowControl w:val="0"/>
        <w:spacing w:before="200" w:line="260" w:lineRule="atLeast"/>
        <w:jc w:val="both"/>
      </w:pPr>
      <w:bookmarkStart w:id="4608" w:name="Bookmark_para_4_32"/>
      <w:bookmarkEnd w:id="4608"/>
      <w:r>
        <w:rPr>
          <w:rFonts w:ascii="Arial" w:eastAsia="Arial" w:hAnsi="Arial" w:cs="Arial"/>
          <w:color w:val="000000"/>
          <w:sz w:val="20"/>
        </w:rPr>
        <w:t>Sunrise wants to establish a facility for individuals recovering from addiction at 37 DeKalb Avenue, White Plains, New York, in a building that was formerly used as a nursing home. Because the site is located in the city's R2-2.5 [**3]  zoning district, Sunrise's proposed facility would have to qualify as a "community residence" or a "domiciliary care facility" and be granted a special permit from the city's Common Council in order to operate within the city's zoning ordinance.</w:t>
      </w:r>
      <w:r>
        <w:rPr>
          <w:rFonts w:ascii="Arial" w:eastAsia="Arial" w:hAnsi="Arial" w:cs="Arial"/>
          <w:vertAlign w:val="superscript"/>
        </w:rPr>
        <w:footnoteReference w:customMarkFollows="1" w:id="169"/>
        <w:t>1</w:t>
      </w:r>
      <w:r>
        <w:rPr>
          <w:rFonts w:ascii="Arial" w:eastAsia="Arial" w:hAnsi="Arial" w:cs="Arial"/>
          <w:color w:val="000000"/>
          <w:sz w:val="20"/>
        </w:rPr>
        <w:t xml:space="preserve"> The ordinance defines a "community residence" as</w:t>
      </w:r>
    </w:p>
    <w:p w14:paraId="6A1805FD" w14:textId="77777777" w:rsidR="002D0E71" w:rsidRDefault="00000000">
      <w:pPr>
        <w:pStyle w:val="Normal33"/>
        <w:widowControl w:val="0"/>
        <w:spacing w:before="200" w:line="260" w:lineRule="atLeast"/>
        <w:ind w:left="400"/>
        <w:jc w:val="both"/>
      </w:pPr>
      <w:bookmarkStart w:id="4610" w:name="Bookmark_para_5_32"/>
      <w:bookmarkEnd w:id="4610"/>
      <w:r>
        <w:rPr>
          <w:rFonts w:ascii="Arial" w:eastAsia="Arial" w:hAnsi="Arial" w:cs="Arial"/>
          <w:color w:val="000000"/>
          <w:sz w:val="20"/>
        </w:rPr>
        <w:t>[a] residential facility for the mentally disabled operated pursuant to the New York State Mental Hygiene Law and  [*120]  regulations promulgated thereunder, including an alcoholism facility, a hostel, a halfway house and any other such facility as defined in such regulations, and any similar facilities operated under the supervision of federal departments and agencies.</w:t>
      </w:r>
    </w:p>
    <w:p w14:paraId="36AAA1A4" w14:textId="77777777" w:rsidR="002D0E71" w:rsidRDefault="00000000">
      <w:pPr>
        <w:pStyle w:val="Normal33"/>
        <w:widowControl w:val="0"/>
        <w:spacing w:before="200" w:line="260" w:lineRule="atLeast"/>
        <w:jc w:val="both"/>
      </w:pPr>
      <w:r>
        <w:rPr>
          <w:rFonts w:ascii="Arial" w:eastAsia="Arial" w:hAnsi="Arial" w:cs="Arial"/>
          <w:color w:val="000000"/>
          <w:sz w:val="20"/>
        </w:rPr>
        <w:t xml:space="preserve">City of White Plains, N.Y. Zoning Ordinance § 2.4 (1981) (hereinafter "Ordinance"), </w:t>
      </w:r>
      <w:r>
        <w:rPr>
          <w:rFonts w:ascii="Arial" w:eastAsia="Arial" w:hAnsi="Arial" w:cs="Arial"/>
          <w:i/>
          <w:color w:val="000000"/>
          <w:sz w:val="20"/>
        </w:rPr>
        <w:t>available at</w:t>
      </w:r>
      <w:r>
        <w:rPr>
          <w:rFonts w:ascii="Arial" w:eastAsia="Arial" w:hAnsi="Arial" w:cs="Arial"/>
          <w:color w:val="000000"/>
          <w:sz w:val="20"/>
        </w:rPr>
        <w:t xml:space="preserve"> http://www.cityofwhiteplains.com/index.aspx?nid=120 (last visited Oct. 1, 2014).</w:t>
      </w:r>
    </w:p>
    <w:p w14:paraId="4B07DC2E" w14:textId="77777777" w:rsidR="002D0E71" w:rsidRDefault="00000000">
      <w:pPr>
        <w:pStyle w:val="Normal33"/>
        <w:widowControl w:val="0"/>
        <w:spacing w:before="200" w:line="260" w:lineRule="atLeast"/>
        <w:jc w:val="both"/>
      </w:pPr>
      <w:bookmarkStart w:id="4611" w:name="Bookmark_para_6_32"/>
      <w:bookmarkEnd w:id="4611"/>
      <w:r>
        <w:rPr>
          <w:rFonts w:ascii="Arial" w:eastAsia="Arial" w:hAnsi="Arial" w:cs="Arial"/>
          <w:color w:val="000000"/>
          <w:sz w:val="20"/>
        </w:rPr>
        <w:t xml:space="preserve">On June 15, 2012, Sunrise submitted its application for a special permit for its proposed facility, which it styled a "community residence," to the city Department of Building. </w:t>
      </w:r>
      <w:r>
        <w:rPr>
          <w:rFonts w:ascii="Arial" w:eastAsia="Arial" w:hAnsi="Arial" w:cs="Arial"/>
          <w:i/>
          <w:color w:val="000000"/>
          <w:sz w:val="20"/>
        </w:rPr>
        <w:t>See</w:t>
      </w:r>
      <w:r>
        <w:rPr>
          <w:rFonts w:ascii="Arial" w:eastAsia="Arial" w:hAnsi="Arial" w:cs="Arial"/>
          <w:color w:val="000000"/>
          <w:sz w:val="20"/>
        </w:rPr>
        <w:t xml:space="preserve"> Ordinance § 6.3. In a cover letter, Sunrise stated that the residence would "operate as a [**4]  short-term, medically monitored facility" treating "adults who have a primary substance use disorder which requires medical detoxification," with a maximum capacity of 33 beds and an average client stay of 5.7 days. J.A. 89, 90. Having "determined [the application] to be complete," Ordinance § 6.3, the commissioner of the Department of Building forwarded Sunrise's proposal to the Common Council.</w:t>
      </w:r>
    </w:p>
    <w:p w14:paraId="0796B51E" w14:textId="77777777" w:rsidR="002D0E71" w:rsidRDefault="00000000">
      <w:pPr>
        <w:pStyle w:val="Normal33"/>
        <w:widowControl w:val="0"/>
        <w:spacing w:before="200" w:line="260" w:lineRule="atLeast"/>
        <w:jc w:val="both"/>
      </w:pPr>
      <w:bookmarkStart w:id="4612" w:name="Bookmark_para_7_31"/>
      <w:bookmarkEnd w:id="4612"/>
      <w:r>
        <w:rPr>
          <w:rFonts w:ascii="Arial" w:eastAsia="Arial" w:hAnsi="Arial" w:cs="Arial"/>
          <w:color w:val="000000"/>
          <w:sz w:val="20"/>
        </w:rPr>
        <w:t>The application was deemed "officially submitted and received" at the Common Council's early July meeting and was then forwarded to the Planning Board, in accordance with the procedures set out in the zoning ordinance. Ordinance §§ 6.3, 6.4.1. The Planning Board unanimously recommended approval "for a period of one year," finding that "the proposed community residence meets the special permit requirements of the zoning ordinance." Letter of Michael Quinn, Chairman, Planning Board, to Mayor and Common Council of White Plains (July 27, 2012) (J.A. 177). The city's Department of Law also reviewed the application, and a public hearing was set for September 4, 2012.</w:t>
      </w:r>
    </w:p>
    <w:p w14:paraId="3BAF02A9" w14:textId="77777777" w:rsidR="002D0E71" w:rsidRDefault="00000000">
      <w:pPr>
        <w:pStyle w:val="Normal33"/>
        <w:widowControl w:val="0"/>
        <w:spacing w:before="200" w:line="260" w:lineRule="atLeast"/>
        <w:jc w:val="both"/>
      </w:pPr>
      <w:bookmarkStart w:id="4613" w:name="Bookmark_para_8_31"/>
      <w:bookmarkEnd w:id="4613"/>
      <w:r>
        <w:rPr>
          <w:rFonts w:ascii="Arial" w:eastAsia="Arial" w:hAnsi="Arial" w:cs="Arial"/>
          <w:color w:val="000000"/>
          <w:sz w:val="20"/>
        </w:rPr>
        <w:t>As public opposition to the facility mounted through the summer of 2012, however, Sunrise sought to delay the hearing. After two adjournments and two [**5]  open sessions, the Common Council ended public hearings on December 3, 2012. Sunrise then changed tack, writing to the mayor of White Plains and the Common Council to "request[ ] a reasonable accommodation to treat Sunrise's proposed use as a 'Community Residence.'" Letter of Sunrise to Mayor and Common Council of White Plains, at (Dec. 19, 2012) (J.A. 119). At its next meeting, the Common Council adopted a resolution permitting the letter to be considered despite its late submission and allowing an additional two weeks for public comment.</w:t>
      </w:r>
    </w:p>
    <w:p w14:paraId="4405E12A" w14:textId="77777777" w:rsidR="002D0E71" w:rsidRDefault="00000000">
      <w:pPr>
        <w:pStyle w:val="Normal33"/>
        <w:widowControl w:val="0"/>
        <w:spacing w:before="200" w:line="260" w:lineRule="atLeast"/>
        <w:jc w:val="both"/>
      </w:pPr>
      <w:bookmarkStart w:id="4614" w:name="Bookmark_para_9_31"/>
      <w:bookmarkEnd w:id="4614"/>
      <w:r>
        <w:rPr>
          <w:rFonts w:ascii="Arial" w:eastAsia="Arial" w:hAnsi="Arial" w:cs="Arial"/>
          <w:color w:val="000000"/>
          <w:sz w:val="20"/>
        </w:rPr>
        <w:t xml:space="preserve">The Common Council also referred the application back to the Planning Board for reconsideration in light of Sunrise's letter. The board reiterated its view that Sunrise's proposal met the ordinance's special permit requirements. But local residents argued that the proposed facility did not qualify as a "community residence." They asserted in letters submitted during the extended public comment period that the proposed number of beds and short client stays made the facility a short-term inpatient treatment facility rather than a community residence under state law. </w:t>
      </w:r>
      <w:r>
        <w:rPr>
          <w:rFonts w:ascii="Arial" w:eastAsia="Arial" w:hAnsi="Arial" w:cs="Arial"/>
          <w:i/>
          <w:color w:val="000000"/>
          <w:sz w:val="20"/>
        </w:rPr>
        <w:t>See</w:t>
      </w:r>
      <w:r>
        <w:rPr>
          <w:rFonts w:ascii="Arial" w:eastAsia="Arial" w:hAnsi="Arial" w:cs="Arial"/>
          <w:color w:val="000000"/>
          <w:sz w:val="20"/>
        </w:rPr>
        <w:t xml:space="preserve"> N.Y. Mental Hyg. Law § 1.03(28) (stating that a "community residence" "provides . . . a homelike environment and [**6]  room, board and responsible supervision for the habilitation or rehabilitation of individuals with mental disabilities as part of an overall service delivery system" but also "include[s] an intermediate care facility with fourteen or fewer residents").</w:t>
      </w:r>
    </w:p>
    <w:p w14:paraId="309BE4F2" w14:textId="77777777" w:rsidR="002D0E71" w:rsidRDefault="00000000">
      <w:pPr>
        <w:pStyle w:val="Normal33"/>
        <w:widowControl w:val="0"/>
        <w:spacing w:before="200" w:line="260" w:lineRule="atLeast"/>
        <w:jc w:val="both"/>
      </w:pPr>
      <w:bookmarkStart w:id="4615" w:name="Bookmark_para_10_30"/>
      <w:bookmarkEnd w:id="4615"/>
      <w:r>
        <w:rPr>
          <w:rFonts w:ascii="Arial" w:eastAsia="Arial" w:hAnsi="Arial" w:cs="Arial"/>
          <w:color w:val="000000"/>
          <w:sz w:val="20"/>
        </w:rPr>
        <w:t xml:space="preserve">On February 27, 2013, after reviewing Sunrise's supplemented application, the commissioner of the Department of Building issued a revised determination. He noted that the department had "initially  [*121]  concluded that the proposed facility most closely matched the 'Community Residence' definition" in the zoning ordinance, but explained that the newly submitted information had led it to reconsider. Letter from Damon A. Amadio, Comm'r, Dep't of Bldg., to Mayor and Common Council of White Plains, at 1-2 (Feb. 27, 2013) (J.A. 129-31). The department, he wrote, had now determined that the services provided by Sunrise were properly classified as "Crisis Services," so that the "closest appropriate zoning ordinance classification . . . [wa]s Hospitals or Sanitaria"—a use not permitted in the R2-2.5 zone. </w:t>
      </w:r>
      <w:r>
        <w:rPr>
          <w:rFonts w:ascii="Arial" w:eastAsia="Arial" w:hAnsi="Arial" w:cs="Arial"/>
          <w:i/>
          <w:color w:val="000000"/>
          <w:sz w:val="20"/>
        </w:rPr>
        <w:t>Id</w:t>
      </w:r>
      <w:r>
        <w:rPr>
          <w:rFonts w:ascii="Arial" w:eastAsia="Arial" w:hAnsi="Arial" w:cs="Arial"/>
          <w:color w:val="000000"/>
          <w:sz w:val="20"/>
        </w:rPr>
        <w:t xml:space="preserve">. at 3 (J.A. 131). The commissioner informed Sunrise that it would have to either seek a variance or appeal the department's determination to the Zoning Board of Appeals in order to proceed with its application. </w:t>
      </w:r>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see also</w:t>
      </w:r>
      <w:r>
        <w:rPr>
          <w:rFonts w:ascii="Arial" w:eastAsia="Arial" w:hAnsi="Arial" w:cs="Arial"/>
          <w:color w:val="000000"/>
          <w:sz w:val="20"/>
        </w:rPr>
        <w:t xml:space="preserve"> Ordinance § 6.4.5.2.</w:t>
      </w:r>
    </w:p>
    <w:p w14:paraId="67AAE5D6" w14:textId="77777777" w:rsidR="002D0E71" w:rsidRDefault="00000000">
      <w:pPr>
        <w:pStyle w:val="Normal33"/>
        <w:widowControl w:val="0"/>
        <w:spacing w:before="200" w:line="260" w:lineRule="atLeast"/>
        <w:jc w:val="both"/>
      </w:pPr>
      <w:bookmarkStart w:id="4616" w:name="Bookmark_para_11_30"/>
      <w:bookmarkEnd w:id="4616"/>
      <w:r>
        <w:rPr>
          <w:rFonts w:ascii="Arial" w:eastAsia="Arial" w:hAnsi="Arial" w:cs="Arial"/>
          <w:color w:val="000000"/>
          <w:sz w:val="20"/>
        </w:rPr>
        <w:t>Sunrise did not seek relief from the Board of Appeals. [**7]  Instead, it filed this lawsuit on March 11, 2013, alleging that the city intentionally discriminated against it and its prospective clients; that the commissioner's interpretation of "community residence" disparately impacted Sunrise and its prospective clients; and that the city failed to offer a reasonable accommodation by allowing Sunrise's proposed use of the property.</w:t>
      </w:r>
    </w:p>
    <w:p w14:paraId="22403F5A" w14:textId="77777777" w:rsidR="002D0E71" w:rsidRDefault="00000000">
      <w:pPr>
        <w:pStyle w:val="Normal33"/>
        <w:widowControl w:val="0"/>
        <w:spacing w:before="200" w:line="260" w:lineRule="atLeast"/>
        <w:jc w:val="both"/>
      </w:pPr>
      <w:bookmarkStart w:id="4617" w:name="Bookmark_para_12_29"/>
      <w:bookmarkEnd w:id="4617"/>
      <w:r>
        <w:rPr>
          <w:rFonts w:ascii="Arial" w:eastAsia="Arial" w:hAnsi="Arial" w:cs="Arial"/>
          <w:color w:val="000000"/>
          <w:sz w:val="20"/>
        </w:rPr>
        <w:t xml:space="preserve">Sunrise filed a motion for a preliminary injunction on March 20, 2013. </w:t>
      </w:r>
      <w:bookmarkStart w:id="4618" w:name="Bookmark_I5DFW8TX2N1RN20020000400"/>
      <w:bookmarkEnd w:id="4618"/>
      <w:r>
        <w:rPr>
          <w:rFonts w:ascii="Arial" w:eastAsia="Arial" w:hAnsi="Arial" w:cs="Arial"/>
          <w:color w:val="000000"/>
          <w:sz w:val="20"/>
        </w:rPr>
        <w:t xml:space="preserve">On April 30, 2013, the city cross-moved to dismiss the complaint pursuant to Rule 12(b)(1). Oral argument was held on July 8, 2013. At the close of argument, the district court (Vincent L. Briccetti, </w:t>
      </w:r>
      <w:r>
        <w:rPr>
          <w:rFonts w:ascii="Arial" w:eastAsia="Arial" w:hAnsi="Arial" w:cs="Arial"/>
          <w:i/>
          <w:color w:val="000000"/>
          <w:sz w:val="20"/>
        </w:rPr>
        <w:t>Judge</w:t>
      </w:r>
      <w:r>
        <w:rPr>
          <w:rFonts w:ascii="Arial" w:eastAsia="Arial" w:hAnsi="Arial" w:cs="Arial"/>
          <w:color w:val="000000"/>
          <w:sz w:val="20"/>
        </w:rPr>
        <w:t xml:space="preserve">) dismissed the case for lack of subject matter jurisdiction, concluding that Sunrise's claims were unripe for adjudication by the court because they presented "a zoning dispute as to which there has been no final determination." Tr. of Oral Argument at 63, </w:t>
      </w:r>
      <w:bookmarkStart w:id="4619" w:name="Bookmark_I5DFW8TX2N1RN20010000400"/>
      <w:bookmarkEnd w:id="4619"/>
      <w:r>
        <w:rPr>
          <w:rFonts w:ascii="Arial" w:eastAsia="Arial" w:hAnsi="Arial" w:cs="Arial"/>
          <w:i/>
          <w:color w:val="000000"/>
          <w:sz w:val="20"/>
        </w:rPr>
        <w:t>Sunrise Detox V, LLC v. City of White Plains</w:t>
      </w:r>
      <w:r>
        <w:rPr>
          <w:rFonts w:ascii="Arial" w:eastAsia="Arial" w:hAnsi="Arial" w:cs="Arial"/>
          <w:color w:val="000000"/>
          <w:sz w:val="20"/>
        </w:rPr>
        <w:t xml:space="preserve">, No. 13 Civ. 1614 (VB) (S.D.N.Y. July 8, 2013) (relying on </w:t>
      </w:r>
      <w:bookmarkStart w:id="4620" w:name="Bookmark_I5DFW8TX2N1RN20030000400"/>
      <w:bookmarkEnd w:id="4620"/>
      <w:r>
        <w:rPr>
          <w:rFonts w:ascii="Arial" w:eastAsia="Arial" w:hAnsi="Arial" w:cs="Arial"/>
          <w:i/>
          <w:color w:val="000000"/>
          <w:sz w:val="20"/>
        </w:rPr>
        <w:t>Murphy v. New Milford Zoning Comm'n</w:t>
      </w:r>
      <w:r>
        <w:rPr>
          <w:rFonts w:ascii="Arial" w:eastAsia="Arial" w:hAnsi="Arial" w:cs="Arial"/>
          <w:color w:val="000000"/>
          <w:sz w:val="20"/>
        </w:rPr>
        <w:t xml:space="preserve">, 402 F.3d 342 (2d Cir. 2005)). The district court also concluded that the futility exception to the final determination requirement did not apply because Sunrise had shown neither that the Board of Appeals lacked jurisdiction to [**8]  grant a variance or to reverse the commissioner's determination, nor that the Board of Appeals had "dug in its heels and made clear that all such applications will be denied." </w:t>
      </w:r>
      <w:r>
        <w:rPr>
          <w:rFonts w:ascii="Arial" w:eastAsia="Arial" w:hAnsi="Arial" w:cs="Arial"/>
          <w:i/>
          <w:color w:val="000000"/>
          <w:sz w:val="20"/>
        </w:rPr>
        <w:t>Id</w:t>
      </w:r>
      <w:r>
        <w:rPr>
          <w:rFonts w:ascii="Arial" w:eastAsia="Arial" w:hAnsi="Arial" w:cs="Arial"/>
          <w:color w:val="000000"/>
          <w:sz w:val="20"/>
        </w:rPr>
        <w:t>. at 64. Judgment was entered on July 10, 2013.</w:t>
      </w:r>
    </w:p>
    <w:p w14:paraId="15CB15CC" w14:textId="77777777" w:rsidR="002D0E71" w:rsidRDefault="00000000">
      <w:pPr>
        <w:pStyle w:val="Normal33"/>
        <w:widowControl w:val="0"/>
        <w:spacing w:before="200" w:line="260" w:lineRule="atLeast"/>
        <w:jc w:val="both"/>
      </w:pPr>
      <w:bookmarkStart w:id="4621" w:name="Bookmark_para_13_29"/>
      <w:bookmarkStart w:id="4622" w:name="Bookmark_I5DFW8TY2N1RN30010000400"/>
      <w:bookmarkEnd w:id="4621"/>
      <w:bookmarkEnd w:id="4622"/>
      <w:r>
        <w:rPr>
          <w:rFonts w:ascii="Arial" w:eastAsia="Arial" w:hAnsi="Arial" w:cs="Arial"/>
          <w:color w:val="000000"/>
          <w:sz w:val="20"/>
        </w:rPr>
        <w:t>Sunrise appeals, arguing that the dispute is ripe for adjudication and that the city violated the ADA by intentionally discriminating against its prospective clients and failing to make a reasonable accommodation.</w:t>
      </w:r>
      <w:r>
        <w:rPr>
          <w:rFonts w:ascii="Arial" w:eastAsia="Arial" w:hAnsi="Arial" w:cs="Arial"/>
          <w:vertAlign w:val="superscript"/>
        </w:rPr>
        <w:footnoteReference w:customMarkFollows="1" w:id="170"/>
        <w:t>2</w:t>
      </w:r>
    </w:p>
    <w:p w14:paraId="2B0FEC22" w14:textId="77777777" w:rsidR="002D0E71" w:rsidRDefault="00000000">
      <w:pPr>
        <w:pStyle w:val="Normal33"/>
        <w:widowControl w:val="0"/>
        <w:spacing w:before="240" w:line="260" w:lineRule="atLeast"/>
      </w:pPr>
      <w:r>
        <w:br/>
      </w:r>
      <w:r>
        <w:rPr>
          <w:rFonts w:ascii="Arial" w:eastAsia="Arial" w:hAnsi="Arial" w:cs="Arial"/>
          <w:b/>
          <w:color w:val="000000"/>
          <w:sz w:val="20"/>
        </w:rPr>
        <w:t>DISCUSSION</w:t>
      </w:r>
    </w:p>
    <w:p w14:paraId="1CE29099" w14:textId="77777777" w:rsidR="002D0E71" w:rsidRDefault="00000000">
      <w:pPr>
        <w:pStyle w:val="Normal33"/>
        <w:widowControl w:val="0"/>
        <w:spacing w:before="200" w:line="260" w:lineRule="atLeast"/>
        <w:jc w:val="both"/>
      </w:pPr>
      <w:bookmarkStart w:id="4625" w:name="Bookmark_para_14_29"/>
      <w:bookmarkStart w:id="4626" w:name="Bookmark_I5DFW8TY2N1RN30030000400"/>
      <w:bookmarkStart w:id="4627" w:name="Bookmark_I5DFW8TY2N1RN30050000400"/>
      <w:bookmarkStart w:id="4628" w:name="Bookmark_LNHNREFclscc1_27"/>
      <w:bookmarkEnd w:id="4625"/>
      <w:bookmarkEnd w:id="4626"/>
      <w:bookmarkEnd w:id="4627"/>
      <w:bookmarkEnd w:id="4628"/>
      <w:r>
        <w:rPr>
          <w:rFonts w:ascii="Arial" w:eastAsia="Arial" w:hAnsi="Arial" w:cs="Arial"/>
          <w:color w:val="000000"/>
          <w:sz w:val="20"/>
        </w:rPr>
        <w:t xml:space="preserve">This Court reviews de novo the dismissal of a complaint under Rule 12(b)(1). </w:t>
      </w:r>
      <w:bookmarkStart w:id="4629" w:name="Bookmark_I5DFW8TY2N1RN30020000400"/>
      <w:bookmarkEnd w:id="4629"/>
      <w:r>
        <w:rPr>
          <w:rFonts w:ascii="Arial" w:eastAsia="Arial" w:hAnsi="Arial" w:cs="Arial"/>
          <w:i/>
          <w:color w:val="000000"/>
          <w:sz w:val="20"/>
        </w:rPr>
        <w:t>Shabaj v. Holder</w:t>
      </w:r>
      <w:r>
        <w:rPr>
          <w:rFonts w:ascii="Arial" w:eastAsia="Arial" w:hAnsi="Arial" w:cs="Arial"/>
          <w:color w:val="000000"/>
          <w:sz w:val="20"/>
        </w:rPr>
        <w:t xml:space="preserve">, 718 F.3d 48, 50 (2d Cir. 2013). </w:t>
      </w:r>
      <w:bookmarkStart w:id="4630" w:name="Bookmark_LNHNREFclscc2_27"/>
      <w:bookmarkEnd w:id="4630"/>
      <w:r>
        <w:rPr>
          <w:rFonts w:ascii="Arial" w:eastAsia="Arial" w:hAnsi="Arial" w:cs="Arial"/>
          <w:color w:val="000000"/>
          <w:sz w:val="20"/>
        </w:rPr>
        <w:t xml:space="preserve">The district court's determination that an issue is not ripe is also reviewed </w:t>
      </w:r>
      <w:r>
        <w:rPr>
          <w:rFonts w:ascii="Arial" w:eastAsia="Arial" w:hAnsi="Arial" w:cs="Arial"/>
          <w:i/>
          <w:color w:val="000000"/>
          <w:sz w:val="20"/>
        </w:rPr>
        <w:t xml:space="preserve">de novo. </w:t>
      </w:r>
      <w:bookmarkStart w:id="4631" w:name="Bookmark_I5DFW8TY2N1RN30040000400"/>
      <w:bookmarkEnd w:id="4631"/>
      <w:r>
        <w:rPr>
          <w:rFonts w:ascii="Arial" w:eastAsia="Arial" w:hAnsi="Arial" w:cs="Arial"/>
          <w:i/>
          <w:color w:val="000000"/>
          <w:sz w:val="20"/>
        </w:rPr>
        <w:t>United States v. Broadcast Music, Inc</w:t>
      </w:r>
      <w:r>
        <w:rPr>
          <w:rFonts w:ascii="Arial" w:eastAsia="Arial" w:hAnsi="Arial" w:cs="Arial"/>
          <w:color w:val="000000"/>
          <w:sz w:val="20"/>
        </w:rPr>
        <w:t>., 275 F.3d 168, 178 (2d Cir. 2001).</w:t>
      </w:r>
    </w:p>
    <w:p w14:paraId="3AD1F28F" w14:textId="77777777" w:rsidR="002D0E71" w:rsidRDefault="00000000">
      <w:pPr>
        <w:pStyle w:val="Normal33"/>
        <w:widowControl w:val="0"/>
        <w:spacing w:before="200" w:line="260" w:lineRule="atLeast"/>
        <w:jc w:val="both"/>
      </w:pPr>
      <w:bookmarkStart w:id="4632" w:name="Bookmark_para_15_28"/>
      <w:bookmarkStart w:id="4633" w:name="Bookmark_I5DFW8TY2SF8820020000400"/>
      <w:bookmarkStart w:id="4634" w:name="Bookmark_LNHNREFclscc3_26"/>
      <w:bookmarkEnd w:id="4632"/>
      <w:bookmarkEnd w:id="4633"/>
      <w:bookmarkEnd w:id="4634"/>
      <w:r>
        <w:rPr>
          <w:rFonts w:ascii="Arial" w:eastAsia="Arial" w:hAnsi="Arial" w:cs="Arial"/>
          <w:color w:val="000000"/>
          <w:sz w:val="20"/>
        </w:rPr>
        <w:t xml:space="preserve">Because "[r]ipeness is a jurisdictional inquiry," landowners bringing zoning challenges must meet "the 'high burden' of proving that we can look to a final, definitive position from a local authority to assess precisely how they can use their property" before this Court may entertain their claims. </w:t>
      </w:r>
      <w:bookmarkStart w:id="4635" w:name="Bookmark_I5DFW8TY2SF8820010000400"/>
      <w:bookmarkEnd w:id="4635"/>
      <w:r>
        <w:rPr>
          <w:rFonts w:ascii="Arial" w:eastAsia="Arial" w:hAnsi="Arial" w:cs="Arial"/>
          <w:i/>
          <w:color w:val="000000"/>
          <w:sz w:val="20"/>
        </w:rPr>
        <w:t>Murphy</w:t>
      </w:r>
      <w:r>
        <w:rPr>
          <w:rFonts w:ascii="Arial" w:eastAsia="Arial" w:hAnsi="Arial" w:cs="Arial"/>
          <w:color w:val="000000"/>
          <w:sz w:val="20"/>
        </w:rPr>
        <w:t>, 402 F.3d at 347. Sunrise argues that this final-decision requirement  [*122]  does not apply to zoning challenges under the ADA based on allegations of intentional discrimination because those "cause[] a uniquely immediate injury" rendering [**9]  such claims "ripe from the act of discrimination." Appellant's Br. 22. In the alternative, Sunrise contends that its suit is ripe either because the city constructively denied its application or because further pursuit of the application would have been futile. We conclude otherwise.</w:t>
      </w:r>
    </w:p>
    <w:p w14:paraId="23531B89" w14:textId="77777777" w:rsidR="002D0E71" w:rsidRDefault="00000000">
      <w:pPr>
        <w:pStyle w:val="Normal33"/>
        <w:widowControl w:val="0"/>
        <w:spacing w:before="200" w:line="260" w:lineRule="atLeast"/>
        <w:jc w:val="both"/>
      </w:pPr>
      <w:bookmarkStart w:id="4636" w:name="Bookmark_para_16_28"/>
      <w:bookmarkStart w:id="4637" w:name="Bookmark_I5DFW8TY2SF8820040000400"/>
      <w:bookmarkStart w:id="4638" w:name="Bookmark_I5DFW8TY2HM5S80030000400"/>
      <w:bookmarkStart w:id="4639" w:name="Bookmark_LNHNREFclscc4_26"/>
      <w:bookmarkEnd w:id="4636"/>
      <w:bookmarkEnd w:id="4637"/>
      <w:bookmarkEnd w:id="4638"/>
      <w:bookmarkEnd w:id="4639"/>
      <w:r>
        <w:rPr>
          <w:rFonts w:ascii="Arial" w:eastAsia="Arial" w:hAnsi="Arial" w:cs="Arial"/>
          <w:color w:val="000000"/>
          <w:sz w:val="20"/>
        </w:rPr>
        <w:t xml:space="preserve">The Supreme Court has articulated "specific ripeness requirements applicable to land use disputes," </w:t>
      </w:r>
      <w:bookmarkStart w:id="4640" w:name="Bookmark_I5DFW8TY2SF8820030000400"/>
      <w:bookmarkEnd w:id="4640"/>
      <w:r>
        <w:rPr>
          <w:rFonts w:ascii="Arial" w:eastAsia="Arial" w:hAnsi="Arial" w:cs="Arial"/>
          <w:i/>
          <w:color w:val="000000"/>
          <w:sz w:val="20"/>
        </w:rPr>
        <w:t>Murphy</w:t>
      </w:r>
      <w:r>
        <w:rPr>
          <w:rFonts w:ascii="Arial" w:eastAsia="Arial" w:hAnsi="Arial" w:cs="Arial"/>
          <w:color w:val="000000"/>
          <w:sz w:val="20"/>
        </w:rPr>
        <w:t xml:space="preserve">, 402 F.3d at 347, in particular holding that a takings claim "is not ripe until the government entity charged with implementing the regulations has reached a final decision regarding the application of the regulations to the property at issue," </w:t>
      </w:r>
      <w:bookmarkStart w:id="4641" w:name="Bookmark_I5DFW8TY2SF8820050000400"/>
      <w:bookmarkEnd w:id="4641"/>
      <w:r>
        <w:rPr>
          <w:rFonts w:ascii="Arial" w:eastAsia="Arial" w:hAnsi="Arial" w:cs="Arial"/>
          <w:i/>
          <w:color w:val="000000"/>
          <w:sz w:val="20"/>
        </w:rPr>
        <w:t>Williamson Cnty. Reg'l Planning Comm'n v. Hamilton Bank of Johnson City</w:t>
      </w:r>
      <w:r>
        <w:rPr>
          <w:rFonts w:ascii="Arial" w:eastAsia="Arial" w:hAnsi="Arial" w:cs="Arial"/>
          <w:color w:val="000000"/>
          <w:sz w:val="20"/>
        </w:rPr>
        <w:t xml:space="preserve">, 473 U.S. 172, 186, 105 S. Ct. 3108, 87 L. Ed. 2d 126 (1985). </w:t>
      </w:r>
      <w:bookmarkStart w:id="4642" w:name="Bookmark_I5DFW8TY2HM5S80050000400"/>
      <w:bookmarkEnd w:id="4642"/>
      <w:r>
        <w:rPr>
          <w:rFonts w:ascii="Arial" w:eastAsia="Arial" w:hAnsi="Arial" w:cs="Arial"/>
          <w:color w:val="000000"/>
          <w:sz w:val="20"/>
        </w:rPr>
        <w:t xml:space="preserve">Although </w:t>
      </w:r>
      <w:r>
        <w:rPr>
          <w:rFonts w:ascii="Arial" w:eastAsia="Arial" w:hAnsi="Arial" w:cs="Arial"/>
          <w:i/>
          <w:color w:val="000000"/>
          <w:sz w:val="20"/>
        </w:rPr>
        <w:t>Williamson County</w:t>
      </w:r>
      <w:r>
        <w:rPr>
          <w:rFonts w:ascii="Arial" w:eastAsia="Arial" w:hAnsi="Arial" w:cs="Arial"/>
          <w:color w:val="000000"/>
          <w:sz w:val="20"/>
        </w:rPr>
        <w:t xml:space="preserve"> involved a challenge to a regulatory taking, the final-decision requirement "has not been so strictly confined." </w:t>
      </w:r>
      <w:bookmarkStart w:id="4643" w:name="Bookmark_I5DFW8TY2HM5S80020000400"/>
      <w:bookmarkEnd w:id="4643"/>
      <w:r>
        <w:rPr>
          <w:rFonts w:ascii="Arial" w:eastAsia="Arial" w:hAnsi="Arial" w:cs="Arial"/>
          <w:i/>
          <w:color w:val="000000"/>
          <w:sz w:val="20"/>
        </w:rPr>
        <w:t>Murphy</w:t>
      </w:r>
      <w:r>
        <w:rPr>
          <w:rFonts w:ascii="Arial" w:eastAsia="Arial" w:hAnsi="Arial" w:cs="Arial"/>
          <w:color w:val="000000"/>
          <w:sz w:val="20"/>
        </w:rPr>
        <w:t xml:space="preserve">, 402 F.3d at 349-50 (citing opinions from the Third, Seventh, and Ninth Circuits). We have previously extended the final-decision requirement to zoning challenges based on substantive due process; First Amendment rights of assembly and free exercise; the Religious Land Use and Institutionalized Persons Act of 2000 ("RLUIPA"), 42 U.S.C. §§ 2000cc </w:t>
      </w:r>
      <w:r>
        <w:rPr>
          <w:rFonts w:ascii="Arial" w:eastAsia="Arial" w:hAnsi="Arial" w:cs="Arial"/>
          <w:i/>
          <w:color w:val="000000"/>
          <w:sz w:val="20"/>
        </w:rPr>
        <w:t>et seq</w:t>
      </w:r>
      <w:r>
        <w:rPr>
          <w:rFonts w:ascii="Arial" w:eastAsia="Arial" w:hAnsi="Arial" w:cs="Arial"/>
          <w:color w:val="000000"/>
          <w:sz w:val="20"/>
        </w:rPr>
        <w:t xml:space="preserve">.; and a state analogue to RLUIPA, the Connecticut Act Concerning Religious Freedom ("CACRF"), Conn. Gen. Stat. § 52-571b. </w:t>
      </w:r>
      <w:bookmarkStart w:id="4644" w:name="Bookmark_I5DFW8TY2HM5S80050000400_2"/>
      <w:bookmarkEnd w:id="4644"/>
      <w:r>
        <w:rPr>
          <w:rFonts w:ascii="Arial" w:eastAsia="Arial" w:hAnsi="Arial" w:cs="Arial"/>
          <w:i/>
          <w:color w:val="000000"/>
          <w:sz w:val="20"/>
        </w:rPr>
        <w:t xml:space="preserve">See </w:t>
      </w:r>
      <w:bookmarkStart w:id="4645" w:name="Bookmark_I5DFW8TY2HM5S80040000400"/>
      <w:bookmarkEnd w:id="4645"/>
      <w:r>
        <w:rPr>
          <w:rFonts w:ascii="Arial" w:eastAsia="Arial" w:hAnsi="Arial" w:cs="Arial"/>
          <w:i/>
          <w:color w:val="000000"/>
          <w:sz w:val="20"/>
        </w:rPr>
        <w:t>Southview Assocs. v. Bongartz</w:t>
      </w:r>
      <w:r>
        <w:rPr>
          <w:rFonts w:ascii="Arial" w:eastAsia="Arial" w:hAnsi="Arial" w:cs="Arial"/>
          <w:color w:val="000000"/>
          <w:sz w:val="20"/>
        </w:rPr>
        <w:t xml:space="preserve">, 980 F.2d 84, 96-97 (2d Cir. 1992) (substantive due process); </w:t>
      </w:r>
      <w:bookmarkStart w:id="4646" w:name="Bookmark_I5DFW8TY2N1RN40010000400"/>
      <w:bookmarkEnd w:id="4646"/>
      <w:r>
        <w:rPr>
          <w:rFonts w:ascii="Arial" w:eastAsia="Arial" w:hAnsi="Arial" w:cs="Arial"/>
          <w:i/>
          <w:color w:val="000000"/>
          <w:sz w:val="20"/>
        </w:rPr>
        <w:t>Murphy</w:t>
      </w:r>
      <w:r>
        <w:rPr>
          <w:rFonts w:ascii="Arial" w:eastAsia="Arial" w:hAnsi="Arial" w:cs="Arial"/>
          <w:color w:val="000000"/>
          <w:sz w:val="20"/>
        </w:rPr>
        <w:t>, 402 F.3d at 352 (First Amendment, RLUIPA, and CACRF). [**10]  For the reasons that follow, we decline to adopt a categorical rule excepting from the final-decision requirement any case in which a landowner alleges intentional discrimination.</w:t>
      </w:r>
    </w:p>
    <w:p w14:paraId="46542A77" w14:textId="77777777" w:rsidR="002D0E71" w:rsidRDefault="00000000">
      <w:pPr>
        <w:pStyle w:val="Normal33"/>
        <w:widowControl w:val="0"/>
        <w:spacing w:before="200" w:line="260" w:lineRule="atLeast"/>
        <w:jc w:val="both"/>
      </w:pPr>
      <w:bookmarkStart w:id="4647" w:name="Bookmark_para_17_27"/>
      <w:bookmarkStart w:id="4648" w:name="Bookmark_I5DFW8TY2N1RN40040000400"/>
      <w:bookmarkStart w:id="4649" w:name="Bookmark_I5DFW8TY2D6MTC0010000400"/>
      <w:bookmarkStart w:id="4650" w:name="Bookmark_LNHNREFclscc5_26"/>
      <w:bookmarkEnd w:id="4647"/>
      <w:bookmarkEnd w:id="4648"/>
      <w:bookmarkEnd w:id="4649"/>
      <w:bookmarkEnd w:id="4650"/>
      <w:r>
        <w:rPr>
          <w:rFonts w:ascii="Arial" w:eastAsia="Arial" w:hAnsi="Arial" w:cs="Arial"/>
          <w:color w:val="000000"/>
          <w:sz w:val="20"/>
        </w:rPr>
        <w:t xml:space="preserve">We have previously characterized "[t]he purpose of the ripeness requirement" as "ensur[ing] that a dispute has generated injury significant enough to satisfy the case or controversy requirement of Article III of the U.S. Constitution." </w:t>
      </w:r>
      <w:bookmarkStart w:id="4651" w:name="Bookmark_I5DFW8TY2N1RN40030000400"/>
      <w:bookmarkEnd w:id="4651"/>
      <w:r>
        <w:rPr>
          <w:rFonts w:ascii="Arial" w:eastAsia="Arial" w:hAnsi="Arial" w:cs="Arial"/>
          <w:i/>
          <w:color w:val="000000"/>
          <w:sz w:val="20"/>
        </w:rPr>
        <w:t>Dougherty v. Town of N. Hempstead Bd. of Zoning Appeals</w:t>
      </w:r>
      <w:r>
        <w:rPr>
          <w:rFonts w:ascii="Arial" w:eastAsia="Arial" w:hAnsi="Arial" w:cs="Arial"/>
          <w:color w:val="000000"/>
          <w:sz w:val="20"/>
        </w:rPr>
        <w:t xml:space="preserve">, 282 F.3d 83, 90 (2d Cir. 2002). </w:t>
      </w:r>
      <w:r>
        <w:rPr>
          <w:rFonts w:ascii="Arial" w:eastAsia="Arial" w:hAnsi="Arial" w:cs="Arial"/>
          <w:i/>
          <w:color w:val="000000"/>
          <w:sz w:val="20"/>
        </w:rPr>
        <w:t>Williamson County</w:t>
      </w:r>
      <w:r>
        <w:rPr>
          <w:rFonts w:ascii="Arial" w:eastAsia="Arial" w:hAnsi="Arial" w:cs="Arial"/>
          <w:color w:val="000000"/>
          <w:sz w:val="20"/>
        </w:rPr>
        <w:t xml:space="preserve">'s final-decision requirement helps distinguish between those cases in which a plaintiff has suffered a "concrete and particularized," "actual or imminent" injury, </w:t>
      </w:r>
      <w:bookmarkStart w:id="4652" w:name="Bookmark_I5DFW8TY2N1RN40050000400"/>
      <w:bookmarkEnd w:id="4652"/>
      <w:r>
        <w:rPr>
          <w:rFonts w:ascii="Arial" w:eastAsia="Arial" w:hAnsi="Arial" w:cs="Arial"/>
          <w:i/>
          <w:color w:val="000000"/>
          <w:sz w:val="20"/>
        </w:rPr>
        <w:t>Lujan v. Defenders of Wildlife</w:t>
      </w:r>
      <w:r>
        <w:rPr>
          <w:rFonts w:ascii="Arial" w:eastAsia="Arial" w:hAnsi="Arial" w:cs="Arial"/>
          <w:color w:val="000000"/>
          <w:sz w:val="20"/>
        </w:rPr>
        <w:t xml:space="preserve">, 504 U.S. 555, 560, 112 S. Ct. 2130, 119 L. Ed. 2d 351 (1992), and those in which the injury is "merely speculative and may never occur, depending on the final administrative resolution," </w:t>
      </w:r>
      <w:bookmarkStart w:id="4653" w:name="Bookmark_I5DFW8TY2D6MTC0020000400"/>
      <w:bookmarkEnd w:id="4653"/>
      <w:r>
        <w:rPr>
          <w:rFonts w:ascii="Arial" w:eastAsia="Arial" w:hAnsi="Arial" w:cs="Arial"/>
          <w:i/>
          <w:color w:val="000000"/>
          <w:sz w:val="20"/>
        </w:rPr>
        <w:t>Dougherty</w:t>
      </w:r>
      <w:r>
        <w:rPr>
          <w:rFonts w:ascii="Arial" w:eastAsia="Arial" w:hAnsi="Arial" w:cs="Arial"/>
          <w:color w:val="000000"/>
          <w:sz w:val="20"/>
        </w:rPr>
        <w:t xml:space="preserve">, 282 F.3d at 90; </w:t>
      </w:r>
      <w:r>
        <w:rPr>
          <w:rFonts w:ascii="Arial" w:eastAsia="Arial" w:hAnsi="Arial" w:cs="Arial"/>
          <w:i/>
          <w:color w:val="000000"/>
          <w:sz w:val="20"/>
        </w:rPr>
        <w:t xml:space="preserve">see </w:t>
      </w:r>
      <w:bookmarkStart w:id="4654" w:name="Bookmark_I5DFW8TY2D6MTC0040000400"/>
      <w:bookmarkEnd w:id="4654"/>
      <w:r>
        <w:rPr>
          <w:rFonts w:ascii="Arial" w:eastAsia="Arial" w:hAnsi="Arial" w:cs="Arial"/>
          <w:i/>
          <w:color w:val="000000"/>
          <w:sz w:val="20"/>
        </w:rPr>
        <w:t>Williamson Cnty</w:t>
      </w:r>
      <w:r>
        <w:rPr>
          <w:rFonts w:ascii="Arial" w:eastAsia="Arial" w:hAnsi="Arial" w:cs="Arial"/>
          <w:color w:val="000000"/>
          <w:sz w:val="20"/>
        </w:rPr>
        <w:t>., 473 U.S. at 191 ("[T]he factors of particular significance in the [takings] inquiry . . . . simply cannot be evaluated until the administrative agency has arrived at a final, definitive position regarding how it will apply the regulations at issue to the particular land in question."). In other words, a non-final decision on how a parcel of land may be used does not ordinarily give rise to an injury that is sufficiently concrete and particularized to satisfy Article III.</w:t>
      </w:r>
    </w:p>
    <w:p w14:paraId="25EDECF3" w14:textId="77777777" w:rsidR="002D0E71" w:rsidRDefault="00000000">
      <w:pPr>
        <w:pStyle w:val="Normal33"/>
        <w:widowControl w:val="0"/>
        <w:spacing w:before="200" w:line="260" w:lineRule="atLeast"/>
        <w:jc w:val="both"/>
      </w:pPr>
      <w:bookmarkStart w:id="4655" w:name="Bookmark_para_18_27"/>
      <w:bookmarkStart w:id="4656" w:name="Bookmark_I5DFW8TY2HM5S90020000400"/>
      <w:bookmarkEnd w:id="4655"/>
      <w:bookmarkEnd w:id="4656"/>
      <w:r>
        <w:rPr>
          <w:rFonts w:ascii="Arial" w:eastAsia="Arial" w:hAnsi="Arial" w:cs="Arial"/>
          <w:color w:val="000000"/>
          <w:sz w:val="20"/>
        </w:rPr>
        <w:t xml:space="preserve">Sunrise argues, however, that there are limits to the principle announced [**11]  in </w:t>
      </w:r>
      <w:r>
        <w:rPr>
          <w:rFonts w:ascii="Arial" w:eastAsia="Arial" w:hAnsi="Arial" w:cs="Arial"/>
          <w:i/>
          <w:color w:val="000000"/>
          <w:sz w:val="20"/>
        </w:rPr>
        <w:t>Williamson County</w:t>
      </w:r>
      <w:r>
        <w:rPr>
          <w:rFonts w:ascii="Arial" w:eastAsia="Arial" w:hAnsi="Arial" w:cs="Arial"/>
          <w:color w:val="000000"/>
          <w:sz w:val="20"/>
        </w:rPr>
        <w:t xml:space="preserve">, and that distinctions between the rights at issue in that case and in this one illustrate those limits. Sunrise points out that </w:t>
      </w:r>
      <w:r>
        <w:rPr>
          <w:rFonts w:ascii="Arial" w:eastAsia="Arial" w:hAnsi="Arial" w:cs="Arial"/>
          <w:i/>
          <w:color w:val="000000"/>
          <w:sz w:val="20"/>
        </w:rPr>
        <w:t>Williamson County</w:t>
      </w:r>
      <w:r>
        <w:rPr>
          <w:rFonts w:ascii="Arial" w:eastAsia="Arial" w:hAnsi="Arial" w:cs="Arial"/>
          <w:color w:val="000000"/>
          <w:sz w:val="20"/>
        </w:rPr>
        <w:t xml:space="preserve"> involved a claim of "regulatory taking"— that is, a claim that the denial of the landowner's development proposal was tantamount to a taking of the owner's property for public purposes, that under the Constitution entitled the owner to compensation. </w:t>
      </w:r>
      <w:r>
        <w:rPr>
          <w:rFonts w:ascii="Arial" w:eastAsia="Arial" w:hAnsi="Arial" w:cs="Arial"/>
          <w:i/>
          <w:color w:val="000000"/>
          <w:sz w:val="20"/>
        </w:rPr>
        <w:t xml:space="preserve">See </w:t>
      </w:r>
      <w:bookmarkStart w:id="4657" w:name="Bookmark_I5DFW8TY2HM5S90010000400"/>
      <w:bookmarkEnd w:id="4657"/>
      <w:r>
        <w:rPr>
          <w:rFonts w:ascii="Arial" w:eastAsia="Arial" w:hAnsi="Arial" w:cs="Arial"/>
          <w:i/>
          <w:color w:val="000000"/>
          <w:sz w:val="20"/>
        </w:rPr>
        <w:t>Lucas v. S.C. Coastal Council</w:t>
      </w:r>
      <w:r>
        <w:rPr>
          <w:rFonts w:ascii="Arial" w:eastAsia="Arial" w:hAnsi="Arial" w:cs="Arial"/>
          <w:color w:val="000000"/>
          <w:sz w:val="20"/>
        </w:rPr>
        <w:t xml:space="preserve">, 505 U.S. 1003, 1017,  [*123]  112 S. Ct. 2886, 120 L. Ed. 2d 798 (1992); </w:t>
      </w:r>
      <w:bookmarkStart w:id="4658" w:name="Bookmark_I5DFW8TY2HM5S90030000400"/>
      <w:bookmarkEnd w:id="4658"/>
      <w:r>
        <w:rPr>
          <w:rFonts w:ascii="Arial" w:eastAsia="Arial" w:hAnsi="Arial" w:cs="Arial"/>
          <w:i/>
          <w:color w:val="000000"/>
          <w:sz w:val="20"/>
        </w:rPr>
        <w:t>Pennsylvania Coal Co. v. Mahon</w:t>
      </w:r>
      <w:r>
        <w:rPr>
          <w:rFonts w:ascii="Arial" w:eastAsia="Arial" w:hAnsi="Arial" w:cs="Arial"/>
          <w:color w:val="000000"/>
          <w:sz w:val="20"/>
        </w:rPr>
        <w:t>, 260 U.S. 393, 415, 43 S. Ct. 158, 67 L. Ed. 322 (1922). In such a case, Sunrise argues, the landowner seeks compensation for a harm that is inherent in the denial of the permit itself, which is not complete until the proposed land use is finally and definitely forbidden. Here, in contrast, Sunrise claims that it was the victim of an act of disability discrimination forbidden by federal law, and that the injury from such discrimination is experienced as soon as the official acts with a discriminatory motivation.</w:t>
      </w:r>
    </w:p>
    <w:p w14:paraId="33A7F853" w14:textId="77777777" w:rsidR="002D0E71" w:rsidRDefault="00000000">
      <w:pPr>
        <w:pStyle w:val="Normal33"/>
        <w:widowControl w:val="0"/>
        <w:spacing w:before="200" w:line="260" w:lineRule="atLeast"/>
        <w:jc w:val="both"/>
      </w:pPr>
      <w:bookmarkStart w:id="4659" w:name="Bookmark_para_19_27"/>
      <w:bookmarkStart w:id="4660" w:name="Bookmark_I5DFW8TY2HM5SB0010000400"/>
      <w:bookmarkEnd w:id="4659"/>
      <w:bookmarkEnd w:id="4660"/>
      <w:r>
        <w:rPr>
          <w:rFonts w:ascii="Arial" w:eastAsia="Arial" w:hAnsi="Arial" w:cs="Arial"/>
          <w:color w:val="000000"/>
          <w:sz w:val="20"/>
        </w:rPr>
        <w:t xml:space="preserve">The argument is not without appeal. Generally, when a public official violates constitutional or statutory rights of citizens to equal treatment, we allow resort to the federal courts to vindicate those rights, without requiring the offended person to exhaust potentially available state remedies first. </w:t>
      </w:r>
      <w:r>
        <w:rPr>
          <w:rFonts w:ascii="Arial" w:eastAsia="Arial" w:hAnsi="Arial" w:cs="Arial"/>
          <w:i/>
          <w:color w:val="000000"/>
          <w:sz w:val="20"/>
        </w:rPr>
        <w:t xml:space="preserve">See </w:t>
      </w:r>
      <w:bookmarkStart w:id="4661" w:name="Bookmark_I5DFW8TY2HM5S90050000400"/>
      <w:bookmarkEnd w:id="4661"/>
      <w:r>
        <w:rPr>
          <w:rFonts w:ascii="Arial" w:eastAsia="Arial" w:hAnsi="Arial" w:cs="Arial"/>
          <w:i/>
          <w:color w:val="000000"/>
          <w:sz w:val="20"/>
        </w:rPr>
        <w:t>Patsy v. Fla. Bd. Of Regents</w:t>
      </w:r>
      <w:r>
        <w:rPr>
          <w:rFonts w:ascii="Arial" w:eastAsia="Arial" w:hAnsi="Arial" w:cs="Arial"/>
          <w:color w:val="000000"/>
          <w:sz w:val="20"/>
        </w:rPr>
        <w:t xml:space="preserve">, 457 U.S. 496, 516, 102 S. Ct. 2557, 73 L. Ed. 2d 172 (1982); </w:t>
      </w:r>
      <w:bookmarkStart w:id="4662" w:name="Bookmark_I5DFW8TY2HM5SB0020000400"/>
      <w:bookmarkEnd w:id="4662"/>
      <w:r>
        <w:rPr>
          <w:rFonts w:ascii="Arial" w:eastAsia="Arial" w:hAnsi="Arial" w:cs="Arial"/>
          <w:i/>
          <w:color w:val="000000"/>
          <w:sz w:val="20"/>
        </w:rPr>
        <w:t>Doe v. Pfrommer</w:t>
      </w:r>
      <w:r>
        <w:rPr>
          <w:rFonts w:ascii="Arial" w:eastAsia="Arial" w:hAnsi="Arial" w:cs="Arial"/>
          <w:color w:val="000000"/>
          <w:sz w:val="20"/>
        </w:rPr>
        <w:t>, 148 F.3d 73, 78 (2d Cir. 1998). In [**12]  such cases, however, the victim of discrimination normally seeks compensation, in the form of money damages, for the violation of his or her rights.</w:t>
      </w:r>
    </w:p>
    <w:p w14:paraId="4DEE5E05" w14:textId="77777777" w:rsidR="002D0E71" w:rsidRDefault="00000000">
      <w:pPr>
        <w:pStyle w:val="Normal33"/>
        <w:widowControl w:val="0"/>
        <w:spacing w:before="200" w:line="260" w:lineRule="atLeast"/>
        <w:jc w:val="both"/>
      </w:pPr>
      <w:bookmarkStart w:id="4663" w:name="Bookmark_para_20_25"/>
      <w:bookmarkStart w:id="4664" w:name="Bookmark_I55C09XKK39000PRYM6002V5"/>
      <w:bookmarkStart w:id="4665" w:name="Bookmark_I5DFW8TY2HM5SB0050000400"/>
      <w:bookmarkEnd w:id="4663"/>
      <w:bookmarkEnd w:id="4664"/>
      <w:bookmarkEnd w:id="4665"/>
      <w:r>
        <w:rPr>
          <w:rFonts w:ascii="Arial" w:eastAsia="Arial" w:hAnsi="Arial" w:cs="Arial"/>
          <w:color w:val="000000"/>
          <w:sz w:val="20"/>
        </w:rPr>
        <w:t xml:space="preserve">We need not address here whether a property owner who claimed that a local official vetoed his or her development project out of hostility based on the owner's race, gender, disability, or the like, in violation of federal statutory or constitutional law, could seek immediate recompense in federal court from that official for the dignitary or emotional harm inflicted by the official even in the absence of a final decision on the development proposal or without pursuing an administrative appeal of that action. That question is not presented in this case, because Sunrise does not seek compensatory damages from the official who it claims acted out of discriminatory motivation, but rather seeks an injunction blocking the disapproval and authorizing construction of its project. Regardless of the basis of the claim that the local action violated federal rights, the relief sought brings the case squarely within the compass of </w:t>
      </w:r>
      <w:bookmarkStart w:id="4666" w:name="Bookmark_I5DFW8TY2HM5SB0040000400"/>
      <w:bookmarkEnd w:id="4666"/>
      <w:r>
        <w:rPr>
          <w:rFonts w:ascii="Arial" w:eastAsia="Arial" w:hAnsi="Arial" w:cs="Arial"/>
          <w:i/>
          <w:color w:val="000000"/>
          <w:sz w:val="20"/>
        </w:rPr>
        <w:t>Williamson County</w:t>
      </w:r>
      <w:r>
        <w:rPr>
          <w:rFonts w:ascii="Arial" w:eastAsia="Arial" w:hAnsi="Arial" w:cs="Arial"/>
          <w:color w:val="000000"/>
          <w:sz w:val="20"/>
        </w:rPr>
        <w:t xml:space="preserve"> and its progeny.</w:t>
      </w:r>
    </w:p>
    <w:p w14:paraId="4C99C5CD" w14:textId="77777777" w:rsidR="002D0E71" w:rsidRDefault="00000000">
      <w:pPr>
        <w:pStyle w:val="Normal33"/>
        <w:widowControl w:val="0"/>
        <w:spacing w:before="200" w:line="260" w:lineRule="atLeast"/>
        <w:jc w:val="both"/>
      </w:pPr>
      <w:bookmarkStart w:id="4667" w:name="Bookmark_para_21_24"/>
      <w:bookmarkEnd w:id="4667"/>
      <w:r>
        <w:rPr>
          <w:rFonts w:ascii="Arial" w:eastAsia="Arial" w:hAnsi="Arial" w:cs="Arial"/>
          <w:color w:val="000000"/>
          <w:sz w:val="20"/>
        </w:rPr>
        <w:t>Even if it were true that the challenged rejection by the Building Department was the [**13]  product of a discriminatory motivation on the part of the official who issued it, that illegal act would not necessarily require, as a remedy, the issuance of a permit to Sunrise. If Sunrise proceeds with its application, the rejection may be reversed, and the project may be permitted to proceed—or the application may be rejected on other, non-discriminatory grounds. Only after Sunrise completes the process will it be known whether the allegedly discriminatory decision of the official had any effect at all on Sunrise's application.</w:t>
      </w:r>
    </w:p>
    <w:p w14:paraId="42461719" w14:textId="77777777" w:rsidR="002D0E71" w:rsidRDefault="00000000">
      <w:pPr>
        <w:pStyle w:val="Normal33"/>
        <w:widowControl w:val="0"/>
        <w:spacing w:before="200" w:line="260" w:lineRule="atLeast"/>
        <w:jc w:val="both"/>
      </w:pPr>
      <w:bookmarkStart w:id="4668" w:name="Bookmark_para_22_24"/>
      <w:bookmarkStart w:id="4669" w:name="Bookmark_I5DFW8TY28T49X0020000400"/>
      <w:bookmarkStart w:id="4670" w:name="Bookmark_I5DFW8TY2D6MTD0010000400"/>
      <w:bookmarkEnd w:id="4668"/>
      <w:bookmarkEnd w:id="4669"/>
      <w:bookmarkEnd w:id="4670"/>
      <w:r>
        <w:rPr>
          <w:rFonts w:ascii="Arial" w:eastAsia="Arial" w:hAnsi="Arial" w:cs="Arial"/>
          <w:color w:val="000000"/>
          <w:sz w:val="20"/>
        </w:rPr>
        <w:t xml:space="preserve">We think, therefore, that </w:t>
      </w:r>
      <w:bookmarkStart w:id="4671" w:name="Bookmark_LNHNREFclscc6_25"/>
      <w:bookmarkEnd w:id="4671"/>
      <w:r>
        <w:rPr>
          <w:rFonts w:ascii="Arial" w:eastAsia="Arial" w:hAnsi="Arial" w:cs="Arial"/>
          <w:color w:val="000000"/>
          <w:sz w:val="20"/>
        </w:rPr>
        <w:t xml:space="preserve">a plaintiff alleging discrimination in the context of a land-use dispute is subject to the final-decision requirement unless he can show that he suffered some injury independent of the challenged land-use decision. Thus, for example, a plaintiff need not await a final decision to challenge a zoning policy that is discriminatory on its face, </w:t>
      </w:r>
      <w:bookmarkStart w:id="4672" w:name="Bookmark_I5DFW8TY28T49X0010000400"/>
      <w:bookmarkEnd w:id="4672"/>
      <w:r>
        <w:rPr>
          <w:rFonts w:ascii="Arial" w:eastAsia="Arial" w:hAnsi="Arial" w:cs="Arial"/>
          <w:i/>
          <w:color w:val="000000"/>
          <w:sz w:val="20"/>
        </w:rPr>
        <w:t>Jackson v. Okaloosa Cnty., Fla</w:t>
      </w:r>
      <w:r>
        <w:rPr>
          <w:rFonts w:ascii="Arial" w:eastAsia="Arial" w:hAnsi="Arial" w:cs="Arial"/>
          <w:color w:val="000000"/>
          <w:sz w:val="20"/>
        </w:rPr>
        <w:t xml:space="preserve">., 21 F.3d 1531, 1541 (11th Cir. 1994), or the manipulation of a zoning process out of discriminatory animus to avoid a final decision, </w:t>
      </w:r>
      <w:bookmarkStart w:id="4673" w:name="Bookmark_I5DFW8TY28T49X0030000400"/>
      <w:bookmarkEnd w:id="4673"/>
      <w:r>
        <w:rPr>
          <w:rFonts w:ascii="Arial" w:eastAsia="Arial" w:hAnsi="Arial" w:cs="Arial"/>
          <w:i/>
          <w:color w:val="000000"/>
          <w:sz w:val="20"/>
        </w:rPr>
        <w:t>Groome Res. Ltd. v. Parish of Jefferson</w:t>
      </w:r>
      <w:r>
        <w:rPr>
          <w:rFonts w:ascii="Arial" w:eastAsia="Arial" w:hAnsi="Arial" w:cs="Arial"/>
          <w:color w:val="000000"/>
          <w:sz w:val="20"/>
        </w:rPr>
        <w:t xml:space="preserve">, 234 F.3d 192, 199-200 (5th Cir. 2000). In those cases, "pursuit of a further administrative decision would do nothing to further define [the] injury," and the "claim should not be subject to the application of the </w:t>
      </w:r>
      <w:r>
        <w:rPr>
          <w:rFonts w:ascii="Arial" w:eastAsia="Arial" w:hAnsi="Arial" w:cs="Arial"/>
          <w:i/>
          <w:color w:val="000000"/>
          <w:sz w:val="20"/>
        </w:rPr>
        <w:t>Williamson</w:t>
      </w:r>
      <w:r>
        <w:rPr>
          <w:rFonts w:ascii="Arial" w:eastAsia="Arial" w:hAnsi="Arial" w:cs="Arial"/>
          <w:color w:val="000000"/>
          <w:sz w:val="20"/>
        </w:rPr>
        <w:t xml:space="preserve"> ripeness [**14]  test." </w:t>
      </w:r>
      <w:bookmarkStart w:id="4674" w:name="Bookmark_I5DFW8TY28T49X0050000400"/>
      <w:bookmarkEnd w:id="4674"/>
      <w:r>
        <w:rPr>
          <w:rFonts w:ascii="Arial" w:eastAsia="Arial" w:hAnsi="Arial" w:cs="Arial"/>
          <w:i/>
          <w:color w:val="000000"/>
          <w:sz w:val="20"/>
        </w:rPr>
        <w:t>Dougherty</w:t>
      </w:r>
      <w:r>
        <w:rPr>
          <w:rFonts w:ascii="Arial" w:eastAsia="Arial" w:hAnsi="Arial" w:cs="Arial"/>
          <w:color w:val="000000"/>
          <w:sz w:val="20"/>
        </w:rPr>
        <w:t>, 282 F.3d at 90.</w:t>
      </w:r>
    </w:p>
    <w:p w14:paraId="15F0FAD1" w14:textId="77777777" w:rsidR="002D0E71" w:rsidRDefault="00000000">
      <w:pPr>
        <w:pStyle w:val="Normal33"/>
        <w:widowControl w:val="0"/>
        <w:spacing w:before="200" w:line="260" w:lineRule="atLeast"/>
        <w:jc w:val="both"/>
      </w:pPr>
      <w:bookmarkStart w:id="4675" w:name="Bookmark_para_23_24"/>
      <w:bookmarkEnd w:id="4675"/>
      <w:r>
        <w:rPr>
          <w:rFonts w:ascii="Arial" w:eastAsia="Arial" w:hAnsi="Arial" w:cs="Arial"/>
          <w:color w:val="000000"/>
          <w:sz w:val="20"/>
        </w:rPr>
        <w:t xml:space="preserve"> [*124]  This is not such a case. Sunrise alleges that the commissioner's determination that its facility did not qualify as a "community residence" and the Common Council's failure to take further action on its application thereafter caused it immediate injury. Appellant's Br. 24-25. </w:t>
      </w:r>
      <w:bookmarkStart w:id="4676" w:name="Bookmark_I5DFW8TY2D6MTD0030000400"/>
      <w:bookmarkEnd w:id="4676"/>
      <w:r>
        <w:rPr>
          <w:rFonts w:ascii="Arial" w:eastAsia="Arial" w:hAnsi="Arial" w:cs="Arial"/>
          <w:color w:val="000000"/>
          <w:sz w:val="20"/>
        </w:rPr>
        <w:t xml:space="preserve">But in light of administrative avenues for relief outlined in the zoning ordinance and the commissioner's letter, we conclude that neither of these acts gave rise to an injury independent of the city's ultimate land-use decision. Sunrise must therefore "prov[e] that we can look to a final, definitive position" from the city regarding its application before we may entertain its claims. </w:t>
      </w:r>
      <w:bookmarkStart w:id="4677" w:name="Bookmark_I5DFW8TY2D6MTD0020000400"/>
      <w:bookmarkEnd w:id="4677"/>
      <w:r>
        <w:rPr>
          <w:rFonts w:ascii="Arial" w:eastAsia="Arial" w:hAnsi="Arial" w:cs="Arial"/>
          <w:i/>
          <w:color w:val="000000"/>
          <w:sz w:val="20"/>
        </w:rPr>
        <w:t>Murphy</w:t>
      </w:r>
      <w:r>
        <w:rPr>
          <w:rFonts w:ascii="Arial" w:eastAsia="Arial" w:hAnsi="Arial" w:cs="Arial"/>
          <w:color w:val="000000"/>
          <w:sz w:val="20"/>
        </w:rPr>
        <w:t>, 402 F.3d at 347.</w:t>
      </w:r>
    </w:p>
    <w:p w14:paraId="58D2EA82" w14:textId="77777777" w:rsidR="002D0E71" w:rsidRDefault="00000000">
      <w:pPr>
        <w:pStyle w:val="Normal33"/>
        <w:widowControl w:val="0"/>
        <w:spacing w:before="200" w:line="260" w:lineRule="atLeast"/>
        <w:jc w:val="both"/>
      </w:pPr>
      <w:bookmarkStart w:id="4678" w:name="Bookmark_para_24_24"/>
      <w:bookmarkStart w:id="4679" w:name="Bookmark_I5DFW8TY2D6MTD0050000400"/>
      <w:bookmarkEnd w:id="4678"/>
      <w:bookmarkEnd w:id="4679"/>
      <w:r>
        <w:rPr>
          <w:rFonts w:ascii="Arial" w:eastAsia="Arial" w:hAnsi="Arial" w:cs="Arial"/>
          <w:color w:val="000000"/>
          <w:sz w:val="20"/>
        </w:rPr>
        <w:t xml:space="preserve">That Sunrise has failed to do. </w:t>
      </w:r>
      <w:bookmarkStart w:id="4680" w:name="Bookmark_LNHNREFclscc7_24"/>
      <w:bookmarkEnd w:id="4680"/>
      <w:r>
        <w:rPr>
          <w:rFonts w:ascii="Arial" w:eastAsia="Arial" w:hAnsi="Arial" w:cs="Arial"/>
          <w:color w:val="000000"/>
          <w:sz w:val="20"/>
        </w:rPr>
        <w:t xml:space="preserve">We have previously interpreted </w:t>
      </w:r>
      <w:r>
        <w:rPr>
          <w:rFonts w:ascii="Arial" w:eastAsia="Arial" w:hAnsi="Arial" w:cs="Arial"/>
          <w:i/>
          <w:color w:val="000000"/>
          <w:sz w:val="20"/>
        </w:rPr>
        <w:t>Williamson County</w:t>
      </w:r>
      <w:r>
        <w:rPr>
          <w:rFonts w:ascii="Arial" w:eastAsia="Arial" w:hAnsi="Arial" w:cs="Arial"/>
          <w:color w:val="000000"/>
          <w:sz w:val="20"/>
        </w:rPr>
        <w:t xml:space="preserve"> as "condition[ing] federal review on a property owner submitting at least one meaningful application for a variance." </w:t>
      </w:r>
      <w:bookmarkStart w:id="4681" w:name="Bookmark_I5DFW8TY2D6MTD0040000400"/>
      <w:bookmarkEnd w:id="4681"/>
      <w:r>
        <w:rPr>
          <w:rFonts w:ascii="Arial" w:eastAsia="Arial" w:hAnsi="Arial" w:cs="Arial"/>
          <w:i/>
          <w:color w:val="000000"/>
          <w:sz w:val="20"/>
        </w:rPr>
        <w:t>Id</w:t>
      </w:r>
      <w:r>
        <w:rPr>
          <w:rFonts w:ascii="Arial" w:eastAsia="Arial" w:hAnsi="Arial" w:cs="Arial"/>
          <w:color w:val="000000"/>
          <w:sz w:val="20"/>
        </w:rPr>
        <w:t xml:space="preserve">. at 348. By forgoing the avenues for relief outlined in the commissioner's revised determination, Sunrise deprived the city of the opportunity to issue a final decision. </w:t>
      </w:r>
      <w:r>
        <w:rPr>
          <w:rFonts w:ascii="Arial" w:eastAsia="Arial" w:hAnsi="Arial" w:cs="Arial"/>
          <w:i/>
          <w:color w:val="000000"/>
          <w:sz w:val="20"/>
        </w:rPr>
        <w:t>See</w:t>
      </w:r>
      <w:r>
        <w:rPr>
          <w:rFonts w:ascii="Arial" w:eastAsia="Arial" w:hAnsi="Arial" w:cs="Arial"/>
          <w:color w:val="000000"/>
          <w:sz w:val="20"/>
        </w:rPr>
        <w:t xml:space="preserve"> </w:t>
      </w:r>
      <w:bookmarkStart w:id="4682" w:name="Bookmark_LNHNREFclscc8_24"/>
      <w:bookmarkEnd w:id="4682"/>
      <w:r>
        <w:rPr>
          <w:rFonts w:ascii="Arial" w:eastAsia="Arial" w:hAnsi="Arial" w:cs="Arial"/>
          <w:color w:val="000000"/>
          <w:sz w:val="20"/>
        </w:rPr>
        <w:t>Ordinance § 6.4.5.2 (barring the city from taking any further action on an application until the applicant procures all required variances). A federal lawsuit at this stage would inhibit the [**15]  kind of give-and-take negotiation that often resolves land use problems, and would in that way impair or truncate a process that must be allowed to run its course. In light of Sunrise's midstream abandonment of the zoning process, its claim is not yet ripe.</w:t>
      </w:r>
    </w:p>
    <w:p w14:paraId="2E7B5B1D" w14:textId="77777777" w:rsidR="002D0E71" w:rsidRDefault="00000000">
      <w:pPr>
        <w:pStyle w:val="Normal33"/>
        <w:widowControl w:val="0"/>
        <w:spacing w:before="200" w:line="260" w:lineRule="atLeast"/>
        <w:jc w:val="both"/>
      </w:pPr>
      <w:bookmarkStart w:id="4683" w:name="Bookmark_para_25_24"/>
      <w:bookmarkStart w:id="4684" w:name="Bookmark_I5DFW8TY28T49Y0020000400"/>
      <w:bookmarkEnd w:id="4683"/>
      <w:bookmarkEnd w:id="4684"/>
      <w:r>
        <w:rPr>
          <w:rFonts w:ascii="Arial" w:eastAsia="Arial" w:hAnsi="Arial" w:cs="Arial"/>
          <w:color w:val="000000"/>
          <w:sz w:val="20"/>
        </w:rPr>
        <w:t xml:space="preserve">Nor can we excuse Sunrise's failure to comply with the final-decision requirement by characterizing the city's response to its request for a reasonable accommodation as "constructively denying" its application. </w:t>
      </w:r>
      <w:bookmarkStart w:id="4685" w:name="Bookmark_I5DFW8TY28T49Y0040000400"/>
      <w:bookmarkEnd w:id="4685"/>
      <w:r>
        <w:rPr>
          <w:rFonts w:ascii="Arial" w:eastAsia="Arial" w:hAnsi="Arial" w:cs="Arial"/>
          <w:color w:val="000000"/>
          <w:sz w:val="20"/>
        </w:rPr>
        <w:t xml:space="preserve">First, because Sunrise's request sought the same result as its special permit application, we do not think that the city ignored the request by incorporating it into the application. </w:t>
      </w:r>
      <w:r>
        <w:rPr>
          <w:rFonts w:ascii="Arial" w:eastAsia="Arial" w:hAnsi="Arial" w:cs="Arial"/>
          <w:i/>
          <w:color w:val="000000"/>
          <w:sz w:val="20"/>
        </w:rPr>
        <w:t xml:space="preserve">See </w:t>
      </w:r>
      <w:bookmarkStart w:id="4686" w:name="Bookmark_I5DFW8TY28T49Y0010000400"/>
      <w:bookmarkEnd w:id="4686"/>
      <w:r>
        <w:rPr>
          <w:rFonts w:ascii="Arial" w:eastAsia="Arial" w:hAnsi="Arial" w:cs="Arial"/>
          <w:i/>
          <w:color w:val="000000"/>
          <w:sz w:val="20"/>
        </w:rPr>
        <w:t>Oxford House, Inc. v. City of Virginia Beach</w:t>
      </w:r>
      <w:r>
        <w:rPr>
          <w:rFonts w:ascii="Arial" w:eastAsia="Arial" w:hAnsi="Arial" w:cs="Arial"/>
          <w:color w:val="000000"/>
          <w:sz w:val="20"/>
        </w:rPr>
        <w:t xml:space="preserve">, 825 F. Supp. 1251, 1261 (E.D. Va. 1993) (stating that </w:t>
      </w:r>
      <w:bookmarkStart w:id="4687" w:name="Bookmark_LNHNREFclscc9_23"/>
      <w:bookmarkEnd w:id="4687"/>
      <w:r>
        <w:rPr>
          <w:rFonts w:ascii="Arial" w:eastAsia="Arial" w:hAnsi="Arial" w:cs="Arial"/>
          <w:color w:val="000000"/>
          <w:sz w:val="20"/>
        </w:rPr>
        <w:t xml:space="preserve">the "zoning process, including the hearings on applications for conditional use permits, serves" Congress's purpose to provide municipalities with "the opportunity to adjust their generally applicable rules to allow handicapped individuals equal access to housing"). </w:t>
      </w:r>
      <w:bookmarkStart w:id="4688" w:name="Bookmark_I5DFW8TY28T49Y0040000400_2"/>
      <w:bookmarkEnd w:id="4688"/>
      <w:r>
        <w:rPr>
          <w:rFonts w:ascii="Arial" w:eastAsia="Arial" w:hAnsi="Arial" w:cs="Arial"/>
          <w:color w:val="000000"/>
          <w:sz w:val="20"/>
        </w:rPr>
        <w:t xml:space="preserve">Second, we have explained that </w:t>
      </w:r>
      <w:bookmarkStart w:id="4689" w:name="Bookmark_LNHNREFclscc10_23"/>
      <w:bookmarkEnd w:id="4689"/>
      <w:r>
        <w:rPr>
          <w:rFonts w:ascii="Arial" w:eastAsia="Arial" w:hAnsi="Arial" w:cs="Arial"/>
          <w:color w:val="000000"/>
          <w:sz w:val="20"/>
        </w:rPr>
        <w:t xml:space="preserve">to prevail on a reasonable accommodation claim, "plaintiffs must first provide the governmental entity an opportunity to accommodate them through the entity's established procedures used to adjust the neutral policy in question." </w:t>
      </w:r>
      <w:bookmarkStart w:id="4690" w:name="Bookmark_I5DFW8TY28T49Y0030000400"/>
      <w:bookmarkEnd w:id="4690"/>
      <w:r>
        <w:rPr>
          <w:rFonts w:ascii="Arial" w:eastAsia="Arial" w:hAnsi="Arial" w:cs="Arial"/>
          <w:i/>
          <w:color w:val="000000"/>
          <w:sz w:val="20"/>
        </w:rPr>
        <w:t>Tsombanidis v. W. Haven Fire Dep't</w:t>
      </w:r>
      <w:r>
        <w:rPr>
          <w:rFonts w:ascii="Arial" w:eastAsia="Arial" w:hAnsi="Arial" w:cs="Arial"/>
          <w:color w:val="000000"/>
          <w:sz w:val="20"/>
        </w:rPr>
        <w:t>, 352 F.3d 565, 578 (2d Cir. 2003). [**16]  Again, Sunrise's failure to pursue a variance or to appeal the commissioner's determination deprived the city of this opportunity.</w:t>
      </w:r>
    </w:p>
    <w:p w14:paraId="4D6331DD" w14:textId="77777777" w:rsidR="002D0E71" w:rsidRDefault="00000000">
      <w:pPr>
        <w:pStyle w:val="Normal33"/>
        <w:widowControl w:val="0"/>
        <w:spacing w:before="200" w:line="260" w:lineRule="atLeast"/>
        <w:jc w:val="both"/>
      </w:pPr>
      <w:bookmarkStart w:id="4691" w:name="Bookmark_para_26_23"/>
      <w:bookmarkStart w:id="4692" w:name="Bookmark_I5DFW8TY2D6MTF0010000400"/>
      <w:bookmarkStart w:id="4693" w:name="Bookmark_I5DFW8TY2D6MTF0030000400"/>
      <w:bookmarkEnd w:id="4691"/>
      <w:bookmarkEnd w:id="4692"/>
      <w:bookmarkEnd w:id="4693"/>
      <w:r>
        <w:rPr>
          <w:rFonts w:ascii="Arial" w:eastAsia="Arial" w:hAnsi="Arial" w:cs="Arial"/>
          <w:color w:val="000000"/>
          <w:sz w:val="20"/>
        </w:rPr>
        <w:t xml:space="preserve">Nor do we think that requiring Sunrise to pursue an administrative appeal or an application for a variance would necessarily be futile. </w:t>
      </w:r>
      <w:bookmarkStart w:id="4694" w:name="Bookmark_LNHNREFclscc11_18"/>
      <w:bookmarkEnd w:id="4694"/>
      <w:r>
        <w:rPr>
          <w:rFonts w:ascii="Arial" w:eastAsia="Arial" w:hAnsi="Arial" w:cs="Arial"/>
          <w:color w:val="000000"/>
          <w:sz w:val="20"/>
        </w:rPr>
        <w:t xml:space="preserve">The city's Board of Appeals does not "lack[ ] discretion to grant variances," </w:t>
      </w:r>
      <w:bookmarkStart w:id="4695" w:name="Bookmark_I5DFW8TY28T49Y0050000400"/>
      <w:bookmarkEnd w:id="4695"/>
      <w:r>
        <w:rPr>
          <w:rFonts w:ascii="Arial" w:eastAsia="Arial" w:hAnsi="Arial" w:cs="Arial"/>
          <w:i/>
          <w:color w:val="000000"/>
          <w:sz w:val="20"/>
        </w:rPr>
        <w:t>Murphy</w:t>
      </w:r>
      <w:r>
        <w:rPr>
          <w:rFonts w:ascii="Arial" w:eastAsia="Arial" w:hAnsi="Arial" w:cs="Arial"/>
          <w:color w:val="000000"/>
          <w:sz w:val="20"/>
        </w:rPr>
        <w:t xml:space="preserve">, 402 F.3d at 349; </w:t>
      </w:r>
      <w:r>
        <w:rPr>
          <w:rFonts w:ascii="Arial" w:eastAsia="Arial" w:hAnsi="Arial" w:cs="Arial"/>
          <w:i/>
          <w:color w:val="000000"/>
          <w:sz w:val="20"/>
        </w:rPr>
        <w:t>see also</w:t>
      </w:r>
      <w:r>
        <w:rPr>
          <w:rFonts w:ascii="Arial" w:eastAsia="Arial" w:hAnsi="Arial" w:cs="Arial"/>
          <w:color w:val="000000"/>
          <w:sz w:val="20"/>
        </w:rPr>
        <w:t xml:space="preserve"> Ordinance § 10.3.5. And Sunrise's own failure to "submit[ ] at least one meaningful application for a variance" prevents us from determining whether the board "has dug in its heels and made clear that all such applications will be denied," </w:t>
      </w:r>
      <w:bookmarkStart w:id="4696" w:name="Bookmark_I5DFW8TY2D6MTF0020000400"/>
      <w:bookmarkEnd w:id="4696"/>
      <w:r>
        <w:rPr>
          <w:rFonts w:ascii="Arial" w:eastAsia="Arial" w:hAnsi="Arial" w:cs="Arial"/>
          <w:i/>
          <w:color w:val="000000"/>
          <w:sz w:val="20"/>
        </w:rPr>
        <w:t>Murphy</w:t>
      </w:r>
      <w:r>
        <w:rPr>
          <w:rFonts w:ascii="Arial" w:eastAsia="Arial" w:hAnsi="Arial" w:cs="Arial"/>
          <w:color w:val="000000"/>
          <w:sz w:val="20"/>
        </w:rPr>
        <w:t xml:space="preserve">, 402 F.3d at 348, 349; </w:t>
      </w:r>
      <w:r>
        <w:rPr>
          <w:rFonts w:ascii="Arial" w:eastAsia="Arial" w:hAnsi="Arial" w:cs="Arial"/>
          <w:i/>
          <w:color w:val="000000"/>
          <w:sz w:val="20"/>
        </w:rPr>
        <w:t>see also</w:t>
      </w:r>
      <w:r>
        <w:rPr>
          <w:rFonts w:ascii="Arial" w:eastAsia="Arial" w:hAnsi="Arial" w:cs="Arial"/>
          <w:color w:val="000000"/>
          <w:sz w:val="20"/>
        </w:rPr>
        <w:t xml:space="preserve"> Ordinance § 6.4.5.2, so as to permit us to treat the matter appealed from as ripe for judicial consideration. We thus see no basis in the record to apply the futility exception to the final-decision requirement in this case.</w:t>
      </w:r>
    </w:p>
    <w:p w14:paraId="717CCC51" w14:textId="77777777" w:rsidR="002D0E71" w:rsidRDefault="00000000">
      <w:pPr>
        <w:pStyle w:val="Normal33"/>
        <w:widowControl w:val="0"/>
        <w:spacing w:before="240" w:line="260" w:lineRule="atLeast"/>
      </w:pPr>
      <w:r>
        <w:br/>
      </w:r>
      <w:r>
        <w:rPr>
          <w:rFonts w:ascii="Arial" w:eastAsia="Arial" w:hAnsi="Arial" w:cs="Arial"/>
          <w:b/>
          <w:color w:val="000000"/>
          <w:sz w:val="20"/>
        </w:rPr>
        <w:t>CONCLUSION</w:t>
      </w:r>
    </w:p>
    <w:p w14:paraId="5BB721E1" w14:textId="77777777" w:rsidR="002D0E71" w:rsidRDefault="00000000">
      <w:pPr>
        <w:pStyle w:val="Normal33"/>
        <w:widowControl w:val="0"/>
        <w:spacing w:before="200" w:line="260" w:lineRule="atLeast"/>
        <w:jc w:val="both"/>
      </w:pPr>
      <w:bookmarkStart w:id="4697" w:name="Bookmark_para_27_23"/>
      <w:bookmarkEnd w:id="4697"/>
      <w:r>
        <w:rPr>
          <w:rFonts w:ascii="Arial" w:eastAsia="Arial" w:hAnsi="Arial" w:cs="Arial"/>
          <w:color w:val="000000"/>
          <w:sz w:val="20"/>
        </w:rPr>
        <w:t>We have considered Sunrise's remaining arguments and have found them to be without merit. We therefore AFFIRM the judgment of the district court dismissing  [*125]  Sunrise's claims for lack of subject-matter jurisdiction.</w:t>
      </w:r>
    </w:p>
    <w:p w14:paraId="1B9BA8A8" w14:textId="77777777" w:rsidR="002D0E71" w:rsidRDefault="002D0E71">
      <w:pPr>
        <w:pStyle w:val="Normal33"/>
      </w:pPr>
    </w:p>
    <w:p w14:paraId="3DA1E86F" w14:textId="3FA6041E" w:rsidR="002D0E71" w:rsidRDefault="00000000">
      <w:pPr>
        <w:pStyle w:val="Normal33"/>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28896" behindDoc="0" locked="0" layoutInCell="1" allowOverlap="1" wp14:anchorId="3F81DA44" wp14:editId="5B3948AD">
                <wp:simplePos x="0" y="0"/>
                <wp:positionH relativeFrom="column">
                  <wp:posOffset>0</wp:posOffset>
                </wp:positionH>
                <wp:positionV relativeFrom="paragraph">
                  <wp:posOffset>127000</wp:posOffset>
                </wp:positionV>
                <wp:extent cx="6502400" cy="0"/>
                <wp:effectExtent l="9525" t="12700" r="12700" b="6350"/>
                <wp:wrapNone/>
                <wp:docPr id="186359002"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895BB" id="Line 72"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75EB508" w14:textId="77777777" w:rsidR="002D0E71" w:rsidRDefault="002D0E71">
      <w:pPr>
        <w:pStyle w:val="Normal34"/>
        <w:sectPr w:rsidR="002D0E71">
          <w:headerReference w:type="even" r:id="rId212"/>
          <w:headerReference w:type="default" r:id="rId213"/>
          <w:footerReference w:type="even" r:id="rId214"/>
          <w:footerReference w:type="default" r:id="rId215"/>
          <w:headerReference w:type="first" r:id="rId216"/>
          <w:footerReference w:type="first" r:id="rId217"/>
          <w:pgSz w:w="12240" w:h="15840"/>
          <w:pgMar w:top="840" w:right="1000" w:bottom="840" w:left="1000" w:header="400" w:footer="400" w:gutter="0"/>
          <w:cols w:space="720"/>
          <w:titlePg/>
        </w:sectPr>
      </w:pPr>
    </w:p>
    <w:p w14:paraId="5753AB0D" w14:textId="77777777" w:rsidR="002D0E71" w:rsidRDefault="002D0E71">
      <w:pPr>
        <w:pStyle w:val="Normal34"/>
      </w:pPr>
    </w:p>
    <w:p w14:paraId="3FD605F0" w14:textId="77777777" w:rsidR="002D0E71" w:rsidRDefault="00000000">
      <w:pPr>
        <w:pStyle w:val="Heading133"/>
        <w:keepNext w:val="0"/>
        <w:widowControl w:val="0"/>
        <w:spacing w:after="200" w:line="340" w:lineRule="atLeast"/>
        <w:jc w:val="center"/>
      </w:pPr>
      <w:r>
        <w:rPr>
          <w:rFonts w:eastAsia="Arial"/>
          <w:color w:val="000000"/>
          <w:sz w:val="28"/>
        </w:rPr>
        <w:t>Seco v. NCL (Bah.), Ltd.</w:t>
      </w:r>
    </w:p>
    <w:p w14:paraId="10AE9777" w14:textId="77777777" w:rsidR="002D0E71" w:rsidRDefault="00000000">
      <w:pPr>
        <w:pStyle w:val="Normal34"/>
        <w:widowControl w:val="0"/>
        <w:spacing w:before="120" w:line="260" w:lineRule="atLeast"/>
        <w:jc w:val="center"/>
      </w:pPr>
      <w:r>
        <w:rPr>
          <w:rFonts w:ascii="Arial" w:eastAsia="Arial" w:hAnsi="Arial" w:cs="Arial"/>
          <w:color w:val="000000"/>
          <w:sz w:val="20"/>
        </w:rPr>
        <w:t>United States Court of Appeals for the Eleventh Circuit</w:t>
      </w:r>
    </w:p>
    <w:p w14:paraId="14F56A74" w14:textId="77777777" w:rsidR="002D0E71" w:rsidRDefault="00000000">
      <w:pPr>
        <w:pStyle w:val="Normal34"/>
        <w:widowControl w:val="0"/>
        <w:spacing w:before="120" w:line="260" w:lineRule="atLeast"/>
        <w:jc w:val="center"/>
      </w:pPr>
      <w:r>
        <w:rPr>
          <w:rFonts w:ascii="Arial" w:eastAsia="Arial" w:hAnsi="Arial" w:cs="Arial"/>
          <w:color w:val="000000"/>
          <w:sz w:val="20"/>
        </w:rPr>
        <w:t>October 2, 2014, Decided</w:t>
      </w:r>
    </w:p>
    <w:p w14:paraId="26019CCA" w14:textId="77777777" w:rsidR="002D0E71" w:rsidRDefault="00000000">
      <w:pPr>
        <w:pStyle w:val="Normal34"/>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13-15091 Non-Argument Calendar</w:t>
      </w:r>
    </w:p>
    <w:p w14:paraId="26E8B126" w14:textId="77777777" w:rsidR="002D0E71" w:rsidRDefault="002D0E71">
      <w:pPr>
        <w:pStyle w:val="Normal34"/>
        <w:widowControl w:val="0"/>
        <w:spacing w:line="240" w:lineRule="atLeast"/>
        <w:jc w:val="both"/>
      </w:pPr>
      <w:bookmarkStart w:id="4698" w:name="Bookmark_35"/>
      <w:bookmarkEnd w:id="4698"/>
    </w:p>
    <w:p w14:paraId="47E0C862" w14:textId="77777777" w:rsidR="002D0E71" w:rsidRDefault="00000000">
      <w:pPr>
        <w:pStyle w:val="Normal34"/>
        <w:widowControl w:val="0"/>
        <w:spacing w:before="200" w:line="240" w:lineRule="atLeast"/>
      </w:pPr>
      <w:bookmarkStart w:id="4699" w:name="Reporter_33"/>
      <w:bookmarkEnd w:id="4699"/>
      <w:r>
        <w:rPr>
          <w:rFonts w:ascii="Arial" w:eastAsia="Arial" w:hAnsi="Arial" w:cs="Arial"/>
          <w:b/>
          <w:color w:val="000000"/>
          <w:sz w:val="18"/>
        </w:rPr>
        <w:t>Reporter</w:t>
      </w:r>
    </w:p>
    <w:p w14:paraId="15743FAE" w14:textId="77777777" w:rsidR="002D0E71" w:rsidRDefault="00000000">
      <w:pPr>
        <w:pStyle w:val="Normal34"/>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588 Fed. Appx. 863 *; 2014 U.S. App. LEXIS 18866 **</w:t>
      </w:r>
    </w:p>
    <w:p w14:paraId="27BBB527" w14:textId="77777777" w:rsidR="002D0E71" w:rsidRDefault="00000000">
      <w:pPr>
        <w:pStyle w:val="Normal34"/>
        <w:widowControl w:val="0"/>
        <w:spacing w:before="120" w:line="260" w:lineRule="atLeast"/>
      </w:pPr>
      <w:r>
        <w:rPr>
          <w:rFonts w:ascii="Arial" w:eastAsia="Arial" w:hAnsi="Arial" w:cs="Arial"/>
          <w:color w:val="000000"/>
          <w:sz w:val="20"/>
        </w:rPr>
        <w:t>JOSEPH SECO, Plaintiff-Appellant, versus NCL (BAHAMAS), LTD., a Foreign Corporation, Defendant-Appellee.</w:t>
      </w:r>
    </w:p>
    <w:p w14:paraId="672162D2" w14:textId="77777777" w:rsidR="002D0E71" w:rsidRDefault="00000000">
      <w:pPr>
        <w:pStyle w:val="Normal34"/>
        <w:widowControl w:val="0"/>
        <w:spacing w:before="240" w:line="260" w:lineRule="atLeast"/>
        <w:jc w:val="both"/>
      </w:pPr>
      <w:bookmarkStart w:id="4700" w:name="Notice_9"/>
      <w:bookmarkEnd w:id="4700"/>
      <w:r>
        <w:rPr>
          <w:rFonts w:ascii="Arial" w:eastAsia="Arial" w:hAnsi="Arial" w:cs="Arial"/>
          <w:b/>
          <w:color w:val="000000"/>
          <w:sz w:val="20"/>
        </w:rPr>
        <w:t>Notice:</w:t>
      </w:r>
      <w:r>
        <w:rPr>
          <w:rFonts w:ascii="Arial" w:eastAsia="Arial" w:hAnsi="Arial" w:cs="Arial"/>
          <w:color w:val="000000"/>
          <w:sz w:val="20"/>
        </w:rPr>
        <w:t> </w:t>
      </w:r>
      <w:bookmarkStart w:id="4701" w:name="Bookmark_para_1_33"/>
      <w:bookmarkEnd w:id="4701"/>
      <w:r>
        <w:rPr>
          <w:rFonts w:ascii="Arial" w:eastAsia="Arial" w:hAnsi="Arial" w:cs="Arial"/>
          <w:color w:val="000000"/>
          <w:sz w:val="20"/>
        </w:rPr>
        <w:t>PLEASE REFER TO FEDERAL RULES OF APPELLATE PROCEDURE RULE 32.1 GOVERNING THE CITATION TO UNPUBLISHED OPINIONS.</w:t>
      </w:r>
    </w:p>
    <w:p w14:paraId="06D90156" w14:textId="77777777" w:rsidR="002D0E71" w:rsidRDefault="00000000">
      <w:pPr>
        <w:pStyle w:val="Normal34"/>
        <w:widowControl w:val="0"/>
        <w:spacing w:before="240" w:line="260" w:lineRule="atLeast"/>
        <w:jc w:val="both"/>
      </w:pPr>
      <w:bookmarkStart w:id="4702" w:name="Prior_History_32"/>
      <w:bookmarkEnd w:id="4702"/>
      <w:r>
        <w:rPr>
          <w:rFonts w:ascii="Arial" w:eastAsia="Arial" w:hAnsi="Arial" w:cs="Arial"/>
          <w:b/>
          <w:color w:val="000000"/>
          <w:sz w:val="20"/>
        </w:rPr>
        <w:t>Prior History:</w:t>
      </w:r>
      <w:r>
        <w:rPr>
          <w:rFonts w:ascii="Arial" w:eastAsia="Arial" w:hAnsi="Arial" w:cs="Arial"/>
          <w:color w:val="000000"/>
          <w:sz w:val="20"/>
        </w:rPr>
        <w:t> </w:t>
      </w:r>
      <w:bookmarkStart w:id="4703" w:name="Bookmark_para_2_33"/>
      <w:bookmarkEnd w:id="4703"/>
      <w:r>
        <w:rPr>
          <w:rFonts w:ascii="Arial" w:eastAsia="Arial" w:hAnsi="Arial" w:cs="Arial"/>
          <w:color w:val="000000"/>
          <w:sz w:val="20"/>
        </w:rPr>
        <w:t> [**1] Appeal from the United States District Courtfor the Southern District of Florida. D.C. Docket No. 1:13-cv-21046-JLK.</w:t>
      </w:r>
    </w:p>
    <w:p w14:paraId="4E14FB0F" w14:textId="77777777" w:rsidR="002D0E71" w:rsidRDefault="00000000">
      <w:pPr>
        <w:pStyle w:val="Normal34"/>
        <w:widowControl w:val="0"/>
        <w:spacing w:before="120" w:line="260" w:lineRule="atLeast"/>
      </w:pPr>
      <w:r>
        <w:rPr>
          <w:rFonts w:ascii="Arial" w:eastAsia="Arial" w:hAnsi="Arial" w:cs="Arial"/>
          <w:color w:val="000000"/>
          <w:sz w:val="20"/>
        </w:rPr>
        <w:t>Seco v. NCL (Bah.) Ltd., 2013 U.S. Dist. LEXIS 189302 (S.D. Fla., Oct. 3, 2013)</w:t>
      </w:r>
    </w:p>
    <w:p w14:paraId="15F05ED8" w14:textId="77777777" w:rsidR="002D0E71" w:rsidRDefault="00000000">
      <w:pPr>
        <w:pStyle w:val="Normal34"/>
        <w:widowControl w:val="0"/>
        <w:spacing w:before="240" w:line="260" w:lineRule="atLeast"/>
        <w:jc w:val="both"/>
      </w:pPr>
      <w:bookmarkStart w:id="4704" w:name="Disposition_15"/>
      <w:bookmarkEnd w:id="4704"/>
      <w:r>
        <w:rPr>
          <w:rFonts w:ascii="Arial" w:eastAsia="Arial" w:hAnsi="Arial" w:cs="Arial"/>
          <w:b/>
          <w:color w:val="000000"/>
          <w:sz w:val="20"/>
        </w:rPr>
        <w:t>Disposition:</w:t>
      </w:r>
      <w:r>
        <w:rPr>
          <w:rFonts w:ascii="Arial" w:eastAsia="Arial" w:hAnsi="Arial" w:cs="Arial"/>
          <w:color w:val="000000"/>
          <w:sz w:val="20"/>
        </w:rPr>
        <w:t> </w:t>
      </w:r>
      <w:bookmarkStart w:id="4705" w:name="Bookmark_clspara_4_13"/>
      <w:bookmarkEnd w:id="4705"/>
      <w:r>
        <w:rPr>
          <w:rFonts w:ascii="Arial" w:eastAsia="Arial" w:hAnsi="Arial" w:cs="Arial"/>
          <w:color w:val="000000"/>
          <w:sz w:val="20"/>
        </w:rPr>
        <w:t>AFFIRMED.</w:t>
      </w:r>
    </w:p>
    <w:p w14:paraId="417349A1" w14:textId="77777777" w:rsidR="002D0E71" w:rsidRDefault="00000000">
      <w:pPr>
        <w:pStyle w:val="Normal34"/>
        <w:widowControl w:val="0"/>
        <w:spacing w:before="240" w:line="260" w:lineRule="atLeast"/>
      </w:pPr>
      <w:bookmarkStart w:id="4706" w:name="Counsel_33"/>
      <w:bookmarkEnd w:id="4706"/>
      <w:r>
        <w:rPr>
          <w:rFonts w:ascii="Arial" w:eastAsia="Arial" w:hAnsi="Arial" w:cs="Arial"/>
          <w:b/>
          <w:color w:val="000000"/>
          <w:sz w:val="20"/>
        </w:rPr>
        <w:t>Counsel:</w:t>
      </w:r>
      <w:r>
        <w:rPr>
          <w:rFonts w:ascii="Arial" w:eastAsia="Arial" w:hAnsi="Arial" w:cs="Arial"/>
          <w:color w:val="000000"/>
          <w:sz w:val="20"/>
        </w:rPr>
        <w:t> For Joseph Seco, Plaintiff - Appellant: John F. Billera, Boca Raton, FL.</w:t>
      </w:r>
    </w:p>
    <w:p w14:paraId="7EDC7210" w14:textId="77777777" w:rsidR="002D0E71" w:rsidRDefault="00000000">
      <w:pPr>
        <w:pStyle w:val="Normal34"/>
        <w:widowControl w:val="0"/>
        <w:spacing w:before="120" w:line="260" w:lineRule="atLeast"/>
      </w:pPr>
      <w:r>
        <w:rPr>
          <w:rFonts w:ascii="Arial" w:eastAsia="Arial" w:hAnsi="Arial" w:cs="Arial"/>
          <w:color w:val="000000"/>
          <w:sz w:val="20"/>
        </w:rPr>
        <w:t>For NCL (BAHAMAS), LTD., a foreign corporation, Defendant - Appellee: Beverly Dawn Eisenstadt, Catherine J. MacIvor, Jeffrey Eric Foreman, Foreman Friedman, PA, Miami, FL.</w:t>
      </w:r>
    </w:p>
    <w:p w14:paraId="6A10C213" w14:textId="77777777" w:rsidR="002D0E71" w:rsidRDefault="00000000">
      <w:pPr>
        <w:pStyle w:val="Normal34"/>
        <w:widowControl w:val="0"/>
        <w:spacing w:before="240" w:line="260" w:lineRule="atLeast"/>
      </w:pPr>
      <w:bookmarkStart w:id="4707" w:name="Judges_33"/>
      <w:bookmarkEnd w:id="4707"/>
      <w:r>
        <w:rPr>
          <w:rFonts w:ascii="Arial" w:eastAsia="Arial" w:hAnsi="Arial" w:cs="Arial"/>
          <w:b/>
          <w:color w:val="000000"/>
          <w:sz w:val="20"/>
        </w:rPr>
        <w:t>Judges:</w:t>
      </w:r>
      <w:r>
        <w:rPr>
          <w:rFonts w:ascii="Arial" w:eastAsia="Arial" w:hAnsi="Arial" w:cs="Arial"/>
          <w:color w:val="000000"/>
          <w:sz w:val="20"/>
        </w:rPr>
        <w:t> Before HULL, MARCUS, and ANDERSON, Circuit Judges.</w:t>
      </w:r>
    </w:p>
    <w:p w14:paraId="1FF25342" w14:textId="77777777" w:rsidR="002D0E71" w:rsidRDefault="00000000">
      <w:pPr>
        <w:pStyle w:val="Normal34"/>
        <w:keepNext/>
        <w:widowControl w:val="0"/>
        <w:spacing w:before="240" w:line="340" w:lineRule="atLeast"/>
      </w:pPr>
      <w:bookmarkStart w:id="4708" w:name="Opinion_33"/>
      <w:bookmarkEnd w:id="4708"/>
      <w:r>
        <w:rPr>
          <w:rFonts w:ascii="Arial" w:eastAsia="Arial" w:hAnsi="Arial" w:cs="Arial"/>
          <w:b/>
          <w:color w:val="000000"/>
          <w:sz w:val="28"/>
        </w:rPr>
        <w:t>Opinion</w:t>
      </w:r>
    </w:p>
    <w:p w14:paraId="2E70C439" w14:textId="28E4F295" w:rsidR="002D0E71" w:rsidRDefault="002939DF">
      <w:pPr>
        <w:pStyle w:val="Normal34"/>
        <w:spacing w:line="60" w:lineRule="exact"/>
      </w:pPr>
      <w:r>
        <w:rPr>
          <w:noProof/>
        </w:rPr>
        <mc:AlternateContent>
          <mc:Choice Requires="wps">
            <w:drawing>
              <wp:anchor distT="0" distB="0" distL="114300" distR="114300" simplePos="0" relativeHeight="251729920" behindDoc="0" locked="0" layoutInCell="1" allowOverlap="1" wp14:anchorId="739F459B" wp14:editId="38C9984F">
                <wp:simplePos x="0" y="0"/>
                <wp:positionH relativeFrom="column">
                  <wp:posOffset>0</wp:posOffset>
                </wp:positionH>
                <wp:positionV relativeFrom="paragraph">
                  <wp:posOffset>25400</wp:posOffset>
                </wp:positionV>
                <wp:extent cx="3187700" cy="0"/>
                <wp:effectExtent l="19050" t="15875" r="12700" b="12700"/>
                <wp:wrapTopAndBottom/>
                <wp:docPr id="1937678999"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67BE6" id="Line 73"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7248FDB" w14:textId="77777777" w:rsidR="002D0E71" w:rsidRDefault="002D0E71">
      <w:pPr>
        <w:pStyle w:val="Normal34"/>
      </w:pPr>
    </w:p>
    <w:p w14:paraId="10AF9389" w14:textId="77777777" w:rsidR="002D0E71" w:rsidRDefault="00000000">
      <w:pPr>
        <w:pStyle w:val="Normal34"/>
        <w:widowControl w:val="0"/>
        <w:spacing w:before="200" w:line="260" w:lineRule="atLeast"/>
        <w:jc w:val="both"/>
      </w:pPr>
      <w:bookmarkStart w:id="4709" w:name="Bookmark_para_3_33"/>
      <w:bookmarkEnd w:id="4709"/>
      <w:r>
        <w:rPr>
          <w:rFonts w:ascii="Arial" w:eastAsia="Arial" w:hAnsi="Arial" w:cs="Arial"/>
          <w:color w:val="000000"/>
          <w:sz w:val="20"/>
        </w:rPr>
        <w:t> [*864]  PER CURIAM:</w:t>
      </w:r>
    </w:p>
    <w:p w14:paraId="3ABBB37B" w14:textId="77777777" w:rsidR="002D0E71" w:rsidRDefault="00000000">
      <w:pPr>
        <w:pStyle w:val="Normal34"/>
        <w:widowControl w:val="0"/>
        <w:spacing w:before="200" w:line="260" w:lineRule="atLeast"/>
        <w:jc w:val="both"/>
      </w:pPr>
      <w:bookmarkStart w:id="4710" w:name="Bookmark_para_4_33"/>
      <w:bookmarkEnd w:id="4710"/>
      <w:r>
        <w:rPr>
          <w:rFonts w:ascii="Arial" w:eastAsia="Arial" w:hAnsi="Arial" w:cs="Arial"/>
          <w:color w:val="000000"/>
          <w:sz w:val="20"/>
        </w:rPr>
        <w:t>Plaintiff Joseph Seco appeals the district court's dismissal of his lawsuit seeking injunctive relief for alleged violations of Title III of the Americans with Disabilities Act, 42 U.S.C. § 12181, et seq. (the "ADA").</w:t>
      </w:r>
      <w:r>
        <w:rPr>
          <w:rFonts w:ascii="Arial" w:eastAsia="Arial" w:hAnsi="Arial" w:cs="Arial"/>
          <w:vertAlign w:val="superscript"/>
        </w:rPr>
        <w:footnoteReference w:customMarkFollows="1" w:id="171"/>
        <w:t>1</w:t>
      </w:r>
      <w:r>
        <w:rPr>
          <w:rFonts w:ascii="Arial" w:eastAsia="Arial" w:hAnsi="Arial" w:cs="Arial"/>
          <w:color w:val="000000"/>
          <w:sz w:val="20"/>
        </w:rPr>
        <w:t xml:space="preserve"> Seco, who is confined to a wheelchair, was a passenger on board the defendant NCL's vessel, Norwegian Sky. He alleges that two architectural barriers on the Norwegian Sky deprived him of full enjoyment of the cruise: (1) a lack of handicapped-accessible exterior cabins with balconies or window views; and (2) doors that are not ADA-compliant because they require excessive force to open. The district court granted NCL's motion to dismiss, finding that Seco's complaint was time-barred and failed to state a claim. After careful consideration, we affirm albeit on different grounds. [**2] </w:t>
      </w:r>
    </w:p>
    <w:p w14:paraId="4DE13ED0" w14:textId="77777777" w:rsidR="002D0E71" w:rsidRDefault="00000000">
      <w:pPr>
        <w:pStyle w:val="Normal34"/>
        <w:widowControl w:val="0"/>
        <w:spacing w:before="120" w:line="260" w:lineRule="atLeast"/>
      </w:pPr>
      <w:r>
        <w:rPr>
          <w:rFonts w:ascii="Arial" w:eastAsia="Arial" w:hAnsi="Arial" w:cs="Arial"/>
          <w:color w:val="000000"/>
          <w:sz w:val="20"/>
        </w:rPr>
        <w:t>I.</w:t>
      </w:r>
    </w:p>
    <w:p w14:paraId="55339631" w14:textId="77777777" w:rsidR="002D0E71" w:rsidRDefault="00000000">
      <w:pPr>
        <w:pStyle w:val="Normal34"/>
        <w:widowControl w:val="0"/>
        <w:spacing w:before="200" w:line="260" w:lineRule="atLeast"/>
        <w:jc w:val="both"/>
      </w:pPr>
      <w:bookmarkStart w:id="4715" w:name="Bookmark_para_5_33"/>
      <w:bookmarkStart w:id="4716" w:name="Bookmark_I5DFVX342HM60W0040000400"/>
      <w:bookmarkStart w:id="4717" w:name="Bookmark_I5DFVX342N1RFT0010000400"/>
      <w:bookmarkEnd w:id="4715"/>
      <w:bookmarkEnd w:id="4716"/>
      <w:bookmarkEnd w:id="4717"/>
      <w:r>
        <w:rPr>
          <w:rFonts w:ascii="Arial" w:eastAsia="Arial" w:hAnsi="Arial" w:cs="Arial"/>
          <w:color w:val="000000"/>
          <w:sz w:val="20"/>
        </w:rPr>
        <w:t>We first address "the threshold jurisdictional question" of whether Seco has standing to seek relief for the two discriminatory barriers he allegedly encountered.</w:t>
      </w:r>
      <w:r>
        <w:rPr>
          <w:rFonts w:ascii="Arial" w:eastAsia="Arial" w:hAnsi="Arial" w:cs="Arial"/>
          <w:vertAlign w:val="superscript"/>
        </w:rPr>
        <w:footnoteReference w:customMarkFollows="1" w:id="172"/>
        <w:t>2</w:t>
      </w:r>
      <w:r>
        <w:rPr>
          <w:rFonts w:ascii="Arial" w:eastAsia="Arial" w:hAnsi="Arial" w:cs="Arial"/>
          <w:color w:val="000000"/>
          <w:sz w:val="20"/>
        </w:rPr>
        <w:t xml:space="preserve"> [*865]  </w:t>
      </w:r>
      <w:bookmarkStart w:id="4721" w:name="Bookmark_I5DFVX342HM60W0030000400"/>
      <w:bookmarkEnd w:id="4721"/>
      <w:r>
        <w:rPr>
          <w:rFonts w:ascii="Arial" w:eastAsia="Arial" w:hAnsi="Arial" w:cs="Arial"/>
          <w:color w:val="000000"/>
          <w:sz w:val="20"/>
          <w:u w:val="single"/>
        </w:rPr>
        <w:t>Fla. Family Policy Council v. Freeman</w:t>
      </w:r>
      <w:r>
        <w:rPr>
          <w:rFonts w:ascii="Arial" w:eastAsia="Arial" w:hAnsi="Arial" w:cs="Arial"/>
          <w:color w:val="000000"/>
          <w:sz w:val="20"/>
        </w:rPr>
        <w:t xml:space="preserve">, 561 F.3d 1246, 1253 (11th Cir. 2009) (internal quotation marks omitted). The district court did not discuss standing in its dismissal order, but </w:t>
      </w:r>
      <w:bookmarkStart w:id="4722" w:name="Bookmark_LNHNREFclscc2_28"/>
      <w:bookmarkEnd w:id="4722"/>
      <w:r>
        <w:rPr>
          <w:rFonts w:ascii="Arial" w:eastAsia="Arial" w:hAnsi="Arial" w:cs="Arial"/>
          <w:color w:val="000000"/>
          <w:sz w:val="20"/>
        </w:rPr>
        <w:t xml:space="preserve">"[l]ack of standing is a jurisdictional defect," </w:t>
      </w:r>
      <w:bookmarkStart w:id="4723" w:name="Bookmark_I5DFVX342HM60W0050000400"/>
      <w:bookmarkEnd w:id="4723"/>
      <w:r>
        <w:rPr>
          <w:rFonts w:ascii="Arial" w:eastAsia="Arial" w:hAnsi="Arial" w:cs="Arial"/>
          <w:color w:val="000000"/>
          <w:sz w:val="20"/>
          <w:u w:val="single"/>
        </w:rPr>
        <w:t>Region 8 Forest Serv. Timber Purchasers Council v. Alcock</w:t>
      </w:r>
      <w:r>
        <w:rPr>
          <w:rFonts w:ascii="Arial" w:eastAsia="Arial" w:hAnsi="Arial" w:cs="Arial"/>
          <w:color w:val="000000"/>
          <w:sz w:val="20"/>
        </w:rPr>
        <w:t xml:space="preserve">, 993 F.2d 800, 806 n.6 (11th Cir. 1993), and we have "a special obligation to satisfy [ourselves] not only of [our] own jurisdiction, but also that of the lower courts in a cause under review." </w:t>
      </w:r>
      <w:bookmarkStart w:id="4724" w:name="Bookmark_I5DFVX342N1RFT0020000400"/>
      <w:bookmarkEnd w:id="4724"/>
      <w:r>
        <w:rPr>
          <w:rFonts w:ascii="Arial" w:eastAsia="Arial" w:hAnsi="Arial" w:cs="Arial"/>
          <w:color w:val="000000"/>
          <w:sz w:val="20"/>
          <w:u w:val="single"/>
        </w:rPr>
        <w:t>Bender v. Williamsport Area Sch. Dist</w:t>
      </w:r>
      <w:r>
        <w:rPr>
          <w:rFonts w:ascii="Arial" w:eastAsia="Arial" w:hAnsi="Arial" w:cs="Arial"/>
          <w:color w:val="000000"/>
          <w:sz w:val="20"/>
        </w:rPr>
        <w:t>., 475 U.S. 534, 541, 106 S. Ct. 1326, 1331, 89 L. Ed. 2d 501 (1986) (internal quotation marks omitted).</w:t>
      </w:r>
    </w:p>
    <w:p w14:paraId="3715AD78" w14:textId="77777777" w:rsidR="002D0E71" w:rsidRDefault="00000000">
      <w:pPr>
        <w:pStyle w:val="Normal34"/>
        <w:widowControl w:val="0"/>
        <w:spacing w:before="200" w:line="260" w:lineRule="atLeast"/>
        <w:jc w:val="both"/>
      </w:pPr>
      <w:bookmarkStart w:id="4725" w:name="Bookmark_para_6_33"/>
      <w:bookmarkStart w:id="4726" w:name="Bookmark_I3339484CXW000G7C8400058"/>
      <w:bookmarkStart w:id="4727" w:name="Bookmark_I5DFVX342N1RFV0020000400"/>
      <w:bookmarkStart w:id="4728" w:name="Bookmark_LNHNREFclscc3_27"/>
      <w:bookmarkEnd w:id="4725"/>
      <w:bookmarkEnd w:id="4726"/>
      <w:bookmarkEnd w:id="4727"/>
      <w:bookmarkEnd w:id="4728"/>
      <w:r>
        <w:rPr>
          <w:rFonts w:ascii="Arial" w:eastAsia="Arial" w:hAnsi="Arial" w:cs="Arial"/>
          <w:color w:val="000000"/>
          <w:sz w:val="20"/>
        </w:rPr>
        <w:t xml:space="preserve">To establish standing, Seco must show: "(1) injury-in-fact; (2) a causal connection between the asserted [**3]  injury-in-fact and the challenged action of the defendant; and (3) that the injury will be redressed by a favorable decision." </w:t>
      </w:r>
      <w:bookmarkStart w:id="4729" w:name="Bookmark_I5DFVX342N1RFV0010000400"/>
      <w:bookmarkEnd w:id="4729"/>
      <w:r>
        <w:rPr>
          <w:rFonts w:ascii="Arial" w:eastAsia="Arial" w:hAnsi="Arial" w:cs="Arial"/>
          <w:color w:val="000000"/>
          <w:sz w:val="20"/>
          <w:u w:val="single"/>
        </w:rPr>
        <w:t>Houston v. Marod Supermarkets, Inc</w:t>
      </w:r>
      <w:r>
        <w:rPr>
          <w:rFonts w:ascii="Arial" w:eastAsia="Arial" w:hAnsi="Arial" w:cs="Arial"/>
          <w:color w:val="000000"/>
          <w:sz w:val="20"/>
        </w:rPr>
        <w:t xml:space="preserve">., 733 F.3d 1323, 1328 (11th Cir. 2013) (internal quotation marks omitted). In addition, because he is seeking injunctive relief, Seco "must show a sufficient likelihood that he will be affected by the allegedly unlawful conduct in the future." </w:t>
      </w:r>
      <w:r>
        <w:rPr>
          <w:rFonts w:ascii="Arial" w:eastAsia="Arial" w:hAnsi="Arial" w:cs="Arial"/>
          <w:color w:val="000000"/>
          <w:sz w:val="20"/>
          <w:u w:val="single"/>
        </w:rPr>
        <w:t>Id</w:t>
      </w:r>
      <w:r>
        <w:rPr>
          <w:rFonts w:ascii="Arial" w:eastAsia="Arial" w:hAnsi="Arial" w:cs="Arial"/>
          <w:color w:val="000000"/>
          <w:sz w:val="20"/>
        </w:rPr>
        <w:t>. (internal quotation marks omitted).</w:t>
      </w:r>
    </w:p>
    <w:p w14:paraId="55AC9C00" w14:textId="77777777" w:rsidR="002D0E71" w:rsidRDefault="00000000">
      <w:pPr>
        <w:pStyle w:val="Normal34"/>
        <w:widowControl w:val="0"/>
        <w:spacing w:before="200" w:line="260" w:lineRule="atLeast"/>
        <w:jc w:val="both"/>
      </w:pPr>
      <w:bookmarkStart w:id="4730" w:name="Bookmark_para_7_32"/>
      <w:bookmarkStart w:id="4731" w:name="Bookmark_I3339485F89000G7C8400059"/>
      <w:bookmarkStart w:id="4732" w:name="Bookmark_I5DFVX342N1RFV0040000400"/>
      <w:bookmarkStart w:id="4733" w:name="Bookmark_LNHNREFclscc4_27"/>
      <w:bookmarkEnd w:id="4730"/>
      <w:bookmarkEnd w:id="4731"/>
      <w:bookmarkEnd w:id="4732"/>
      <w:bookmarkEnd w:id="4733"/>
      <w:r>
        <w:rPr>
          <w:rFonts w:ascii="Arial" w:eastAsia="Arial" w:hAnsi="Arial" w:cs="Arial"/>
          <w:color w:val="000000"/>
          <w:sz w:val="20"/>
        </w:rPr>
        <w:t xml:space="preserve">"[T]he 'injury in fact' test requires more than an injury to a cognizable interest. It requires that the party seeking review be himself among the injured." </w:t>
      </w:r>
      <w:bookmarkStart w:id="4734" w:name="Bookmark_I5DFVX342N1RFV0030000400"/>
      <w:bookmarkEnd w:id="4734"/>
      <w:r>
        <w:rPr>
          <w:rFonts w:ascii="Arial" w:eastAsia="Arial" w:hAnsi="Arial" w:cs="Arial"/>
          <w:color w:val="000000"/>
          <w:sz w:val="20"/>
          <w:u w:val="single"/>
        </w:rPr>
        <w:t>Sierra Club v. Morton</w:t>
      </w:r>
      <w:r>
        <w:rPr>
          <w:rFonts w:ascii="Arial" w:eastAsia="Arial" w:hAnsi="Arial" w:cs="Arial"/>
          <w:color w:val="000000"/>
          <w:sz w:val="20"/>
        </w:rPr>
        <w:t>, 405 U.S. 727, 734-35, 92 S. Ct. 1361, 1366, 31 L. Ed. 2d 636 (1972). Seco's complaint fails to satisfy this requirement with respect to the availability of handicapped-accessible exterior cabins with balconies or window views. A lack of such cabins will only cause injury to those for whom the absence of windows or balconies would lessen their "full and equal enjoyment of the . . . accommodations" of the Norwegian Sky. 42 U.S.C. § 12182(a). But nowhere in his pleadings does Seco allege that he suffers from a disability or a condition that would cause the lack of windows or balconies in his cabin to interfere with his full enjoyment of the cruise.</w:t>
      </w:r>
      <w:r>
        <w:rPr>
          <w:rFonts w:ascii="Arial" w:eastAsia="Arial" w:hAnsi="Arial" w:cs="Arial"/>
          <w:vertAlign w:val="superscript"/>
        </w:rPr>
        <w:footnoteReference w:customMarkFollows="1" w:id="173"/>
        <w:t>3</w:t>
      </w:r>
      <w:r>
        <w:rPr>
          <w:rFonts w:ascii="Arial" w:eastAsia="Arial" w:hAnsi="Arial" w:cs="Arial"/>
          <w:color w:val="000000"/>
          <w:sz w:val="20"/>
        </w:rPr>
        <w:t xml:space="preserve"> Because the absence of handicapped-accessible exterior cabins with windows or a balcony, if true, is a barrier [**4]  unrelated to Seco's alleged disability—a mobility impairment—Seco lacks standing to challenge that purported violation.</w:t>
      </w:r>
    </w:p>
    <w:p w14:paraId="59E989CF" w14:textId="77777777" w:rsidR="002D0E71" w:rsidRDefault="00000000">
      <w:pPr>
        <w:pStyle w:val="Normal34"/>
        <w:widowControl w:val="0"/>
        <w:spacing w:before="200" w:line="260" w:lineRule="atLeast"/>
        <w:jc w:val="both"/>
      </w:pPr>
      <w:bookmarkStart w:id="4739" w:name="Bookmark_para_8_32"/>
      <w:bookmarkStart w:id="4740" w:name="Bookmark_I5DFVX3428T4JG0030000400"/>
      <w:bookmarkStart w:id="4741" w:name="Bookmark_I5DFVX3428T4JG0050000400"/>
      <w:bookmarkStart w:id="4742" w:name="Bookmark_I3339486S81000G7C840005J"/>
      <w:bookmarkStart w:id="4743" w:name="Bookmark_I5DFVX342HM60X0020000400"/>
      <w:bookmarkStart w:id="4744" w:name="Bookmark_I5DFVX342HM60X0040000400"/>
      <w:bookmarkStart w:id="4745" w:name="Bookmark_I5DFVX342SF8GN0030000400"/>
      <w:bookmarkEnd w:id="4739"/>
      <w:bookmarkEnd w:id="4740"/>
      <w:bookmarkEnd w:id="4741"/>
      <w:bookmarkEnd w:id="4742"/>
      <w:bookmarkEnd w:id="4743"/>
      <w:bookmarkEnd w:id="4744"/>
      <w:bookmarkEnd w:id="4745"/>
      <w:r>
        <w:rPr>
          <w:rFonts w:ascii="Arial" w:eastAsia="Arial" w:hAnsi="Arial" w:cs="Arial"/>
          <w:color w:val="000000"/>
          <w:sz w:val="20"/>
        </w:rPr>
        <w:t xml:space="preserve">NCL contends as well [**5]  that Seco lacks standing to seek injunctive relief for any alleged ADA violation because he has not shown "a real and immediate threat of future injury." </w:t>
      </w:r>
      <w:bookmarkStart w:id="4746" w:name="Bookmark_I5DFVX3428T4JG0020000400"/>
      <w:bookmarkEnd w:id="4746"/>
      <w:r>
        <w:rPr>
          <w:rFonts w:ascii="Arial" w:eastAsia="Arial" w:hAnsi="Arial" w:cs="Arial"/>
          <w:color w:val="000000"/>
          <w:sz w:val="20"/>
          <w:u w:val="single"/>
        </w:rPr>
        <w:t>Houston</w:t>
      </w:r>
      <w:r>
        <w:rPr>
          <w:rFonts w:ascii="Arial" w:eastAsia="Arial" w:hAnsi="Arial" w:cs="Arial"/>
          <w:color w:val="000000"/>
          <w:sz w:val="20"/>
        </w:rPr>
        <w:t xml:space="preserve">, 733 F.3d at 1329. NCL insists that Seco's allegation that he "has future cruises planned on NCL" fails to establish the requisite "likelihood that [Seco] will be affected by the allegedly unlawful conduct in the future." </w:t>
      </w:r>
      <w:bookmarkStart w:id="4747" w:name="Bookmark_I5DFVX3428T4JG0040000400"/>
      <w:bookmarkEnd w:id="4747"/>
      <w:r>
        <w:rPr>
          <w:rFonts w:ascii="Arial" w:eastAsia="Arial" w:hAnsi="Arial" w:cs="Arial"/>
          <w:color w:val="000000"/>
          <w:sz w:val="20"/>
          <w:u w:val="single"/>
        </w:rPr>
        <w:t>Id</w:t>
      </w:r>
      <w:r>
        <w:rPr>
          <w:rFonts w:ascii="Arial" w:eastAsia="Arial" w:hAnsi="Arial" w:cs="Arial"/>
          <w:color w:val="000000"/>
          <w:sz w:val="20"/>
        </w:rPr>
        <w:t xml:space="preserve">. at 1328 (internal quotation marks omitted).  [*866]  This argument is foreclosed by our decision in </w:t>
      </w:r>
      <w:r>
        <w:rPr>
          <w:rFonts w:ascii="Arial" w:eastAsia="Arial" w:hAnsi="Arial" w:cs="Arial"/>
          <w:color w:val="000000"/>
          <w:sz w:val="20"/>
          <w:u w:val="single"/>
        </w:rPr>
        <w:t>Stevens v. Premier Cruises, Inc</w:t>
      </w:r>
      <w:r>
        <w:rPr>
          <w:rFonts w:ascii="Arial" w:eastAsia="Arial" w:hAnsi="Arial" w:cs="Arial"/>
          <w:color w:val="000000"/>
          <w:sz w:val="20"/>
        </w:rPr>
        <w:t xml:space="preserve">., in which we were "satisfied" that </w:t>
      </w:r>
      <w:bookmarkStart w:id="4748" w:name="Bookmark_LNHNREFclscc6_26"/>
      <w:bookmarkEnd w:id="4748"/>
      <w:r>
        <w:rPr>
          <w:rFonts w:ascii="Arial" w:eastAsia="Arial" w:hAnsi="Arial" w:cs="Arial"/>
          <w:color w:val="000000"/>
          <w:sz w:val="20"/>
        </w:rPr>
        <w:t xml:space="preserve">the plaintiff's allegation that she "would take another cruise aboard" the defendant's ship "in the near future" was sufficient to demonstrate standing for injunctive relief under Title III. </w:t>
      </w:r>
      <w:bookmarkStart w:id="4749" w:name="Bookmark_I5DFVX342HM60X0010000400"/>
      <w:bookmarkEnd w:id="4749"/>
      <w:r>
        <w:rPr>
          <w:rFonts w:ascii="Arial" w:eastAsia="Arial" w:hAnsi="Arial" w:cs="Arial"/>
          <w:color w:val="000000"/>
          <w:sz w:val="20"/>
        </w:rPr>
        <w:t>215 F.3d 1237, 1239 (11th Cir. 2000).</w:t>
      </w:r>
      <w:r>
        <w:rPr>
          <w:rFonts w:ascii="Arial" w:eastAsia="Arial" w:hAnsi="Arial" w:cs="Arial"/>
          <w:vertAlign w:val="superscript"/>
        </w:rPr>
        <w:footnoteReference w:customMarkFollows="1" w:id="174"/>
        <w:t>4</w:t>
      </w:r>
    </w:p>
    <w:p w14:paraId="6F58B3EC" w14:textId="77777777" w:rsidR="002D0E71" w:rsidRDefault="00000000">
      <w:pPr>
        <w:pStyle w:val="Normal34"/>
        <w:widowControl w:val="0"/>
        <w:spacing w:before="200" w:line="260" w:lineRule="atLeast"/>
        <w:jc w:val="both"/>
      </w:pPr>
      <w:bookmarkStart w:id="4755" w:name="Bookmark_para_9_32"/>
      <w:bookmarkEnd w:id="4755"/>
      <w:r>
        <w:rPr>
          <w:rFonts w:ascii="Arial" w:eastAsia="Arial" w:hAnsi="Arial" w:cs="Arial"/>
          <w:color w:val="000000"/>
          <w:sz w:val="20"/>
        </w:rPr>
        <w:t>In sum, we conclude that Seco lacks standing to challenge the availability of handicapped-accessible exterior cabins on the Norwegian Sky, but has standing to challenge [**6]  the doors that are allegedly not ADA-compliant because they require excessive force to open. We turn next to the merits.</w:t>
      </w:r>
    </w:p>
    <w:p w14:paraId="38FB49E3" w14:textId="77777777" w:rsidR="002D0E71" w:rsidRDefault="00000000">
      <w:pPr>
        <w:pStyle w:val="Normal34"/>
        <w:widowControl w:val="0"/>
        <w:spacing w:before="120" w:line="260" w:lineRule="atLeast"/>
      </w:pPr>
      <w:r>
        <w:rPr>
          <w:rFonts w:ascii="Arial" w:eastAsia="Arial" w:hAnsi="Arial" w:cs="Arial"/>
          <w:color w:val="000000"/>
          <w:sz w:val="20"/>
        </w:rPr>
        <w:t>II.</w:t>
      </w:r>
    </w:p>
    <w:p w14:paraId="1B4E6BB3" w14:textId="77777777" w:rsidR="002D0E71" w:rsidRDefault="00000000">
      <w:pPr>
        <w:pStyle w:val="Normal34"/>
        <w:widowControl w:val="0"/>
        <w:spacing w:before="200" w:line="260" w:lineRule="atLeast"/>
        <w:jc w:val="both"/>
      </w:pPr>
      <w:bookmarkStart w:id="4756" w:name="Bookmark_para_10_31"/>
      <w:bookmarkEnd w:id="4756"/>
      <w:r>
        <w:rPr>
          <w:rFonts w:ascii="Arial" w:eastAsia="Arial" w:hAnsi="Arial" w:cs="Arial"/>
          <w:color w:val="000000"/>
          <w:sz w:val="20"/>
        </w:rPr>
        <w:t xml:space="preserve">The district court in this case granted NCL's motion to dismiss, finding that Seco's complaint was time-barred and failed to state a claim. </w:t>
      </w:r>
      <w:bookmarkStart w:id="4757" w:name="Bookmark_I5DFVX342SF8GN0050000400"/>
      <w:bookmarkEnd w:id="4757"/>
      <w:r>
        <w:rPr>
          <w:rFonts w:ascii="Arial" w:eastAsia="Arial" w:hAnsi="Arial" w:cs="Arial"/>
          <w:color w:val="000000"/>
          <w:sz w:val="20"/>
        </w:rPr>
        <w:t xml:space="preserve">On appeal, Seco challenges both bases of the district court's ruling. We need not decide those issues because we affirm the dismissal on the alternative ground that Seco's claims are subject to compulsory arbitration. </w:t>
      </w:r>
      <w:r>
        <w:rPr>
          <w:rFonts w:ascii="Arial" w:eastAsia="Arial" w:hAnsi="Arial" w:cs="Arial"/>
          <w:color w:val="000000"/>
          <w:sz w:val="20"/>
          <w:u w:val="single"/>
        </w:rPr>
        <w:t xml:space="preserve">Cf. </w:t>
      </w:r>
      <w:bookmarkStart w:id="4758" w:name="Bookmark_I5DFVX342SF8GN0040000400"/>
      <w:bookmarkEnd w:id="4758"/>
      <w:r>
        <w:rPr>
          <w:rFonts w:ascii="Arial" w:eastAsia="Arial" w:hAnsi="Arial" w:cs="Arial"/>
          <w:color w:val="000000"/>
          <w:sz w:val="20"/>
          <w:u w:val="single"/>
        </w:rPr>
        <w:t>Seminole Tribe of Fla. v. Fla. Dep't of Revenue</w:t>
      </w:r>
      <w:r>
        <w:rPr>
          <w:rFonts w:ascii="Arial" w:eastAsia="Arial" w:hAnsi="Arial" w:cs="Arial"/>
          <w:color w:val="000000"/>
          <w:sz w:val="20"/>
        </w:rPr>
        <w:t>, 750 F.3d 1238, 1242 (11th Cir. 2014) (</w:t>
      </w:r>
      <w:bookmarkStart w:id="4759" w:name="Bookmark_LNHNREFclscc8_25"/>
      <w:bookmarkEnd w:id="4759"/>
      <w:r>
        <w:rPr>
          <w:rFonts w:ascii="Arial" w:eastAsia="Arial" w:hAnsi="Arial" w:cs="Arial"/>
          <w:color w:val="000000"/>
          <w:sz w:val="20"/>
        </w:rPr>
        <w:t>"[W]e may affirm the dismissal of a complaint on any ground supported by the record even if that ground was not considered by the district court . . . .").</w:t>
      </w:r>
    </w:p>
    <w:p w14:paraId="2A866A86" w14:textId="77777777" w:rsidR="002D0E71" w:rsidRDefault="00000000">
      <w:pPr>
        <w:pStyle w:val="Normal34"/>
        <w:widowControl w:val="0"/>
        <w:spacing w:before="200" w:line="260" w:lineRule="atLeast"/>
        <w:jc w:val="both"/>
      </w:pPr>
      <w:bookmarkStart w:id="4760" w:name="Bookmark_para_11_31"/>
      <w:bookmarkEnd w:id="4760"/>
      <w:r>
        <w:rPr>
          <w:rFonts w:ascii="Arial" w:eastAsia="Arial" w:hAnsi="Arial" w:cs="Arial"/>
          <w:color w:val="000000"/>
          <w:sz w:val="20"/>
        </w:rPr>
        <w:t>Paragraph 10(b) of Seco's passenger ticket contract provides, inter alia, that:</w:t>
      </w:r>
    </w:p>
    <w:p w14:paraId="01B16EE0" w14:textId="77777777" w:rsidR="002D0E71" w:rsidRDefault="00000000">
      <w:pPr>
        <w:pStyle w:val="Normal34"/>
        <w:widowControl w:val="0"/>
        <w:spacing w:line="260" w:lineRule="atLeast"/>
        <w:ind w:left="400"/>
        <w:jc w:val="both"/>
      </w:pPr>
      <w:bookmarkStart w:id="4761" w:name="Bookmark_para_12_30"/>
      <w:bookmarkEnd w:id="4761"/>
      <w:r>
        <w:rPr>
          <w:rFonts w:ascii="Arial" w:eastAsia="Arial" w:hAnsi="Arial" w:cs="Arial"/>
          <w:color w:val="000000"/>
          <w:sz w:val="20"/>
        </w:rPr>
        <w:t>Any and all disputes, claims, or controversies whatsoever, other than for personal injury, illness or death of a Guest, . . . including but not limited to alleged violation of civil rights [or] discrimination . . . laws, . . . shall be referred to and resolved exclusively by binding arbitration . . . .</w:t>
      </w:r>
    </w:p>
    <w:p w14:paraId="0EF732D6" w14:textId="77777777" w:rsidR="002D0E71" w:rsidRDefault="00000000">
      <w:pPr>
        <w:pStyle w:val="Normal34"/>
        <w:widowControl w:val="0"/>
        <w:spacing w:before="200" w:line="260" w:lineRule="atLeast"/>
        <w:jc w:val="both"/>
      </w:pPr>
      <w:r>
        <w:rPr>
          <w:rFonts w:ascii="Arial" w:eastAsia="Arial" w:hAnsi="Arial" w:cs="Arial"/>
          <w:color w:val="000000"/>
          <w:sz w:val="20"/>
        </w:rPr>
        <w:t>Seco did not argue before the district court and does not argue on appeal that he is not bound by ¶ 10(b) or that the clause is otherwise inequitable or unenforceable; significantly, [**7]  he has never disputed—despite ample opportunity to do so—the validity of ¶ 10(b)'s arbitration provision. Seco instead contends that, under our precedents, ADA claims are considered claims for "personal injury" and are therefore not subject to ¶ 10(b)'s requirements.</w:t>
      </w:r>
    </w:p>
    <w:p w14:paraId="3C65FCB5" w14:textId="77777777" w:rsidR="002D0E71" w:rsidRDefault="00000000">
      <w:pPr>
        <w:pStyle w:val="Normal34"/>
        <w:widowControl w:val="0"/>
        <w:spacing w:before="200" w:line="260" w:lineRule="atLeast"/>
        <w:jc w:val="both"/>
      </w:pPr>
      <w:bookmarkStart w:id="4762" w:name="Bookmark_para_13_30"/>
      <w:bookmarkStart w:id="4763" w:name="Bookmark_I5DFVX342D6N270020000400"/>
      <w:bookmarkEnd w:id="4762"/>
      <w:bookmarkEnd w:id="4763"/>
      <w:r>
        <w:rPr>
          <w:rFonts w:ascii="Arial" w:eastAsia="Arial" w:hAnsi="Arial" w:cs="Arial"/>
          <w:color w:val="000000"/>
          <w:sz w:val="20"/>
        </w:rPr>
        <w:t xml:space="preserve">Seco misreads our precedents. </w:t>
      </w:r>
      <w:bookmarkStart w:id="4764" w:name="Bookmark_I3339486D29000G7C840005G"/>
      <w:bookmarkStart w:id="4765" w:name="Bookmark_I33394861VK000G7C840005D"/>
      <w:bookmarkStart w:id="4766" w:name="Bookmark_I3339485MC5000G7C840005B"/>
      <w:bookmarkStart w:id="4767" w:name="Bookmark_I5DFVX342D6N270040000400"/>
      <w:bookmarkEnd w:id="4764"/>
      <w:bookmarkEnd w:id="4765"/>
      <w:bookmarkEnd w:id="4766"/>
      <w:bookmarkEnd w:id="4767"/>
      <w:r>
        <w:rPr>
          <w:rFonts w:ascii="Arial" w:eastAsia="Arial" w:hAnsi="Arial" w:cs="Arial"/>
          <w:color w:val="000000"/>
          <w:sz w:val="20"/>
        </w:rPr>
        <w:t xml:space="preserve">While we have previously observed that "[m]ost civil rights actions are essentially claims to vindicate injuries to personal rights," </w:t>
      </w:r>
      <w:bookmarkStart w:id="4768" w:name="Bookmark_I5DFVX342D6N270010000400"/>
      <w:bookmarkEnd w:id="4768"/>
      <w:r>
        <w:rPr>
          <w:rFonts w:ascii="Arial" w:eastAsia="Arial" w:hAnsi="Arial" w:cs="Arial"/>
          <w:color w:val="000000"/>
          <w:sz w:val="20"/>
          <w:u w:val="single"/>
        </w:rPr>
        <w:t>Everett v. Cobb Cnty. Sch. Dist</w:t>
      </w:r>
      <w:r>
        <w:rPr>
          <w:rFonts w:ascii="Arial" w:eastAsia="Arial" w:hAnsi="Arial" w:cs="Arial"/>
          <w:color w:val="000000"/>
          <w:sz w:val="20"/>
        </w:rPr>
        <w:t xml:space="preserve">., 138 F.3d 1407, 1409 (11th Cir. 1998), we have never held that civil rights claims are a type of personal injury claim. </w:t>
      </w:r>
      <w:r>
        <w:rPr>
          <w:rFonts w:ascii="Arial" w:eastAsia="Arial" w:hAnsi="Arial" w:cs="Arial"/>
          <w:color w:val="000000"/>
          <w:sz w:val="20"/>
          <w:u w:val="single"/>
        </w:rPr>
        <w:t>Everett</w:t>
      </w:r>
      <w:r>
        <w:rPr>
          <w:rFonts w:ascii="Arial" w:eastAsia="Arial" w:hAnsi="Arial" w:cs="Arial"/>
          <w:color w:val="000000"/>
          <w:sz w:val="20"/>
        </w:rPr>
        <w:t xml:space="preserve"> and the other cases cited by Seco involved the applicable statute of limitations for various federal civil rights statutes. </w:t>
      </w:r>
      <w:bookmarkStart w:id="4769" w:name="Bookmark_I5DFVX342D6N270040000400_2"/>
      <w:bookmarkStart w:id="4770" w:name="Bookmark_I5DFVX342D6N280050000400"/>
      <w:bookmarkEnd w:id="4769"/>
      <w:bookmarkEnd w:id="4770"/>
      <w:r>
        <w:rPr>
          <w:rFonts w:ascii="Arial" w:eastAsia="Arial" w:hAnsi="Arial" w:cs="Arial"/>
          <w:color w:val="000000"/>
          <w:sz w:val="20"/>
          <w:u w:val="single"/>
        </w:rPr>
        <w:t xml:space="preserve">See, e.g., </w:t>
      </w:r>
      <w:bookmarkStart w:id="4771" w:name="Bookmark_I5DFVX342D6N270030000400"/>
      <w:bookmarkEnd w:id="4771"/>
      <w:r>
        <w:rPr>
          <w:rFonts w:ascii="Arial" w:eastAsia="Arial" w:hAnsi="Arial" w:cs="Arial"/>
          <w:color w:val="000000"/>
          <w:sz w:val="20"/>
          <w:u w:val="single"/>
        </w:rPr>
        <w:t>Goodman v. Lukens Steel Co</w:t>
      </w:r>
      <w:r>
        <w:rPr>
          <w:rFonts w:ascii="Arial" w:eastAsia="Arial" w:hAnsi="Arial" w:cs="Arial"/>
          <w:color w:val="000000"/>
          <w:sz w:val="20"/>
        </w:rPr>
        <w:t xml:space="preserve">., 482 U.S. 656, 660-62, 107 S. Ct. 2617, 2620-21, 96 L. Ed. 2d 572 (1987) (considering  [*867]  the applicable statute of limitations under 42 U.S.C. § 1981), </w:t>
      </w:r>
      <w:r>
        <w:rPr>
          <w:rFonts w:ascii="Arial" w:eastAsia="Arial" w:hAnsi="Arial" w:cs="Arial"/>
          <w:color w:val="000000"/>
          <w:sz w:val="20"/>
          <w:u w:val="single"/>
        </w:rPr>
        <w:t>superseded by statute on other grounds</w:t>
      </w:r>
      <w:r>
        <w:rPr>
          <w:rFonts w:ascii="Arial" w:eastAsia="Arial" w:hAnsi="Arial" w:cs="Arial"/>
          <w:color w:val="000000"/>
          <w:sz w:val="20"/>
        </w:rPr>
        <w:t xml:space="preserve">, 28 U.S.C. § 1658; </w:t>
      </w:r>
      <w:bookmarkStart w:id="4772" w:name="Bookmark_I5DFVX342D6N270050000400"/>
      <w:bookmarkEnd w:id="4772"/>
      <w:r>
        <w:rPr>
          <w:rFonts w:ascii="Arial" w:eastAsia="Arial" w:hAnsi="Arial" w:cs="Arial"/>
          <w:color w:val="000000"/>
          <w:sz w:val="20"/>
          <w:u w:val="single"/>
        </w:rPr>
        <w:t>Wilson v. Garcia</w:t>
      </w:r>
      <w:r>
        <w:rPr>
          <w:rFonts w:ascii="Arial" w:eastAsia="Arial" w:hAnsi="Arial" w:cs="Arial"/>
          <w:color w:val="000000"/>
          <w:sz w:val="20"/>
        </w:rPr>
        <w:t xml:space="preserve">, 471 U.S. 261, 262, 105 S. Ct. 1938, 1939-40, 85 L. Ed. 2d 254 (1985) (considering the applicable statute of limitations under 42 U.S.C. § 1983), </w:t>
      </w:r>
      <w:r>
        <w:rPr>
          <w:rFonts w:ascii="Arial" w:eastAsia="Arial" w:hAnsi="Arial" w:cs="Arial"/>
          <w:color w:val="000000"/>
          <w:sz w:val="20"/>
          <w:u w:val="single"/>
        </w:rPr>
        <w:t>superseded by statute on other grounds</w:t>
      </w:r>
      <w:r>
        <w:rPr>
          <w:rFonts w:ascii="Arial" w:eastAsia="Arial" w:hAnsi="Arial" w:cs="Arial"/>
          <w:color w:val="000000"/>
          <w:sz w:val="20"/>
        </w:rPr>
        <w:t xml:space="preserve">, 28 U.S.C. § 1658; </w:t>
      </w:r>
      <w:bookmarkStart w:id="4773" w:name="Bookmark_I5DFVX342D6N280020000400"/>
      <w:bookmarkEnd w:id="4773"/>
      <w:r>
        <w:rPr>
          <w:rFonts w:ascii="Arial" w:eastAsia="Arial" w:hAnsi="Arial" w:cs="Arial"/>
          <w:color w:val="000000"/>
          <w:sz w:val="20"/>
          <w:u w:val="single"/>
        </w:rPr>
        <w:t>Everett</w:t>
      </w:r>
      <w:r>
        <w:rPr>
          <w:rFonts w:ascii="Arial" w:eastAsia="Arial" w:hAnsi="Arial" w:cs="Arial"/>
          <w:color w:val="000000"/>
          <w:sz w:val="20"/>
        </w:rPr>
        <w:t xml:space="preserve">, 138 F.3d at 1409-10 (considering the applicable statute of limitations under Title II of the ADA and the Rehabilitation Act). </w:t>
      </w:r>
      <w:bookmarkStart w:id="4774" w:name="Bookmark_I5DFVX342D6N280050000400_2"/>
      <w:bookmarkStart w:id="4775" w:name="Bookmark_I5DFVX342SF8GP0010000400"/>
      <w:bookmarkEnd w:id="4774"/>
      <w:bookmarkEnd w:id="4775"/>
      <w:r>
        <w:rPr>
          <w:rFonts w:ascii="Arial" w:eastAsia="Arial" w:hAnsi="Arial" w:cs="Arial"/>
          <w:color w:val="000000"/>
          <w:sz w:val="20"/>
        </w:rPr>
        <w:t xml:space="preserve">Those cases held that the state statutes governing claims for personal injury are "most analogous" to the civil rights statutes that were at issue, and therefore the state limitations periods applicable to personal injury actions should [**8]  be borrowed. </w:t>
      </w:r>
      <w:bookmarkStart w:id="4776" w:name="Bookmark_I5DFVX342D6N280040000400"/>
      <w:bookmarkEnd w:id="4776"/>
      <w:r>
        <w:rPr>
          <w:rFonts w:ascii="Arial" w:eastAsia="Arial" w:hAnsi="Arial" w:cs="Arial"/>
          <w:color w:val="000000"/>
          <w:sz w:val="20"/>
          <w:u w:val="single"/>
        </w:rPr>
        <w:t>Everett</w:t>
      </w:r>
      <w:r>
        <w:rPr>
          <w:rFonts w:ascii="Arial" w:eastAsia="Arial" w:hAnsi="Arial" w:cs="Arial"/>
          <w:color w:val="000000"/>
          <w:sz w:val="20"/>
        </w:rPr>
        <w:t xml:space="preserve">, 138 F.3d at 1409-10; </w:t>
      </w:r>
      <w:r>
        <w:rPr>
          <w:rFonts w:ascii="Arial" w:eastAsia="Arial" w:hAnsi="Arial" w:cs="Arial"/>
          <w:color w:val="000000"/>
          <w:sz w:val="20"/>
          <w:u w:val="single"/>
        </w:rPr>
        <w:t xml:space="preserve">see also </w:t>
      </w:r>
      <w:bookmarkStart w:id="4777" w:name="Bookmark_I5DFVX342N1RFW0010000400"/>
      <w:bookmarkEnd w:id="4777"/>
      <w:r>
        <w:rPr>
          <w:rFonts w:ascii="Arial" w:eastAsia="Arial" w:hAnsi="Arial" w:cs="Arial"/>
          <w:color w:val="000000"/>
          <w:sz w:val="20"/>
          <w:u w:val="single"/>
        </w:rPr>
        <w:t>Goodman</w:t>
      </w:r>
      <w:r>
        <w:rPr>
          <w:rFonts w:ascii="Arial" w:eastAsia="Arial" w:hAnsi="Arial" w:cs="Arial"/>
          <w:color w:val="000000"/>
          <w:sz w:val="20"/>
        </w:rPr>
        <w:t xml:space="preserve">, 482 U.S. at 660-62, 107 S. Ct. at 2620-21; </w:t>
      </w:r>
      <w:bookmarkStart w:id="4778" w:name="Bookmark_I5DFVX342N1RFW0030000400"/>
      <w:bookmarkEnd w:id="4778"/>
      <w:r>
        <w:rPr>
          <w:rFonts w:ascii="Arial" w:eastAsia="Arial" w:hAnsi="Arial" w:cs="Arial"/>
          <w:color w:val="000000"/>
          <w:sz w:val="20"/>
          <w:u w:val="single"/>
        </w:rPr>
        <w:t>Wilson</w:t>
      </w:r>
      <w:r>
        <w:rPr>
          <w:rFonts w:ascii="Arial" w:eastAsia="Arial" w:hAnsi="Arial" w:cs="Arial"/>
          <w:color w:val="000000"/>
          <w:sz w:val="20"/>
        </w:rPr>
        <w:t xml:space="preserve">, 471 U.S. at 280, 105 S. Ct. at 1949. </w:t>
      </w:r>
      <w:bookmarkStart w:id="4779" w:name="Bookmark_I5DFVX342SF8GP0010000400_2"/>
      <w:bookmarkEnd w:id="4779"/>
      <w:r>
        <w:rPr>
          <w:rFonts w:ascii="Arial" w:eastAsia="Arial" w:hAnsi="Arial" w:cs="Arial"/>
          <w:color w:val="000000"/>
          <w:sz w:val="20"/>
        </w:rPr>
        <w:t xml:space="preserve">Notably, those cases only decided whether civil rights or discrimination actions are most closely analogous to personal injury actions "for statute of limitations purposes." </w:t>
      </w:r>
      <w:bookmarkStart w:id="4780" w:name="Bookmark_I5DFVX342N1RFW0050000400"/>
      <w:bookmarkEnd w:id="4780"/>
      <w:r>
        <w:rPr>
          <w:rFonts w:ascii="Arial" w:eastAsia="Arial" w:hAnsi="Arial" w:cs="Arial"/>
          <w:color w:val="000000"/>
          <w:sz w:val="20"/>
          <w:u w:val="single"/>
        </w:rPr>
        <w:t>Wilson</w:t>
      </w:r>
      <w:r>
        <w:rPr>
          <w:rFonts w:ascii="Arial" w:eastAsia="Arial" w:hAnsi="Arial" w:cs="Arial"/>
          <w:color w:val="000000"/>
          <w:sz w:val="20"/>
        </w:rPr>
        <w:t>, 471 U.S. at 268, 105 S. Ct. at 1942.</w:t>
      </w:r>
    </w:p>
    <w:p w14:paraId="2F9C88BE" w14:textId="77777777" w:rsidR="002D0E71" w:rsidRDefault="00000000">
      <w:pPr>
        <w:pStyle w:val="Normal34"/>
        <w:widowControl w:val="0"/>
        <w:spacing w:before="200" w:line="260" w:lineRule="atLeast"/>
        <w:jc w:val="both"/>
      </w:pPr>
      <w:bookmarkStart w:id="4781" w:name="Bookmark_para_14_30"/>
      <w:bookmarkStart w:id="4782" w:name="Bookmark_I5DFVX342SF8GP0030000400"/>
      <w:bookmarkEnd w:id="4781"/>
      <w:bookmarkEnd w:id="4782"/>
      <w:r>
        <w:rPr>
          <w:rFonts w:ascii="Arial" w:eastAsia="Arial" w:hAnsi="Arial" w:cs="Arial"/>
          <w:color w:val="000000"/>
          <w:sz w:val="20"/>
        </w:rPr>
        <w:t xml:space="preserve">We are thus unpersuaded by Seco's efforts to characterize his ADA claims as claims for personal injuries for purposes related to his cruise ticket contract. </w:t>
      </w:r>
      <w:bookmarkStart w:id="4783" w:name="Bookmark_I5DFVX342SF8GP0050000400"/>
      <w:bookmarkEnd w:id="4783"/>
      <w:r>
        <w:rPr>
          <w:rFonts w:ascii="Arial" w:eastAsia="Arial" w:hAnsi="Arial" w:cs="Arial"/>
          <w:color w:val="000000"/>
          <w:sz w:val="20"/>
        </w:rPr>
        <w:t xml:space="preserve">Accordingly, we hold that ¶ 10(b) of the contract governs his claims and that these claims must therefore be dismissed in favor of arbitration. </w:t>
      </w:r>
      <w:r>
        <w:rPr>
          <w:rFonts w:ascii="Arial" w:eastAsia="Arial" w:hAnsi="Arial" w:cs="Arial"/>
          <w:color w:val="000000"/>
          <w:sz w:val="20"/>
          <w:u w:val="single"/>
        </w:rPr>
        <w:t xml:space="preserve">Cf. </w:t>
      </w:r>
      <w:bookmarkStart w:id="4784" w:name="Bookmark_I5DFVX342SF8GP0020000400"/>
      <w:bookmarkEnd w:id="4784"/>
      <w:r>
        <w:rPr>
          <w:rFonts w:ascii="Arial" w:eastAsia="Arial" w:hAnsi="Arial" w:cs="Arial"/>
          <w:color w:val="000000"/>
          <w:sz w:val="20"/>
          <w:u w:val="single"/>
        </w:rPr>
        <w:t>Solymar Invs., Ltd. v. Banco Santander S.A</w:t>
      </w:r>
      <w:r>
        <w:rPr>
          <w:rFonts w:ascii="Arial" w:eastAsia="Arial" w:hAnsi="Arial" w:cs="Arial"/>
          <w:color w:val="000000"/>
          <w:sz w:val="20"/>
        </w:rPr>
        <w:t xml:space="preserve">., 672 F.3d 981, 999 (11th Cir. 2012) (holding that "the district court correctly dismissed the entirety of the . . . </w:t>
      </w:r>
      <w:bookmarkStart w:id="4785" w:name="Bookmark_I5DFVX342SF8GP0050000400_2"/>
      <w:bookmarkEnd w:id="4785"/>
      <w:r>
        <w:rPr>
          <w:rFonts w:ascii="Arial" w:eastAsia="Arial" w:hAnsi="Arial" w:cs="Arial"/>
          <w:color w:val="000000"/>
          <w:sz w:val="20"/>
        </w:rPr>
        <w:t xml:space="preserve">[c]omplaint in favor of arbitration"); </w:t>
      </w:r>
      <w:bookmarkStart w:id="4786" w:name="Bookmark_I5DFVX342SF8GP0040000400"/>
      <w:bookmarkEnd w:id="4786"/>
      <w:r>
        <w:rPr>
          <w:rFonts w:ascii="Arial" w:eastAsia="Arial" w:hAnsi="Arial" w:cs="Arial"/>
          <w:color w:val="000000"/>
          <w:sz w:val="20"/>
          <w:u w:val="single"/>
        </w:rPr>
        <w:t>Randolph v. Green Tree Fin. Corp.-Alabama</w:t>
      </w:r>
      <w:r>
        <w:rPr>
          <w:rFonts w:ascii="Arial" w:eastAsia="Arial" w:hAnsi="Arial" w:cs="Arial"/>
          <w:color w:val="000000"/>
          <w:sz w:val="20"/>
        </w:rPr>
        <w:t>, 244 F.3d 814, 815, 819 (11th Cir. 2001) (affirming a district court compelling arbitration and dismissing the action with prejudice).</w:t>
      </w:r>
    </w:p>
    <w:p w14:paraId="2336A476" w14:textId="77777777" w:rsidR="002D0E71" w:rsidRDefault="00000000">
      <w:pPr>
        <w:pStyle w:val="Normal34"/>
        <w:widowControl w:val="0"/>
        <w:spacing w:before="200" w:line="260" w:lineRule="atLeast"/>
        <w:jc w:val="both"/>
      </w:pPr>
      <w:bookmarkStart w:id="4787" w:name="Bookmark_para_15_29"/>
      <w:bookmarkEnd w:id="4787"/>
      <w:r>
        <w:rPr>
          <w:rFonts w:ascii="Arial" w:eastAsia="Arial" w:hAnsi="Arial" w:cs="Arial"/>
          <w:b/>
          <w:color w:val="000000"/>
          <w:sz w:val="20"/>
        </w:rPr>
        <w:t>AFFIRMED</w:t>
      </w:r>
      <w:r>
        <w:rPr>
          <w:rFonts w:ascii="Arial" w:eastAsia="Arial" w:hAnsi="Arial" w:cs="Arial"/>
          <w:color w:val="000000"/>
          <w:sz w:val="20"/>
        </w:rPr>
        <w:t>.</w:t>
      </w:r>
    </w:p>
    <w:p w14:paraId="025008A1" w14:textId="77777777" w:rsidR="002D0E71" w:rsidRDefault="002D0E71">
      <w:pPr>
        <w:pStyle w:val="Normal34"/>
      </w:pPr>
    </w:p>
    <w:p w14:paraId="5367C016" w14:textId="0D446168" w:rsidR="002D0E71" w:rsidRDefault="00000000">
      <w:pPr>
        <w:pStyle w:val="Normal34"/>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30944" behindDoc="0" locked="0" layoutInCell="1" allowOverlap="1" wp14:anchorId="403E4285" wp14:editId="6A850CAE">
                <wp:simplePos x="0" y="0"/>
                <wp:positionH relativeFrom="column">
                  <wp:posOffset>0</wp:posOffset>
                </wp:positionH>
                <wp:positionV relativeFrom="paragraph">
                  <wp:posOffset>127000</wp:posOffset>
                </wp:positionV>
                <wp:extent cx="6502400" cy="0"/>
                <wp:effectExtent l="9525" t="12700" r="12700" b="6350"/>
                <wp:wrapNone/>
                <wp:docPr id="351121438"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A8FF63" id="Line 74"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E40DD4B" w14:textId="77777777" w:rsidR="002D0E71" w:rsidRDefault="002D0E71">
      <w:pPr>
        <w:pStyle w:val="Normal35"/>
        <w:sectPr w:rsidR="002D0E71">
          <w:headerReference w:type="even" r:id="rId218"/>
          <w:headerReference w:type="default" r:id="rId219"/>
          <w:footerReference w:type="even" r:id="rId220"/>
          <w:footerReference w:type="default" r:id="rId221"/>
          <w:headerReference w:type="first" r:id="rId222"/>
          <w:footerReference w:type="first" r:id="rId223"/>
          <w:pgSz w:w="12240" w:h="15840"/>
          <w:pgMar w:top="840" w:right="1000" w:bottom="840" w:left="1000" w:header="400" w:footer="400" w:gutter="0"/>
          <w:cols w:space="720"/>
          <w:titlePg/>
        </w:sectPr>
      </w:pPr>
    </w:p>
    <w:p w14:paraId="297653CC" w14:textId="77777777" w:rsidR="002D0E71" w:rsidRDefault="002D0E71">
      <w:pPr>
        <w:pStyle w:val="Normal35"/>
      </w:pPr>
    </w:p>
    <w:p w14:paraId="3B7992E0" w14:textId="77777777" w:rsidR="002D0E71" w:rsidRDefault="00000000">
      <w:pPr>
        <w:pStyle w:val="Heading134"/>
        <w:keepNext w:val="0"/>
        <w:widowControl w:val="0"/>
        <w:spacing w:after="200" w:line="340" w:lineRule="atLeast"/>
        <w:jc w:val="center"/>
      </w:pPr>
      <w:r>
        <w:rPr>
          <w:rFonts w:eastAsia="Arial"/>
          <w:color w:val="000000"/>
          <w:sz w:val="28"/>
        </w:rPr>
        <w:t>Parker v. Econ. Opportunity for Savannah-Chatham County Area, Inc.</w:t>
      </w:r>
    </w:p>
    <w:p w14:paraId="42046614" w14:textId="77777777" w:rsidR="002D0E71" w:rsidRDefault="00000000">
      <w:pPr>
        <w:pStyle w:val="Normal35"/>
        <w:widowControl w:val="0"/>
        <w:spacing w:before="120" w:line="260" w:lineRule="atLeast"/>
        <w:jc w:val="center"/>
      </w:pPr>
      <w:r>
        <w:rPr>
          <w:rFonts w:ascii="Arial" w:eastAsia="Arial" w:hAnsi="Arial" w:cs="Arial"/>
          <w:color w:val="000000"/>
          <w:sz w:val="20"/>
        </w:rPr>
        <w:t>United States Court of Appeals for the Eleventh Circuit</w:t>
      </w:r>
    </w:p>
    <w:p w14:paraId="3DCCEAC7" w14:textId="77777777" w:rsidR="002D0E71" w:rsidRDefault="00000000">
      <w:pPr>
        <w:pStyle w:val="Normal35"/>
        <w:widowControl w:val="0"/>
        <w:spacing w:before="120" w:line="260" w:lineRule="atLeast"/>
        <w:jc w:val="center"/>
      </w:pPr>
      <w:r>
        <w:rPr>
          <w:rFonts w:ascii="Arial" w:eastAsia="Arial" w:hAnsi="Arial" w:cs="Arial"/>
          <w:color w:val="000000"/>
          <w:sz w:val="20"/>
        </w:rPr>
        <w:t>October 1, 2014, Decided</w:t>
      </w:r>
    </w:p>
    <w:p w14:paraId="7957A224" w14:textId="77777777" w:rsidR="002D0E71" w:rsidRDefault="00000000">
      <w:pPr>
        <w:pStyle w:val="Normal35"/>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14-11743 Non-Argument Calendar</w:t>
      </w:r>
    </w:p>
    <w:p w14:paraId="31F434B7" w14:textId="77777777" w:rsidR="002D0E71" w:rsidRDefault="002D0E71">
      <w:pPr>
        <w:pStyle w:val="Normal35"/>
        <w:widowControl w:val="0"/>
        <w:spacing w:line="240" w:lineRule="atLeast"/>
        <w:jc w:val="both"/>
      </w:pPr>
      <w:bookmarkStart w:id="4788" w:name="Bookmark_36"/>
      <w:bookmarkEnd w:id="4788"/>
    </w:p>
    <w:p w14:paraId="00973138" w14:textId="77777777" w:rsidR="002D0E71" w:rsidRDefault="00000000">
      <w:pPr>
        <w:pStyle w:val="Normal35"/>
        <w:widowControl w:val="0"/>
        <w:spacing w:before="200" w:line="240" w:lineRule="atLeast"/>
      </w:pPr>
      <w:bookmarkStart w:id="4789" w:name="Reporter_34"/>
      <w:bookmarkEnd w:id="4789"/>
      <w:r>
        <w:rPr>
          <w:rFonts w:ascii="Arial" w:eastAsia="Arial" w:hAnsi="Arial" w:cs="Arial"/>
          <w:b/>
          <w:color w:val="000000"/>
          <w:sz w:val="18"/>
        </w:rPr>
        <w:t>Reporter</w:t>
      </w:r>
    </w:p>
    <w:p w14:paraId="4347D190" w14:textId="77777777" w:rsidR="002D0E71" w:rsidRDefault="00000000">
      <w:pPr>
        <w:pStyle w:val="Normal35"/>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587 Fed. Appx. 631 *; 2014 U.S. App. LEXIS 18775 **</w:t>
      </w:r>
    </w:p>
    <w:p w14:paraId="353F5F33" w14:textId="77777777" w:rsidR="002D0E71" w:rsidRDefault="00000000">
      <w:pPr>
        <w:pStyle w:val="Normal35"/>
        <w:widowControl w:val="0"/>
        <w:spacing w:before="120" w:line="260" w:lineRule="atLeast"/>
      </w:pPr>
      <w:r>
        <w:rPr>
          <w:rFonts w:ascii="Arial" w:eastAsia="Arial" w:hAnsi="Arial" w:cs="Arial"/>
          <w:color w:val="000000"/>
          <w:sz w:val="20"/>
        </w:rPr>
        <w:t>QUEEN E. PARKER, Plaintiff-Appellant, versus ECONOMIC OPPORTUNITY FOR SAVANNAH-CHATHAM COUNTY AREA, INC., JOHN H. FINNEY, TERRY TOLBERT, Defendants-Appellees.</w:t>
      </w:r>
    </w:p>
    <w:p w14:paraId="5B33FD52" w14:textId="77777777" w:rsidR="002D0E71" w:rsidRDefault="00000000">
      <w:pPr>
        <w:pStyle w:val="Normal35"/>
        <w:widowControl w:val="0"/>
        <w:spacing w:before="240" w:line="260" w:lineRule="atLeast"/>
        <w:jc w:val="both"/>
      </w:pPr>
      <w:bookmarkStart w:id="4790" w:name="Notice_10"/>
      <w:bookmarkEnd w:id="4790"/>
      <w:r>
        <w:rPr>
          <w:rFonts w:ascii="Arial" w:eastAsia="Arial" w:hAnsi="Arial" w:cs="Arial"/>
          <w:b/>
          <w:color w:val="000000"/>
          <w:sz w:val="20"/>
        </w:rPr>
        <w:t>Notice:</w:t>
      </w:r>
      <w:r>
        <w:rPr>
          <w:rFonts w:ascii="Arial" w:eastAsia="Arial" w:hAnsi="Arial" w:cs="Arial"/>
          <w:color w:val="000000"/>
          <w:sz w:val="20"/>
        </w:rPr>
        <w:t> </w:t>
      </w:r>
      <w:bookmarkStart w:id="4791" w:name="Bookmark_para_1_34"/>
      <w:bookmarkEnd w:id="4791"/>
      <w:r>
        <w:rPr>
          <w:rFonts w:ascii="Arial" w:eastAsia="Arial" w:hAnsi="Arial" w:cs="Arial"/>
          <w:color w:val="000000"/>
          <w:sz w:val="20"/>
        </w:rPr>
        <w:t>PLEASE REFER TO FEDERAL RULES OF APPELLATE PROCEDURE RULE 32.1 GOVERNING THE CITATION TO UNPUBLISHED OPINIONS.</w:t>
      </w:r>
    </w:p>
    <w:p w14:paraId="748A0BCD" w14:textId="77777777" w:rsidR="002D0E71" w:rsidRDefault="00000000">
      <w:pPr>
        <w:pStyle w:val="Normal35"/>
        <w:widowControl w:val="0"/>
        <w:spacing w:before="240" w:line="260" w:lineRule="atLeast"/>
        <w:jc w:val="both"/>
      </w:pPr>
      <w:bookmarkStart w:id="4792" w:name="Prior_History_33"/>
      <w:bookmarkEnd w:id="4792"/>
      <w:r>
        <w:rPr>
          <w:rFonts w:ascii="Arial" w:eastAsia="Arial" w:hAnsi="Arial" w:cs="Arial"/>
          <w:b/>
          <w:color w:val="000000"/>
          <w:sz w:val="20"/>
        </w:rPr>
        <w:t>Prior History:</w:t>
      </w:r>
      <w:r>
        <w:rPr>
          <w:rFonts w:ascii="Arial" w:eastAsia="Arial" w:hAnsi="Arial" w:cs="Arial"/>
          <w:color w:val="000000"/>
          <w:sz w:val="20"/>
        </w:rPr>
        <w:t> </w:t>
      </w:r>
      <w:bookmarkStart w:id="4793" w:name="Bookmark_para_2_34"/>
      <w:bookmarkEnd w:id="4793"/>
      <w:r>
        <w:rPr>
          <w:rFonts w:ascii="Arial" w:eastAsia="Arial" w:hAnsi="Arial" w:cs="Arial"/>
          <w:color w:val="000000"/>
          <w:sz w:val="20"/>
        </w:rPr>
        <w:t> [**1] Appeal from the United States District Court for the Southern District of Georgia. D.C. Docket No. 4:12-cv-00315-WTM-GRS.</w:t>
      </w:r>
    </w:p>
    <w:p w14:paraId="6EF3AF95" w14:textId="77777777" w:rsidR="002D0E71" w:rsidRDefault="00000000">
      <w:pPr>
        <w:pStyle w:val="Normal35"/>
        <w:widowControl w:val="0"/>
        <w:spacing w:before="120" w:line="260" w:lineRule="atLeast"/>
      </w:pPr>
      <w:r>
        <w:rPr>
          <w:rFonts w:ascii="Arial" w:eastAsia="Arial" w:hAnsi="Arial" w:cs="Arial"/>
          <w:color w:val="000000"/>
          <w:sz w:val="20"/>
        </w:rPr>
        <w:t>Parker v. Econ. Opportunity for Savannah-Chatham County Area, Inc., 2014 U.S. Dist. LEXIS 37733 (S.D. Ga., Mar. 21, 2014)</w:t>
      </w:r>
    </w:p>
    <w:p w14:paraId="15A3C791" w14:textId="77777777" w:rsidR="002D0E71" w:rsidRDefault="00000000">
      <w:pPr>
        <w:pStyle w:val="Normal35"/>
        <w:widowControl w:val="0"/>
        <w:spacing w:before="240" w:line="260" w:lineRule="atLeast"/>
        <w:jc w:val="both"/>
      </w:pPr>
      <w:bookmarkStart w:id="4794" w:name="Disposition_16"/>
      <w:bookmarkEnd w:id="4794"/>
      <w:r>
        <w:rPr>
          <w:rFonts w:ascii="Arial" w:eastAsia="Arial" w:hAnsi="Arial" w:cs="Arial"/>
          <w:b/>
          <w:color w:val="000000"/>
          <w:sz w:val="20"/>
        </w:rPr>
        <w:t>Disposition:</w:t>
      </w:r>
      <w:r>
        <w:rPr>
          <w:rFonts w:ascii="Arial" w:eastAsia="Arial" w:hAnsi="Arial" w:cs="Arial"/>
          <w:color w:val="000000"/>
          <w:sz w:val="20"/>
        </w:rPr>
        <w:t> </w:t>
      </w:r>
      <w:bookmarkStart w:id="4795" w:name="Bookmark_clspara_4_14"/>
      <w:bookmarkEnd w:id="4795"/>
      <w:r>
        <w:rPr>
          <w:rFonts w:ascii="Arial" w:eastAsia="Arial" w:hAnsi="Arial" w:cs="Arial"/>
          <w:color w:val="000000"/>
          <w:sz w:val="20"/>
        </w:rPr>
        <w:t>AFFIRMED.</w:t>
      </w:r>
    </w:p>
    <w:p w14:paraId="472BB076" w14:textId="77777777" w:rsidR="002D0E71" w:rsidRDefault="00000000">
      <w:pPr>
        <w:pStyle w:val="Normal35"/>
        <w:widowControl w:val="0"/>
        <w:spacing w:before="240" w:line="260" w:lineRule="atLeast"/>
      </w:pPr>
      <w:bookmarkStart w:id="4796" w:name="Counsel_34"/>
      <w:bookmarkEnd w:id="4796"/>
      <w:r>
        <w:rPr>
          <w:rFonts w:ascii="Arial" w:eastAsia="Arial" w:hAnsi="Arial" w:cs="Arial"/>
          <w:b/>
          <w:color w:val="000000"/>
          <w:sz w:val="20"/>
        </w:rPr>
        <w:t>Counsel:</w:t>
      </w:r>
      <w:r>
        <w:rPr>
          <w:rFonts w:ascii="Arial" w:eastAsia="Arial" w:hAnsi="Arial" w:cs="Arial"/>
          <w:color w:val="000000"/>
          <w:sz w:val="20"/>
        </w:rPr>
        <w:t> For Queen E. Parker, Plaintiff - Appellant: Gregory Todd Carter, Paul Michael Scott, Brown Readdick Bumgartner Carter Strickland &amp; Watkins, LLP, Brunswick, GA.</w:t>
      </w:r>
    </w:p>
    <w:p w14:paraId="721D6DD7" w14:textId="77777777" w:rsidR="002D0E71" w:rsidRDefault="00000000">
      <w:pPr>
        <w:pStyle w:val="Normal35"/>
        <w:widowControl w:val="0"/>
        <w:spacing w:before="120" w:line="260" w:lineRule="atLeast"/>
      </w:pPr>
      <w:r>
        <w:rPr>
          <w:rFonts w:ascii="Arial" w:eastAsia="Arial" w:hAnsi="Arial" w:cs="Arial"/>
          <w:color w:val="000000"/>
          <w:sz w:val="20"/>
        </w:rPr>
        <w:t>For Economic Opportunity For Savannah-Chatham County Area, Inc., John H. Finney, Terry Tolbert, Defendants - Appellees: Alan S. Lowe, Alan S. Lowe &amp; Associates, PC, Savannah, GA; Ellen Laurel Schoolar, Lowe &amp; Schoolar PC, Savannah, GA.</w:t>
      </w:r>
    </w:p>
    <w:p w14:paraId="6E0BBC2D" w14:textId="77777777" w:rsidR="002D0E71" w:rsidRDefault="00000000">
      <w:pPr>
        <w:pStyle w:val="Normal35"/>
        <w:widowControl w:val="0"/>
        <w:spacing w:before="240" w:line="260" w:lineRule="atLeast"/>
      </w:pPr>
      <w:bookmarkStart w:id="4797" w:name="Judges_34"/>
      <w:bookmarkEnd w:id="4797"/>
      <w:r>
        <w:rPr>
          <w:rFonts w:ascii="Arial" w:eastAsia="Arial" w:hAnsi="Arial" w:cs="Arial"/>
          <w:b/>
          <w:color w:val="000000"/>
          <w:sz w:val="20"/>
        </w:rPr>
        <w:t>Judges:</w:t>
      </w:r>
      <w:r>
        <w:rPr>
          <w:rFonts w:ascii="Arial" w:eastAsia="Arial" w:hAnsi="Arial" w:cs="Arial"/>
          <w:color w:val="000000"/>
          <w:sz w:val="20"/>
        </w:rPr>
        <w:t> Before MARCUS, WILLIAM PRYOR and MARTIN, Circuit Judges.</w:t>
      </w:r>
    </w:p>
    <w:p w14:paraId="533EF9EA" w14:textId="77777777" w:rsidR="002D0E71" w:rsidRDefault="00000000">
      <w:pPr>
        <w:pStyle w:val="Normal35"/>
        <w:keepNext/>
        <w:widowControl w:val="0"/>
        <w:spacing w:before="240" w:line="340" w:lineRule="atLeast"/>
      </w:pPr>
      <w:bookmarkStart w:id="4798" w:name="Opinion_34"/>
      <w:bookmarkEnd w:id="4798"/>
      <w:r>
        <w:rPr>
          <w:rFonts w:ascii="Arial" w:eastAsia="Arial" w:hAnsi="Arial" w:cs="Arial"/>
          <w:b/>
          <w:color w:val="000000"/>
          <w:sz w:val="28"/>
        </w:rPr>
        <w:t>Opinion</w:t>
      </w:r>
    </w:p>
    <w:p w14:paraId="320671AE" w14:textId="7C6415EA" w:rsidR="002D0E71" w:rsidRDefault="002939DF">
      <w:pPr>
        <w:pStyle w:val="Normal35"/>
        <w:spacing w:line="60" w:lineRule="exact"/>
      </w:pPr>
      <w:r>
        <w:rPr>
          <w:noProof/>
        </w:rPr>
        <mc:AlternateContent>
          <mc:Choice Requires="wps">
            <w:drawing>
              <wp:anchor distT="0" distB="0" distL="114300" distR="114300" simplePos="0" relativeHeight="251731968" behindDoc="0" locked="0" layoutInCell="1" allowOverlap="1" wp14:anchorId="2F8AC1DB" wp14:editId="4ADF87A8">
                <wp:simplePos x="0" y="0"/>
                <wp:positionH relativeFrom="column">
                  <wp:posOffset>0</wp:posOffset>
                </wp:positionH>
                <wp:positionV relativeFrom="paragraph">
                  <wp:posOffset>25400</wp:posOffset>
                </wp:positionV>
                <wp:extent cx="3187700" cy="0"/>
                <wp:effectExtent l="19050" t="15875" r="12700" b="12700"/>
                <wp:wrapTopAndBottom/>
                <wp:docPr id="1633903867"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F67E0A" id="Line 75"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C43FABA" w14:textId="77777777" w:rsidR="002D0E71" w:rsidRDefault="002D0E71">
      <w:pPr>
        <w:pStyle w:val="Normal35"/>
      </w:pPr>
    </w:p>
    <w:p w14:paraId="16F6753C" w14:textId="77777777" w:rsidR="002D0E71" w:rsidRDefault="00000000">
      <w:pPr>
        <w:pStyle w:val="Normal35"/>
        <w:widowControl w:val="0"/>
        <w:spacing w:before="200" w:line="260" w:lineRule="atLeast"/>
        <w:jc w:val="both"/>
      </w:pPr>
      <w:bookmarkStart w:id="4799" w:name="Bookmark_para_3_34"/>
      <w:bookmarkEnd w:id="4799"/>
      <w:r>
        <w:rPr>
          <w:rFonts w:ascii="Arial" w:eastAsia="Arial" w:hAnsi="Arial" w:cs="Arial"/>
          <w:color w:val="000000"/>
          <w:sz w:val="20"/>
        </w:rPr>
        <w:t> [*632]  PER CURIAM:</w:t>
      </w:r>
    </w:p>
    <w:p w14:paraId="07FC331A" w14:textId="77777777" w:rsidR="002D0E71" w:rsidRDefault="00000000">
      <w:pPr>
        <w:pStyle w:val="Normal35"/>
        <w:widowControl w:val="0"/>
        <w:spacing w:before="200" w:line="260" w:lineRule="atLeast"/>
        <w:jc w:val="both"/>
      </w:pPr>
      <w:bookmarkStart w:id="4800" w:name="Bookmark_para_4_34"/>
      <w:bookmarkEnd w:id="4800"/>
      <w:r>
        <w:rPr>
          <w:rFonts w:ascii="Arial" w:eastAsia="Arial" w:hAnsi="Arial" w:cs="Arial"/>
          <w:color w:val="000000"/>
          <w:sz w:val="20"/>
        </w:rPr>
        <w:t>Queen Parker appeals the grant of summary judgment to her former employer, Economic Opportunity for Savannah-Chatham County Area, Inc. ("Economic Opportunity"), its executive director John H. Finney, and its deputy director Terry Tolbert, in her lawsuit alleging retaliation under the Americans with Disabilities Act ("ADA"), 42 U.S.C. § 12112(a). Parker argues that: (1) the district court erred by granting summary judgment because there were disputed issues of fact concerning the actions of Economic Opportunity, Finney, and Tolbert; (2) the district court improperly denied her motion for partial summary judgment on liability, [**2]  because she presented direct evidence that she was terminated for opposing the unlawful actions; and (3) summary judgment on her ADA retaliation claim arising under the participation clause was improper, since Economic Opportunity, Finney, and Tolbert did not specifically move for summary judgment on that claim. After careful review, we affirm.</w:t>
      </w:r>
      <w:r>
        <w:rPr>
          <w:rFonts w:ascii="Arial" w:eastAsia="Arial" w:hAnsi="Arial" w:cs="Arial"/>
          <w:vertAlign w:val="superscript"/>
        </w:rPr>
        <w:footnoteReference w:customMarkFollows="1" w:id="175"/>
        <w:t>1</w:t>
      </w:r>
    </w:p>
    <w:p w14:paraId="714117AD" w14:textId="77777777" w:rsidR="002D0E71" w:rsidRDefault="00000000">
      <w:pPr>
        <w:pStyle w:val="Normal35"/>
        <w:widowControl w:val="0"/>
        <w:spacing w:before="200" w:line="260" w:lineRule="atLeast"/>
        <w:jc w:val="both"/>
      </w:pPr>
      <w:bookmarkStart w:id="4802" w:name="Bookmark_para_5_34"/>
      <w:bookmarkStart w:id="4803" w:name="Bookmark_I5DFVWW52D6MTR0020000400"/>
      <w:bookmarkEnd w:id="4802"/>
      <w:bookmarkEnd w:id="4803"/>
      <w:r>
        <w:rPr>
          <w:rFonts w:ascii="Arial" w:eastAsia="Arial" w:hAnsi="Arial" w:cs="Arial"/>
          <w:color w:val="000000"/>
          <w:sz w:val="20"/>
        </w:rPr>
        <w:t xml:space="preserve"> [*633]  </w:t>
      </w:r>
      <w:bookmarkStart w:id="4804" w:name="Bookmark_LNHNREFclscc1_29"/>
      <w:bookmarkEnd w:id="4804"/>
      <w:r>
        <w:rPr>
          <w:rFonts w:ascii="Arial" w:eastAsia="Arial" w:hAnsi="Arial" w:cs="Arial"/>
          <w:color w:val="000000"/>
          <w:sz w:val="20"/>
        </w:rPr>
        <w:t xml:space="preserve">We review a grant of summary judgment de novo, construing the facts and drawing all reasonable inferences from those facts in the light most favorable to the nonmovant. </w:t>
      </w:r>
      <w:bookmarkStart w:id="4805" w:name="Bookmark_I5DFVWW52D6MTR0010000400"/>
      <w:bookmarkEnd w:id="4805"/>
      <w:r>
        <w:rPr>
          <w:rFonts w:ascii="Arial" w:eastAsia="Arial" w:hAnsi="Arial" w:cs="Arial"/>
          <w:color w:val="000000"/>
          <w:sz w:val="20"/>
          <w:u w:val="single"/>
        </w:rPr>
        <w:t>Holly v. Clairson Indus., L.L.C</w:t>
      </w:r>
      <w:r>
        <w:rPr>
          <w:rFonts w:ascii="Arial" w:eastAsia="Arial" w:hAnsi="Arial" w:cs="Arial"/>
          <w:color w:val="000000"/>
          <w:sz w:val="20"/>
        </w:rPr>
        <w:t xml:space="preserve">., 492 F.3d 1247, 1255 (11th Cir. 2007). </w:t>
      </w:r>
      <w:bookmarkStart w:id="4806" w:name="Bookmark_LNHNREFclscc2_29"/>
      <w:bookmarkEnd w:id="4806"/>
      <w:r>
        <w:rPr>
          <w:rFonts w:ascii="Arial" w:eastAsia="Arial" w:hAnsi="Arial" w:cs="Arial"/>
          <w:color w:val="000000"/>
          <w:sz w:val="20"/>
        </w:rPr>
        <w:t xml:space="preserve">A party may move for summary judgment, "identifying each claim or defense -- or the part of each claim or defense -- on which summary judgment is sought." Fed.R.Civ.P. 56(a). </w:t>
      </w:r>
      <w:bookmarkStart w:id="4807" w:name="Bookmark_LNHNREFclscc3_28"/>
      <w:bookmarkEnd w:id="4807"/>
      <w:r>
        <w:rPr>
          <w:rFonts w:ascii="Arial" w:eastAsia="Arial" w:hAnsi="Arial" w:cs="Arial"/>
          <w:color w:val="000000"/>
          <w:sz w:val="20"/>
        </w:rPr>
        <w:t xml:space="preserve">Summary judgment is appropriate only "if the movant shows that there is no genuine dispute as to any material fact and the movant is entitled to judgment as a matter of law." </w:t>
      </w:r>
      <w:r>
        <w:rPr>
          <w:rFonts w:ascii="Arial" w:eastAsia="Arial" w:hAnsi="Arial" w:cs="Arial"/>
          <w:color w:val="000000"/>
          <w:sz w:val="20"/>
          <w:u w:val="single"/>
        </w:rPr>
        <w:t>Id</w:t>
      </w:r>
      <w:r>
        <w:rPr>
          <w:rFonts w:ascii="Arial" w:eastAsia="Arial" w:hAnsi="Arial" w:cs="Arial"/>
          <w:color w:val="000000"/>
          <w:sz w:val="20"/>
        </w:rPr>
        <w:t>.</w:t>
      </w:r>
    </w:p>
    <w:p w14:paraId="693640A1" w14:textId="77777777" w:rsidR="002D0E71" w:rsidRDefault="00000000">
      <w:pPr>
        <w:pStyle w:val="Normal35"/>
        <w:widowControl w:val="0"/>
        <w:spacing w:before="200" w:line="260" w:lineRule="atLeast"/>
        <w:jc w:val="both"/>
      </w:pPr>
      <w:bookmarkStart w:id="4808" w:name="Bookmark_para_6_34"/>
      <w:bookmarkStart w:id="4809" w:name="Bookmark_I358C5HX168000BV46J00081"/>
      <w:bookmarkStart w:id="4810" w:name="Bookmark_I5DFVWW52D6MTR0040000400"/>
      <w:bookmarkEnd w:id="4808"/>
      <w:bookmarkEnd w:id="4809"/>
      <w:bookmarkEnd w:id="4810"/>
      <w:r>
        <w:rPr>
          <w:rFonts w:ascii="Arial" w:eastAsia="Arial" w:hAnsi="Arial" w:cs="Arial"/>
          <w:color w:val="000000"/>
          <w:sz w:val="20"/>
        </w:rPr>
        <w:t xml:space="preserve">First, we are unpersuaded by Parker's claim that the district court erred in granting summary judgment on her retaliation claim under the Opposition Clause of the ADA. The Opposition Clause </w:t>
      </w:r>
      <w:bookmarkStart w:id="4811" w:name="Bookmark_LNHNREFclscc4_28"/>
      <w:bookmarkEnd w:id="4811"/>
      <w:r>
        <w:rPr>
          <w:rFonts w:ascii="Arial" w:eastAsia="Arial" w:hAnsi="Arial" w:cs="Arial"/>
          <w:color w:val="000000"/>
          <w:sz w:val="20"/>
        </w:rPr>
        <w:t xml:space="preserve">provides that "[n]o person [**3]  shall discriminate against any individual because such individual has opposed any act or practice made unlawful by" the Act. 42 U.S.C. § 12203(a). It creates a prohibition on retaliation under the ADA similar to Title VII's prohibition on retaliation; therefore, we assess ADA retaliation claims under the same framework employed for retaliation claims arising under Title VII. </w:t>
      </w:r>
      <w:bookmarkStart w:id="4812" w:name="Bookmark_I5DFVWW52D6MTR0030000400"/>
      <w:bookmarkEnd w:id="4812"/>
      <w:r>
        <w:rPr>
          <w:rFonts w:ascii="Arial" w:eastAsia="Arial" w:hAnsi="Arial" w:cs="Arial"/>
          <w:color w:val="000000"/>
          <w:sz w:val="20"/>
          <w:u w:val="single"/>
        </w:rPr>
        <w:t>Stewart v. Happy Herman's Cheshire Bridge</w:t>
      </w:r>
      <w:r>
        <w:rPr>
          <w:rFonts w:ascii="Arial" w:eastAsia="Arial" w:hAnsi="Arial" w:cs="Arial"/>
          <w:color w:val="000000"/>
          <w:sz w:val="20"/>
        </w:rPr>
        <w:t xml:space="preserve">, 117 F.3d 1278, 1287 (11th Cir. 1997). </w:t>
      </w:r>
      <w:bookmarkStart w:id="4813" w:name="Bookmark_LNHNREFclscc5_28"/>
      <w:bookmarkEnd w:id="4813"/>
      <w:r>
        <w:rPr>
          <w:rFonts w:ascii="Arial" w:eastAsia="Arial" w:hAnsi="Arial" w:cs="Arial"/>
          <w:color w:val="000000"/>
          <w:sz w:val="20"/>
        </w:rPr>
        <w:t>A claim of retaliation under the ADA gives rise to a private cause of action. 42 U.S.C. §§ 12203(c).</w:t>
      </w:r>
    </w:p>
    <w:p w14:paraId="615A5932" w14:textId="77777777" w:rsidR="002D0E71" w:rsidRDefault="00000000">
      <w:pPr>
        <w:pStyle w:val="Normal35"/>
        <w:widowControl w:val="0"/>
        <w:spacing w:before="200" w:line="260" w:lineRule="atLeast"/>
        <w:jc w:val="both"/>
      </w:pPr>
      <w:bookmarkStart w:id="4814" w:name="Bookmark_para_7_33"/>
      <w:bookmarkStart w:id="4815" w:name="Bookmark_I358C5HX694000BV46J00082"/>
      <w:bookmarkStart w:id="4816" w:name="Bookmark_I5DFVWW52SF8830010000400"/>
      <w:bookmarkStart w:id="4817" w:name="Bookmark_LNHNREFclscc6_27"/>
      <w:bookmarkEnd w:id="4814"/>
      <w:bookmarkEnd w:id="4815"/>
      <w:bookmarkEnd w:id="4816"/>
      <w:bookmarkEnd w:id="4817"/>
      <w:r>
        <w:rPr>
          <w:rFonts w:ascii="Arial" w:eastAsia="Arial" w:hAnsi="Arial" w:cs="Arial"/>
          <w:color w:val="000000"/>
          <w:sz w:val="20"/>
        </w:rPr>
        <w:t xml:space="preserve">To establish a prima facie case of retaliation under the ADA, a plaintiff must show that: (1) she engaged in a statutorily protected expression; (2) she suffered an adverse employment action; and (3) there was a causal link between the adverse action and her protected expression. </w:t>
      </w:r>
      <w:bookmarkStart w:id="4818" w:name="Bookmark_I5DFVWW52SF8830030000400"/>
      <w:bookmarkStart w:id="4819" w:name="Bookmark_I5DFVWW52D6MTR0050000400"/>
      <w:bookmarkEnd w:id="4818"/>
      <w:bookmarkEnd w:id="4819"/>
      <w:r>
        <w:rPr>
          <w:rFonts w:ascii="Arial" w:eastAsia="Arial" w:hAnsi="Arial" w:cs="Arial"/>
          <w:color w:val="000000"/>
          <w:sz w:val="20"/>
          <w:u w:val="single"/>
        </w:rPr>
        <w:t>Stewart</w:t>
      </w:r>
      <w:r>
        <w:rPr>
          <w:rFonts w:ascii="Arial" w:eastAsia="Arial" w:hAnsi="Arial" w:cs="Arial"/>
          <w:color w:val="000000"/>
          <w:sz w:val="20"/>
        </w:rPr>
        <w:t xml:space="preserve">, 117 F.3d at 1287. A plaintiff may establish her prima facie case through direct evidence or circumstantial evidence. </w:t>
      </w:r>
      <w:bookmarkStart w:id="4820" w:name="Bookmark_I5DFVWW52SF8830030000400_2"/>
      <w:bookmarkStart w:id="4821" w:name="Bookmark_I5DFVWW52SF8830050000400"/>
      <w:bookmarkStart w:id="4822" w:name="Bookmark_I5DFVWW52SF8830020000400"/>
      <w:bookmarkEnd w:id="4820"/>
      <w:bookmarkEnd w:id="4821"/>
      <w:bookmarkEnd w:id="4822"/>
      <w:r>
        <w:rPr>
          <w:rFonts w:ascii="Arial" w:eastAsia="Arial" w:hAnsi="Arial" w:cs="Arial"/>
          <w:color w:val="000000"/>
          <w:sz w:val="20"/>
          <w:u w:val="single"/>
        </w:rPr>
        <w:t>Carter v. Three Springs Res. Treatment</w:t>
      </w:r>
      <w:r>
        <w:rPr>
          <w:rFonts w:ascii="Arial" w:eastAsia="Arial" w:hAnsi="Arial" w:cs="Arial"/>
          <w:color w:val="000000"/>
          <w:sz w:val="20"/>
        </w:rPr>
        <w:t xml:space="preserve">, 132 F.3d 635, 641 (11th Cir. 1998). </w:t>
      </w:r>
      <w:bookmarkStart w:id="4823" w:name="Bookmark_I5DFVWW52SF8830050000400_2"/>
      <w:bookmarkEnd w:id="4823"/>
      <w:r>
        <w:rPr>
          <w:rFonts w:ascii="Arial" w:eastAsia="Arial" w:hAnsi="Arial" w:cs="Arial"/>
          <w:color w:val="000000"/>
          <w:sz w:val="20"/>
        </w:rPr>
        <w:t xml:space="preserve">At issue here is whether Parker established the first prong of her prima facie case -- which a plaintiff can demonstrate by showing that she reasonably believed she was opposing an employer's unlawful conduct. </w:t>
      </w:r>
      <w:bookmarkStart w:id="4824" w:name="Bookmark_I358C5HXPB0000BV46J00085"/>
      <w:bookmarkStart w:id="4825" w:name="Bookmark_I5DFVWW528T49Y0020000400"/>
      <w:bookmarkStart w:id="4826" w:name="Bookmark_I5DFVWW52SF8830040000400"/>
      <w:bookmarkEnd w:id="4824"/>
      <w:bookmarkEnd w:id="4825"/>
      <w:bookmarkEnd w:id="4826"/>
      <w:r>
        <w:rPr>
          <w:rFonts w:ascii="Arial" w:eastAsia="Arial" w:hAnsi="Arial" w:cs="Arial"/>
          <w:color w:val="000000"/>
          <w:sz w:val="20"/>
          <w:u w:val="single"/>
        </w:rPr>
        <w:t>Howard v. Walgreen Co</w:t>
      </w:r>
      <w:r>
        <w:rPr>
          <w:rFonts w:ascii="Arial" w:eastAsia="Arial" w:hAnsi="Arial" w:cs="Arial"/>
          <w:color w:val="000000"/>
          <w:sz w:val="20"/>
        </w:rPr>
        <w:t xml:space="preserve">., 605 F.3d 1239, 1244 (11th Cir. 2010). </w:t>
      </w:r>
      <w:bookmarkStart w:id="4827" w:name="Bookmark_I5DFVWW528T49Y0020000400_2"/>
      <w:bookmarkStart w:id="4828" w:name="Bookmark_LNHNREFclscc7_26"/>
      <w:bookmarkEnd w:id="4827"/>
      <w:bookmarkEnd w:id="4828"/>
      <w:r>
        <w:rPr>
          <w:rFonts w:ascii="Arial" w:eastAsia="Arial" w:hAnsi="Arial" w:cs="Arial"/>
          <w:color w:val="000000"/>
          <w:sz w:val="20"/>
        </w:rPr>
        <w:t xml:space="preserve">While the opposed act need not actually be unlawful, a plaintiff must have a subjective good faith belief that the opposed act is unlawful, and this belief must also [**4]  be objectively reasonable. </w:t>
      </w:r>
      <w:bookmarkStart w:id="4829" w:name="Bookmark_I5DFVWW528T49Y0010000400"/>
      <w:bookmarkEnd w:id="4829"/>
      <w:r>
        <w:rPr>
          <w:rFonts w:ascii="Arial" w:eastAsia="Arial" w:hAnsi="Arial" w:cs="Arial"/>
          <w:color w:val="000000"/>
          <w:sz w:val="20"/>
          <w:u w:val="single"/>
        </w:rPr>
        <w:t>Id</w:t>
      </w:r>
      <w:r>
        <w:rPr>
          <w:rFonts w:ascii="Arial" w:eastAsia="Arial" w:hAnsi="Arial" w:cs="Arial"/>
          <w:color w:val="000000"/>
          <w:sz w:val="20"/>
        </w:rPr>
        <w:t>.</w:t>
      </w:r>
    </w:p>
    <w:p w14:paraId="621CC4E7" w14:textId="77777777" w:rsidR="002D0E71" w:rsidRDefault="00000000">
      <w:pPr>
        <w:pStyle w:val="Normal35"/>
        <w:widowControl w:val="0"/>
        <w:spacing w:before="200" w:line="260" w:lineRule="atLeast"/>
        <w:jc w:val="both"/>
      </w:pPr>
      <w:bookmarkStart w:id="4830" w:name="Bookmark_para_8_33"/>
      <w:bookmarkEnd w:id="4830"/>
      <w:r>
        <w:rPr>
          <w:rFonts w:ascii="Arial" w:eastAsia="Arial" w:hAnsi="Arial" w:cs="Arial"/>
          <w:color w:val="000000"/>
          <w:sz w:val="20"/>
        </w:rPr>
        <w:t xml:space="preserve">Parker's retaliation claim implicates </w:t>
      </w:r>
      <w:bookmarkStart w:id="4831" w:name="Bookmark_LNHNREFclscc8_26"/>
      <w:bookmarkEnd w:id="4831"/>
      <w:r>
        <w:rPr>
          <w:rFonts w:ascii="Arial" w:eastAsia="Arial" w:hAnsi="Arial" w:cs="Arial"/>
          <w:color w:val="000000"/>
          <w:sz w:val="20"/>
        </w:rPr>
        <w:t xml:space="preserve">Title III of the ADA, which seeks to provide individuals with disabilities access to public accommodations owned, leased, or operated by private entities. </w:t>
      </w:r>
      <w:r>
        <w:rPr>
          <w:rFonts w:ascii="Arial" w:eastAsia="Arial" w:hAnsi="Arial" w:cs="Arial"/>
          <w:color w:val="000000"/>
          <w:sz w:val="20"/>
          <w:u w:val="single"/>
        </w:rPr>
        <w:t>See</w:t>
      </w:r>
      <w:r>
        <w:rPr>
          <w:rFonts w:ascii="Arial" w:eastAsia="Arial" w:hAnsi="Arial" w:cs="Arial"/>
          <w:color w:val="000000"/>
          <w:sz w:val="20"/>
        </w:rPr>
        <w:t xml:space="preserve"> 42 U.S.C. § 12182(a). Under Title III, a public accommodation "shall remove architectural barriers in existing facilities . . . where such removal is readily achievable." 28 C.F.R. § 36.304(a). This may include creating designated accessible parking spaces. </w:t>
      </w:r>
      <w:r>
        <w:rPr>
          <w:rFonts w:ascii="Arial" w:eastAsia="Arial" w:hAnsi="Arial" w:cs="Arial"/>
          <w:color w:val="000000"/>
          <w:sz w:val="20"/>
          <w:u w:val="single"/>
        </w:rPr>
        <w:t>Id</w:t>
      </w:r>
      <w:r>
        <w:rPr>
          <w:rFonts w:ascii="Arial" w:eastAsia="Arial" w:hAnsi="Arial" w:cs="Arial"/>
          <w:color w:val="000000"/>
          <w:sz w:val="20"/>
        </w:rPr>
        <w:t>. § 36.304(b)(18).</w:t>
      </w:r>
    </w:p>
    <w:p w14:paraId="04BAC7C9" w14:textId="77777777" w:rsidR="002D0E71" w:rsidRDefault="00000000">
      <w:pPr>
        <w:pStyle w:val="Normal35"/>
        <w:widowControl w:val="0"/>
        <w:spacing w:before="200" w:line="260" w:lineRule="atLeast"/>
        <w:jc w:val="both"/>
      </w:pPr>
      <w:bookmarkStart w:id="4832" w:name="Bookmark_para_9_33"/>
      <w:bookmarkEnd w:id="4832"/>
      <w:r>
        <w:rPr>
          <w:rFonts w:ascii="Arial" w:eastAsia="Arial" w:hAnsi="Arial" w:cs="Arial"/>
          <w:color w:val="000000"/>
          <w:sz w:val="20"/>
        </w:rPr>
        <w:t xml:space="preserve">Here, the district court properly granted summary judgment in favor of Economic Opportunity because Parker did not establish that she was engaged in a statutorily protected expression. First, it was not unlawful for Economic Employment to refuse to enforce parking in a handicapped parking space located on a public city street because Economic Opportunity satisfied the requirements of Title III of the ADA by having a handicapped parking space available in its private lot. </w:t>
      </w:r>
      <w:r>
        <w:rPr>
          <w:rFonts w:ascii="Arial" w:eastAsia="Arial" w:hAnsi="Arial" w:cs="Arial"/>
          <w:color w:val="000000"/>
          <w:sz w:val="20"/>
          <w:u w:val="single"/>
        </w:rPr>
        <w:t>See id</w:t>
      </w:r>
      <w:r>
        <w:rPr>
          <w:rFonts w:ascii="Arial" w:eastAsia="Arial" w:hAnsi="Arial" w:cs="Arial"/>
          <w:color w:val="000000"/>
          <w:sz w:val="20"/>
        </w:rPr>
        <w:t>.</w:t>
      </w:r>
    </w:p>
    <w:p w14:paraId="0C8F12C9" w14:textId="77777777" w:rsidR="002D0E71" w:rsidRDefault="00000000">
      <w:pPr>
        <w:pStyle w:val="Normal35"/>
        <w:widowControl w:val="0"/>
        <w:spacing w:before="200" w:line="260" w:lineRule="atLeast"/>
        <w:jc w:val="both"/>
      </w:pPr>
      <w:bookmarkStart w:id="4833" w:name="Bookmark_para_10_32"/>
      <w:bookmarkEnd w:id="4833"/>
      <w:r>
        <w:rPr>
          <w:rFonts w:ascii="Arial" w:eastAsia="Arial" w:hAnsi="Arial" w:cs="Arial"/>
          <w:color w:val="000000"/>
          <w:sz w:val="20"/>
        </w:rPr>
        <w:t xml:space="preserve">Second, Parker failed to show a reasonable belief that the actions of Economic Opportunity, Finney, and Tolbert  [*634]  were unlawful under the ADA. Assuming, </w:t>
      </w:r>
      <w:r>
        <w:rPr>
          <w:rFonts w:ascii="Arial" w:eastAsia="Arial" w:hAnsi="Arial" w:cs="Arial"/>
          <w:color w:val="000000"/>
          <w:sz w:val="20"/>
          <w:u w:val="single"/>
        </w:rPr>
        <w:t>arguendo</w:t>
      </w:r>
      <w:r>
        <w:rPr>
          <w:rFonts w:ascii="Arial" w:eastAsia="Arial" w:hAnsi="Arial" w:cs="Arial"/>
          <w:color w:val="000000"/>
          <w:sz w:val="20"/>
        </w:rPr>
        <w:t>, that Parker's belief was subjectively reasonable, she did not demonstrate that it was objectively reasonable. [**5]  The subject handicapped parking spaces were located on a public street, and the police department was responsible for enforcement of handicapped parking rules in public parking spaces. Moreover, Parker actually called the police to enforce the parking rules with respect to the subject handicapped space. Thus, it was not objectively reasonable to believe that Economic Opportunity, Finney, and Tolbert were required to direct an employee to move her car from a public parking spot for a violation of parking regulations.</w:t>
      </w:r>
    </w:p>
    <w:p w14:paraId="67D0554D" w14:textId="77777777" w:rsidR="002D0E71" w:rsidRDefault="00000000">
      <w:pPr>
        <w:pStyle w:val="Normal35"/>
        <w:widowControl w:val="0"/>
        <w:spacing w:before="200" w:line="260" w:lineRule="atLeast"/>
        <w:jc w:val="both"/>
      </w:pPr>
      <w:bookmarkStart w:id="4834" w:name="Bookmark_para_11_32"/>
      <w:bookmarkStart w:id="4835" w:name="Bookmark_I5DFVWW528T49Y0040000400"/>
      <w:bookmarkEnd w:id="4834"/>
      <w:bookmarkEnd w:id="4835"/>
      <w:r>
        <w:rPr>
          <w:rFonts w:ascii="Arial" w:eastAsia="Arial" w:hAnsi="Arial" w:cs="Arial"/>
          <w:color w:val="000000"/>
          <w:sz w:val="20"/>
        </w:rPr>
        <w:t xml:space="preserve">Nor did the district court err in granting summary judgment on Parker's retaliation claim under the Participation Clause of the ADA. </w:t>
      </w:r>
      <w:bookmarkStart w:id="4836" w:name="Bookmark_LNHNREFclscc9_24"/>
      <w:bookmarkEnd w:id="4836"/>
      <w:r>
        <w:rPr>
          <w:rFonts w:ascii="Arial" w:eastAsia="Arial" w:hAnsi="Arial" w:cs="Arial"/>
          <w:color w:val="000000"/>
          <w:sz w:val="20"/>
        </w:rPr>
        <w:t xml:space="preserve">Under the Participation Clause, an employee is protected from retaliation by her employer if she "made a charge, testified, assisted, or participated in any manner in an investigation, proceeding, or hearing under" the Act. 42 U.S.C. § 12203(a). With respect to the identical clause found in Title VII, we have held that the clause exists to protect proceedings and activities which occur in conjunction with or after the filing of a formal charge with the Equal Employment Opportunity Commission ("EEOC"). </w:t>
      </w:r>
      <w:bookmarkStart w:id="4837" w:name="Bookmark_I358C5HXCD0000BV46J00083"/>
      <w:bookmarkStart w:id="4838" w:name="Bookmark_I5DFVWW52HM5SB0010000400"/>
      <w:bookmarkStart w:id="4839" w:name="Bookmark_I5DFVWW528T49Y0030000400"/>
      <w:bookmarkEnd w:id="4837"/>
      <w:bookmarkEnd w:id="4838"/>
      <w:bookmarkEnd w:id="4839"/>
      <w:r>
        <w:rPr>
          <w:rFonts w:ascii="Arial" w:eastAsia="Arial" w:hAnsi="Arial" w:cs="Arial"/>
          <w:color w:val="000000"/>
          <w:sz w:val="20"/>
          <w:u w:val="single"/>
        </w:rPr>
        <w:t>EEOC v. Total Sys. Servs</w:t>
      </w:r>
      <w:r>
        <w:rPr>
          <w:rFonts w:ascii="Arial" w:eastAsia="Arial" w:hAnsi="Arial" w:cs="Arial"/>
          <w:color w:val="000000"/>
          <w:sz w:val="20"/>
        </w:rPr>
        <w:t xml:space="preserve">., 221 F.3d 1171, 1174 (11th Cir. 2000). </w:t>
      </w:r>
      <w:bookmarkStart w:id="4840" w:name="Bookmark_I5DFVWW52HM5SB0010000400_2"/>
      <w:bookmarkEnd w:id="4840"/>
      <w:r>
        <w:rPr>
          <w:rFonts w:ascii="Arial" w:eastAsia="Arial" w:hAnsi="Arial" w:cs="Arial"/>
          <w:color w:val="000000"/>
          <w:sz w:val="20"/>
        </w:rPr>
        <w:t xml:space="preserve">Thus, at a minimum, some employee must file a charge with the EEOC or otherwise instigate proceedings under the [**6]  statute for the conduct to fall within the purview of the participation clause. </w:t>
      </w:r>
      <w:bookmarkStart w:id="4841" w:name="Bookmark_I5DFVWW528T49Y0050000400"/>
      <w:bookmarkEnd w:id="4841"/>
      <w:r>
        <w:rPr>
          <w:rFonts w:ascii="Arial" w:eastAsia="Arial" w:hAnsi="Arial" w:cs="Arial"/>
          <w:color w:val="000000"/>
          <w:sz w:val="20"/>
          <w:u w:val="single"/>
        </w:rPr>
        <w:t>Id</w:t>
      </w:r>
      <w:r>
        <w:rPr>
          <w:rFonts w:ascii="Arial" w:eastAsia="Arial" w:hAnsi="Arial" w:cs="Arial"/>
          <w:color w:val="000000"/>
          <w:sz w:val="20"/>
        </w:rPr>
        <w:t>. at 1174 n.2.</w:t>
      </w:r>
    </w:p>
    <w:p w14:paraId="3E655239" w14:textId="77777777" w:rsidR="002D0E71" w:rsidRDefault="00000000">
      <w:pPr>
        <w:pStyle w:val="Normal35"/>
        <w:widowControl w:val="0"/>
        <w:spacing w:before="200" w:line="260" w:lineRule="atLeast"/>
        <w:jc w:val="both"/>
      </w:pPr>
      <w:bookmarkStart w:id="4842" w:name="Bookmark_para_12_31"/>
      <w:bookmarkEnd w:id="4842"/>
      <w:r>
        <w:rPr>
          <w:rFonts w:ascii="Arial" w:eastAsia="Arial" w:hAnsi="Arial" w:cs="Arial"/>
          <w:color w:val="000000"/>
          <w:sz w:val="20"/>
        </w:rPr>
        <w:t>Here, Parker's complaint did not allege a claim under the participation clause of the ADA. Parker did not aver that, prior to her termination, she filed a claim with the EEOC regarding discrimination in violation of the ADA or assisted in the investigation of another employee's formal ADA claim. To the extent that Parker alleged that she was assisting the police department with an investigation related to the illegal use of the handicapped parking space, this investigation related to parking regulations, and not ADA violations. But assuming, arguendo, that Parker did allege a participation clause claim, Economic Opportunity, Finney, and Tolbert moved for summary judgment on all claims and made arguments addressing each of the allegations in the complaint. Accordingly, the district court properly granted summary judgment in their favor on all claims.</w:t>
      </w:r>
      <w:r>
        <w:rPr>
          <w:rFonts w:ascii="Arial" w:eastAsia="Arial" w:hAnsi="Arial" w:cs="Arial"/>
          <w:vertAlign w:val="superscript"/>
        </w:rPr>
        <w:footnoteReference w:customMarkFollows="1" w:id="176"/>
        <w:t>2</w:t>
      </w:r>
    </w:p>
    <w:p w14:paraId="50103A16" w14:textId="77777777" w:rsidR="002D0E71" w:rsidRDefault="00000000">
      <w:pPr>
        <w:pStyle w:val="Normal35"/>
        <w:widowControl w:val="0"/>
        <w:spacing w:before="200" w:line="260" w:lineRule="atLeast"/>
        <w:jc w:val="both"/>
      </w:pPr>
      <w:bookmarkStart w:id="4850" w:name="Bookmark_para_13_31"/>
      <w:bookmarkEnd w:id="4850"/>
      <w:r>
        <w:rPr>
          <w:rFonts w:ascii="Arial" w:eastAsia="Arial" w:hAnsi="Arial" w:cs="Arial"/>
          <w:b/>
          <w:color w:val="000000"/>
          <w:sz w:val="20"/>
        </w:rPr>
        <w:t>AFFIRMED</w:t>
      </w:r>
      <w:r>
        <w:rPr>
          <w:rFonts w:ascii="Arial" w:eastAsia="Arial" w:hAnsi="Arial" w:cs="Arial"/>
          <w:color w:val="000000"/>
          <w:sz w:val="20"/>
        </w:rPr>
        <w:t>.</w:t>
      </w:r>
    </w:p>
    <w:p w14:paraId="19912E9E" w14:textId="77777777" w:rsidR="002D0E71" w:rsidRDefault="002D0E71">
      <w:pPr>
        <w:pStyle w:val="Normal35"/>
      </w:pPr>
    </w:p>
    <w:p w14:paraId="71B627F5" w14:textId="3102F6A3" w:rsidR="002D0E71" w:rsidRDefault="00000000">
      <w:pPr>
        <w:pStyle w:val="Normal35"/>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32992" behindDoc="0" locked="0" layoutInCell="1" allowOverlap="1" wp14:anchorId="793BCAB8" wp14:editId="460460D0">
                <wp:simplePos x="0" y="0"/>
                <wp:positionH relativeFrom="column">
                  <wp:posOffset>0</wp:posOffset>
                </wp:positionH>
                <wp:positionV relativeFrom="paragraph">
                  <wp:posOffset>127000</wp:posOffset>
                </wp:positionV>
                <wp:extent cx="6502400" cy="0"/>
                <wp:effectExtent l="9525" t="12700" r="12700" b="6350"/>
                <wp:wrapNone/>
                <wp:docPr id="800955846"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33C4C2" id="Line 76"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427C38F" w14:textId="77777777" w:rsidR="002D0E71" w:rsidRDefault="002D0E71">
      <w:pPr>
        <w:pStyle w:val="Normal36"/>
        <w:sectPr w:rsidR="002D0E71">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gutter="0"/>
          <w:cols w:space="720"/>
          <w:titlePg/>
        </w:sectPr>
      </w:pPr>
    </w:p>
    <w:p w14:paraId="348631F9" w14:textId="77777777" w:rsidR="002D0E71" w:rsidRDefault="002D0E71">
      <w:pPr>
        <w:pStyle w:val="Normal36"/>
      </w:pPr>
    </w:p>
    <w:p w14:paraId="1B37DC06" w14:textId="77777777" w:rsidR="002D0E71" w:rsidRDefault="00000000">
      <w:pPr>
        <w:pStyle w:val="Heading135"/>
        <w:keepNext w:val="0"/>
        <w:widowControl w:val="0"/>
        <w:spacing w:after="200" w:line="340" w:lineRule="atLeast"/>
        <w:jc w:val="center"/>
      </w:pPr>
      <w:r>
        <w:rPr>
          <w:rFonts w:eastAsia="Arial"/>
          <w:color w:val="000000"/>
          <w:sz w:val="28"/>
        </w:rPr>
        <w:t>Nunes v. Mass. Dep't of Corr.</w:t>
      </w:r>
    </w:p>
    <w:p w14:paraId="49009F5B" w14:textId="77777777" w:rsidR="002D0E71" w:rsidRDefault="00000000">
      <w:pPr>
        <w:pStyle w:val="Normal36"/>
        <w:widowControl w:val="0"/>
        <w:spacing w:before="120" w:line="260" w:lineRule="atLeast"/>
        <w:jc w:val="center"/>
      </w:pPr>
      <w:r>
        <w:rPr>
          <w:rFonts w:ascii="Arial" w:eastAsia="Arial" w:hAnsi="Arial" w:cs="Arial"/>
          <w:color w:val="000000"/>
          <w:sz w:val="20"/>
        </w:rPr>
        <w:t>United States Court of Appeals for the First Circuit</w:t>
      </w:r>
    </w:p>
    <w:p w14:paraId="37EE4358" w14:textId="77777777" w:rsidR="002D0E71" w:rsidRDefault="00000000">
      <w:pPr>
        <w:pStyle w:val="Normal36"/>
        <w:widowControl w:val="0"/>
        <w:spacing w:before="120" w:line="260" w:lineRule="atLeast"/>
        <w:jc w:val="center"/>
      </w:pPr>
      <w:r>
        <w:rPr>
          <w:rFonts w:ascii="Arial" w:eastAsia="Arial" w:hAnsi="Arial" w:cs="Arial"/>
          <w:color w:val="000000"/>
          <w:sz w:val="20"/>
        </w:rPr>
        <w:t>September 12, 2014, Decided</w:t>
      </w:r>
    </w:p>
    <w:p w14:paraId="4A9A6647" w14:textId="77777777" w:rsidR="002D0E71" w:rsidRDefault="00000000">
      <w:pPr>
        <w:pStyle w:val="Normal36"/>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13-2346</w:t>
      </w:r>
    </w:p>
    <w:p w14:paraId="20528D6F" w14:textId="77777777" w:rsidR="002D0E71" w:rsidRDefault="002D0E71">
      <w:pPr>
        <w:pStyle w:val="Normal36"/>
        <w:widowControl w:val="0"/>
        <w:spacing w:line="240" w:lineRule="atLeast"/>
        <w:jc w:val="both"/>
      </w:pPr>
      <w:bookmarkStart w:id="4851" w:name="Bookmark_37"/>
      <w:bookmarkEnd w:id="4851"/>
    </w:p>
    <w:p w14:paraId="1A08946C" w14:textId="77777777" w:rsidR="002D0E71" w:rsidRDefault="00000000">
      <w:pPr>
        <w:pStyle w:val="Normal36"/>
        <w:widowControl w:val="0"/>
        <w:spacing w:before="200" w:line="240" w:lineRule="atLeast"/>
      </w:pPr>
      <w:bookmarkStart w:id="4852" w:name="Reporter_35"/>
      <w:bookmarkEnd w:id="4852"/>
      <w:r>
        <w:rPr>
          <w:rFonts w:ascii="Arial" w:eastAsia="Arial" w:hAnsi="Arial" w:cs="Arial"/>
          <w:b/>
          <w:color w:val="000000"/>
          <w:sz w:val="18"/>
        </w:rPr>
        <w:t>Reporter</w:t>
      </w:r>
    </w:p>
    <w:p w14:paraId="5632B672" w14:textId="77777777" w:rsidR="002D0E71" w:rsidRDefault="00000000">
      <w:pPr>
        <w:pStyle w:val="Normal36"/>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766 F.3d 136 *; 2014 U.S. App. LEXIS 17647 **</w:t>
      </w:r>
    </w:p>
    <w:p w14:paraId="728E0AA1" w14:textId="77777777" w:rsidR="002D0E71" w:rsidRDefault="00000000">
      <w:pPr>
        <w:pStyle w:val="Normal36"/>
        <w:widowControl w:val="0"/>
        <w:spacing w:before="120" w:line="260" w:lineRule="atLeast"/>
      </w:pPr>
      <w:r>
        <w:rPr>
          <w:rFonts w:ascii="Arial" w:eastAsia="Arial" w:hAnsi="Arial" w:cs="Arial"/>
          <w:color w:val="000000"/>
          <w:sz w:val="20"/>
        </w:rPr>
        <w:t>RICHARD NUNES; CARL COE; JOHN DOE; PETER POE; RICHARD ROE, on behalf of themselves and others similarly situated, Plaintiffs, Appellants, v. MASSACHUSETTS DEPARTMENT OF CORRECTION; THOMAS GROBLEWSKI; MARK WAITKEVICH, Defendants, Appellees, UMASS CORRECTIONAL HEALTH; LEONARD MCGUIRE; WARREN FERGUSON; JUDITH STEINBERG, Defendants.</w:t>
      </w:r>
    </w:p>
    <w:p w14:paraId="4E3AACD0" w14:textId="77777777" w:rsidR="002D0E71" w:rsidRDefault="00000000">
      <w:pPr>
        <w:pStyle w:val="Normal36"/>
        <w:widowControl w:val="0"/>
        <w:spacing w:before="240" w:line="260" w:lineRule="atLeast"/>
        <w:jc w:val="both"/>
      </w:pPr>
      <w:bookmarkStart w:id="4853" w:name="Prior_History_34"/>
      <w:bookmarkEnd w:id="4853"/>
      <w:r>
        <w:rPr>
          <w:rFonts w:ascii="Arial" w:eastAsia="Arial" w:hAnsi="Arial" w:cs="Arial"/>
          <w:b/>
          <w:color w:val="000000"/>
          <w:sz w:val="20"/>
        </w:rPr>
        <w:t>Prior History:</w:t>
      </w:r>
      <w:r>
        <w:rPr>
          <w:rFonts w:ascii="Arial" w:eastAsia="Arial" w:hAnsi="Arial" w:cs="Arial"/>
          <w:color w:val="000000"/>
          <w:sz w:val="20"/>
        </w:rPr>
        <w:t> </w:t>
      </w:r>
      <w:bookmarkStart w:id="4854" w:name="Bookmark_para_1_35"/>
      <w:bookmarkEnd w:id="4854"/>
      <w:r>
        <w:rPr>
          <w:rFonts w:ascii="Arial" w:eastAsia="Arial" w:hAnsi="Arial" w:cs="Arial"/>
          <w:color w:val="000000"/>
          <w:sz w:val="20"/>
        </w:rPr>
        <w:t> [**1] APPEAL FROM THE UNITED STATES DISTRICT COURT FOR THE DISTRICT OF MASSACHUSETTS. Hon. Rya W. Zobel, U.S. District Judge.</w:t>
      </w:r>
    </w:p>
    <w:p w14:paraId="3C0477D0" w14:textId="77777777" w:rsidR="002D0E71" w:rsidRDefault="00000000">
      <w:pPr>
        <w:pStyle w:val="Normal36"/>
        <w:widowControl w:val="0"/>
        <w:spacing w:before="120" w:line="260" w:lineRule="atLeast"/>
      </w:pPr>
      <w:r>
        <w:rPr>
          <w:rFonts w:ascii="Arial" w:eastAsia="Arial" w:hAnsi="Arial" w:cs="Arial"/>
          <w:color w:val="000000"/>
          <w:sz w:val="20"/>
        </w:rPr>
        <w:t>Nunes v. UMass Corr. Health, 2013 U.S. Dist. LEXIS 143292 (D. Mass., Oct. 3, 2013)</w:t>
      </w:r>
    </w:p>
    <w:p w14:paraId="12752EA6" w14:textId="77777777" w:rsidR="002D0E71" w:rsidRDefault="00000000">
      <w:pPr>
        <w:pStyle w:val="Normal36"/>
        <w:widowControl w:val="0"/>
        <w:spacing w:before="240" w:line="260" w:lineRule="atLeast"/>
      </w:pPr>
      <w:bookmarkStart w:id="4855" w:name="Counsel_35"/>
      <w:bookmarkEnd w:id="4855"/>
      <w:r>
        <w:rPr>
          <w:rFonts w:ascii="Arial" w:eastAsia="Arial" w:hAnsi="Arial" w:cs="Arial"/>
          <w:b/>
          <w:color w:val="000000"/>
          <w:sz w:val="20"/>
        </w:rPr>
        <w:t>Counsel:</w:t>
      </w:r>
      <w:r>
        <w:rPr>
          <w:rFonts w:ascii="Arial" w:eastAsia="Arial" w:hAnsi="Arial" w:cs="Arial"/>
          <w:color w:val="000000"/>
          <w:sz w:val="20"/>
        </w:rPr>
        <w:t> Joel H. Thompson, with whom Tatum A. Pritchard and Prisoners' Legal Services were on brief, for appellants.</w:t>
      </w:r>
    </w:p>
    <w:p w14:paraId="348B3FBE" w14:textId="77777777" w:rsidR="002D0E71" w:rsidRDefault="00000000">
      <w:pPr>
        <w:pStyle w:val="Normal36"/>
        <w:widowControl w:val="0"/>
        <w:spacing w:before="120" w:line="260" w:lineRule="atLeast"/>
      </w:pPr>
      <w:r>
        <w:rPr>
          <w:rFonts w:ascii="Arial" w:eastAsia="Arial" w:hAnsi="Arial" w:cs="Arial"/>
          <w:color w:val="000000"/>
          <w:sz w:val="20"/>
        </w:rPr>
        <w:t>Tory A. Weigand, with whom James A. Bello and Morrison Mahoney LLP were on brief, for appellee Thomas Groblewski.</w:t>
      </w:r>
    </w:p>
    <w:p w14:paraId="5D1920A8" w14:textId="77777777" w:rsidR="002D0E71" w:rsidRDefault="00000000">
      <w:pPr>
        <w:pStyle w:val="Normal36"/>
        <w:widowControl w:val="0"/>
        <w:spacing w:before="120" w:line="260" w:lineRule="atLeast"/>
      </w:pPr>
      <w:r>
        <w:rPr>
          <w:rFonts w:ascii="Arial" w:eastAsia="Arial" w:hAnsi="Arial" w:cs="Arial"/>
          <w:color w:val="000000"/>
          <w:sz w:val="20"/>
        </w:rPr>
        <w:t>Nancy Ankers White, Special Assistant Attorney General, and Sheryl F. Grant on brief for appellees Massachusetts Department of Corrections and Mark Waitkevich.</w:t>
      </w:r>
    </w:p>
    <w:p w14:paraId="2806B58F" w14:textId="77777777" w:rsidR="002D0E71" w:rsidRDefault="00000000">
      <w:pPr>
        <w:pStyle w:val="Normal36"/>
        <w:widowControl w:val="0"/>
        <w:spacing w:before="240" w:line="260" w:lineRule="atLeast"/>
      </w:pPr>
      <w:bookmarkStart w:id="4856" w:name="Judges_35"/>
      <w:bookmarkEnd w:id="4856"/>
      <w:r>
        <w:rPr>
          <w:rFonts w:ascii="Arial" w:eastAsia="Arial" w:hAnsi="Arial" w:cs="Arial"/>
          <w:b/>
          <w:color w:val="000000"/>
          <w:sz w:val="20"/>
        </w:rPr>
        <w:t>Judges:</w:t>
      </w:r>
      <w:r>
        <w:rPr>
          <w:rFonts w:ascii="Arial" w:eastAsia="Arial" w:hAnsi="Arial" w:cs="Arial"/>
          <w:color w:val="000000"/>
          <w:sz w:val="20"/>
        </w:rPr>
        <w:t> Before Kayatta, Baldock,</w:t>
      </w:r>
      <w:r>
        <w:rPr>
          <w:rFonts w:ascii="Arial" w:eastAsia="Arial" w:hAnsi="Arial" w:cs="Arial"/>
          <w:vertAlign w:val="superscript"/>
        </w:rPr>
        <w:footnoteReference w:customMarkFollows="1" w:id="177"/>
        <w:t>*</w:t>
      </w:r>
      <w:r>
        <w:rPr>
          <w:rFonts w:ascii="Arial" w:eastAsia="Arial" w:hAnsi="Arial" w:cs="Arial"/>
          <w:color w:val="000000"/>
          <w:sz w:val="20"/>
        </w:rPr>
        <w:t xml:space="preserve"> and Selya, Circuit Judges.</w:t>
      </w:r>
    </w:p>
    <w:p w14:paraId="246FF156" w14:textId="77777777" w:rsidR="002D0E71" w:rsidRDefault="00000000">
      <w:pPr>
        <w:pStyle w:val="Normal36"/>
        <w:widowControl w:val="0"/>
        <w:spacing w:before="240" w:line="260" w:lineRule="atLeast"/>
      </w:pPr>
      <w:bookmarkStart w:id="4858" w:name="Opinion_by_24"/>
      <w:bookmarkEnd w:id="4858"/>
      <w:r>
        <w:rPr>
          <w:rFonts w:ascii="Arial" w:eastAsia="Arial" w:hAnsi="Arial" w:cs="Arial"/>
          <w:b/>
          <w:color w:val="000000"/>
          <w:sz w:val="20"/>
        </w:rPr>
        <w:t>Opinion by:</w:t>
      </w:r>
      <w:r>
        <w:rPr>
          <w:rFonts w:ascii="Arial" w:eastAsia="Arial" w:hAnsi="Arial" w:cs="Arial"/>
          <w:color w:val="000000"/>
          <w:sz w:val="20"/>
        </w:rPr>
        <w:t> KAYATTA</w:t>
      </w:r>
    </w:p>
    <w:p w14:paraId="758A4788" w14:textId="77777777" w:rsidR="002D0E71" w:rsidRDefault="00000000">
      <w:pPr>
        <w:pStyle w:val="Normal36"/>
        <w:keepNext/>
        <w:widowControl w:val="0"/>
        <w:spacing w:before="240" w:line="340" w:lineRule="atLeast"/>
      </w:pPr>
      <w:bookmarkStart w:id="4859" w:name="Opinion_35"/>
      <w:bookmarkEnd w:id="4859"/>
      <w:r>
        <w:rPr>
          <w:rFonts w:ascii="Arial" w:eastAsia="Arial" w:hAnsi="Arial" w:cs="Arial"/>
          <w:b/>
          <w:color w:val="000000"/>
          <w:sz w:val="28"/>
        </w:rPr>
        <w:t>Opinion</w:t>
      </w:r>
    </w:p>
    <w:p w14:paraId="54E71DB2" w14:textId="7C5C746B" w:rsidR="002D0E71" w:rsidRDefault="002939DF">
      <w:pPr>
        <w:pStyle w:val="Normal36"/>
        <w:spacing w:line="60" w:lineRule="exact"/>
      </w:pPr>
      <w:r>
        <w:rPr>
          <w:noProof/>
        </w:rPr>
        <mc:AlternateContent>
          <mc:Choice Requires="wps">
            <w:drawing>
              <wp:anchor distT="0" distB="0" distL="114300" distR="114300" simplePos="0" relativeHeight="251734016" behindDoc="0" locked="0" layoutInCell="1" allowOverlap="1" wp14:anchorId="05DCDEB9" wp14:editId="694AF9C2">
                <wp:simplePos x="0" y="0"/>
                <wp:positionH relativeFrom="column">
                  <wp:posOffset>0</wp:posOffset>
                </wp:positionH>
                <wp:positionV relativeFrom="paragraph">
                  <wp:posOffset>25400</wp:posOffset>
                </wp:positionV>
                <wp:extent cx="3187700" cy="0"/>
                <wp:effectExtent l="19050" t="15875" r="12700" b="12700"/>
                <wp:wrapTopAndBottom/>
                <wp:docPr id="376567596"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D9CAE0" id="Line 77"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16B2814" w14:textId="77777777" w:rsidR="002D0E71" w:rsidRDefault="002D0E71">
      <w:pPr>
        <w:pStyle w:val="Normal36"/>
      </w:pPr>
    </w:p>
    <w:p w14:paraId="46ED6F1E" w14:textId="77777777" w:rsidR="002D0E71" w:rsidRDefault="00000000">
      <w:pPr>
        <w:pStyle w:val="Normal36"/>
        <w:widowControl w:val="0"/>
        <w:spacing w:before="200" w:line="260" w:lineRule="atLeast"/>
        <w:jc w:val="both"/>
      </w:pPr>
      <w:bookmarkStart w:id="4860" w:name="Bookmark_para_2_35"/>
      <w:bookmarkEnd w:id="4860"/>
      <w:r>
        <w:rPr>
          <w:rFonts w:ascii="Arial" w:eastAsia="Arial" w:hAnsi="Arial" w:cs="Arial"/>
          <w:color w:val="000000"/>
          <w:sz w:val="20"/>
        </w:rPr>
        <w:t xml:space="preserve"> [*138]  </w:t>
      </w:r>
      <w:r>
        <w:rPr>
          <w:rFonts w:ascii="Arial" w:eastAsia="Arial" w:hAnsi="Arial" w:cs="Arial"/>
          <w:b/>
          <w:color w:val="000000"/>
          <w:sz w:val="20"/>
        </w:rPr>
        <w:t xml:space="preserve">KAYATTA, </w:t>
      </w:r>
      <w:r>
        <w:rPr>
          <w:rFonts w:ascii="Arial" w:eastAsia="Arial" w:hAnsi="Arial" w:cs="Arial"/>
          <w:b/>
          <w:color w:val="000000"/>
          <w:sz w:val="20"/>
          <w:u w:val="single"/>
        </w:rPr>
        <w:t>Circuit Judge</w:t>
      </w:r>
      <w:r>
        <w:rPr>
          <w:rFonts w:ascii="Arial" w:eastAsia="Arial" w:hAnsi="Arial" w:cs="Arial"/>
          <w:color w:val="000000"/>
          <w:sz w:val="20"/>
        </w:rPr>
        <w:t>. Massachusetts prisons provide inmates with semi-monthly or monthly supplies of some medications, which the prisoners then store in their cells and take on their own. Other medications are dispensed in single doses to prisoners, to be ingested at the dispensing window. Five prisoners with HIV challenge the decision of prison officials to dispense HIV medication only in single doses at the dispensing window. The plaintiffs claim violations of the Eighth and Fourteenth Amendments to the United States Constitution, the Americans with Disabilities Act, and the Rehabilitation Act. We affirm the district court's grant of summary judgment [**2]  against the plaintiffs on each of their claims.</w:t>
      </w:r>
    </w:p>
    <w:p w14:paraId="1DCCA24D" w14:textId="77777777" w:rsidR="002D0E71" w:rsidRDefault="00000000">
      <w:pPr>
        <w:pStyle w:val="Normal36"/>
        <w:widowControl w:val="0"/>
        <w:spacing w:before="240" w:line="260" w:lineRule="atLeast"/>
      </w:pPr>
      <w:r>
        <w:br/>
      </w:r>
      <w:r>
        <w:rPr>
          <w:rFonts w:ascii="Arial" w:eastAsia="Arial" w:hAnsi="Arial" w:cs="Arial"/>
          <w:b/>
          <w:color w:val="000000"/>
          <w:sz w:val="20"/>
        </w:rPr>
        <w:t>I. Background</w:t>
      </w:r>
    </w:p>
    <w:p w14:paraId="4E7B13A0" w14:textId="77777777" w:rsidR="002D0E71" w:rsidRDefault="00000000">
      <w:pPr>
        <w:pStyle w:val="Normal36"/>
        <w:widowControl w:val="0"/>
        <w:spacing w:before="200" w:line="260" w:lineRule="atLeast"/>
        <w:jc w:val="both"/>
      </w:pPr>
      <w:bookmarkStart w:id="4861" w:name="Bookmark_para_3_35"/>
      <w:bookmarkStart w:id="4862" w:name="Bookmark_I5D9HPWH2N1PYX0020000400"/>
      <w:bookmarkStart w:id="4863" w:name="Bookmark_LNHNREFclscc1_30"/>
      <w:bookmarkEnd w:id="4861"/>
      <w:bookmarkEnd w:id="4862"/>
      <w:bookmarkEnd w:id="4863"/>
      <w:r>
        <w:rPr>
          <w:rFonts w:ascii="Arial" w:eastAsia="Arial" w:hAnsi="Arial" w:cs="Arial"/>
          <w:color w:val="000000"/>
          <w:sz w:val="20"/>
        </w:rPr>
        <w:t xml:space="preserve">Because the district court granted summary judgment, we "describe the facts giving rise to this lawsuit in a light as favorable to [the plaintiffs] as the record will reasonably allow." </w:t>
      </w:r>
      <w:bookmarkStart w:id="4864" w:name="Bookmark_I5D9HPWH2N1PYX0010000400"/>
      <w:bookmarkEnd w:id="4864"/>
      <w:r>
        <w:rPr>
          <w:rFonts w:ascii="Arial" w:eastAsia="Arial" w:hAnsi="Arial" w:cs="Arial"/>
          <w:color w:val="000000"/>
          <w:sz w:val="20"/>
          <w:u w:val="single"/>
        </w:rPr>
        <w:t>Travers v. Flight Servs. &amp; Sys., Inc</w:t>
      </w:r>
      <w:r>
        <w:rPr>
          <w:rFonts w:ascii="Arial" w:eastAsia="Arial" w:hAnsi="Arial" w:cs="Arial"/>
          <w:color w:val="000000"/>
          <w:sz w:val="20"/>
        </w:rPr>
        <w:t>., 737 F.3d 144, 145 (1st Cir. 2013).</w:t>
      </w:r>
    </w:p>
    <w:p w14:paraId="62ACCF0B" w14:textId="77777777" w:rsidR="002D0E71" w:rsidRDefault="00000000">
      <w:pPr>
        <w:pStyle w:val="Normal36"/>
        <w:widowControl w:val="0"/>
        <w:spacing w:before="200" w:line="260" w:lineRule="atLeast"/>
        <w:jc w:val="both"/>
      </w:pPr>
      <w:bookmarkStart w:id="4865" w:name="Bookmark_para_4_35"/>
      <w:bookmarkEnd w:id="4865"/>
      <w:r>
        <w:rPr>
          <w:rFonts w:ascii="Arial" w:eastAsia="Arial" w:hAnsi="Arial" w:cs="Arial"/>
          <w:color w:val="000000"/>
          <w:sz w:val="20"/>
        </w:rPr>
        <w:t>The plaintiffs in this case are inmates in the Massachusetts state prison system who suffer from HIV. They sue, among others, the Massachusetts Department of Corrections, which administers the state's prisons. Because it makes no difference to our analysis, we refer to the department as if it were the sole defendant and the sole entity responsible for the state's acts at issue here.</w:t>
      </w:r>
    </w:p>
    <w:p w14:paraId="1A8FC4BF" w14:textId="77777777" w:rsidR="002D0E71" w:rsidRDefault="00000000">
      <w:pPr>
        <w:pStyle w:val="Normal36"/>
        <w:widowControl w:val="0"/>
        <w:spacing w:before="200" w:line="260" w:lineRule="atLeast"/>
        <w:jc w:val="both"/>
      </w:pPr>
      <w:bookmarkStart w:id="4866" w:name="Bookmark_para_5_35"/>
      <w:bookmarkEnd w:id="4866"/>
      <w:r>
        <w:rPr>
          <w:rFonts w:ascii="Arial" w:eastAsia="Arial" w:hAnsi="Arial" w:cs="Arial"/>
          <w:color w:val="000000"/>
          <w:sz w:val="20"/>
        </w:rPr>
        <w:t>This case arose when the department changed the manner by which inmates receive medication for HIV. Prior to the change, many inmates could receive their  [*139]  HIV medication through the "Keep on Person" program, which we will refer to as the "KOP program." When receiving medication through the program, inmates pick up packages of medicine once or twice a month, then store the medicine in their cells and take it on their own initiative. [App. at 66.] In contrast, HIV medication is now available only through the "daily med line," where inmates report for each dose to a dispensing [**3]  window, then ingest the medication at the window while prison staff observe. [App. at 65.] Both the daily med line and the KOP program are common ways for inmates to receive medications in Massachusetts prisons, depending on what medication they are receiving and whether they satisfy various eligibility requirements.</w:t>
      </w:r>
    </w:p>
    <w:p w14:paraId="187B8E82" w14:textId="77777777" w:rsidR="002D0E71" w:rsidRDefault="00000000">
      <w:pPr>
        <w:pStyle w:val="Normal36"/>
        <w:widowControl w:val="0"/>
        <w:spacing w:before="240" w:line="260" w:lineRule="atLeast"/>
      </w:pPr>
      <w:r>
        <w:br/>
      </w:r>
      <w:r>
        <w:rPr>
          <w:rFonts w:ascii="Arial" w:eastAsia="Arial" w:hAnsi="Arial" w:cs="Arial"/>
          <w:b/>
          <w:color w:val="000000"/>
          <w:sz w:val="20"/>
        </w:rPr>
        <w:t>A. The Department's Decision to Remove HIV Medication from the Program</w:t>
      </w:r>
    </w:p>
    <w:p w14:paraId="5716D0C4" w14:textId="77777777" w:rsidR="002D0E71" w:rsidRDefault="00000000">
      <w:pPr>
        <w:pStyle w:val="Normal36"/>
        <w:widowControl w:val="0"/>
        <w:spacing w:before="200" w:line="260" w:lineRule="atLeast"/>
        <w:jc w:val="both"/>
      </w:pPr>
      <w:bookmarkStart w:id="4867" w:name="Bookmark_para_6_35"/>
      <w:bookmarkEnd w:id="4867"/>
      <w:r>
        <w:rPr>
          <w:rFonts w:ascii="Arial" w:eastAsia="Arial" w:hAnsi="Arial" w:cs="Arial"/>
          <w:color w:val="000000"/>
          <w:sz w:val="20"/>
        </w:rPr>
        <w:t>The department first announced its decision to remove HIV medication from the program in August 2008 and implemented the change in February 2009. [App. at 77, 83-84.] The parties agree that the department's primary aim in initiating the change in dispensing practices for HIV medication was to save money. Medication for HIV is expensive, occupying more than 40 percent of the department's pharmacy budget, although fewer than 3 percent of the prisoners have HIV. [App. at 266.] Faced with budget cuts in 2008, the department examined its expenses and determined that some of the cost of HIV medications arose from "wasted" medication: medication that was dispensed to an inmate through the KOP program, but not used by that inmate while in prison. [App. at 269-271.] Such medication cannot be reused because it has left the hands of licensed medical staff. [App. at 270.] Medication [**4]  scheduled to be dispensed through the daily med line, however, can be reused if not picked up by the patient. [App. at 270-71.] The department therefore concluded that it could reduce waste and save money by distributing all HIV medication through the daily med line. [ App. at 271.]</w:t>
      </w:r>
    </w:p>
    <w:p w14:paraId="2153CA3E" w14:textId="77777777" w:rsidR="002D0E71" w:rsidRDefault="00000000">
      <w:pPr>
        <w:pStyle w:val="Normal36"/>
        <w:widowControl w:val="0"/>
        <w:spacing w:before="200" w:line="260" w:lineRule="atLeast"/>
        <w:jc w:val="both"/>
      </w:pPr>
      <w:bookmarkStart w:id="4868" w:name="Bookmark_para_7_34"/>
      <w:bookmarkEnd w:id="4868"/>
      <w:r>
        <w:rPr>
          <w:rFonts w:ascii="Arial" w:eastAsia="Arial" w:hAnsi="Arial" w:cs="Arial"/>
          <w:color w:val="000000"/>
          <w:sz w:val="20"/>
        </w:rPr>
        <w:t>The parties agree that there are several sources of wasted HIV medication, but disagree on their relative importance, and on whether the department chose the best approach to mitigate waste. Waste can arise when a prisoner simply chooses not to take medication that he has received through the KOP program. [App. at 73.] It can also arise when an inmate is given too much medication when he picks up his refills. [App. at 275-76.] In addition, waste can result when an inmate is released from prison, is transferred within the system, dies, or has his treatment regimen changed.</w:t>
      </w:r>
      <w:r>
        <w:rPr>
          <w:rFonts w:ascii="Arial" w:eastAsia="Arial" w:hAnsi="Arial" w:cs="Arial"/>
          <w:vertAlign w:val="superscript"/>
        </w:rPr>
        <w:footnoteReference w:customMarkFollows="1" w:id="178"/>
        <w:t>1</w:t>
      </w:r>
      <w:r>
        <w:rPr>
          <w:rFonts w:ascii="Arial" w:eastAsia="Arial" w:hAnsi="Arial" w:cs="Arial"/>
          <w:color w:val="000000"/>
          <w:sz w:val="20"/>
        </w:rPr>
        <w:t xml:space="preserve"> [App. at 73, 274-76.]</w:t>
      </w:r>
    </w:p>
    <w:p w14:paraId="26827A9A" w14:textId="77777777" w:rsidR="002D0E71" w:rsidRDefault="00000000">
      <w:pPr>
        <w:pStyle w:val="Normal36"/>
        <w:widowControl w:val="0"/>
        <w:spacing w:before="200" w:line="260" w:lineRule="atLeast"/>
        <w:jc w:val="both"/>
      </w:pPr>
      <w:bookmarkStart w:id="4870" w:name="Bookmark_para_8_34"/>
      <w:bookmarkEnd w:id="4870"/>
      <w:r>
        <w:rPr>
          <w:rFonts w:ascii="Arial" w:eastAsia="Arial" w:hAnsi="Arial" w:cs="Arial"/>
          <w:color w:val="000000"/>
          <w:sz w:val="20"/>
        </w:rPr>
        <w:t>When the department announced the change in August 2008, it received complaints from medical staffers concerned about the effect on inmates with HIV. Two doctors who treated inmates with HIV, David Stone and James Quirk, objected to the change and [**5]  have continued to oppose it. Their chief concern has been that some inmates will be unwilling or unable to take their medication consistently due to the time and effort required to wait at the dispensing window, which some inmates would have to do more than once per day. [App. at 281-83, 97.] The parties agree that it is very important for HIV patients to be "adherent" (or "compliant"), meaning that they take their medication consistently as prescribed. When a patient misses doses, the virus can develop resistance to the medication, for which there will be few  [*140]  alternatives. [See, e.g., App. at 255.] Stone and Quirk also worried that the change would exacerbate the side effects of HIV medication, as inmates would have less flexibility in timing their doses to coincide with meals or sleep. [See, e.g., App. at 1408-09.]</w:t>
      </w:r>
    </w:p>
    <w:p w14:paraId="76A623C2" w14:textId="77777777" w:rsidR="002D0E71" w:rsidRDefault="00000000">
      <w:pPr>
        <w:pStyle w:val="Normal36"/>
        <w:widowControl w:val="0"/>
        <w:spacing w:before="200" w:line="260" w:lineRule="atLeast"/>
        <w:jc w:val="both"/>
      </w:pPr>
      <w:bookmarkStart w:id="4871" w:name="Bookmark_para_9_34"/>
      <w:bookmarkEnd w:id="4871"/>
      <w:r>
        <w:rPr>
          <w:rFonts w:ascii="Arial" w:eastAsia="Arial" w:hAnsi="Arial" w:cs="Arial"/>
          <w:color w:val="000000"/>
          <w:sz w:val="20"/>
        </w:rPr>
        <w:t>As a result of these complaints, the department initially put the change on hold to study its potential impacts. The department then reviewed data indicating that 93 percent of HIV-positive inmates already reported to the daily med line for other medications. The department also considered data indicating that 44 percent of inmates with HIV requested refills of their HIV medication late or not at all under the KOP [**6]  program. Given the procedural posture of the case, we do not assume that this particular data was accurate. Rather, because the plaintiffs do not cite any evidence to the contrary, we assume that the department believed the data to be accurate as a product of a sincere effort to gauge the effects of the policy change. After reviewing this information, the department decided to adopt the change.</w:t>
      </w:r>
    </w:p>
    <w:p w14:paraId="5EB6C40F" w14:textId="77777777" w:rsidR="002D0E71" w:rsidRDefault="00000000">
      <w:pPr>
        <w:pStyle w:val="Normal36"/>
        <w:widowControl w:val="0"/>
        <w:spacing w:before="240" w:line="260" w:lineRule="atLeast"/>
      </w:pPr>
      <w:r>
        <w:br/>
      </w:r>
      <w:r>
        <w:rPr>
          <w:rFonts w:ascii="Arial" w:eastAsia="Arial" w:hAnsi="Arial" w:cs="Arial"/>
          <w:b/>
          <w:color w:val="000000"/>
          <w:sz w:val="20"/>
        </w:rPr>
        <w:t>B. The Effects of the Policy Change</w:t>
      </w:r>
    </w:p>
    <w:p w14:paraId="248C5396" w14:textId="77777777" w:rsidR="002D0E71" w:rsidRDefault="00000000">
      <w:pPr>
        <w:pStyle w:val="Normal36"/>
        <w:widowControl w:val="0"/>
        <w:spacing w:before="200" w:line="260" w:lineRule="atLeast"/>
        <w:jc w:val="both"/>
      </w:pPr>
      <w:bookmarkStart w:id="4872" w:name="Bookmark_para_10_33"/>
      <w:bookmarkEnd w:id="4872"/>
      <w:r>
        <w:rPr>
          <w:rFonts w:ascii="Arial" w:eastAsia="Arial" w:hAnsi="Arial" w:cs="Arial"/>
          <w:color w:val="000000"/>
          <w:sz w:val="20"/>
        </w:rPr>
        <w:t>Since the new policy was implemented, the department has monitored its effects. It has collected data showing that patient outcomes have held steady or improved since the change. The plaintiffs do not dispute the raw numbers collected by the department, though the parties differ on their significance.</w:t>
      </w:r>
    </w:p>
    <w:p w14:paraId="366F56B1" w14:textId="77777777" w:rsidR="002D0E71" w:rsidRDefault="00000000">
      <w:pPr>
        <w:pStyle w:val="Normal36"/>
        <w:widowControl w:val="0"/>
        <w:spacing w:before="200" w:line="260" w:lineRule="atLeast"/>
        <w:jc w:val="both"/>
      </w:pPr>
      <w:bookmarkStart w:id="4873" w:name="Bookmark_para_11_33"/>
      <w:bookmarkEnd w:id="4873"/>
      <w:r>
        <w:rPr>
          <w:rFonts w:ascii="Arial" w:eastAsia="Arial" w:hAnsi="Arial" w:cs="Arial"/>
          <w:color w:val="000000"/>
          <w:sz w:val="20"/>
        </w:rPr>
        <w:t>A common measure of health for HIV patients is "viral load." Doctors aim to achieve an "undetectable viral load," meaning that the patient has such a low level of HIV in his blood that standard tests cannot detect it. In the last reporting period before the policy change, 83 percent of inmates with HIV had undetectable viral loads. That rate rose to 87 percent immediately after the change and has been documented most recently at 95 percent. While accepting this [**7]  data as accurate, the plaintiffs contend that it cannot be used to establish that the policy has actually improved health outcomes because the improvement in the first six months of the new policy was not large enough to be statistically significant and the eventual larger improvement may be the product of other factors. [App. at 365-66.]</w:t>
      </w:r>
    </w:p>
    <w:p w14:paraId="685D9CCA" w14:textId="77777777" w:rsidR="002D0E71" w:rsidRDefault="00000000">
      <w:pPr>
        <w:pStyle w:val="Normal36"/>
        <w:widowControl w:val="0"/>
        <w:spacing w:before="200" w:line="260" w:lineRule="atLeast"/>
        <w:jc w:val="both"/>
      </w:pPr>
      <w:bookmarkStart w:id="4874" w:name="Bookmark_para_12_32"/>
      <w:bookmarkEnd w:id="4874"/>
      <w:r>
        <w:rPr>
          <w:rFonts w:ascii="Arial" w:eastAsia="Arial" w:hAnsi="Arial" w:cs="Arial"/>
          <w:color w:val="000000"/>
          <w:sz w:val="20"/>
        </w:rPr>
        <w:t>The department has also monitored late refills as a measure of nonadherence.</w:t>
      </w:r>
      <w:r>
        <w:rPr>
          <w:rFonts w:ascii="Arial" w:eastAsia="Arial" w:hAnsi="Arial" w:cs="Arial"/>
          <w:vertAlign w:val="superscript"/>
        </w:rPr>
        <w:footnoteReference w:customMarkFollows="1" w:id="179"/>
        <w:t>2</w:t>
      </w:r>
      <w:r>
        <w:rPr>
          <w:rFonts w:ascii="Arial" w:eastAsia="Arial" w:hAnsi="Arial" w:cs="Arial"/>
          <w:color w:val="000000"/>
          <w:sz w:val="20"/>
        </w:rPr>
        <w:t xml:space="preserve"> Late refills have remained more or less steady since before the policy change, starting at 30 percent in December 2008, and fluctuating between 25 percent and 35 percent (with one outlier month at 39 percent) after the change. [App. at 2020, 2036.] The plaintiffs accept these figures as accurate, and admit that late refills are a "proxy" that "potentially reflect nonadherence." [App. at 306-07.] They nevertheless argue that current adherence falls below acceptable standards, without offering any evidence that returning HIV medication to the KOP program would increase adherence.</w:t>
      </w:r>
      <w:r>
        <w:rPr>
          <w:rFonts w:ascii="Arial" w:eastAsia="Arial" w:hAnsi="Arial" w:cs="Arial"/>
          <w:vertAlign w:val="superscript"/>
        </w:rPr>
        <w:footnoteReference w:customMarkFollows="1" w:id="180"/>
        <w:t>3</w:t>
      </w:r>
      <w:r>
        <w:rPr>
          <w:rFonts w:ascii="Arial" w:eastAsia="Arial" w:hAnsi="Arial" w:cs="Arial"/>
          <w:color w:val="000000"/>
          <w:sz w:val="20"/>
        </w:rPr>
        <w:t xml:space="preserve"> [App. at 364-65.]</w:t>
      </w:r>
    </w:p>
    <w:p w14:paraId="6A54DF13" w14:textId="77777777" w:rsidR="002D0E71" w:rsidRDefault="00000000">
      <w:pPr>
        <w:pStyle w:val="Normal36"/>
        <w:widowControl w:val="0"/>
        <w:spacing w:before="200" w:line="260" w:lineRule="atLeast"/>
        <w:jc w:val="both"/>
      </w:pPr>
      <w:bookmarkStart w:id="4877" w:name="Bookmark_para_13_32"/>
      <w:bookmarkEnd w:id="4877"/>
      <w:r>
        <w:rPr>
          <w:rFonts w:ascii="Arial" w:eastAsia="Arial" w:hAnsi="Arial" w:cs="Arial"/>
          <w:color w:val="000000"/>
          <w:sz w:val="20"/>
        </w:rPr>
        <w:t> [*141]  The plaintiffs offer no alternative quantitative metric for assessing the health of inmates with HIV, for determining their adherence, or for otherwise gauging the effects of the policy change. In sum, the undisputed data that exists provides credible support for the department to conclude that the dispensing policy contributed to a material improvement in the health of HIV prisoners as a group, and provides no basis to claim that the change worsened the health of that group of prisoners. It is also undisputed that the change led to significant cost savings. [App. at 293, 317-319.]</w:t>
      </w:r>
    </w:p>
    <w:p w14:paraId="54FED91B" w14:textId="77777777" w:rsidR="002D0E71" w:rsidRDefault="00000000">
      <w:pPr>
        <w:pStyle w:val="Normal36"/>
        <w:widowControl w:val="0"/>
        <w:spacing w:before="240" w:line="260" w:lineRule="atLeast"/>
      </w:pPr>
      <w:r>
        <w:br/>
      </w:r>
      <w:r>
        <w:rPr>
          <w:rFonts w:ascii="Arial" w:eastAsia="Arial" w:hAnsi="Arial" w:cs="Arial"/>
          <w:b/>
          <w:color w:val="000000"/>
          <w:sz w:val="20"/>
        </w:rPr>
        <w:t>C. The Plaintiffs' Situations</w:t>
      </w:r>
    </w:p>
    <w:p w14:paraId="4FDBCEA7" w14:textId="77777777" w:rsidR="002D0E71" w:rsidRDefault="00000000">
      <w:pPr>
        <w:pStyle w:val="Normal36"/>
        <w:widowControl w:val="0"/>
        <w:spacing w:before="200" w:line="260" w:lineRule="atLeast"/>
        <w:jc w:val="both"/>
      </w:pPr>
      <w:bookmarkStart w:id="4878" w:name="Bookmark_para_14_31"/>
      <w:bookmarkEnd w:id="4878"/>
      <w:r>
        <w:rPr>
          <w:rFonts w:ascii="Arial" w:eastAsia="Arial" w:hAnsi="Arial" w:cs="Arial"/>
          <w:color w:val="000000"/>
          <w:sz w:val="20"/>
        </w:rPr>
        <w:t>The plaintiffs present relatively little evidence regarding their own situations, focusing instead on the broader population of prisoners with HIV. No medical professional [**9]  or expert testified specifically about any plaintiff's situation. In describing the consequences of the policy change for the plaintiffs, we can therefore refer only to the plaintiffs' own testimony, along with written complaints they submitted to the prison.</w:t>
      </w:r>
    </w:p>
    <w:p w14:paraId="3E93C172" w14:textId="77777777" w:rsidR="002D0E71" w:rsidRDefault="00000000">
      <w:pPr>
        <w:pStyle w:val="Normal36"/>
        <w:widowControl w:val="0"/>
        <w:spacing w:before="200" w:line="260" w:lineRule="atLeast"/>
        <w:jc w:val="both"/>
      </w:pPr>
      <w:bookmarkStart w:id="4879" w:name="Bookmark_para_15_30"/>
      <w:bookmarkEnd w:id="4879"/>
      <w:r>
        <w:rPr>
          <w:rFonts w:ascii="Arial" w:eastAsia="Arial" w:hAnsi="Arial" w:cs="Arial"/>
          <w:color w:val="000000"/>
          <w:sz w:val="20"/>
        </w:rPr>
        <w:t>Plaintiff Richard Nunes has not taken any HIV medication since the change, contending that he cannot wait on the daily med line. He cites a painful lower back condition that makes it difficult for him to move or stand, chronic diarrhea, and other sicknesses. [App. at 2351.] Nunes requested as an accommodation of his condition that his medication be reinstated to the program. The department instead offered several alternative accommodations: it would provide Nunes with a rolling walker, and allow him to use bathroom facilities and sit on a bench while waiting on line without losing his place. Alternatively, taking his claims regarding the severity of his condition at face value, the department offered to admit him to the medical unit to receive medication for as long as he is too ill to go to the dispensing window. [App. at 2224-26.] Nunes has not accepted these accommodations, and now maintains that he will not attend the daily med line no matter what the [**10]  department does to accommodate him. [App. at 113.]</w:t>
      </w:r>
    </w:p>
    <w:p w14:paraId="45711804" w14:textId="77777777" w:rsidR="002D0E71" w:rsidRDefault="00000000">
      <w:pPr>
        <w:pStyle w:val="Normal36"/>
        <w:widowControl w:val="0"/>
        <w:spacing w:before="200" w:line="260" w:lineRule="atLeast"/>
        <w:jc w:val="both"/>
      </w:pPr>
      <w:bookmarkStart w:id="4880" w:name="Bookmark_para_16_29"/>
      <w:bookmarkEnd w:id="4880"/>
      <w:r>
        <w:rPr>
          <w:rFonts w:ascii="Arial" w:eastAsia="Arial" w:hAnsi="Arial" w:cs="Arial"/>
          <w:color w:val="000000"/>
          <w:sz w:val="20"/>
        </w:rPr>
        <w:t>The other four plaintiffs have attended the daily med line consistently since the policy change. Three have complained that, in the course of attending the line, their HIV status has been disclosed to other inmates. [App. at 2457, 2487, 2510.] These complaints involve inadvertent disclosures by medical staff, occurring sporadically, and sometimes unconnected to the department's policy change. For example, the plaintiffs complain about a poster in the medical unit identifying HIV medications, but they admit that the poster has since been taken down. [App. at 140.]</w:t>
      </w:r>
    </w:p>
    <w:p w14:paraId="1EB336FC" w14:textId="77777777" w:rsidR="002D0E71" w:rsidRDefault="00000000">
      <w:pPr>
        <w:pStyle w:val="Normal36"/>
        <w:widowControl w:val="0"/>
        <w:spacing w:before="200" w:line="260" w:lineRule="atLeast"/>
        <w:jc w:val="both"/>
      </w:pPr>
      <w:bookmarkStart w:id="4881" w:name="Bookmark_para_17_28"/>
      <w:bookmarkEnd w:id="4881"/>
      <w:r>
        <w:rPr>
          <w:rFonts w:ascii="Arial" w:eastAsia="Arial" w:hAnsi="Arial" w:cs="Arial"/>
          <w:color w:val="000000"/>
          <w:sz w:val="20"/>
        </w:rPr>
        <w:t>Plaintiff Carl Coe has also complained about side effects arising from not being able to take medication before bed. [App. at 2405.] His treatment regimen has since been changed, in part to limit side effects. [App. at 1029, 2405.] Plaintiff John Doe has complained about having to wait in line for a long time and having his medication unavailable there on two consecutive days, while plaintiff Peter Poe has complained that on one occasion he was told to leave the med line and return later. [App. at 131, 2501.] The record does not demonstrate that the plaintiffs experienced such incidents any more than a handful of times in the four and a half years between the policy [**11]  change and the district court's decision. Nor, with the possible exception of Nunes, does any plaintiff offer competent evidence that his viral loads or health worsened materially during that period.</w:t>
      </w:r>
    </w:p>
    <w:p w14:paraId="5C5119BE" w14:textId="77777777" w:rsidR="002D0E71" w:rsidRDefault="00000000">
      <w:pPr>
        <w:pStyle w:val="Normal36"/>
        <w:widowControl w:val="0"/>
        <w:spacing w:before="240" w:line="260" w:lineRule="atLeast"/>
      </w:pPr>
      <w:r>
        <w:br/>
      </w:r>
      <w:r>
        <w:rPr>
          <w:rFonts w:ascii="Arial" w:eastAsia="Arial" w:hAnsi="Arial" w:cs="Arial"/>
          <w:color w:val="000000"/>
          <w:sz w:val="20"/>
        </w:rPr>
        <w:t xml:space="preserve"> [*142]  </w:t>
      </w:r>
      <w:r>
        <w:rPr>
          <w:rFonts w:ascii="Arial" w:eastAsia="Arial" w:hAnsi="Arial" w:cs="Arial"/>
          <w:b/>
          <w:color w:val="000000"/>
          <w:sz w:val="20"/>
        </w:rPr>
        <w:t>D. Procedural History</w:t>
      </w:r>
    </w:p>
    <w:p w14:paraId="2E5570B5" w14:textId="77777777" w:rsidR="002D0E71" w:rsidRDefault="00000000">
      <w:pPr>
        <w:pStyle w:val="Normal36"/>
        <w:widowControl w:val="0"/>
        <w:spacing w:before="200" w:line="260" w:lineRule="atLeast"/>
        <w:jc w:val="both"/>
      </w:pPr>
      <w:bookmarkStart w:id="4882" w:name="Bookmark_para_18_28"/>
      <w:bookmarkEnd w:id="4882"/>
      <w:r>
        <w:rPr>
          <w:rFonts w:ascii="Arial" w:eastAsia="Arial" w:hAnsi="Arial" w:cs="Arial"/>
          <w:color w:val="000000"/>
          <w:sz w:val="20"/>
        </w:rPr>
        <w:t>The plaintiffs initiated this case in November 2010, seeking to enjoin the policy change and restore HIV medications to the KOP program. They do not seek damages. Two years later, after discovery, the defendants moved for summary judgment. The district court granted the motion, and the plaintiffs appealed.</w:t>
      </w:r>
    </w:p>
    <w:p w14:paraId="1ED18BB3" w14:textId="77777777" w:rsidR="002D0E71" w:rsidRDefault="00000000">
      <w:pPr>
        <w:pStyle w:val="Normal36"/>
        <w:widowControl w:val="0"/>
        <w:spacing w:before="240" w:line="260" w:lineRule="atLeast"/>
      </w:pPr>
      <w:r>
        <w:br/>
      </w:r>
      <w:r>
        <w:rPr>
          <w:rFonts w:ascii="Arial" w:eastAsia="Arial" w:hAnsi="Arial" w:cs="Arial"/>
          <w:b/>
          <w:color w:val="000000"/>
          <w:sz w:val="20"/>
        </w:rPr>
        <w:t>II. Standard of Review</w:t>
      </w:r>
    </w:p>
    <w:p w14:paraId="67E9117D" w14:textId="77777777" w:rsidR="002D0E71" w:rsidRDefault="00000000">
      <w:pPr>
        <w:pStyle w:val="Normal36"/>
        <w:widowControl w:val="0"/>
        <w:spacing w:before="200" w:line="260" w:lineRule="atLeast"/>
        <w:jc w:val="both"/>
      </w:pPr>
      <w:bookmarkStart w:id="4883" w:name="Bookmark_para_19_28"/>
      <w:bookmarkStart w:id="4884" w:name="Bookmark_I5D9HPWH2N1PYX0040000400"/>
      <w:bookmarkStart w:id="4885" w:name="Bookmark_I5D9HPWH2SF8NY0010000400"/>
      <w:bookmarkStart w:id="4886" w:name="Bookmark_I5D9HPWH2SF8NY0030000400"/>
      <w:bookmarkStart w:id="4887" w:name="Bookmark_LNHNREFclscc2_30"/>
      <w:bookmarkEnd w:id="4883"/>
      <w:bookmarkEnd w:id="4884"/>
      <w:bookmarkEnd w:id="4885"/>
      <w:bookmarkEnd w:id="4886"/>
      <w:bookmarkEnd w:id="4887"/>
      <w:r>
        <w:rPr>
          <w:rFonts w:ascii="Arial" w:eastAsia="Arial" w:hAnsi="Arial" w:cs="Arial"/>
          <w:color w:val="000000"/>
          <w:sz w:val="20"/>
        </w:rPr>
        <w:t xml:space="preserve">We consider de novo the question whether summary judgment is appropriate, training our attention not on the district court's opinion, but rather on whether the record entitles the moving party--here the defendants--to judgment as a matter of law. </w:t>
      </w:r>
      <w:bookmarkStart w:id="4888" w:name="Bookmark_I5D9HPWH2N1PYX0030000400"/>
      <w:bookmarkEnd w:id="4888"/>
      <w:r>
        <w:rPr>
          <w:rFonts w:ascii="Arial" w:eastAsia="Arial" w:hAnsi="Arial" w:cs="Arial"/>
          <w:color w:val="000000"/>
          <w:sz w:val="20"/>
          <w:u w:val="single"/>
        </w:rPr>
        <w:t>Mesnick v. General Elec. Co</w:t>
      </w:r>
      <w:r>
        <w:rPr>
          <w:rFonts w:ascii="Arial" w:eastAsia="Arial" w:hAnsi="Arial" w:cs="Arial"/>
          <w:color w:val="000000"/>
          <w:sz w:val="20"/>
        </w:rPr>
        <w:t xml:space="preserve">., 950 F.2d 816, 822 (1st Cir. 1991). </w:t>
      </w:r>
      <w:r>
        <w:rPr>
          <w:rFonts w:ascii="Arial" w:eastAsia="Arial" w:hAnsi="Arial" w:cs="Arial"/>
          <w:color w:val="000000"/>
          <w:sz w:val="20"/>
          <w:u w:val="single"/>
        </w:rPr>
        <w:t xml:space="preserve">See also </w:t>
      </w:r>
      <w:bookmarkStart w:id="4889" w:name="Bookmark_I5D9HPWH2N1PYX0050000400"/>
      <w:bookmarkEnd w:id="4889"/>
      <w:r>
        <w:rPr>
          <w:rFonts w:ascii="Arial" w:eastAsia="Arial" w:hAnsi="Arial" w:cs="Arial"/>
          <w:color w:val="000000"/>
          <w:sz w:val="20"/>
          <w:u w:val="single"/>
        </w:rPr>
        <w:t>Travers v. Flight Servs. &amp; Sys., Inc</w:t>
      </w:r>
      <w:r>
        <w:rPr>
          <w:rFonts w:ascii="Arial" w:eastAsia="Arial" w:hAnsi="Arial" w:cs="Arial"/>
          <w:color w:val="000000"/>
          <w:sz w:val="20"/>
        </w:rPr>
        <w:t xml:space="preserve">., 737 F.3d 144, 145 (1st Cir. 2013). </w:t>
      </w:r>
      <w:bookmarkStart w:id="4890" w:name="Bookmark_LNHNREFclscc3_29"/>
      <w:bookmarkEnd w:id="4890"/>
      <w:r>
        <w:rPr>
          <w:rFonts w:ascii="Arial" w:eastAsia="Arial" w:hAnsi="Arial" w:cs="Arial"/>
          <w:color w:val="000000"/>
          <w:sz w:val="20"/>
        </w:rPr>
        <w:t xml:space="preserve">Under Federal Rule of Civil Procedure 56(a), "[t]he court shall grant summary judgment if the movant shows that there is no genuine dispute as to any material fact and the movant is entitled to judgment as a matter of law." Generally speaking, a party cannot raise a genuine dispute merely "by relying on the hope that the jury will not trust the credibility of the witness," but must instead present "some affirmative evidence" on the [**12]  point, except perhaps where the testimony is "inherently unbelievable." </w:t>
      </w:r>
      <w:bookmarkStart w:id="4891" w:name="Bookmark_I5D9HPWH2SF8NY0020000400"/>
      <w:bookmarkEnd w:id="4891"/>
      <w:r>
        <w:rPr>
          <w:rFonts w:ascii="Arial" w:eastAsia="Arial" w:hAnsi="Arial" w:cs="Arial"/>
          <w:color w:val="000000"/>
          <w:sz w:val="20"/>
          <w:u w:val="single"/>
        </w:rPr>
        <w:t>McGrath v. Tavares</w:t>
      </w:r>
      <w:r>
        <w:rPr>
          <w:rFonts w:ascii="Arial" w:eastAsia="Arial" w:hAnsi="Arial" w:cs="Arial"/>
          <w:color w:val="000000"/>
          <w:sz w:val="20"/>
        </w:rPr>
        <w:t>, 757 F.3d 20, 28 n.13 (1st Cir. 2014).</w:t>
      </w:r>
    </w:p>
    <w:p w14:paraId="7350E2D7" w14:textId="77777777" w:rsidR="002D0E71" w:rsidRDefault="00000000">
      <w:pPr>
        <w:pStyle w:val="Normal36"/>
        <w:widowControl w:val="0"/>
        <w:spacing w:before="240" w:line="260" w:lineRule="atLeast"/>
      </w:pPr>
      <w:r>
        <w:br/>
      </w:r>
      <w:r>
        <w:rPr>
          <w:rFonts w:ascii="Arial" w:eastAsia="Arial" w:hAnsi="Arial" w:cs="Arial"/>
          <w:b/>
          <w:color w:val="000000"/>
          <w:sz w:val="20"/>
        </w:rPr>
        <w:t>III. Analysis</w:t>
      </w:r>
    </w:p>
    <w:p w14:paraId="011B4AAB" w14:textId="77777777" w:rsidR="002D0E71" w:rsidRDefault="00000000">
      <w:pPr>
        <w:pStyle w:val="Normal36"/>
        <w:widowControl w:val="0"/>
        <w:spacing w:before="240" w:line="260" w:lineRule="atLeast"/>
      </w:pPr>
      <w:r>
        <w:br/>
      </w:r>
      <w:r>
        <w:rPr>
          <w:rFonts w:ascii="Arial" w:eastAsia="Arial" w:hAnsi="Arial" w:cs="Arial"/>
          <w:b/>
          <w:color w:val="000000"/>
          <w:sz w:val="20"/>
        </w:rPr>
        <w:t>A. The Eighth Amendment</w:t>
      </w:r>
    </w:p>
    <w:p w14:paraId="0F0C3FA4" w14:textId="77777777" w:rsidR="002D0E71" w:rsidRDefault="00000000">
      <w:pPr>
        <w:pStyle w:val="Normal36"/>
        <w:widowControl w:val="0"/>
        <w:spacing w:before="200" w:line="260" w:lineRule="atLeast"/>
        <w:jc w:val="both"/>
      </w:pPr>
      <w:bookmarkStart w:id="4892" w:name="Bookmark_para_20_26"/>
      <w:bookmarkStart w:id="4893" w:name="Bookmark_I5PV0GPYTMD000RG2Y30032G"/>
      <w:bookmarkStart w:id="4894" w:name="Bookmark_I5PV0GR00R8000RG2Y30032H"/>
      <w:bookmarkStart w:id="4895" w:name="Bookmark_I5D9HPWH2SF8NY0050000400"/>
      <w:bookmarkStart w:id="4896" w:name="Bookmark_I5PV0GR05V4000RG2Y30032J"/>
      <w:bookmarkStart w:id="4897" w:name="Bookmark_I5D9HPWH28T4RC0040000400"/>
      <w:bookmarkEnd w:id="4892"/>
      <w:bookmarkEnd w:id="4893"/>
      <w:bookmarkEnd w:id="4894"/>
      <w:bookmarkEnd w:id="4895"/>
      <w:bookmarkEnd w:id="4896"/>
      <w:bookmarkEnd w:id="4897"/>
      <w:r>
        <w:rPr>
          <w:rFonts w:ascii="Arial" w:eastAsia="Arial" w:hAnsi="Arial" w:cs="Arial"/>
          <w:color w:val="000000"/>
          <w:sz w:val="20"/>
        </w:rPr>
        <w:t xml:space="preserve">The plaintiffs claim that the change in the method of dispensing HIV medications violated their right to be free of "cruel and unusual punishment[]" under the Eighth Amendment. </w:t>
      </w:r>
      <w:bookmarkStart w:id="4898" w:name="Bookmark_LNHNREFclscc4_29"/>
      <w:bookmarkEnd w:id="4898"/>
      <w:r>
        <w:rPr>
          <w:rFonts w:ascii="Arial" w:eastAsia="Arial" w:hAnsi="Arial" w:cs="Arial"/>
          <w:color w:val="000000"/>
          <w:sz w:val="20"/>
        </w:rPr>
        <w:t xml:space="preserve">To prove an Eighth Amendment violation, the plaintiffs must first show that they faced an "objectively intolerable" risk of harm resulting from the department's decision to make HIV medications available only through the daily med line. </w:t>
      </w:r>
      <w:bookmarkStart w:id="4899" w:name="Bookmark_I5D9HPWH2SF8NY0040000400"/>
      <w:bookmarkEnd w:id="4899"/>
      <w:r>
        <w:rPr>
          <w:rFonts w:ascii="Arial" w:eastAsia="Arial" w:hAnsi="Arial" w:cs="Arial"/>
          <w:color w:val="000000"/>
          <w:sz w:val="20"/>
          <w:u w:val="single"/>
        </w:rPr>
        <w:t>Lakin v. Barnhart</w:t>
      </w:r>
      <w:r>
        <w:rPr>
          <w:rFonts w:ascii="Arial" w:eastAsia="Arial" w:hAnsi="Arial" w:cs="Arial"/>
          <w:color w:val="000000"/>
          <w:sz w:val="20"/>
        </w:rPr>
        <w:t xml:space="preserve">, 758 F.3d 66, 2014 WL 3036303 (1st Cir. 2014) (quoting </w:t>
      </w:r>
      <w:bookmarkStart w:id="4900" w:name="Bookmark_I5D9HPWH28T4RC0010000400"/>
      <w:bookmarkEnd w:id="4900"/>
      <w:r>
        <w:rPr>
          <w:rFonts w:ascii="Arial" w:eastAsia="Arial" w:hAnsi="Arial" w:cs="Arial"/>
          <w:color w:val="000000"/>
          <w:sz w:val="20"/>
          <w:u w:val="single"/>
        </w:rPr>
        <w:t>Farmer v. Brennan</w:t>
      </w:r>
      <w:r>
        <w:rPr>
          <w:rFonts w:ascii="Arial" w:eastAsia="Arial" w:hAnsi="Arial" w:cs="Arial"/>
          <w:color w:val="000000"/>
          <w:sz w:val="20"/>
        </w:rPr>
        <w:t xml:space="preserve">, 511 U.S. 825, 846, 114 S. Ct. 1970, 128 L. Ed. 2d 811 (1994)). In cases based on a prisoner's medical treatment, a prisoner must show that the medical care provided is not "adequate," as measured against "prudent professional standards." </w:t>
      </w:r>
      <w:bookmarkStart w:id="4901" w:name="Bookmark_I5D9HPWH28T4RC0030000400"/>
      <w:bookmarkEnd w:id="4901"/>
      <w:r>
        <w:rPr>
          <w:rFonts w:ascii="Arial" w:eastAsia="Arial" w:hAnsi="Arial" w:cs="Arial"/>
          <w:color w:val="000000"/>
          <w:sz w:val="20"/>
          <w:u w:val="single"/>
        </w:rPr>
        <w:t>United States v. DeCologero</w:t>
      </w:r>
      <w:r>
        <w:rPr>
          <w:rFonts w:ascii="Arial" w:eastAsia="Arial" w:hAnsi="Arial" w:cs="Arial"/>
          <w:color w:val="000000"/>
          <w:sz w:val="20"/>
        </w:rPr>
        <w:t xml:space="preserve">, 821 F.2d 39, 43 (1st Cir. 1987); </w:t>
      </w:r>
      <w:r>
        <w:rPr>
          <w:rFonts w:ascii="Arial" w:eastAsia="Arial" w:hAnsi="Arial" w:cs="Arial"/>
          <w:color w:val="000000"/>
          <w:sz w:val="20"/>
          <w:u w:val="single"/>
        </w:rPr>
        <w:t xml:space="preserve">see also </w:t>
      </w:r>
      <w:bookmarkStart w:id="4902" w:name="Bookmark_I5D9HPWH28T4RC0050000400"/>
      <w:bookmarkEnd w:id="4902"/>
      <w:r>
        <w:rPr>
          <w:rFonts w:ascii="Arial" w:eastAsia="Arial" w:hAnsi="Arial" w:cs="Arial"/>
          <w:color w:val="000000"/>
          <w:sz w:val="20"/>
          <w:u w:val="single"/>
        </w:rPr>
        <w:t>Leavitt v. Corr. Med. Servs., Inc</w:t>
      </w:r>
      <w:r>
        <w:rPr>
          <w:rFonts w:ascii="Arial" w:eastAsia="Arial" w:hAnsi="Arial" w:cs="Arial"/>
          <w:color w:val="000000"/>
          <w:sz w:val="20"/>
        </w:rPr>
        <w:t>., 645 F.3d 484, 497 (1st Cir. 2011).</w:t>
      </w:r>
    </w:p>
    <w:p w14:paraId="63F22EEC" w14:textId="77777777" w:rsidR="002D0E71" w:rsidRDefault="00000000">
      <w:pPr>
        <w:pStyle w:val="Normal36"/>
        <w:widowControl w:val="0"/>
        <w:spacing w:before="200" w:line="260" w:lineRule="atLeast"/>
        <w:jc w:val="both"/>
      </w:pPr>
      <w:bookmarkStart w:id="4903" w:name="Bookmark_para_21_25"/>
      <w:bookmarkStart w:id="4904" w:name="Bookmark_I5PV0GR09N8000RG2Y30032K"/>
      <w:bookmarkStart w:id="4905" w:name="Bookmark_I5D9HPWH28T4RD0030000400"/>
      <w:bookmarkEnd w:id="4903"/>
      <w:bookmarkEnd w:id="4904"/>
      <w:bookmarkEnd w:id="4905"/>
      <w:r>
        <w:rPr>
          <w:rFonts w:ascii="Arial" w:eastAsia="Arial" w:hAnsi="Arial" w:cs="Arial"/>
          <w:color w:val="000000"/>
          <w:sz w:val="20"/>
        </w:rPr>
        <w:t xml:space="preserve">A plaintiff must then show that state officials "kn[ew] of and disregard[ed]" the risk of harm. </w:t>
      </w:r>
      <w:bookmarkStart w:id="4906" w:name="Bookmark_I5D9HPWH28T4RD0020000400"/>
      <w:bookmarkEnd w:id="4906"/>
      <w:r>
        <w:rPr>
          <w:rFonts w:ascii="Arial" w:eastAsia="Arial" w:hAnsi="Arial" w:cs="Arial"/>
          <w:color w:val="000000"/>
          <w:sz w:val="20"/>
          <w:u w:val="single"/>
        </w:rPr>
        <w:t>Farmer</w:t>
      </w:r>
      <w:r>
        <w:rPr>
          <w:rFonts w:ascii="Arial" w:eastAsia="Arial" w:hAnsi="Arial" w:cs="Arial"/>
          <w:color w:val="000000"/>
          <w:sz w:val="20"/>
        </w:rPr>
        <w:t xml:space="preserve">, 511 U.S. at 837. To satisfy this "deliberate indifference" requirement, a plaintiff must show that state officials were "aware of facts from which the inference could be drawn that a substantial risk of serious harm exists, and . . . dr[ew] the inference." </w:t>
      </w:r>
      <w:r>
        <w:rPr>
          <w:rFonts w:ascii="Arial" w:eastAsia="Arial" w:hAnsi="Arial" w:cs="Arial"/>
          <w:color w:val="000000"/>
          <w:sz w:val="20"/>
          <w:u w:val="single"/>
        </w:rPr>
        <w:t>Id</w:t>
      </w:r>
      <w:r>
        <w:rPr>
          <w:rFonts w:ascii="Arial" w:eastAsia="Arial" w:hAnsi="Arial" w:cs="Arial"/>
          <w:color w:val="000000"/>
          <w:sz w:val="20"/>
        </w:rPr>
        <w:t>.</w:t>
      </w:r>
    </w:p>
    <w:p w14:paraId="5CFF0FDA" w14:textId="77777777" w:rsidR="002D0E71" w:rsidRDefault="00000000">
      <w:pPr>
        <w:pStyle w:val="Normal36"/>
        <w:widowControl w:val="0"/>
        <w:spacing w:before="200" w:line="260" w:lineRule="atLeast"/>
        <w:jc w:val="both"/>
      </w:pPr>
      <w:bookmarkStart w:id="4907" w:name="Bookmark_para_22_25"/>
      <w:bookmarkEnd w:id="4907"/>
      <w:r>
        <w:rPr>
          <w:rFonts w:ascii="Arial" w:eastAsia="Arial" w:hAnsi="Arial" w:cs="Arial"/>
          <w:color w:val="000000"/>
          <w:sz w:val="20"/>
        </w:rPr>
        <w:t>The plaintiffs' evidence would not allow a reasonable jury to find that they had satisfied either requirement. As to the objective requirement, the plaintiffs rely primarily on the testimony of Stone and Quirk, [**13]  the two doctors who work in the prison system, and on the affidavit of an outside expert, Dr. David Bangsberg. Yet, none of these witnesses testified specifically about the plaintiffs' situations. Bangsberg did not examine the plaintiffs, review their medical records, or offer any analysis of their particular situations. [App. at 362-66.] Indeed, he did not conclude that the department had provided inadequate medical care to any inmate, although he identified, in the abstract, certain practices as "substandard." [App. at 362, 366.] Meanwhile, the testimony of Stone and Quirk establishes, at best, that certain inmates--not identified as any of  [*143]  the plaintiffs--have suffered problems resulting from the policy change, but the testimony does not attempt to measure these problems against medical standards. [See, e.g., App. at 1420, 1455.]</w:t>
      </w:r>
    </w:p>
    <w:p w14:paraId="401006F2" w14:textId="77777777" w:rsidR="002D0E71" w:rsidRDefault="00000000">
      <w:pPr>
        <w:pStyle w:val="Normal36"/>
        <w:widowControl w:val="0"/>
        <w:spacing w:before="200" w:line="260" w:lineRule="atLeast"/>
        <w:jc w:val="both"/>
      </w:pPr>
      <w:bookmarkStart w:id="4908" w:name="Bookmark_para_23_25"/>
      <w:bookmarkEnd w:id="4908"/>
      <w:r>
        <w:rPr>
          <w:rFonts w:ascii="Arial" w:eastAsia="Arial" w:hAnsi="Arial" w:cs="Arial"/>
          <w:color w:val="000000"/>
          <w:sz w:val="20"/>
        </w:rPr>
        <w:t>Even viewed in the light most favorable to the plaintiffs, none of this testimony establishes that any plaintiff has actually received medical care falling below professional standards. Nor does the remaining evidence make possible such a finding. The plaintiffs present their own written complaints, but these complaints are unaccompanied by medical analysis and document only occasional medical problems [**14]  arising from the policy change: temporary side effects for one plaintiff, and a handful of missed doses for two others.</w:t>
      </w:r>
      <w:r>
        <w:rPr>
          <w:rFonts w:ascii="Arial" w:eastAsia="Arial" w:hAnsi="Arial" w:cs="Arial"/>
          <w:vertAlign w:val="superscript"/>
        </w:rPr>
        <w:footnoteReference w:customMarkFollows="1" w:id="181"/>
        <w:t>4</w:t>
      </w:r>
      <w:r>
        <w:rPr>
          <w:rFonts w:ascii="Arial" w:eastAsia="Arial" w:hAnsi="Arial" w:cs="Arial"/>
          <w:color w:val="000000"/>
          <w:sz w:val="20"/>
        </w:rPr>
        <w:t xml:space="preserve"> As to the statistics presented by the parties, they further undermine the plaintiffs' case: on the whole, more patients have undetectable viral loads since the change, and late refills have remained steady. Even fully accepting the plaintiffs' criticisms of the data, one would be bound to conclude that the policy change did not make outcomes any worse, even if it did not make them any better.</w:t>
      </w:r>
    </w:p>
    <w:p w14:paraId="41E74935" w14:textId="77777777" w:rsidR="002D0E71" w:rsidRDefault="00000000">
      <w:pPr>
        <w:pStyle w:val="Normal36"/>
        <w:widowControl w:val="0"/>
        <w:spacing w:before="200" w:line="260" w:lineRule="atLeast"/>
        <w:jc w:val="both"/>
      </w:pPr>
      <w:bookmarkStart w:id="4910" w:name="Bookmark_para_24_25"/>
      <w:bookmarkEnd w:id="4910"/>
      <w:r>
        <w:rPr>
          <w:rFonts w:ascii="Arial" w:eastAsia="Arial" w:hAnsi="Arial" w:cs="Arial"/>
          <w:color w:val="000000"/>
          <w:sz w:val="20"/>
        </w:rPr>
        <w:t>The plaintiffs' problems only multiply on the issue of deliberate indifference. As demonstrated above, the record is so devoid of evidence of actual medical risk to the plaintiffs as to make it unreasonable to conclude that the department knowingly disregarded such a risk. Even if the plaintiffs' evidence raised a possibility of harm to the group of HIV-positive prisoners as a whole, that possibility is so uncertain and unsupported by before-and-after evidence [**15]  as to preclude a reasonable factfinder from inferring that the department is now knowingly disregarding a harm to these prisoners. On the contrary, the undisputed facts show that the department engaged in facially reasonable efforts, well before this litigation commenced, to assess the effects of a policy change, and then concluded, with ample basis, that the change would not harm inmates.</w:t>
      </w:r>
    </w:p>
    <w:p w14:paraId="60F0412E" w14:textId="77777777" w:rsidR="002D0E71" w:rsidRDefault="00000000">
      <w:pPr>
        <w:pStyle w:val="Normal36"/>
        <w:widowControl w:val="0"/>
        <w:spacing w:before="240" w:line="260" w:lineRule="atLeast"/>
      </w:pPr>
      <w:r>
        <w:br/>
      </w:r>
      <w:r>
        <w:rPr>
          <w:rFonts w:ascii="Arial" w:eastAsia="Arial" w:hAnsi="Arial" w:cs="Arial"/>
          <w:b/>
          <w:color w:val="000000"/>
          <w:sz w:val="20"/>
        </w:rPr>
        <w:t>B. The Right to Avoid Disclosure of Personal Information</w:t>
      </w:r>
    </w:p>
    <w:p w14:paraId="7C017420" w14:textId="77777777" w:rsidR="002D0E71" w:rsidRDefault="00000000">
      <w:pPr>
        <w:pStyle w:val="Normal36"/>
        <w:widowControl w:val="0"/>
        <w:spacing w:before="200" w:line="260" w:lineRule="atLeast"/>
        <w:jc w:val="both"/>
      </w:pPr>
      <w:bookmarkStart w:id="4911" w:name="Bookmark_para_25_25"/>
      <w:bookmarkStart w:id="4912" w:name="Bookmark_I5D9HPWH28T4RD0050000400"/>
      <w:bookmarkEnd w:id="4911"/>
      <w:bookmarkEnd w:id="4912"/>
      <w:r>
        <w:rPr>
          <w:rFonts w:ascii="Arial" w:eastAsia="Arial" w:hAnsi="Arial" w:cs="Arial"/>
          <w:color w:val="000000"/>
          <w:sz w:val="20"/>
        </w:rPr>
        <w:t xml:space="preserve">Claiming that the policy change exposed them to disclosures of their HIV status to other inmates, the plaintiffs assert a violation of a right to privacy under the Fourteenth Amendment. </w:t>
      </w:r>
      <w:bookmarkStart w:id="4913" w:name="Bookmark_I5D9HPWH2SF8P10020000400"/>
      <w:bookmarkEnd w:id="4913"/>
      <w:r>
        <w:rPr>
          <w:rFonts w:ascii="Arial" w:eastAsia="Arial" w:hAnsi="Arial" w:cs="Arial"/>
          <w:color w:val="000000"/>
          <w:sz w:val="20"/>
        </w:rPr>
        <w:t xml:space="preserve">The Supreme Court has implied that the Constitution might protect in some circumstances "the individual interest in avoiding disclosure of personal matters" from government infringement. </w:t>
      </w:r>
      <w:bookmarkStart w:id="4914" w:name="Bookmark_I5D9HPWH28T4RD0040000400"/>
      <w:bookmarkEnd w:id="4914"/>
      <w:r>
        <w:rPr>
          <w:rFonts w:ascii="Arial" w:eastAsia="Arial" w:hAnsi="Arial" w:cs="Arial"/>
          <w:color w:val="000000"/>
          <w:sz w:val="20"/>
          <w:u w:val="single"/>
        </w:rPr>
        <w:t>Whalen v. Roe</w:t>
      </w:r>
      <w:r>
        <w:rPr>
          <w:rFonts w:ascii="Arial" w:eastAsia="Arial" w:hAnsi="Arial" w:cs="Arial"/>
          <w:color w:val="000000"/>
          <w:sz w:val="20"/>
        </w:rPr>
        <w:t xml:space="preserve"> 429 U.S. 589, 599, 97 S. Ct. 869, 51 L. Ed. 2d 64 (1977). </w:t>
      </w:r>
      <w:bookmarkStart w:id="4915" w:name="Bookmark_I5D9HPWH2SF8P10020000400_2"/>
      <w:bookmarkEnd w:id="4915"/>
      <w:r>
        <w:rPr>
          <w:rFonts w:ascii="Arial" w:eastAsia="Arial" w:hAnsi="Arial" w:cs="Arial"/>
          <w:color w:val="000000"/>
          <w:sz w:val="20"/>
          <w:u w:val="single"/>
        </w:rPr>
        <w:t xml:space="preserve">But cf. </w:t>
      </w:r>
      <w:bookmarkStart w:id="4916" w:name="Bookmark_I5D9HPWH2SF8P10010000400"/>
      <w:bookmarkEnd w:id="4916"/>
      <w:r>
        <w:rPr>
          <w:rFonts w:ascii="Arial" w:eastAsia="Arial" w:hAnsi="Arial" w:cs="Arial"/>
          <w:color w:val="000000"/>
          <w:sz w:val="20"/>
          <w:u w:val="single"/>
        </w:rPr>
        <w:t>National Aeronautics &amp; Space Admin. v. Nelson</w:t>
      </w:r>
      <w:r>
        <w:rPr>
          <w:rFonts w:ascii="Arial" w:eastAsia="Arial" w:hAnsi="Arial" w:cs="Arial"/>
          <w:color w:val="000000"/>
          <w:sz w:val="20"/>
        </w:rPr>
        <w:t xml:space="preserve">, 562 U.S. 134, 131 S. Ct. 746, 751, 178 L. Ed. 2d 667 (2011) (assuming, but declining to confirm, "that the Constitution protects a privacy right of the sort mentioned in </w:t>
      </w:r>
      <w:r>
        <w:rPr>
          <w:rFonts w:ascii="Arial" w:eastAsia="Arial" w:hAnsi="Arial" w:cs="Arial"/>
          <w:color w:val="000000"/>
          <w:sz w:val="20"/>
          <w:u w:val="single"/>
        </w:rPr>
        <w:t>Whalen</w:t>
      </w:r>
      <w:r>
        <w:rPr>
          <w:rFonts w:ascii="Arial" w:eastAsia="Arial" w:hAnsi="Arial" w:cs="Arial"/>
          <w:color w:val="000000"/>
          <w:sz w:val="20"/>
        </w:rPr>
        <w:t xml:space="preserve">"). </w:t>
      </w:r>
      <w:bookmarkStart w:id="4917" w:name="Bookmark_I5D9HPWH2SF8P10040000400"/>
      <w:bookmarkEnd w:id="4917"/>
      <w:r>
        <w:rPr>
          <w:rFonts w:ascii="Arial" w:eastAsia="Arial" w:hAnsi="Arial" w:cs="Arial"/>
          <w:color w:val="000000"/>
          <w:sz w:val="20"/>
        </w:rPr>
        <w:t xml:space="preserve">For those in prison, however, any right to privacy is inevitably diminished. </w:t>
      </w:r>
      <w:bookmarkStart w:id="4918" w:name="Bookmark_I5D9HPWH2HM69C0010000400"/>
      <w:bookmarkEnd w:id="4918"/>
      <w:r>
        <w:rPr>
          <w:rFonts w:ascii="Arial" w:eastAsia="Arial" w:hAnsi="Arial" w:cs="Arial"/>
          <w:color w:val="000000"/>
          <w:sz w:val="20"/>
        </w:rPr>
        <w:t xml:space="preserve">For example, prison officials may search an inmate's cell without regard to the Fourth Amendment prohibition on unreasonable searches. </w:t>
      </w:r>
      <w:bookmarkStart w:id="4919" w:name="Bookmark_I5D9HPWH2HM69C0030000400"/>
      <w:bookmarkEnd w:id="4919"/>
      <w:r>
        <w:rPr>
          <w:rFonts w:ascii="Arial" w:eastAsia="Arial" w:hAnsi="Arial" w:cs="Arial"/>
          <w:color w:val="000000"/>
          <w:sz w:val="20"/>
          <w:u w:val="single"/>
        </w:rPr>
        <w:t xml:space="preserve">See </w:t>
      </w:r>
      <w:bookmarkStart w:id="4920" w:name="Bookmark_I5D9HPWH2SF8P10030000400"/>
      <w:bookmarkEnd w:id="4920"/>
      <w:r>
        <w:rPr>
          <w:rFonts w:ascii="Arial" w:eastAsia="Arial" w:hAnsi="Arial" w:cs="Arial"/>
          <w:color w:val="000000"/>
          <w:sz w:val="20"/>
          <w:u w:val="single"/>
        </w:rPr>
        <w:t>Hudson v. Palmer</w:t>
      </w:r>
      <w:r>
        <w:rPr>
          <w:rFonts w:ascii="Arial" w:eastAsia="Arial" w:hAnsi="Arial" w:cs="Arial"/>
          <w:color w:val="000000"/>
          <w:sz w:val="20"/>
        </w:rPr>
        <w:t xml:space="preserve">, 468 U.S. 517, 526, 104 S. Ct. 3194, 82 L. Ed. 2d 393 (1984). </w:t>
      </w:r>
      <w:bookmarkStart w:id="4921" w:name="Bookmark_I5D9HPWH2HM69C0030000400_2"/>
      <w:bookmarkStart w:id="4922" w:name="Bookmark_I5D9HPWH2HM69C0010000400_2"/>
      <w:bookmarkEnd w:id="4921"/>
      <w:bookmarkEnd w:id="4922"/>
      <w:r>
        <w:rPr>
          <w:rFonts w:ascii="Arial" w:eastAsia="Arial" w:hAnsi="Arial" w:cs="Arial"/>
          <w:color w:val="000000"/>
          <w:sz w:val="20"/>
          <w:u w:val="single"/>
        </w:rPr>
        <w:t xml:space="preserve">See also </w:t>
      </w:r>
      <w:bookmarkStart w:id="4923" w:name="Bookmark_I5D9HPWH2SF8P10050000400"/>
      <w:bookmarkEnd w:id="4923"/>
      <w:r>
        <w:rPr>
          <w:rFonts w:ascii="Arial" w:eastAsia="Arial" w:hAnsi="Arial" w:cs="Arial"/>
          <w:color w:val="000000"/>
          <w:sz w:val="20"/>
          <w:u w:val="single"/>
        </w:rPr>
        <w:t>Sanchez v. Pereira-Castillo</w:t>
      </w:r>
      <w:r>
        <w:rPr>
          <w:rFonts w:ascii="Arial" w:eastAsia="Arial" w:hAnsi="Arial" w:cs="Arial"/>
          <w:color w:val="000000"/>
          <w:sz w:val="20"/>
        </w:rPr>
        <w:t>, 590 F.3d 31, 42-44 (1st Cir. 2009). Still, while we have never considered the issue, three [**16]  other circuits have found that prisoners have at least a limited constitutional right against gratuitous disclosures of medical information.</w:t>
      </w:r>
      <w:r>
        <w:rPr>
          <w:rFonts w:ascii="Arial" w:eastAsia="Arial" w:hAnsi="Arial" w:cs="Arial"/>
          <w:vertAlign w:val="superscript"/>
        </w:rPr>
        <w:footnoteReference w:customMarkFollows="1" w:id="182"/>
        <w:t>5</w:t>
      </w:r>
    </w:p>
    <w:p w14:paraId="5ED0D779" w14:textId="77777777" w:rsidR="002D0E71" w:rsidRDefault="00000000">
      <w:pPr>
        <w:pStyle w:val="Normal36"/>
        <w:widowControl w:val="0"/>
        <w:spacing w:before="200" w:line="260" w:lineRule="atLeast"/>
        <w:jc w:val="both"/>
      </w:pPr>
      <w:bookmarkStart w:id="4928" w:name="Bookmark_para_26_24"/>
      <w:bookmarkEnd w:id="4928"/>
      <w:r>
        <w:rPr>
          <w:rFonts w:ascii="Arial" w:eastAsia="Arial" w:hAnsi="Arial" w:cs="Arial"/>
          <w:color w:val="000000"/>
          <w:sz w:val="20"/>
        </w:rPr>
        <w:t xml:space="preserve"> [*144]  We need not decide in this case whether prisoners have a constitutional right to keep medical information private. </w:t>
      </w:r>
      <w:bookmarkStart w:id="4929" w:name="Bookmark_I5PV0GR0FGD000RG2Y30032M"/>
      <w:bookmarkStart w:id="4930" w:name="Bookmark_I5D9HPWH2D6N0F0040000400"/>
      <w:bookmarkEnd w:id="4929"/>
      <w:bookmarkEnd w:id="4930"/>
      <w:r>
        <w:rPr>
          <w:rFonts w:ascii="Arial" w:eastAsia="Arial" w:hAnsi="Arial" w:cs="Arial"/>
          <w:color w:val="000000"/>
          <w:sz w:val="20"/>
        </w:rPr>
        <w:t xml:space="preserve">Rather, because the inadvertent and sporadic disclosures here occurred in the context of a reasonable government policy, the plaintiffs cannot prevail even if the department infringed on a privacy interest protected by the Constitution. </w:t>
      </w:r>
      <w:bookmarkStart w:id="4931" w:name="Bookmark_I5D9HPWH2D6N0G0010000400"/>
      <w:bookmarkEnd w:id="4931"/>
      <w:r>
        <w:rPr>
          <w:rFonts w:ascii="Arial" w:eastAsia="Arial" w:hAnsi="Arial" w:cs="Arial"/>
          <w:color w:val="000000"/>
          <w:sz w:val="20"/>
        </w:rPr>
        <w:t xml:space="preserve">In reaching this conclusion, we rely on a recent Supreme Court case rejecting a privacy claim brought by applicants for employment with government contractors. </w:t>
      </w:r>
      <w:r>
        <w:rPr>
          <w:rFonts w:ascii="Arial" w:eastAsia="Arial" w:hAnsi="Arial" w:cs="Arial"/>
          <w:color w:val="000000"/>
          <w:sz w:val="20"/>
          <w:u w:val="single"/>
        </w:rPr>
        <w:t xml:space="preserve">See </w:t>
      </w:r>
      <w:bookmarkStart w:id="4932" w:name="Bookmark_I5D9HPWH2D6N0F0030000400"/>
      <w:bookmarkEnd w:id="4932"/>
      <w:r>
        <w:rPr>
          <w:rFonts w:ascii="Arial" w:eastAsia="Arial" w:hAnsi="Arial" w:cs="Arial"/>
          <w:color w:val="000000"/>
          <w:sz w:val="20"/>
          <w:u w:val="single"/>
        </w:rPr>
        <w:t>Nelson</w:t>
      </w:r>
      <w:r>
        <w:rPr>
          <w:rFonts w:ascii="Arial" w:eastAsia="Arial" w:hAnsi="Arial" w:cs="Arial"/>
          <w:color w:val="000000"/>
          <w:sz w:val="20"/>
        </w:rPr>
        <w:t xml:space="preserve">, 131 S. Ct. at 759-61. </w:t>
      </w:r>
      <w:bookmarkStart w:id="4933" w:name="Bookmark_I5D9HPWH2D6N0G0010000400_2"/>
      <w:bookmarkEnd w:id="4933"/>
      <w:r>
        <w:rPr>
          <w:rFonts w:ascii="Arial" w:eastAsia="Arial" w:hAnsi="Arial" w:cs="Arial"/>
          <w:color w:val="000000"/>
          <w:sz w:val="20"/>
        </w:rPr>
        <w:t xml:space="preserve">There, applying the same precedents relied upon by the plaintiffs here, </w:t>
      </w:r>
      <w:bookmarkStart w:id="4934" w:name="Bookmark_LNHNREFclscc5_29"/>
      <w:bookmarkEnd w:id="4934"/>
      <w:r>
        <w:rPr>
          <w:rFonts w:ascii="Arial" w:eastAsia="Arial" w:hAnsi="Arial" w:cs="Arial"/>
          <w:color w:val="000000"/>
          <w:sz w:val="20"/>
        </w:rPr>
        <w:t xml:space="preserve">the Court found no basis to enjoin a policy that required collecting sensitive medical information about the applicants unless the plaintiffs established that the policy was not "reasonable." </w:t>
      </w:r>
      <w:r>
        <w:rPr>
          <w:rFonts w:ascii="Arial" w:eastAsia="Arial" w:hAnsi="Arial" w:cs="Arial"/>
          <w:color w:val="000000"/>
          <w:sz w:val="20"/>
          <w:u w:val="single"/>
        </w:rPr>
        <w:t>See id</w:t>
      </w:r>
      <w:r>
        <w:rPr>
          <w:rFonts w:ascii="Arial" w:eastAsia="Arial" w:hAnsi="Arial" w:cs="Arial"/>
          <w:color w:val="000000"/>
          <w:sz w:val="20"/>
        </w:rPr>
        <w:t xml:space="preserve">. At least the same bar should apply [**17]  when plaintiffs challenge the government's administration of prisons, where state officials face problems "not susceptible to easy solutions" and therefore receive "wide-ranging deference." </w:t>
      </w:r>
      <w:bookmarkStart w:id="4935" w:name="Bookmark_I5D9HPWH2D6N0F0050000400"/>
      <w:bookmarkEnd w:id="4935"/>
      <w:r>
        <w:rPr>
          <w:rFonts w:ascii="Arial" w:eastAsia="Arial" w:hAnsi="Arial" w:cs="Arial"/>
          <w:color w:val="000000"/>
          <w:sz w:val="20"/>
          <w:u w:val="single"/>
        </w:rPr>
        <w:t>Bell v. Wolfish</w:t>
      </w:r>
      <w:r>
        <w:rPr>
          <w:rFonts w:ascii="Arial" w:eastAsia="Arial" w:hAnsi="Arial" w:cs="Arial"/>
          <w:color w:val="000000"/>
          <w:sz w:val="20"/>
        </w:rPr>
        <w:t>, 441 U.S. 520, 547, 99 S. Ct. 1861, 60 L. Ed. 2d 447 (1979).</w:t>
      </w:r>
    </w:p>
    <w:p w14:paraId="0CE733DF" w14:textId="77777777" w:rsidR="002D0E71" w:rsidRDefault="00000000">
      <w:pPr>
        <w:pStyle w:val="Normal36"/>
        <w:widowControl w:val="0"/>
        <w:spacing w:before="200" w:line="260" w:lineRule="atLeast"/>
        <w:jc w:val="both"/>
      </w:pPr>
      <w:bookmarkStart w:id="4936" w:name="Bookmark_para_27_24"/>
      <w:bookmarkStart w:id="4937" w:name="Bookmark_I5PV0GR0K9J000RG2Y30032N"/>
      <w:bookmarkStart w:id="4938" w:name="Bookmark_I5D9HPWH2D6N0G0030000400"/>
      <w:bookmarkEnd w:id="4936"/>
      <w:bookmarkEnd w:id="4937"/>
      <w:bookmarkEnd w:id="4938"/>
      <w:r>
        <w:rPr>
          <w:rFonts w:ascii="Arial" w:eastAsia="Arial" w:hAnsi="Arial" w:cs="Arial"/>
          <w:color w:val="000000"/>
          <w:sz w:val="20"/>
        </w:rPr>
        <w:t xml:space="preserve">Our preceding analysis of the Eighth Amendment claim demonstrates that the prison's policy was not unreasonable, and that the injunction sought by the plaintiffs would threaten to eliminate significant cost savings while quite possibly posing a risk that gains in overall health would also be lost. The plaintiffs retort that the department could have adopted a narrower policy that would have substantially matched the benefits of its current policy while better protecting their privacy: individualized determinations of how medicine is distributed to each prisoner. [Reply Br. at 26.] Yet, the Supreme Court in </w:t>
      </w:r>
      <w:r>
        <w:rPr>
          <w:rFonts w:ascii="Arial" w:eastAsia="Arial" w:hAnsi="Arial" w:cs="Arial"/>
          <w:color w:val="000000"/>
          <w:sz w:val="20"/>
          <w:u w:val="single"/>
        </w:rPr>
        <w:t>Nelson</w:t>
      </w:r>
      <w:r>
        <w:rPr>
          <w:rFonts w:ascii="Arial" w:eastAsia="Arial" w:hAnsi="Arial" w:cs="Arial"/>
          <w:color w:val="000000"/>
          <w:sz w:val="20"/>
        </w:rPr>
        <w:t xml:space="preserve"> squarely rejected the claim that the government must employ the "least restrictive means of furthering its interest" in order to avoid disclosures of personal information. </w:t>
      </w:r>
      <w:bookmarkStart w:id="4939" w:name="Bookmark_I5D9HPWH2D6N0G0020000400"/>
      <w:bookmarkEnd w:id="4939"/>
      <w:r>
        <w:rPr>
          <w:rFonts w:ascii="Arial" w:eastAsia="Arial" w:hAnsi="Arial" w:cs="Arial"/>
          <w:color w:val="000000"/>
          <w:sz w:val="20"/>
        </w:rPr>
        <w:t>131 S. Ct. at 761. On these facts, the use of an otherwise reasonable and customary dispensing practice does not violate any constitutional privacy rights merely because other prisoners may infer what medications a prisoner is taking and what disease [**18]  he suffers from.</w:t>
      </w:r>
    </w:p>
    <w:p w14:paraId="1CBDAF9B" w14:textId="77777777" w:rsidR="002D0E71" w:rsidRDefault="00000000">
      <w:pPr>
        <w:pStyle w:val="Normal36"/>
        <w:widowControl w:val="0"/>
        <w:spacing w:before="240" w:line="260" w:lineRule="atLeast"/>
      </w:pPr>
      <w:r>
        <w:br/>
      </w:r>
      <w:r>
        <w:rPr>
          <w:rFonts w:ascii="Arial" w:eastAsia="Arial" w:hAnsi="Arial" w:cs="Arial"/>
          <w:b/>
          <w:color w:val="000000"/>
          <w:sz w:val="20"/>
        </w:rPr>
        <w:t>C. Americans with Disabilities Act and Rehabilitation Act</w:t>
      </w:r>
    </w:p>
    <w:p w14:paraId="34068CA0" w14:textId="77777777" w:rsidR="002D0E71" w:rsidRDefault="00000000">
      <w:pPr>
        <w:pStyle w:val="Normal36"/>
        <w:widowControl w:val="0"/>
        <w:spacing w:before="200" w:line="260" w:lineRule="atLeast"/>
        <w:jc w:val="both"/>
      </w:pPr>
      <w:bookmarkStart w:id="4940" w:name="Bookmark_para_28_21"/>
      <w:bookmarkEnd w:id="4940"/>
      <w:r>
        <w:rPr>
          <w:rFonts w:ascii="Arial" w:eastAsia="Arial" w:hAnsi="Arial" w:cs="Arial"/>
          <w:color w:val="000000"/>
          <w:sz w:val="20"/>
        </w:rPr>
        <w:t xml:space="preserve">In addition to their constitutional claims, the plaintiffs press statutory claims based on the Americans with Disabilities Act ("ADA"), 42 U.S.C. § 12132, and the Rehabilitation Act, 29 U.S.C. § 794. The parties agree that we need make no distinction between the two statutes for purposes of our analysis in this case. [BB at 18 n. 7; RB at 30 n. 9.] </w:t>
      </w:r>
      <w:bookmarkStart w:id="4941" w:name="Bookmark_LNHNREFclscc6_28"/>
      <w:bookmarkEnd w:id="4941"/>
      <w:r>
        <w:rPr>
          <w:rFonts w:ascii="Arial" w:eastAsia="Arial" w:hAnsi="Arial" w:cs="Arial"/>
          <w:color w:val="000000"/>
          <w:sz w:val="20"/>
        </w:rPr>
        <w:t xml:space="preserve">Both statutes provide, in nearly identical language, that "no qualified individual with a disability shall, by reason of such disability, be excluded from participation in or be denied the benefits of the services, programs, or activities of a public entity, or be subjected to discrimination by any such entity." 42 U.S.C. § 12132; </w:t>
      </w:r>
      <w:r>
        <w:rPr>
          <w:rFonts w:ascii="Arial" w:eastAsia="Arial" w:hAnsi="Arial" w:cs="Arial"/>
          <w:color w:val="000000"/>
          <w:sz w:val="20"/>
          <w:u w:val="single"/>
        </w:rPr>
        <w:t>see also</w:t>
      </w:r>
      <w:r>
        <w:rPr>
          <w:rFonts w:ascii="Arial" w:eastAsia="Arial" w:hAnsi="Arial" w:cs="Arial"/>
          <w:color w:val="000000"/>
          <w:sz w:val="20"/>
        </w:rPr>
        <w:t xml:space="preserve"> 29 U.S.C. § 794(a). The plaintiffs correctly argue that their condition qualifies as a disability under the statutes. </w:t>
      </w:r>
      <w:r>
        <w:rPr>
          <w:rFonts w:ascii="Arial" w:eastAsia="Arial" w:hAnsi="Arial" w:cs="Arial"/>
          <w:color w:val="000000"/>
          <w:sz w:val="20"/>
          <w:u w:val="single"/>
        </w:rPr>
        <w:t>See</w:t>
      </w:r>
      <w:r>
        <w:rPr>
          <w:rFonts w:ascii="Arial" w:eastAsia="Arial" w:hAnsi="Arial" w:cs="Arial"/>
          <w:color w:val="000000"/>
          <w:sz w:val="20"/>
        </w:rPr>
        <w:t xml:space="preserve"> 42 U.S.C.A. § 12102(2)(B).</w:t>
      </w:r>
    </w:p>
    <w:p w14:paraId="7A4D9C41" w14:textId="77777777" w:rsidR="002D0E71" w:rsidRDefault="00000000">
      <w:pPr>
        <w:pStyle w:val="Normal36"/>
        <w:widowControl w:val="0"/>
        <w:spacing w:before="200" w:line="260" w:lineRule="atLeast"/>
        <w:jc w:val="both"/>
      </w:pPr>
      <w:bookmarkStart w:id="4942" w:name="Bookmark_para_29_21"/>
      <w:bookmarkStart w:id="4943" w:name="Bookmark_I5PV0GR0R4P000RG2Y30032P"/>
      <w:bookmarkStart w:id="4944" w:name="Bookmark_I5D9HPWH2D6N0G0050000400"/>
      <w:bookmarkStart w:id="4945" w:name="Bookmark_LNHNREFclscc7_27"/>
      <w:bookmarkEnd w:id="4942"/>
      <w:bookmarkEnd w:id="4943"/>
      <w:bookmarkEnd w:id="4944"/>
      <w:bookmarkEnd w:id="4945"/>
      <w:r>
        <w:rPr>
          <w:rFonts w:ascii="Arial" w:eastAsia="Arial" w:hAnsi="Arial" w:cs="Arial"/>
          <w:color w:val="000000"/>
          <w:sz w:val="20"/>
        </w:rPr>
        <w:t xml:space="preserve">A plaintiff can press several different types of claims of disability discrimination. First, a plaintiff can assert disparate treatment on account of disability, i.e., that the disability actually motivated the defendant's challenged adverse conduct. </w:t>
      </w:r>
      <w:bookmarkStart w:id="4946" w:name="Bookmark_I5D9HPWH2D6N0J0020000400"/>
      <w:bookmarkEnd w:id="4946"/>
      <w:r>
        <w:rPr>
          <w:rFonts w:ascii="Arial" w:eastAsia="Arial" w:hAnsi="Arial" w:cs="Arial"/>
          <w:color w:val="000000"/>
          <w:sz w:val="20"/>
          <w:u w:val="single"/>
        </w:rPr>
        <w:t xml:space="preserve">See </w:t>
      </w:r>
      <w:bookmarkStart w:id="4947" w:name="Bookmark_I5D9HPWH2D6N0G0040000400"/>
      <w:bookmarkEnd w:id="4947"/>
      <w:r>
        <w:rPr>
          <w:rFonts w:ascii="Arial" w:eastAsia="Arial" w:hAnsi="Arial" w:cs="Arial"/>
          <w:color w:val="000000"/>
          <w:sz w:val="20"/>
          <w:u w:val="single"/>
        </w:rPr>
        <w:t>Raytheon Co. v. Hernandez</w:t>
      </w:r>
      <w:r>
        <w:rPr>
          <w:rFonts w:ascii="Arial" w:eastAsia="Arial" w:hAnsi="Arial" w:cs="Arial"/>
          <w:color w:val="000000"/>
          <w:sz w:val="20"/>
        </w:rPr>
        <w:t xml:space="preserve">, 540 U.S. 44, 52-53,  [*145]  124 S. Ct. 513, 157 L. Ed. 2d 357 (2003). </w:t>
      </w:r>
      <w:bookmarkStart w:id="4948" w:name="Bookmark_I5D9HPWH2D6N0J0020000400_2"/>
      <w:bookmarkStart w:id="4949" w:name="Bookmark_I5D9HPWH28T4RG0010000400"/>
      <w:bookmarkEnd w:id="4948"/>
      <w:bookmarkEnd w:id="4949"/>
      <w:r>
        <w:rPr>
          <w:rFonts w:ascii="Arial" w:eastAsia="Arial" w:hAnsi="Arial" w:cs="Arial"/>
          <w:color w:val="000000"/>
          <w:sz w:val="20"/>
        </w:rPr>
        <w:t xml:space="preserve">Such claims are governed by the same analytic framework governing claims of racial discrimination under Title VII of the Civil Rights Act of 1964. [**19]  </w:t>
      </w:r>
      <w:bookmarkStart w:id="4950" w:name="Bookmark_I5D9HPWH28T4RG0030000400"/>
      <w:bookmarkStart w:id="4951" w:name="Bookmark_I5D9HPWH2D6N0K0020000400"/>
      <w:bookmarkStart w:id="4952" w:name="Bookmark_I5D9HPWH2D6N0J0010000400"/>
      <w:bookmarkEnd w:id="4950"/>
      <w:bookmarkEnd w:id="4951"/>
      <w:bookmarkEnd w:id="4952"/>
      <w:r>
        <w:rPr>
          <w:rFonts w:ascii="Arial" w:eastAsia="Arial" w:hAnsi="Arial" w:cs="Arial"/>
          <w:color w:val="000000"/>
          <w:sz w:val="20"/>
          <w:u w:val="single"/>
        </w:rPr>
        <w:t>Id</w:t>
      </w:r>
      <w:r>
        <w:rPr>
          <w:rFonts w:ascii="Arial" w:eastAsia="Arial" w:hAnsi="Arial" w:cs="Arial"/>
          <w:color w:val="000000"/>
          <w:sz w:val="20"/>
        </w:rPr>
        <w:t xml:space="preserve">. at 50-52; </w:t>
      </w:r>
      <w:r>
        <w:rPr>
          <w:rFonts w:ascii="Arial" w:eastAsia="Arial" w:hAnsi="Arial" w:cs="Arial"/>
          <w:color w:val="000000"/>
          <w:sz w:val="20"/>
          <w:u w:val="single"/>
        </w:rPr>
        <w:t xml:space="preserve">see also </w:t>
      </w:r>
      <w:bookmarkStart w:id="4953" w:name="Bookmark_I5D9HPWH2D6N0J0030000400"/>
      <w:bookmarkEnd w:id="4953"/>
      <w:r>
        <w:rPr>
          <w:rFonts w:ascii="Arial" w:eastAsia="Arial" w:hAnsi="Arial" w:cs="Arial"/>
          <w:color w:val="000000"/>
          <w:sz w:val="20"/>
          <w:u w:val="single"/>
        </w:rPr>
        <w:t>Regional Econ. Cmty. Action Program, Inc. v. City of Middletown</w:t>
      </w:r>
      <w:r>
        <w:rPr>
          <w:rFonts w:ascii="Arial" w:eastAsia="Arial" w:hAnsi="Arial" w:cs="Arial"/>
          <w:color w:val="000000"/>
          <w:sz w:val="20"/>
        </w:rPr>
        <w:t xml:space="preserve">, 294 F.3d 35, 48 (2d Cir. 2002). </w:t>
      </w:r>
      <w:bookmarkStart w:id="4954" w:name="Bookmark_I5D9HPWH2D6N0K0020000400_2"/>
      <w:bookmarkStart w:id="4955" w:name="Bookmark_I5D9HPWH28T4RG0030000400_2"/>
      <w:bookmarkStart w:id="4956" w:name="Bookmark_I5D9HPWH28T4RG0010000400_2"/>
      <w:bookmarkEnd w:id="4954"/>
      <w:bookmarkEnd w:id="4955"/>
      <w:bookmarkEnd w:id="4956"/>
      <w:r>
        <w:rPr>
          <w:rFonts w:ascii="Arial" w:eastAsia="Arial" w:hAnsi="Arial" w:cs="Arial"/>
          <w:color w:val="000000"/>
          <w:sz w:val="20"/>
        </w:rPr>
        <w:t xml:space="preserve">Alternatively, in an appropriate case a plaintiff can claim that a government policy, though neutral on its face, "fall[s] more harshly on one group than another and cannot be justified by business necessity." </w:t>
      </w:r>
      <w:r>
        <w:rPr>
          <w:rFonts w:ascii="Arial" w:eastAsia="Arial" w:hAnsi="Arial" w:cs="Arial"/>
          <w:color w:val="000000"/>
          <w:sz w:val="20"/>
          <w:u w:val="single"/>
        </w:rPr>
        <w:t xml:space="preserve">See </w:t>
      </w:r>
      <w:bookmarkStart w:id="4957" w:name="Bookmark_I5D9HPWH2D6N0J0050000400"/>
      <w:bookmarkEnd w:id="4957"/>
      <w:r>
        <w:rPr>
          <w:rFonts w:ascii="Arial" w:eastAsia="Arial" w:hAnsi="Arial" w:cs="Arial"/>
          <w:color w:val="000000"/>
          <w:sz w:val="20"/>
          <w:u w:val="single"/>
        </w:rPr>
        <w:t>Raytheon Co</w:t>
      </w:r>
      <w:r>
        <w:rPr>
          <w:rFonts w:ascii="Arial" w:eastAsia="Arial" w:hAnsi="Arial" w:cs="Arial"/>
          <w:color w:val="000000"/>
          <w:sz w:val="20"/>
        </w:rPr>
        <w:t xml:space="preserve">., 540 U.S. at 52 (internal quotation marks omitted); 28 C.F.R. § 35.130(b)(3)(i) (establishing that the ADA prohibits public entities from adopting policies that "have the effect of subjecting qualified individuals with disabilities to discrimination on the basis of disability"). </w:t>
      </w:r>
      <w:bookmarkStart w:id="4958" w:name="Bookmark_I5D9HPWH28T4RG0050000400"/>
      <w:bookmarkEnd w:id="4958"/>
      <w:r>
        <w:rPr>
          <w:rFonts w:ascii="Arial" w:eastAsia="Arial" w:hAnsi="Arial" w:cs="Arial"/>
          <w:color w:val="000000"/>
          <w:sz w:val="20"/>
        </w:rPr>
        <w:t>Finally, a plaintiff can pursue a third path, claiming that a public entity has refused to affirmatively accommodate his or her disability where such accommodation was needed to provide "meaningful access to a public service."</w:t>
      </w:r>
      <w:r>
        <w:rPr>
          <w:rFonts w:ascii="Arial" w:eastAsia="Arial" w:hAnsi="Arial" w:cs="Arial"/>
          <w:vertAlign w:val="superscript"/>
        </w:rPr>
        <w:footnoteReference w:customMarkFollows="1" w:id="183"/>
        <w:t>6</w:t>
      </w:r>
      <w:r>
        <w:rPr>
          <w:rFonts w:ascii="Arial" w:eastAsia="Arial" w:hAnsi="Arial" w:cs="Arial"/>
          <w:color w:val="000000"/>
          <w:sz w:val="20"/>
        </w:rPr>
        <w:t xml:space="preserve"> </w:t>
      </w:r>
      <w:bookmarkStart w:id="4961" w:name="Bookmark_I5D9HPWH28T4RG0020000400"/>
      <w:bookmarkEnd w:id="4961"/>
      <w:r>
        <w:rPr>
          <w:rFonts w:ascii="Arial" w:eastAsia="Arial" w:hAnsi="Arial" w:cs="Arial"/>
          <w:color w:val="000000"/>
          <w:sz w:val="20"/>
          <w:u w:val="single"/>
        </w:rPr>
        <w:t>Henrietta D. v. Bloomberg</w:t>
      </w:r>
      <w:r>
        <w:rPr>
          <w:rFonts w:ascii="Arial" w:eastAsia="Arial" w:hAnsi="Arial" w:cs="Arial"/>
          <w:color w:val="000000"/>
          <w:sz w:val="20"/>
        </w:rPr>
        <w:t xml:space="preserve">, 331 F.3d 261, 273-76 (2d Cir. 2003). </w:t>
      </w:r>
      <w:bookmarkStart w:id="4962" w:name="Bookmark_I5D9HPWH28T4RG0050000400_2"/>
      <w:bookmarkEnd w:id="4962"/>
      <w:r>
        <w:rPr>
          <w:rFonts w:ascii="Arial" w:eastAsia="Arial" w:hAnsi="Arial" w:cs="Arial"/>
          <w:color w:val="000000"/>
          <w:sz w:val="20"/>
        </w:rPr>
        <w:t>Although such claims can be seen as bearing many of the indicia of disparate impact or disparate treatment,</w:t>
      </w:r>
      <w:r>
        <w:rPr>
          <w:rFonts w:ascii="Arial" w:eastAsia="Arial" w:hAnsi="Arial" w:cs="Arial"/>
          <w:vertAlign w:val="superscript"/>
        </w:rPr>
        <w:footnoteReference w:customMarkFollows="1" w:id="184"/>
        <w:t>7</w:t>
      </w:r>
      <w:r>
        <w:rPr>
          <w:rFonts w:ascii="Arial" w:eastAsia="Arial" w:hAnsi="Arial" w:cs="Arial"/>
          <w:color w:val="000000"/>
          <w:sz w:val="20"/>
        </w:rPr>
        <w:t xml:space="preserve"> a plaintiff pursuing such a claim need not directly address and satisfy the elements or methods for proving such theories. </w:t>
      </w:r>
      <w:r>
        <w:rPr>
          <w:rFonts w:ascii="Arial" w:eastAsia="Arial" w:hAnsi="Arial" w:cs="Arial"/>
          <w:color w:val="000000"/>
          <w:sz w:val="20"/>
          <w:u w:val="single"/>
        </w:rPr>
        <w:t xml:space="preserve">See </w:t>
      </w:r>
      <w:bookmarkStart w:id="4964" w:name="Bookmark_I5D9HPWH28T4RG0040000400"/>
      <w:bookmarkEnd w:id="4964"/>
      <w:r>
        <w:rPr>
          <w:rFonts w:ascii="Arial" w:eastAsia="Arial" w:hAnsi="Arial" w:cs="Arial"/>
          <w:color w:val="000000"/>
          <w:sz w:val="20"/>
          <w:u w:val="single"/>
        </w:rPr>
        <w:t>id</w:t>
      </w:r>
      <w:r>
        <w:rPr>
          <w:rFonts w:ascii="Arial" w:eastAsia="Arial" w:hAnsi="Arial" w:cs="Arial"/>
          <w:color w:val="000000"/>
          <w:sz w:val="20"/>
        </w:rPr>
        <w:t>. at 275.</w:t>
      </w:r>
    </w:p>
    <w:p w14:paraId="0E706A6B" w14:textId="77777777" w:rsidR="002D0E71" w:rsidRDefault="00000000">
      <w:pPr>
        <w:pStyle w:val="Normal36"/>
        <w:widowControl w:val="0"/>
        <w:spacing w:before="200" w:line="260" w:lineRule="atLeast"/>
        <w:jc w:val="both"/>
      </w:pPr>
      <w:bookmarkStart w:id="4965" w:name="Bookmark_para_30_20"/>
      <w:bookmarkEnd w:id="4965"/>
      <w:r>
        <w:rPr>
          <w:rFonts w:ascii="Arial" w:eastAsia="Arial" w:hAnsi="Arial" w:cs="Arial"/>
          <w:color w:val="000000"/>
          <w:sz w:val="20"/>
        </w:rPr>
        <w:t>Here, four of the plaintiffs pursue only a claim of disparate treatment. They argue that the department removed their medications from the KOP program simply because they have HIV, while allowing prisoners with other illnesses to continue utilizing it. These four plaintiffs expressly disavow any claim for reasonable accommodation. [BB at 21.] They also make no mention of a disparate impact theory.</w:t>
      </w:r>
    </w:p>
    <w:p w14:paraId="09AF47A4" w14:textId="77777777" w:rsidR="002D0E71" w:rsidRDefault="00000000">
      <w:pPr>
        <w:pStyle w:val="Normal36"/>
        <w:widowControl w:val="0"/>
        <w:spacing w:before="200" w:line="260" w:lineRule="atLeast"/>
        <w:jc w:val="both"/>
      </w:pPr>
      <w:bookmarkStart w:id="4966" w:name="Bookmark_para_31_19"/>
      <w:bookmarkEnd w:id="4966"/>
      <w:r>
        <w:rPr>
          <w:rFonts w:ascii="Arial" w:eastAsia="Arial" w:hAnsi="Arial" w:cs="Arial"/>
          <w:color w:val="000000"/>
          <w:sz w:val="20"/>
        </w:rPr>
        <w:t xml:space="preserve">While these plaintiffs assert disparate treatment in the form of "exclusion . . . from the KOP Program," that assertion is not literally correct. [Reply Br. 5.] They [**21]  can still use the program to receive the same medications that other prisoners can receive through the program. </w:t>
      </w:r>
      <w:bookmarkStart w:id="4967" w:name="Bookmark_I5PV0GR0X7J000RG2Y30032R"/>
      <w:bookmarkStart w:id="4968" w:name="Bookmark_I5D9HPWH2D6N0K0040000400"/>
      <w:bookmarkEnd w:id="4967"/>
      <w:bookmarkEnd w:id="4968"/>
      <w:r>
        <w:rPr>
          <w:rFonts w:ascii="Arial" w:eastAsia="Arial" w:hAnsi="Arial" w:cs="Arial"/>
          <w:color w:val="000000"/>
          <w:sz w:val="20"/>
        </w:rPr>
        <w:t xml:space="preserve">The plaintiffs, of course, need to access HIV medications that other prisoners do not need. But they have not been singled out in this respect: many other medications are also excluded from the program. Moreover, the daily med line provides full access to their HIV medication. Although the plaintiffs regard this as a more burdensome means of access, we see no evidence of any intent by the department to impose that burden on the plaintiffs because they have HIV. </w:t>
      </w:r>
      <w:r>
        <w:rPr>
          <w:rFonts w:ascii="Arial" w:eastAsia="Arial" w:hAnsi="Arial" w:cs="Arial"/>
          <w:color w:val="000000"/>
          <w:sz w:val="20"/>
          <w:u w:val="single"/>
        </w:rPr>
        <w:t xml:space="preserve">See </w:t>
      </w:r>
      <w:bookmarkStart w:id="4969" w:name="Bookmark_I5D9HPWH2D6N0K0030000400"/>
      <w:bookmarkEnd w:id="4969"/>
      <w:r>
        <w:rPr>
          <w:rFonts w:ascii="Arial" w:eastAsia="Arial" w:hAnsi="Arial" w:cs="Arial"/>
          <w:color w:val="000000"/>
          <w:sz w:val="20"/>
          <w:u w:val="single"/>
        </w:rPr>
        <w:t>Raytheon Co</w:t>
      </w:r>
      <w:r>
        <w:rPr>
          <w:rFonts w:ascii="Arial" w:eastAsia="Arial" w:hAnsi="Arial" w:cs="Arial"/>
          <w:color w:val="000000"/>
          <w:sz w:val="20"/>
        </w:rPr>
        <w:t>., 540 U.S. at 52 (</w:t>
      </w:r>
      <w:bookmarkStart w:id="4970" w:name="Bookmark_LNHNREFclscc8_27"/>
      <w:bookmarkEnd w:id="4970"/>
      <w:r>
        <w:rPr>
          <w:rFonts w:ascii="Arial" w:eastAsia="Arial" w:hAnsi="Arial" w:cs="Arial"/>
          <w:color w:val="000000"/>
          <w:sz w:val="20"/>
        </w:rPr>
        <w:t>"Liability in a disparate-treatment case [under the ADA] depends on whether the protected trait actually motivated the employer's decision." (internal quotation marks, alterations omitted)). Rather, the prison has offered non-discriminatory  [*146]  grounds for its decision, the reasonableness of which the plaintiffs have been unable to effectively challenge.</w:t>
      </w:r>
    </w:p>
    <w:p w14:paraId="245C1DF8" w14:textId="77777777" w:rsidR="002D0E71" w:rsidRDefault="00000000">
      <w:pPr>
        <w:pStyle w:val="Normal36"/>
        <w:widowControl w:val="0"/>
        <w:spacing w:before="200" w:line="260" w:lineRule="atLeast"/>
        <w:jc w:val="both"/>
      </w:pPr>
      <w:bookmarkStart w:id="4971" w:name="Bookmark_para_32_18"/>
      <w:bookmarkEnd w:id="4971"/>
      <w:r>
        <w:rPr>
          <w:rFonts w:ascii="Arial" w:eastAsia="Arial" w:hAnsi="Arial" w:cs="Arial"/>
          <w:color w:val="000000"/>
          <w:sz w:val="20"/>
        </w:rPr>
        <w:t>In sum, even viewed favorably to the plaintiffs, the record shows that the department provides meaningful access to HIV medications through the daily med line; and its decision to provide access in that manner is driven by cost savings backed up by data suggesting [**22]  a positive, or at worst neutral, impact on the health of the HIV-positive prison population. On such a record, no jury could find for plaintiffs on their disparate treatment claim.</w:t>
      </w:r>
    </w:p>
    <w:p w14:paraId="7CF68031" w14:textId="77777777" w:rsidR="002D0E71" w:rsidRDefault="00000000">
      <w:pPr>
        <w:pStyle w:val="Normal36"/>
        <w:widowControl w:val="0"/>
        <w:spacing w:before="200" w:line="260" w:lineRule="atLeast"/>
        <w:jc w:val="both"/>
      </w:pPr>
      <w:bookmarkStart w:id="4972" w:name="Bookmark_para_33_17"/>
      <w:bookmarkEnd w:id="4972"/>
      <w:r>
        <w:rPr>
          <w:rFonts w:ascii="Arial" w:eastAsia="Arial" w:hAnsi="Arial" w:cs="Arial"/>
          <w:color w:val="000000"/>
          <w:sz w:val="20"/>
        </w:rPr>
        <w:t>We next turn to the claim brought by one plaintiff, Richard Nunes, for denial of reasonable accommodation. Nunes claims that he cannot attend the daily med line due to back pain, chronic diarrhea, and other illness. He contends that he is unable to do so even though the department has offered several accommodations: the use of a rolling walker and the ability to sit on a bench or use the bathroom while maintaining his place in line.</w:t>
      </w:r>
    </w:p>
    <w:p w14:paraId="17A0D47C" w14:textId="77777777" w:rsidR="002D0E71" w:rsidRDefault="00000000">
      <w:pPr>
        <w:pStyle w:val="Normal36"/>
        <w:widowControl w:val="0"/>
        <w:spacing w:before="200" w:line="260" w:lineRule="atLeast"/>
        <w:jc w:val="both"/>
      </w:pPr>
      <w:bookmarkStart w:id="4973" w:name="Bookmark_para_34_16"/>
      <w:bookmarkEnd w:id="4973"/>
      <w:r>
        <w:rPr>
          <w:rFonts w:ascii="Arial" w:eastAsia="Arial" w:hAnsi="Arial" w:cs="Arial"/>
          <w:color w:val="000000"/>
          <w:sz w:val="20"/>
        </w:rPr>
        <w:t>Nunes offered no medical evidence supporting this claimed inability. The absence of such evidence is especially pertinent because the record is undisputed that Nunes regularly walks to and from the prison cafeteria and engages in exercise, [App. at 155-56] and that he recently had jobs walking with a blind prisoner and cleaning corridors [App. at 153-154]. In the event Nunes nevertheless becomes so ill that he cannot leave his cell, the department has extended a standing offer to move him to the medical unit where he can receive his medications daily in accord with normal department procedures applicable to [**23]  all seriously ill inmates.</w:t>
      </w:r>
      <w:r>
        <w:rPr>
          <w:rFonts w:ascii="Arial" w:eastAsia="Arial" w:hAnsi="Arial" w:cs="Arial"/>
          <w:vertAlign w:val="superscript"/>
        </w:rPr>
        <w:footnoteReference w:customMarkFollows="1" w:id="185"/>
        <w:t>8</w:t>
      </w:r>
      <w:r>
        <w:rPr>
          <w:rFonts w:ascii="Arial" w:eastAsia="Arial" w:hAnsi="Arial" w:cs="Arial"/>
          <w:color w:val="000000"/>
          <w:sz w:val="20"/>
        </w:rPr>
        <w:t xml:space="preserve"> His only rejoinder is that he does not actually get quite ill enough to need the medical unit, and he would not want to move to the unit because he would lose his current cell and not have as much access to his property. [BB at 41-42.]</w:t>
      </w:r>
    </w:p>
    <w:p w14:paraId="1004561E" w14:textId="77777777" w:rsidR="002D0E71" w:rsidRDefault="00000000">
      <w:pPr>
        <w:pStyle w:val="Normal36"/>
        <w:widowControl w:val="0"/>
        <w:spacing w:before="200" w:line="260" w:lineRule="atLeast"/>
        <w:jc w:val="both"/>
      </w:pPr>
      <w:bookmarkStart w:id="4975" w:name="Bookmark_para_35_16"/>
      <w:bookmarkStart w:id="4976" w:name="Bookmark_I5D9HPWH2D6N0M0010000400"/>
      <w:bookmarkStart w:id="4977" w:name="Bookmark_I5PV0GR15WV000RG2Y30032T"/>
      <w:bookmarkStart w:id="4978" w:name="Bookmark_I5D9HPWH2HM69K0020000400"/>
      <w:bookmarkStart w:id="4979" w:name="Bookmark_I5PV0GR122P000RG2Y30032S"/>
      <w:bookmarkStart w:id="4980" w:name="Bookmark_I5D9HPWH2N1R030010000400"/>
      <w:bookmarkEnd w:id="4975"/>
      <w:bookmarkEnd w:id="4976"/>
      <w:bookmarkEnd w:id="4977"/>
      <w:bookmarkEnd w:id="4978"/>
      <w:bookmarkEnd w:id="4979"/>
      <w:bookmarkEnd w:id="4980"/>
      <w:r>
        <w:rPr>
          <w:rFonts w:ascii="Arial" w:eastAsia="Arial" w:hAnsi="Arial" w:cs="Arial"/>
          <w:color w:val="000000"/>
          <w:sz w:val="20"/>
        </w:rPr>
        <w:t xml:space="preserve">But Nunes has provided no evidence that there even exists, much less that he lives within, a medical no man's land between being unable to go to the daily med line and warranting transfer to the medical unit. On such a record, no reasonable factfinder could find the department's accommodations were not a reasonable means of providing Nunes with meaningful access to his medication. </w:t>
      </w:r>
      <w:bookmarkStart w:id="4981" w:name="Bookmark_LNHNREFclscc9_25"/>
      <w:bookmarkEnd w:id="4981"/>
      <w:r>
        <w:rPr>
          <w:rFonts w:ascii="Arial" w:eastAsia="Arial" w:hAnsi="Arial" w:cs="Arial"/>
          <w:color w:val="000000"/>
          <w:sz w:val="20"/>
        </w:rPr>
        <w:t xml:space="preserve">The statutes entitle Nunes to reasonable accommodations, not to optimal ones finely tuned to his preferences. </w:t>
      </w:r>
      <w:r>
        <w:rPr>
          <w:rFonts w:ascii="Arial" w:eastAsia="Arial" w:hAnsi="Arial" w:cs="Arial"/>
          <w:color w:val="000000"/>
          <w:sz w:val="20"/>
          <w:u w:val="single"/>
        </w:rPr>
        <w:t xml:space="preserve">See </w:t>
      </w:r>
      <w:bookmarkStart w:id="4982" w:name="Bookmark_I5D9HPWH2D6N0K0050000400"/>
      <w:bookmarkEnd w:id="4982"/>
      <w:r>
        <w:rPr>
          <w:rFonts w:ascii="Arial" w:eastAsia="Arial" w:hAnsi="Arial" w:cs="Arial"/>
          <w:color w:val="000000"/>
          <w:sz w:val="20"/>
          <w:u w:val="single"/>
        </w:rPr>
        <w:t>J.D. ex rel. J.D. v. Pawlet Sch. Dist</w:t>
      </w:r>
      <w:r>
        <w:rPr>
          <w:rFonts w:ascii="Arial" w:eastAsia="Arial" w:hAnsi="Arial" w:cs="Arial"/>
          <w:color w:val="000000"/>
          <w:sz w:val="20"/>
        </w:rPr>
        <w:t xml:space="preserve">., 224 F.3d 60, 71-72 (2d Cir. 2000); </w:t>
      </w:r>
      <w:bookmarkStart w:id="4983" w:name="Bookmark_I5D9HPWH2D6N0M0020000400"/>
      <w:bookmarkEnd w:id="4983"/>
      <w:r>
        <w:rPr>
          <w:rFonts w:ascii="Arial" w:eastAsia="Arial" w:hAnsi="Arial" w:cs="Arial"/>
          <w:color w:val="000000"/>
          <w:sz w:val="20"/>
          <w:u w:val="single"/>
        </w:rPr>
        <w:t>Corrigan v. Perry</w:t>
      </w:r>
      <w:r>
        <w:rPr>
          <w:rFonts w:ascii="Arial" w:eastAsia="Arial" w:hAnsi="Arial" w:cs="Arial"/>
          <w:color w:val="000000"/>
          <w:sz w:val="20"/>
        </w:rPr>
        <w:t xml:space="preserve">, 139 F.3d 888, *8-9 [published in full-text format at </w:t>
      </w:r>
      <w:bookmarkStart w:id="4984" w:name="Bookmark_I5D9HPWH2D6N0M0040000400"/>
      <w:bookmarkEnd w:id="4984"/>
      <w:r>
        <w:rPr>
          <w:rFonts w:ascii="Arial" w:eastAsia="Arial" w:hAnsi="Arial" w:cs="Arial"/>
          <w:color w:val="000000"/>
          <w:sz w:val="20"/>
        </w:rPr>
        <w:t>1998 U.S. App. LEXIS 5859] (4th Cir. 1998) (unpublished).</w:t>
      </w:r>
      <w:r>
        <w:rPr>
          <w:rFonts w:ascii="Arial" w:eastAsia="Arial" w:hAnsi="Arial" w:cs="Arial"/>
          <w:vertAlign w:val="superscript"/>
        </w:rPr>
        <w:footnoteReference w:customMarkFollows="1" w:id="186"/>
        <w:t>9</w:t>
      </w:r>
    </w:p>
    <w:p w14:paraId="116871CD" w14:textId="77777777" w:rsidR="002D0E71" w:rsidRDefault="00000000">
      <w:pPr>
        <w:pStyle w:val="Normal36"/>
        <w:widowControl w:val="0"/>
        <w:spacing w:before="240" w:line="260" w:lineRule="atLeast"/>
      </w:pPr>
      <w:r>
        <w:br/>
      </w:r>
      <w:r>
        <w:rPr>
          <w:rFonts w:ascii="Arial" w:eastAsia="Arial" w:hAnsi="Arial" w:cs="Arial"/>
          <w:b/>
          <w:color w:val="000000"/>
          <w:sz w:val="20"/>
        </w:rPr>
        <w:t>IV. Conclusion</w:t>
      </w:r>
    </w:p>
    <w:p w14:paraId="6EE28216" w14:textId="77777777" w:rsidR="002D0E71" w:rsidRDefault="00000000">
      <w:pPr>
        <w:pStyle w:val="Normal36"/>
        <w:widowControl w:val="0"/>
        <w:spacing w:before="200" w:line="260" w:lineRule="atLeast"/>
        <w:jc w:val="both"/>
      </w:pPr>
      <w:bookmarkStart w:id="4990" w:name="Bookmark_para_36_16"/>
      <w:bookmarkEnd w:id="4990"/>
      <w:r>
        <w:rPr>
          <w:rFonts w:ascii="Arial" w:eastAsia="Arial" w:hAnsi="Arial" w:cs="Arial"/>
          <w:color w:val="000000"/>
          <w:sz w:val="20"/>
        </w:rPr>
        <w:t xml:space="preserve">Although the plaintiffs have raised questions about the wisdom of the department's policies, they have not produced adequate evidence of any constitutional or statutory violation. Consequently, and for the reasons outlined above, we </w:t>
      </w:r>
      <w:r>
        <w:rPr>
          <w:rFonts w:ascii="Arial" w:eastAsia="Arial" w:hAnsi="Arial" w:cs="Arial"/>
          <w:color w:val="000000"/>
          <w:sz w:val="20"/>
          <w:u w:val="single"/>
        </w:rPr>
        <w:t>affirm</w:t>
      </w:r>
      <w:r>
        <w:rPr>
          <w:rFonts w:ascii="Arial" w:eastAsia="Arial" w:hAnsi="Arial" w:cs="Arial"/>
          <w:color w:val="000000"/>
          <w:sz w:val="20"/>
        </w:rPr>
        <w:t xml:space="preserve"> the  [*147]  grant of summary judgment to the defendants on all claims.</w:t>
      </w:r>
    </w:p>
    <w:p w14:paraId="02A5842D" w14:textId="77777777" w:rsidR="002D0E71" w:rsidRDefault="00000000">
      <w:pPr>
        <w:pStyle w:val="Normal36"/>
        <w:widowControl w:val="0"/>
        <w:spacing w:before="200" w:line="260" w:lineRule="atLeast"/>
        <w:jc w:val="both"/>
      </w:pPr>
      <w:bookmarkStart w:id="4991" w:name="Bookmark_para_37_16"/>
      <w:bookmarkEnd w:id="4991"/>
      <w:r>
        <w:rPr>
          <w:rFonts w:ascii="Arial" w:eastAsia="Arial" w:hAnsi="Arial" w:cs="Arial"/>
          <w:color w:val="000000"/>
          <w:sz w:val="20"/>
          <w:u w:val="single"/>
        </w:rPr>
        <w:t>So ordered</w:t>
      </w:r>
      <w:r>
        <w:rPr>
          <w:rFonts w:ascii="Arial" w:eastAsia="Arial" w:hAnsi="Arial" w:cs="Arial"/>
          <w:color w:val="000000"/>
          <w:sz w:val="20"/>
        </w:rPr>
        <w:t>.</w:t>
      </w:r>
    </w:p>
    <w:p w14:paraId="22CC6154" w14:textId="77777777" w:rsidR="002D0E71" w:rsidRDefault="002D0E71">
      <w:pPr>
        <w:pStyle w:val="Normal36"/>
      </w:pPr>
    </w:p>
    <w:p w14:paraId="15BEA917" w14:textId="6D3865B5" w:rsidR="002D0E71" w:rsidRDefault="00000000">
      <w:pPr>
        <w:pStyle w:val="Normal36"/>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35040" behindDoc="0" locked="0" layoutInCell="1" allowOverlap="1" wp14:anchorId="055905A6" wp14:editId="2B656DF7">
                <wp:simplePos x="0" y="0"/>
                <wp:positionH relativeFrom="column">
                  <wp:posOffset>0</wp:posOffset>
                </wp:positionH>
                <wp:positionV relativeFrom="paragraph">
                  <wp:posOffset>127000</wp:posOffset>
                </wp:positionV>
                <wp:extent cx="6502400" cy="0"/>
                <wp:effectExtent l="9525" t="12700" r="12700" b="6350"/>
                <wp:wrapNone/>
                <wp:docPr id="597671876"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9AC43D" id="Line 78"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E698C1B" w14:textId="77777777" w:rsidR="002D0E71" w:rsidRDefault="002D0E71">
      <w:pPr>
        <w:pStyle w:val="Normal37"/>
        <w:sectPr w:rsidR="002D0E71">
          <w:headerReference w:type="even" r:id="rId230"/>
          <w:headerReference w:type="default" r:id="rId231"/>
          <w:footerReference w:type="even" r:id="rId232"/>
          <w:footerReference w:type="default" r:id="rId233"/>
          <w:headerReference w:type="first" r:id="rId234"/>
          <w:footerReference w:type="first" r:id="rId235"/>
          <w:pgSz w:w="12240" w:h="15840"/>
          <w:pgMar w:top="840" w:right="1000" w:bottom="840" w:left="1000" w:header="400" w:footer="400" w:gutter="0"/>
          <w:cols w:space="720"/>
          <w:titlePg/>
        </w:sectPr>
      </w:pPr>
    </w:p>
    <w:p w14:paraId="4230BCDA" w14:textId="77777777" w:rsidR="002D0E71" w:rsidRDefault="002D0E71">
      <w:pPr>
        <w:pStyle w:val="Normal37"/>
      </w:pPr>
    </w:p>
    <w:p w14:paraId="62C9D740" w14:textId="77777777" w:rsidR="002D0E71" w:rsidRDefault="00000000">
      <w:pPr>
        <w:pStyle w:val="Heading136"/>
        <w:keepNext w:val="0"/>
        <w:widowControl w:val="0"/>
        <w:spacing w:after="200" w:line="340" w:lineRule="atLeast"/>
        <w:jc w:val="center"/>
      </w:pPr>
      <w:r>
        <w:rPr>
          <w:rFonts w:eastAsia="Arial"/>
          <w:color w:val="000000"/>
          <w:sz w:val="28"/>
        </w:rPr>
        <w:t>Fortyune v. City of Lomita</w:t>
      </w:r>
    </w:p>
    <w:p w14:paraId="7453AD34" w14:textId="77777777" w:rsidR="002D0E71" w:rsidRDefault="00000000">
      <w:pPr>
        <w:pStyle w:val="Normal37"/>
        <w:widowControl w:val="0"/>
        <w:spacing w:before="120" w:line="260" w:lineRule="atLeast"/>
        <w:jc w:val="center"/>
      </w:pPr>
      <w:r>
        <w:rPr>
          <w:rFonts w:ascii="Arial" w:eastAsia="Arial" w:hAnsi="Arial" w:cs="Arial"/>
          <w:color w:val="000000"/>
          <w:sz w:val="20"/>
        </w:rPr>
        <w:t>United States Court of Appeals for the Ninth Circuit</w:t>
      </w:r>
    </w:p>
    <w:p w14:paraId="4928A6DD" w14:textId="77777777" w:rsidR="002D0E71" w:rsidRDefault="00000000">
      <w:pPr>
        <w:pStyle w:val="Normal37"/>
        <w:widowControl w:val="0"/>
        <w:spacing w:before="120" w:line="260" w:lineRule="atLeast"/>
        <w:jc w:val="center"/>
      </w:pPr>
      <w:r>
        <w:rPr>
          <w:rFonts w:ascii="Arial" w:eastAsia="Arial" w:hAnsi="Arial" w:cs="Arial"/>
          <w:color w:val="000000"/>
          <w:sz w:val="20"/>
        </w:rPr>
        <w:t>February 13, 2014, Argued and Submitted, Pasadena, California; September 5, 2014, Filed</w:t>
      </w:r>
    </w:p>
    <w:p w14:paraId="3796599B" w14:textId="77777777" w:rsidR="002D0E71" w:rsidRDefault="00000000">
      <w:pPr>
        <w:pStyle w:val="Normal37"/>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12-56280</w:t>
      </w:r>
    </w:p>
    <w:p w14:paraId="1DF869AD" w14:textId="77777777" w:rsidR="002D0E71" w:rsidRDefault="002D0E71">
      <w:pPr>
        <w:pStyle w:val="Normal37"/>
        <w:widowControl w:val="0"/>
        <w:spacing w:line="240" w:lineRule="atLeast"/>
        <w:jc w:val="both"/>
      </w:pPr>
      <w:bookmarkStart w:id="4992" w:name="Bookmark_38"/>
      <w:bookmarkEnd w:id="4992"/>
    </w:p>
    <w:p w14:paraId="5DFAC792" w14:textId="77777777" w:rsidR="002D0E71" w:rsidRDefault="00000000">
      <w:pPr>
        <w:pStyle w:val="Normal37"/>
        <w:widowControl w:val="0"/>
        <w:spacing w:before="200" w:line="240" w:lineRule="atLeast"/>
      </w:pPr>
      <w:bookmarkStart w:id="4993" w:name="Reporter_36"/>
      <w:bookmarkEnd w:id="4993"/>
      <w:r>
        <w:rPr>
          <w:rFonts w:ascii="Arial" w:eastAsia="Arial" w:hAnsi="Arial" w:cs="Arial"/>
          <w:b/>
          <w:color w:val="000000"/>
          <w:sz w:val="18"/>
        </w:rPr>
        <w:t>Reporter</w:t>
      </w:r>
    </w:p>
    <w:p w14:paraId="78C70EF1" w14:textId="77777777" w:rsidR="002D0E71" w:rsidRDefault="00000000">
      <w:pPr>
        <w:pStyle w:val="Normal37"/>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766 F.3d 1098 *; 2014 U.S. App. LEXIS 17269 **</w:t>
      </w:r>
    </w:p>
    <w:p w14:paraId="07952AC4" w14:textId="77777777" w:rsidR="002D0E71" w:rsidRDefault="00000000">
      <w:pPr>
        <w:pStyle w:val="Normal37"/>
        <w:widowControl w:val="0"/>
        <w:spacing w:before="120" w:line="260" w:lineRule="atLeast"/>
      </w:pPr>
      <w:r>
        <w:rPr>
          <w:rFonts w:ascii="Arial" w:eastAsia="Arial" w:hAnsi="Arial" w:cs="Arial"/>
          <w:color w:val="000000"/>
          <w:sz w:val="20"/>
        </w:rPr>
        <w:t>ROBIN FORTYUNE, Plaintiff-Appellee, v. CITY OF LOMITA, Defendant-Appellant.</w:t>
      </w:r>
    </w:p>
    <w:p w14:paraId="00965462" w14:textId="77777777" w:rsidR="002D0E71" w:rsidRDefault="00000000">
      <w:pPr>
        <w:pStyle w:val="Normal37"/>
        <w:widowControl w:val="0"/>
        <w:spacing w:before="240" w:line="260" w:lineRule="atLeast"/>
      </w:pPr>
      <w:bookmarkStart w:id="4994" w:name="Subsequent_History_12"/>
      <w:bookmarkEnd w:id="4994"/>
      <w:r>
        <w:rPr>
          <w:rFonts w:ascii="Arial" w:eastAsia="Arial" w:hAnsi="Arial" w:cs="Arial"/>
          <w:b/>
          <w:color w:val="000000"/>
          <w:sz w:val="20"/>
        </w:rPr>
        <w:t>Subsequent History:</w:t>
      </w:r>
      <w:r>
        <w:rPr>
          <w:rFonts w:ascii="Arial" w:eastAsia="Arial" w:hAnsi="Arial" w:cs="Arial"/>
          <w:color w:val="000000"/>
          <w:sz w:val="20"/>
        </w:rPr>
        <w:t> US Supreme Court certiorari denied by Lomita v. Fortyune, 135 S. Ct. 2888, 2015 U.S. LEXIS 4421 (U.S., June 29, 2015)</w:t>
      </w:r>
    </w:p>
    <w:p w14:paraId="222FE967" w14:textId="77777777" w:rsidR="002D0E71" w:rsidRDefault="00000000">
      <w:pPr>
        <w:pStyle w:val="Normal37"/>
        <w:widowControl w:val="0"/>
        <w:spacing w:before="240" w:line="260" w:lineRule="atLeast"/>
        <w:jc w:val="both"/>
      </w:pPr>
      <w:bookmarkStart w:id="4995" w:name="Prior_History_35"/>
      <w:bookmarkEnd w:id="4995"/>
      <w:r>
        <w:rPr>
          <w:rFonts w:ascii="Arial" w:eastAsia="Arial" w:hAnsi="Arial" w:cs="Arial"/>
          <w:b/>
          <w:color w:val="000000"/>
          <w:sz w:val="20"/>
        </w:rPr>
        <w:t>Prior History:</w:t>
      </w:r>
      <w:r>
        <w:rPr>
          <w:rFonts w:ascii="Arial" w:eastAsia="Arial" w:hAnsi="Arial" w:cs="Arial"/>
          <w:color w:val="000000"/>
          <w:sz w:val="20"/>
        </w:rPr>
        <w:t> </w:t>
      </w:r>
      <w:bookmarkStart w:id="4996" w:name="Bookmark_para_1_36"/>
      <w:bookmarkEnd w:id="4996"/>
      <w:r>
        <w:rPr>
          <w:rFonts w:ascii="Arial" w:eastAsia="Arial" w:hAnsi="Arial" w:cs="Arial"/>
          <w:color w:val="000000"/>
          <w:sz w:val="20"/>
        </w:rPr>
        <w:t> [**1] Appeal from the United States District Court for the Central District of California. D.C. No. 2:11-cv-06644-DDP-JCG. Dean D. Pregerson, District Judge, Presiding.</w:t>
      </w:r>
    </w:p>
    <w:p w14:paraId="2319D7EE" w14:textId="77777777" w:rsidR="002D0E71" w:rsidRDefault="00000000">
      <w:pPr>
        <w:pStyle w:val="Normal37"/>
        <w:widowControl w:val="0"/>
        <w:spacing w:before="120" w:line="260" w:lineRule="atLeast"/>
      </w:pPr>
      <w:r>
        <w:rPr>
          <w:rFonts w:ascii="Arial" w:eastAsia="Arial" w:hAnsi="Arial" w:cs="Arial"/>
          <w:color w:val="000000"/>
          <w:sz w:val="20"/>
        </w:rPr>
        <w:t>Fortyune v. City of Lomita, 823 F. Supp. 2d 1036, 2011 U.S. Dist. LEXIS 125194 (C.D. Cal., 2011)</w:t>
      </w:r>
    </w:p>
    <w:p w14:paraId="317D9DB1" w14:textId="77777777" w:rsidR="002D0E71" w:rsidRDefault="00000000">
      <w:pPr>
        <w:pStyle w:val="Normal37"/>
        <w:widowControl w:val="0"/>
        <w:spacing w:before="240" w:line="260" w:lineRule="atLeast"/>
        <w:jc w:val="both"/>
      </w:pPr>
      <w:bookmarkStart w:id="4997" w:name="Disposition_17"/>
      <w:bookmarkEnd w:id="4997"/>
      <w:r>
        <w:rPr>
          <w:rFonts w:ascii="Arial" w:eastAsia="Arial" w:hAnsi="Arial" w:cs="Arial"/>
          <w:b/>
          <w:color w:val="000000"/>
          <w:sz w:val="20"/>
        </w:rPr>
        <w:t>Disposition:</w:t>
      </w:r>
      <w:r>
        <w:rPr>
          <w:rFonts w:ascii="Arial" w:eastAsia="Arial" w:hAnsi="Arial" w:cs="Arial"/>
          <w:color w:val="000000"/>
          <w:sz w:val="20"/>
        </w:rPr>
        <w:t> </w:t>
      </w:r>
      <w:bookmarkStart w:id="4998" w:name="Bookmark_clspara_4_15"/>
      <w:bookmarkEnd w:id="4998"/>
      <w:r>
        <w:rPr>
          <w:rFonts w:ascii="Arial" w:eastAsia="Arial" w:hAnsi="Arial" w:cs="Arial"/>
          <w:color w:val="000000"/>
          <w:sz w:val="20"/>
        </w:rPr>
        <w:t>AFFIRMED.</w:t>
      </w:r>
    </w:p>
    <w:p w14:paraId="3B17516D" w14:textId="77777777" w:rsidR="002D0E71" w:rsidRDefault="00000000">
      <w:pPr>
        <w:pStyle w:val="Normal37"/>
        <w:widowControl w:val="0"/>
        <w:spacing w:before="240" w:line="260" w:lineRule="atLeast"/>
      </w:pPr>
      <w:bookmarkStart w:id="4999" w:name="Summary_6"/>
      <w:bookmarkEnd w:id="4999"/>
      <w:r>
        <w:rPr>
          <w:rFonts w:ascii="Arial" w:eastAsia="Arial" w:hAnsi="Arial" w:cs="Arial"/>
          <w:b/>
          <w:color w:val="000000"/>
          <w:sz w:val="20"/>
        </w:rPr>
        <w:t>Summary:</w:t>
      </w:r>
    </w:p>
    <w:p w14:paraId="089B94AF" w14:textId="77777777" w:rsidR="002D0E71" w:rsidRDefault="00000000">
      <w:pPr>
        <w:pStyle w:val="Normal37"/>
        <w:widowControl w:val="0"/>
        <w:spacing w:before="240" w:line="260" w:lineRule="atLeast"/>
        <w:jc w:val="both"/>
      </w:pPr>
      <w:bookmarkStart w:id="5000" w:name="Bookmark_clspara_5_6"/>
      <w:bookmarkEnd w:id="5000"/>
      <w:r>
        <w:rPr>
          <w:rFonts w:ascii="Arial" w:eastAsia="Arial" w:hAnsi="Arial" w:cs="Arial"/>
          <w:b/>
          <w:color w:val="000000"/>
          <w:sz w:val="20"/>
        </w:rPr>
        <w:t>SUMMARY</w:t>
      </w:r>
      <w:r>
        <w:rPr>
          <w:rFonts w:ascii="Arial" w:eastAsia="Arial" w:hAnsi="Arial" w:cs="Arial"/>
          <w:vertAlign w:val="superscript"/>
        </w:rPr>
        <w:footnoteReference w:customMarkFollows="1" w:id="187"/>
        <w:t>**</w:t>
      </w:r>
    </w:p>
    <w:p w14:paraId="53A3C3B5" w14:textId="77777777" w:rsidR="002D0E71" w:rsidRDefault="00000000">
      <w:pPr>
        <w:pStyle w:val="Normal37"/>
        <w:widowControl w:val="0"/>
        <w:spacing w:before="240" w:line="260" w:lineRule="atLeast"/>
        <w:jc w:val="both"/>
      </w:pPr>
      <w:bookmarkStart w:id="5002" w:name="Bookmark_clspara_6_6"/>
      <w:bookmarkEnd w:id="5002"/>
      <w:r>
        <w:rPr>
          <w:rFonts w:ascii="Arial" w:eastAsia="Arial" w:hAnsi="Arial" w:cs="Arial"/>
          <w:b/>
          <w:color w:val="000000"/>
          <w:sz w:val="20"/>
        </w:rPr>
        <w:t>Americans with Disabilities Act</w:t>
      </w:r>
    </w:p>
    <w:p w14:paraId="4C97D131" w14:textId="77777777" w:rsidR="002D0E71" w:rsidRDefault="00000000">
      <w:pPr>
        <w:pStyle w:val="Normal37"/>
        <w:widowControl w:val="0"/>
        <w:spacing w:before="240" w:line="260" w:lineRule="atLeast"/>
        <w:jc w:val="both"/>
      </w:pPr>
      <w:bookmarkStart w:id="5003" w:name="Bookmark_clspara_7_6"/>
      <w:bookmarkEnd w:id="5003"/>
      <w:r>
        <w:rPr>
          <w:rFonts w:ascii="Arial" w:eastAsia="Arial" w:hAnsi="Arial" w:cs="Arial"/>
          <w:color w:val="000000"/>
          <w:sz w:val="20"/>
        </w:rPr>
        <w:t>Affirming the district court's denial of a motion to dismiss, the panel held that Title II of the Americans with Disabilities Act requires local governments to provide accessible on-street parking in the absence of regulatory design specifications for on-street parking facilities.</w:t>
      </w:r>
    </w:p>
    <w:p w14:paraId="774127DA" w14:textId="77777777" w:rsidR="002D0E71" w:rsidRDefault="00000000">
      <w:pPr>
        <w:pStyle w:val="Normal37"/>
        <w:widowControl w:val="0"/>
        <w:spacing w:before="240" w:line="260" w:lineRule="atLeast"/>
        <w:jc w:val="both"/>
      </w:pPr>
      <w:bookmarkStart w:id="5004" w:name="Bookmark_clspara_8_6"/>
      <w:bookmarkEnd w:id="5004"/>
      <w:r>
        <w:rPr>
          <w:rFonts w:ascii="Arial" w:eastAsia="Arial" w:hAnsi="Arial" w:cs="Arial"/>
          <w:color w:val="000000"/>
          <w:sz w:val="20"/>
        </w:rPr>
        <w:t>The panel stated that the text of the ADA, the relevant implementing regulations, and the Department of Justice's interpretation of its own regulations all led it to conclude that public entities must ensure that all normal governmental functions are reasonably accessible to disabled persons, irrespective of whether the DOJ has adopted technical specifications for the particular types of facilities involved. The panel held that the plaintiff had stated claims under the ADA and the California Disabled Persons Act based on the defendant city's alleged failure to provide accessible [**2]  on-street diagonal stall parking.</w:t>
      </w:r>
    </w:p>
    <w:p w14:paraId="19A2DB58" w14:textId="77777777" w:rsidR="002D0E71" w:rsidRDefault="00000000">
      <w:pPr>
        <w:pStyle w:val="Normal37"/>
        <w:widowControl w:val="0"/>
        <w:spacing w:before="240" w:line="260" w:lineRule="atLeast"/>
      </w:pPr>
      <w:bookmarkStart w:id="5005" w:name="Counsel_36"/>
      <w:bookmarkEnd w:id="5005"/>
      <w:r>
        <w:rPr>
          <w:rFonts w:ascii="Arial" w:eastAsia="Arial" w:hAnsi="Arial" w:cs="Arial"/>
          <w:b/>
          <w:color w:val="000000"/>
          <w:sz w:val="20"/>
        </w:rPr>
        <w:t>Counsel:</w:t>
      </w:r>
      <w:r>
        <w:rPr>
          <w:rFonts w:ascii="Arial" w:eastAsia="Arial" w:hAnsi="Arial" w:cs="Arial"/>
          <w:color w:val="000000"/>
          <w:sz w:val="20"/>
        </w:rPr>
        <w:t> Robert Brockman, Jr. (argued), Matthew Racine, and Lee H. Roistacher, Daley &amp; Heft LLP, Solana Beach, California, for Defendant-Appellant.</w:t>
      </w:r>
    </w:p>
    <w:p w14:paraId="17C59045" w14:textId="77777777" w:rsidR="002D0E71" w:rsidRDefault="00000000">
      <w:pPr>
        <w:pStyle w:val="Normal37"/>
        <w:widowControl w:val="0"/>
        <w:spacing w:before="120" w:line="260" w:lineRule="atLeast"/>
      </w:pPr>
      <w:r>
        <w:rPr>
          <w:rFonts w:ascii="Arial" w:eastAsia="Arial" w:hAnsi="Arial" w:cs="Arial"/>
          <w:color w:val="000000"/>
          <w:sz w:val="20"/>
        </w:rPr>
        <w:t>Maria Michelle Uzeta (argued), Russell C. Handy, and Mark D. Potter, Potter Handy LLP, San Diego, California, for Plaintiff-Appellee.</w:t>
      </w:r>
    </w:p>
    <w:p w14:paraId="113C5D9E" w14:textId="77777777" w:rsidR="002D0E71" w:rsidRDefault="00000000">
      <w:pPr>
        <w:pStyle w:val="Normal37"/>
        <w:widowControl w:val="0"/>
        <w:spacing w:before="120" w:line="260" w:lineRule="atLeast"/>
      </w:pPr>
      <w:r>
        <w:rPr>
          <w:rFonts w:ascii="Arial" w:eastAsia="Arial" w:hAnsi="Arial" w:cs="Arial"/>
          <w:color w:val="000000"/>
          <w:sz w:val="20"/>
        </w:rPr>
        <w:t>Thomas E. Perez, Assistant Attorney General, Christopher Chen-Hsin Wang (argued), and Mark Lenard Gross, United States Department of Justice, Civil Division, Washington, D.C., for Amicus Curiae the United States.</w:t>
      </w:r>
    </w:p>
    <w:p w14:paraId="53E032DD" w14:textId="77777777" w:rsidR="002D0E71" w:rsidRDefault="00000000">
      <w:pPr>
        <w:pStyle w:val="Normal37"/>
        <w:widowControl w:val="0"/>
        <w:spacing w:before="120" w:line="260" w:lineRule="atLeast"/>
      </w:pPr>
      <w:r>
        <w:rPr>
          <w:rFonts w:ascii="Arial" w:eastAsia="Arial" w:hAnsi="Arial" w:cs="Arial"/>
          <w:color w:val="000000"/>
          <w:sz w:val="20"/>
        </w:rPr>
        <w:t>Alison Daly Alpert, Best, Best &amp; Kreiger, San Diego, California, for Amicus Curiae League of California Cities.</w:t>
      </w:r>
    </w:p>
    <w:p w14:paraId="5B0C3887" w14:textId="77777777" w:rsidR="002D0E71" w:rsidRDefault="00000000">
      <w:pPr>
        <w:pStyle w:val="Normal37"/>
        <w:widowControl w:val="0"/>
        <w:spacing w:before="240" w:line="260" w:lineRule="atLeast"/>
      </w:pPr>
      <w:bookmarkStart w:id="5006" w:name="Judges_36"/>
      <w:bookmarkEnd w:id="5006"/>
      <w:r>
        <w:rPr>
          <w:rFonts w:ascii="Arial" w:eastAsia="Arial" w:hAnsi="Arial" w:cs="Arial"/>
          <w:b/>
          <w:color w:val="000000"/>
          <w:sz w:val="20"/>
        </w:rPr>
        <w:t>Judges:</w:t>
      </w:r>
      <w:r>
        <w:rPr>
          <w:rFonts w:ascii="Arial" w:eastAsia="Arial" w:hAnsi="Arial" w:cs="Arial"/>
          <w:color w:val="000000"/>
          <w:sz w:val="20"/>
        </w:rPr>
        <w:t> Before: Richard A. Paez and Jacqueline H. Nguyen, Circuit Judges, and J. Frederick Motz, Senior District Judge.</w:t>
      </w:r>
      <w:r>
        <w:rPr>
          <w:rFonts w:ascii="Arial" w:eastAsia="Arial" w:hAnsi="Arial" w:cs="Arial"/>
          <w:vertAlign w:val="superscript"/>
        </w:rPr>
        <w:footnoteReference w:customMarkFollows="1" w:id="188"/>
        <w:t>*</w:t>
      </w:r>
      <w:r>
        <w:rPr>
          <w:rFonts w:ascii="Arial" w:eastAsia="Arial" w:hAnsi="Arial" w:cs="Arial"/>
          <w:color w:val="000000"/>
          <w:sz w:val="20"/>
        </w:rPr>
        <w:t xml:space="preserve"> Opinion by Judge Paez.</w:t>
      </w:r>
    </w:p>
    <w:p w14:paraId="7EE170A0" w14:textId="77777777" w:rsidR="002D0E71" w:rsidRDefault="00000000">
      <w:pPr>
        <w:pStyle w:val="Normal37"/>
        <w:widowControl w:val="0"/>
        <w:spacing w:before="240" w:line="260" w:lineRule="atLeast"/>
      </w:pPr>
      <w:bookmarkStart w:id="5008" w:name="Opinion_by_25"/>
      <w:bookmarkEnd w:id="5008"/>
      <w:r>
        <w:rPr>
          <w:rFonts w:ascii="Arial" w:eastAsia="Arial" w:hAnsi="Arial" w:cs="Arial"/>
          <w:b/>
          <w:color w:val="000000"/>
          <w:sz w:val="20"/>
        </w:rPr>
        <w:t>Opinion by:</w:t>
      </w:r>
      <w:r>
        <w:rPr>
          <w:rFonts w:ascii="Arial" w:eastAsia="Arial" w:hAnsi="Arial" w:cs="Arial"/>
          <w:color w:val="000000"/>
          <w:sz w:val="20"/>
        </w:rPr>
        <w:t> Richard A. Paez</w:t>
      </w:r>
    </w:p>
    <w:p w14:paraId="29AAA54F" w14:textId="77777777" w:rsidR="002D0E71" w:rsidRDefault="00000000">
      <w:pPr>
        <w:pStyle w:val="Normal37"/>
        <w:keepNext/>
        <w:widowControl w:val="0"/>
        <w:spacing w:before="240" w:line="340" w:lineRule="atLeast"/>
      </w:pPr>
      <w:bookmarkStart w:id="5009" w:name="Opinion_36"/>
      <w:bookmarkEnd w:id="5009"/>
      <w:r>
        <w:rPr>
          <w:rFonts w:ascii="Arial" w:eastAsia="Arial" w:hAnsi="Arial" w:cs="Arial"/>
          <w:b/>
          <w:color w:val="000000"/>
          <w:sz w:val="28"/>
        </w:rPr>
        <w:t>Opinion</w:t>
      </w:r>
    </w:p>
    <w:p w14:paraId="129492DB" w14:textId="0B33C15E" w:rsidR="002D0E71" w:rsidRDefault="002939DF">
      <w:pPr>
        <w:pStyle w:val="Normal37"/>
        <w:spacing w:line="60" w:lineRule="exact"/>
      </w:pPr>
      <w:r>
        <w:rPr>
          <w:noProof/>
        </w:rPr>
        <mc:AlternateContent>
          <mc:Choice Requires="wps">
            <w:drawing>
              <wp:anchor distT="0" distB="0" distL="114300" distR="114300" simplePos="0" relativeHeight="251736064" behindDoc="0" locked="0" layoutInCell="1" allowOverlap="1" wp14:anchorId="433A6BC0" wp14:editId="025ED591">
                <wp:simplePos x="0" y="0"/>
                <wp:positionH relativeFrom="column">
                  <wp:posOffset>0</wp:posOffset>
                </wp:positionH>
                <wp:positionV relativeFrom="paragraph">
                  <wp:posOffset>25400</wp:posOffset>
                </wp:positionV>
                <wp:extent cx="3187700" cy="0"/>
                <wp:effectExtent l="19050" t="15875" r="12700" b="12700"/>
                <wp:wrapTopAndBottom/>
                <wp:docPr id="1942047788"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E045AF" id="Line 79"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8D29626" w14:textId="77777777" w:rsidR="002D0E71" w:rsidRDefault="002D0E71">
      <w:pPr>
        <w:pStyle w:val="Normal37"/>
      </w:pPr>
    </w:p>
    <w:p w14:paraId="71D731A7" w14:textId="77777777" w:rsidR="002D0E71" w:rsidRDefault="00000000">
      <w:pPr>
        <w:pStyle w:val="Normal37"/>
        <w:widowControl w:val="0"/>
        <w:spacing w:before="200" w:line="260" w:lineRule="atLeast"/>
        <w:jc w:val="both"/>
      </w:pPr>
      <w:bookmarkStart w:id="5010" w:name="Bookmark_para_2_36"/>
      <w:bookmarkEnd w:id="5010"/>
      <w:r>
        <w:rPr>
          <w:rFonts w:ascii="Arial" w:eastAsia="Arial" w:hAnsi="Arial" w:cs="Arial"/>
          <w:color w:val="000000"/>
          <w:sz w:val="20"/>
        </w:rPr>
        <w:t> [*1100]  PAEZ, Circuit Judge:</w:t>
      </w:r>
    </w:p>
    <w:p w14:paraId="6798CB8D" w14:textId="77777777" w:rsidR="002D0E71" w:rsidRDefault="00000000">
      <w:pPr>
        <w:pStyle w:val="Normal37"/>
        <w:widowControl w:val="0"/>
        <w:spacing w:before="200" w:line="260" w:lineRule="atLeast"/>
        <w:jc w:val="both"/>
      </w:pPr>
      <w:bookmarkStart w:id="5011" w:name="Bookmark_para_3_36"/>
      <w:bookmarkEnd w:id="5011"/>
      <w:r>
        <w:rPr>
          <w:rFonts w:ascii="Arial" w:eastAsia="Arial" w:hAnsi="Arial" w:cs="Arial"/>
          <w:color w:val="000000"/>
          <w:sz w:val="20"/>
        </w:rPr>
        <w:t>In this case, we must decide whether Title II of the Americans with Disabilities Act ("ADA") requires local governments to provide accessible on-street parking in the absence of regulatory design specifications for on-street parking facilities. We hold that it does.</w:t>
      </w:r>
    </w:p>
    <w:p w14:paraId="6BC5D209" w14:textId="77777777" w:rsidR="002D0E71" w:rsidRDefault="00000000">
      <w:pPr>
        <w:pStyle w:val="Normal37"/>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 [**3] </w:t>
      </w:r>
      <w:r>
        <w:rPr>
          <w:rFonts w:ascii="Arial" w:eastAsia="Arial" w:hAnsi="Arial" w:cs="Arial"/>
          <w:b/>
          <w:color w:val="000000"/>
          <w:sz w:val="20"/>
        </w:rPr>
        <w:t xml:space="preserve"> BACKGROUND</w:t>
      </w:r>
    </w:p>
    <w:p w14:paraId="1F17A01A" w14:textId="77777777" w:rsidR="002D0E71" w:rsidRDefault="00000000">
      <w:pPr>
        <w:pStyle w:val="Normal37"/>
        <w:widowControl w:val="0"/>
        <w:spacing w:before="200" w:line="260" w:lineRule="atLeast"/>
        <w:jc w:val="both"/>
      </w:pPr>
      <w:bookmarkStart w:id="5012" w:name="Bookmark_para_4_36"/>
      <w:bookmarkEnd w:id="5012"/>
      <w:r>
        <w:rPr>
          <w:rFonts w:ascii="Arial" w:eastAsia="Arial" w:hAnsi="Arial" w:cs="Arial"/>
          <w:color w:val="000000"/>
          <w:sz w:val="20"/>
        </w:rPr>
        <w:t xml:space="preserve">Robin Fortyune is a paraplegic who uses a wheelchair for mobility. He filed suit against the City of Lomita ("City") in state court, alleging that he experiences "great difficulty, discomfort and, even[] fear for his safety" when frequenting facilities in the City because none of the City's public on-street parking is accessible to people with disabilities. He brought claims under the ADA, 42 U.S.C. §§ 12101 </w:t>
      </w:r>
      <w:r>
        <w:rPr>
          <w:rFonts w:ascii="Arial" w:eastAsia="Arial" w:hAnsi="Arial" w:cs="Arial"/>
          <w:i/>
          <w:color w:val="000000"/>
          <w:sz w:val="20"/>
        </w:rPr>
        <w:t>et seq</w:t>
      </w:r>
      <w:r>
        <w:rPr>
          <w:rFonts w:ascii="Arial" w:eastAsia="Arial" w:hAnsi="Arial" w:cs="Arial"/>
          <w:color w:val="000000"/>
          <w:sz w:val="20"/>
        </w:rPr>
        <w:t xml:space="preserve">., and the California Disabled Persons Act ("CDPA"), Cal. Civ. Code §§ 54 </w:t>
      </w:r>
      <w:r>
        <w:rPr>
          <w:rFonts w:ascii="Arial" w:eastAsia="Arial" w:hAnsi="Arial" w:cs="Arial"/>
          <w:i/>
          <w:color w:val="000000"/>
          <w:sz w:val="20"/>
        </w:rPr>
        <w:t>et seq</w:t>
      </w:r>
      <w:r>
        <w:rPr>
          <w:rFonts w:ascii="Arial" w:eastAsia="Arial" w:hAnsi="Arial" w:cs="Arial"/>
          <w:color w:val="000000"/>
          <w:sz w:val="20"/>
        </w:rPr>
        <w:t>.</w:t>
      </w:r>
    </w:p>
    <w:p w14:paraId="6865D099" w14:textId="77777777" w:rsidR="002D0E71" w:rsidRDefault="00000000">
      <w:pPr>
        <w:pStyle w:val="Normal37"/>
        <w:widowControl w:val="0"/>
        <w:spacing w:before="200" w:line="260" w:lineRule="atLeast"/>
        <w:jc w:val="both"/>
      </w:pPr>
      <w:bookmarkStart w:id="5013" w:name="Bookmark_para_5_36"/>
      <w:bookmarkEnd w:id="5013"/>
      <w:r>
        <w:rPr>
          <w:rFonts w:ascii="Arial" w:eastAsia="Arial" w:hAnsi="Arial" w:cs="Arial"/>
          <w:color w:val="000000"/>
          <w:sz w:val="20"/>
        </w:rPr>
        <w:t>The City removed the case to federal court, and moved to dismiss Fortyune's complaint under Federal Rule of Civil Procedure 12(b)(6). The City argued that, absent the adoption of ADA implementing regulations specifically targeted toward on-street parking, it is not required to provide accessible on-street parking. The district court denied the motion to dismiss, concluding that "the broad language of the ADA requires public entities to ensure that all services, including on-street parking, are reasonably accessible to and usable by individuals with disabilities."</w:t>
      </w:r>
      <w:r>
        <w:rPr>
          <w:rFonts w:ascii="Arial" w:eastAsia="Arial" w:hAnsi="Arial" w:cs="Arial"/>
          <w:vertAlign w:val="superscript"/>
        </w:rPr>
        <w:footnoteReference w:customMarkFollows="1" w:id="189"/>
        <w:t>1</w:t>
      </w:r>
      <w:r>
        <w:rPr>
          <w:rFonts w:ascii="Arial" w:eastAsia="Arial" w:hAnsi="Arial" w:cs="Arial"/>
          <w:color w:val="000000"/>
          <w:sz w:val="20"/>
        </w:rPr>
        <w:t xml:space="preserve"> The  [*1101]  City filed a motion to certify the district court's order for interlocutory appeal pursuant to 28 U.S.C. § 1292(b), which the district court granted. The City then timely petitioned for leave to appeal, and a motions panel of this [**4]  court granted the petition.</w:t>
      </w:r>
    </w:p>
    <w:p w14:paraId="25005E8B" w14:textId="77777777" w:rsidR="002D0E71" w:rsidRDefault="00000000">
      <w:pPr>
        <w:pStyle w:val="Normal37"/>
        <w:widowControl w:val="0"/>
        <w:spacing w:before="240" w:line="260" w:lineRule="atLeast"/>
      </w:pPr>
      <w:r>
        <w:br/>
      </w:r>
      <w:r>
        <w:rPr>
          <w:rFonts w:ascii="Arial" w:eastAsia="Arial" w:hAnsi="Arial" w:cs="Arial"/>
          <w:b/>
          <w:color w:val="000000"/>
          <w:sz w:val="20"/>
        </w:rPr>
        <w:t>II. JURISDICTION AND STANDARD OF REVIEW</w:t>
      </w:r>
    </w:p>
    <w:p w14:paraId="1A37AF9F" w14:textId="77777777" w:rsidR="002D0E71" w:rsidRDefault="00000000">
      <w:pPr>
        <w:pStyle w:val="Normal37"/>
        <w:widowControl w:val="0"/>
        <w:spacing w:before="200" w:line="260" w:lineRule="atLeast"/>
        <w:jc w:val="both"/>
      </w:pPr>
      <w:bookmarkStart w:id="5015" w:name="Bookmark_para_6_36"/>
      <w:bookmarkStart w:id="5016" w:name="Bookmark_I5D88D652HM5TK0020000400"/>
      <w:bookmarkStart w:id="5017" w:name="Bookmark_LNHNREFclscc1_31"/>
      <w:bookmarkEnd w:id="5015"/>
      <w:bookmarkEnd w:id="5016"/>
      <w:bookmarkEnd w:id="5017"/>
      <w:r>
        <w:rPr>
          <w:rFonts w:ascii="Arial" w:eastAsia="Arial" w:hAnsi="Arial" w:cs="Arial"/>
          <w:color w:val="000000"/>
          <w:sz w:val="20"/>
        </w:rPr>
        <w:t>We have jurisdiction pursuant to 28 U.S.C. § 1292(b).</w:t>
      </w:r>
      <w:r>
        <w:rPr>
          <w:rFonts w:ascii="Arial" w:eastAsia="Arial" w:hAnsi="Arial" w:cs="Arial"/>
          <w:vertAlign w:val="superscript"/>
        </w:rPr>
        <w:footnoteReference w:customMarkFollows="1" w:id="190"/>
        <w:t>2</w:t>
      </w:r>
      <w:r>
        <w:rPr>
          <w:rFonts w:ascii="Arial" w:eastAsia="Arial" w:hAnsi="Arial" w:cs="Arial"/>
          <w:color w:val="000000"/>
          <w:sz w:val="20"/>
        </w:rPr>
        <w:t xml:space="preserve"> </w:t>
      </w:r>
      <w:bookmarkStart w:id="5024" w:name="Bookmark_LNHNREFclscc2_31"/>
      <w:bookmarkEnd w:id="5024"/>
      <w:r>
        <w:rPr>
          <w:rFonts w:ascii="Arial" w:eastAsia="Arial" w:hAnsi="Arial" w:cs="Arial"/>
          <w:color w:val="000000"/>
          <w:sz w:val="20"/>
        </w:rPr>
        <w:t xml:space="preserve">We review de novo a district court order denying a motion to dismiss pursuant to Federal Rule of Civil Procedure 12(b)(6). </w:t>
      </w:r>
      <w:bookmarkStart w:id="5025" w:name="Bookmark_I5D88D652N1RM40010000400"/>
      <w:bookmarkStart w:id="5026" w:name="Bookmark_I5D88D652HM5TK0010000400"/>
      <w:bookmarkEnd w:id="5025"/>
      <w:bookmarkEnd w:id="5026"/>
      <w:r>
        <w:rPr>
          <w:rFonts w:ascii="Arial" w:eastAsia="Arial" w:hAnsi="Arial" w:cs="Arial"/>
          <w:i/>
          <w:color w:val="000000"/>
          <w:sz w:val="20"/>
        </w:rPr>
        <w:t>Dunn v. Castro</w:t>
      </w:r>
      <w:r>
        <w:rPr>
          <w:rFonts w:ascii="Arial" w:eastAsia="Arial" w:hAnsi="Arial" w:cs="Arial"/>
          <w:color w:val="000000"/>
          <w:sz w:val="20"/>
        </w:rPr>
        <w:t xml:space="preserve">, 621 F.3d 1196, 1198 (9th Cir. 2010); </w:t>
      </w:r>
      <w:bookmarkStart w:id="5027" w:name="Bookmark_I5D88D652HM5TK0030000400"/>
      <w:bookmarkEnd w:id="5027"/>
      <w:r>
        <w:rPr>
          <w:rFonts w:ascii="Arial" w:eastAsia="Arial" w:hAnsi="Arial" w:cs="Arial"/>
          <w:i/>
          <w:color w:val="000000"/>
          <w:sz w:val="20"/>
        </w:rPr>
        <w:t>Camacho v. Bridgeport Fin., Inc</w:t>
      </w:r>
      <w:r>
        <w:rPr>
          <w:rFonts w:ascii="Arial" w:eastAsia="Arial" w:hAnsi="Arial" w:cs="Arial"/>
          <w:color w:val="000000"/>
          <w:sz w:val="20"/>
        </w:rPr>
        <w:t xml:space="preserve">., 430 F.3d 1078, 1079 (9th Cir. 2005). </w:t>
      </w:r>
      <w:bookmarkStart w:id="5028" w:name="Bookmark_LNHNREFclscc3_30"/>
      <w:bookmarkEnd w:id="5028"/>
      <w:r>
        <w:rPr>
          <w:rFonts w:ascii="Arial" w:eastAsia="Arial" w:hAnsi="Arial" w:cs="Arial"/>
          <w:color w:val="000000"/>
          <w:sz w:val="20"/>
        </w:rPr>
        <w:t xml:space="preserve">The district court's interpretation of the ADA and the CDPA are questions of law subject to de novo review. </w:t>
      </w:r>
      <w:bookmarkStart w:id="5029" w:name="Bookmark_I5D88D652N1RM40010000400_2"/>
      <w:bookmarkStart w:id="5030" w:name="Bookmark_I5D88D652HM5TK0050000400"/>
      <w:bookmarkEnd w:id="5029"/>
      <w:bookmarkEnd w:id="5030"/>
      <w:r>
        <w:rPr>
          <w:rFonts w:ascii="Arial" w:eastAsia="Arial" w:hAnsi="Arial" w:cs="Arial"/>
          <w:i/>
          <w:color w:val="000000"/>
          <w:sz w:val="20"/>
        </w:rPr>
        <w:t>Skaff v. Meridien N. Am. Beverly Hills, LLC</w:t>
      </w:r>
      <w:r>
        <w:rPr>
          <w:rFonts w:ascii="Arial" w:eastAsia="Arial" w:hAnsi="Arial" w:cs="Arial"/>
          <w:color w:val="000000"/>
          <w:sz w:val="20"/>
        </w:rPr>
        <w:t xml:space="preserve">, 506 F.3d 832, 837 (9th Cir. 2007); </w:t>
      </w:r>
      <w:bookmarkStart w:id="5031" w:name="Bookmark_I5D88D652N1RM40020000400"/>
      <w:bookmarkEnd w:id="5031"/>
      <w:r>
        <w:rPr>
          <w:rFonts w:ascii="Arial" w:eastAsia="Arial" w:hAnsi="Arial" w:cs="Arial"/>
          <w:i/>
          <w:color w:val="000000"/>
          <w:sz w:val="20"/>
        </w:rPr>
        <w:t>Molski v. Foley Estates Vineyard &amp; Winery, LLC</w:t>
      </w:r>
      <w:r>
        <w:rPr>
          <w:rFonts w:ascii="Arial" w:eastAsia="Arial" w:hAnsi="Arial" w:cs="Arial"/>
          <w:color w:val="000000"/>
          <w:sz w:val="20"/>
        </w:rPr>
        <w:t>, 531 F.3d 1043, 1046 (9th Cir. 2008).</w:t>
      </w:r>
    </w:p>
    <w:p w14:paraId="65593848" w14:textId="77777777" w:rsidR="002D0E71" w:rsidRDefault="00000000">
      <w:pPr>
        <w:pStyle w:val="Normal37"/>
        <w:widowControl w:val="0"/>
        <w:spacing w:before="240" w:line="260" w:lineRule="atLeast"/>
      </w:pPr>
      <w:r>
        <w:br/>
      </w:r>
      <w:r>
        <w:rPr>
          <w:rFonts w:ascii="Arial" w:eastAsia="Arial" w:hAnsi="Arial" w:cs="Arial"/>
          <w:b/>
          <w:color w:val="000000"/>
          <w:sz w:val="20"/>
        </w:rPr>
        <w:t>III. ANALYSIS</w:t>
      </w:r>
    </w:p>
    <w:p w14:paraId="2AD113F9" w14:textId="77777777" w:rsidR="002D0E71" w:rsidRDefault="00000000">
      <w:pPr>
        <w:pStyle w:val="Normal37"/>
        <w:widowControl w:val="0"/>
        <w:spacing w:before="200" w:line="260" w:lineRule="atLeast"/>
        <w:jc w:val="both"/>
      </w:pPr>
      <w:bookmarkStart w:id="5032" w:name="Bookmark_para_7_35"/>
      <w:bookmarkStart w:id="5033" w:name="Bookmark_I5D88D652D6N2G0040000400"/>
      <w:bookmarkStart w:id="5034" w:name="Bookmark_I5D88D652D6N2H0010000400"/>
      <w:bookmarkStart w:id="5035" w:name="Bookmark_I5D88D652D6N2H0050000400"/>
      <w:bookmarkStart w:id="5036" w:name="Bookmark_LNHNREFclscc5_30"/>
      <w:bookmarkEnd w:id="5032"/>
      <w:bookmarkEnd w:id="5033"/>
      <w:bookmarkEnd w:id="5034"/>
      <w:bookmarkEnd w:id="5035"/>
      <w:bookmarkEnd w:id="5036"/>
      <w:r>
        <w:rPr>
          <w:rFonts w:ascii="Arial" w:eastAsia="Arial" w:hAnsi="Arial" w:cs="Arial"/>
          <w:color w:val="000000"/>
          <w:sz w:val="20"/>
        </w:rPr>
        <w:t xml:space="preserve">"Congress enacted the ADA in 1990 to remedy widespread discrimination against disabled individuals." </w:t>
      </w:r>
      <w:bookmarkStart w:id="5037" w:name="Bookmark_I5D88D652D6N2G0030000400"/>
      <w:bookmarkEnd w:id="5037"/>
      <w:r>
        <w:rPr>
          <w:rFonts w:ascii="Arial" w:eastAsia="Arial" w:hAnsi="Arial" w:cs="Arial"/>
          <w:i/>
          <w:color w:val="000000"/>
          <w:sz w:val="20"/>
        </w:rPr>
        <w:t>PGA Tour, Inc. v. Martin</w:t>
      </w:r>
      <w:r>
        <w:rPr>
          <w:rFonts w:ascii="Arial" w:eastAsia="Arial" w:hAnsi="Arial" w:cs="Arial"/>
          <w:color w:val="000000"/>
          <w:sz w:val="20"/>
        </w:rPr>
        <w:t xml:space="preserve">, 532 U.S. 661, 674, 121 S. Ct. 1879, 149 L. Ed. 2d 904 (2001). The statute provides a "comprehensive," "broad mandate" to eliminate discrimination against disabled persons, addressing both "outright intentional exclusion" as well as the "failure to make modifications to existing facilities and practices." </w:t>
      </w:r>
      <w:bookmarkStart w:id="5038" w:name="Bookmark_I5D88D652D6N2G0050000400"/>
      <w:bookmarkEnd w:id="5038"/>
      <w:r>
        <w:rPr>
          <w:rFonts w:ascii="Arial" w:eastAsia="Arial" w:hAnsi="Arial" w:cs="Arial"/>
          <w:i/>
          <w:color w:val="000000"/>
          <w:sz w:val="20"/>
        </w:rPr>
        <w:t>Id</w:t>
      </w:r>
      <w:r>
        <w:rPr>
          <w:rFonts w:ascii="Arial" w:eastAsia="Arial" w:hAnsi="Arial" w:cs="Arial"/>
          <w:color w:val="000000"/>
          <w:sz w:val="20"/>
        </w:rPr>
        <w:t xml:space="preserve">. at 675 (internal quotation marks and citations omitted); </w:t>
      </w:r>
      <w:r>
        <w:rPr>
          <w:rFonts w:ascii="Arial" w:eastAsia="Arial" w:hAnsi="Arial" w:cs="Arial"/>
          <w:i/>
          <w:color w:val="000000"/>
          <w:sz w:val="20"/>
        </w:rPr>
        <w:t xml:space="preserve">see also </w:t>
      </w:r>
      <w:bookmarkStart w:id="5039" w:name="Bookmark_I5D88D652D6N2H0020000400"/>
      <w:bookmarkEnd w:id="5039"/>
      <w:r>
        <w:rPr>
          <w:rFonts w:ascii="Arial" w:eastAsia="Arial" w:hAnsi="Arial" w:cs="Arial"/>
          <w:i/>
          <w:color w:val="000000"/>
          <w:sz w:val="20"/>
        </w:rPr>
        <w:t>Cohen v. City of Culver City</w:t>
      </w:r>
      <w:r>
        <w:rPr>
          <w:rFonts w:ascii="Arial" w:eastAsia="Arial" w:hAnsi="Arial" w:cs="Arial"/>
          <w:color w:val="000000"/>
          <w:sz w:val="20"/>
        </w:rPr>
        <w:t xml:space="preserve">, 754 F.3d 690, 694 (9th Cir. 2014); 42 U.S.C. § 12101(b)(1). "We construe the language of the ADA broadly to advance its remedial purpose." </w:t>
      </w:r>
      <w:bookmarkStart w:id="5040" w:name="Bookmark_I5D88D652D6N2H0040000400"/>
      <w:bookmarkEnd w:id="5040"/>
      <w:r>
        <w:rPr>
          <w:rFonts w:ascii="Arial" w:eastAsia="Arial" w:hAnsi="Arial" w:cs="Arial"/>
          <w:i/>
          <w:color w:val="000000"/>
          <w:sz w:val="20"/>
        </w:rPr>
        <w:t>Cohen</w:t>
      </w:r>
      <w:r>
        <w:rPr>
          <w:rFonts w:ascii="Arial" w:eastAsia="Arial" w:hAnsi="Arial" w:cs="Arial"/>
          <w:color w:val="000000"/>
          <w:sz w:val="20"/>
        </w:rPr>
        <w:t>, 754 F.3d at 695.</w:t>
      </w:r>
    </w:p>
    <w:p w14:paraId="31F80DED" w14:textId="77777777" w:rsidR="002D0E71" w:rsidRDefault="00000000">
      <w:pPr>
        <w:pStyle w:val="Normal37"/>
        <w:widowControl w:val="0"/>
        <w:spacing w:before="200" w:line="260" w:lineRule="atLeast"/>
        <w:jc w:val="both"/>
      </w:pPr>
      <w:bookmarkStart w:id="5041" w:name="Bookmark_para_8_35"/>
      <w:bookmarkStart w:id="5042" w:name="Bookmark_I5D88D652SF7X00020000400"/>
      <w:bookmarkStart w:id="5043" w:name="Bookmark_LNHNREFclscc6_29"/>
      <w:bookmarkEnd w:id="5041"/>
      <w:bookmarkEnd w:id="5042"/>
      <w:bookmarkEnd w:id="5043"/>
      <w:r>
        <w:rPr>
          <w:rFonts w:ascii="Arial" w:eastAsia="Arial" w:hAnsi="Arial" w:cs="Arial"/>
          <w:color w:val="000000"/>
          <w:sz w:val="20"/>
        </w:rPr>
        <w:t xml:space="preserve">Title II of the ADA, the provision at issue in this case, applies to state and local governments. </w:t>
      </w:r>
      <w:bookmarkStart w:id="5044" w:name="Bookmark_I5D88D652SF7X00040000400"/>
      <w:bookmarkStart w:id="5045" w:name="Bookmark_I5D88D652SF7X00010000400"/>
      <w:bookmarkEnd w:id="5044"/>
      <w:bookmarkEnd w:id="5045"/>
      <w:r>
        <w:rPr>
          <w:rFonts w:ascii="Arial" w:eastAsia="Arial" w:hAnsi="Arial" w:cs="Arial"/>
          <w:i/>
          <w:color w:val="000000"/>
          <w:sz w:val="20"/>
        </w:rPr>
        <w:t>Id</w:t>
      </w:r>
      <w:r>
        <w:rPr>
          <w:rFonts w:ascii="Arial" w:eastAsia="Arial" w:hAnsi="Arial" w:cs="Arial"/>
          <w:color w:val="000000"/>
          <w:sz w:val="20"/>
        </w:rPr>
        <w:t xml:space="preserve">. at 694; 42 U.S.C. § 12131. It provides that "no qualified individual with a disability shall, by reason of such disability, be excluded from participation in or be denied the benefits of the services, programs, or activities of a public entity, or be subjected to discrimination by any such entity." 42 U.S.C. § 12132. </w:t>
      </w:r>
      <w:bookmarkStart w:id="5046" w:name="Bookmark_I5D88D652SF7X00040000400_2"/>
      <w:bookmarkStart w:id="5047" w:name="Bookmark_I5D88D662D6N2J0030000400"/>
      <w:bookmarkEnd w:id="5046"/>
      <w:bookmarkEnd w:id="5047"/>
      <w:r>
        <w:rPr>
          <w:rFonts w:ascii="Arial" w:eastAsia="Arial" w:hAnsi="Arial" w:cs="Arial"/>
          <w:color w:val="000000"/>
          <w:sz w:val="20"/>
        </w:rPr>
        <w:t xml:space="preserve">The ADA was modeled on the Rehabilitation Act, which prohibited any "program or activity" that received federal funds from discriminating against disabled individuals. 29 U.S.C. § 794(a); </w:t>
      </w:r>
      <w:bookmarkStart w:id="5048" w:name="Bookmark_I5D88D652SF7X00030000400"/>
      <w:bookmarkEnd w:id="5048"/>
      <w:r>
        <w:rPr>
          <w:rFonts w:ascii="Arial" w:eastAsia="Arial" w:hAnsi="Arial" w:cs="Arial"/>
          <w:i/>
          <w:color w:val="000000"/>
          <w:sz w:val="20"/>
        </w:rPr>
        <w:t>Pierce v. County of Orange</w:t>
      </w:r>
      <w:r>
        <w:rPr>
          <w:rFonts w:ascii="Arial" w:eastAsia="Arial" w:hAnsi="Arial" w:cs="Arial"/>
          <w:color w:val="000000"/>
          <w:sz w:val="20"/>
        </w:rPr>
        <w:t xml:space="preserve">, 526 F.3d 1190, 1216 n.27 (9th Cir. 2008) [**6] ; </w:t>
      </w:r>
      <w:bookmarkStart w:id="5049" w:name="Bookmark_I5D88D652SF7X00050000400"/>
      <w:bookmarkEnd w:id="5049"/>
      <w:r>
        <w:rPr>
          <w:rFonts w:ascii="Arial" w:eastAsia="Arial" w:hAnsi="Arial" w:cs="Arial"/>
          <w:i/>
          <w:color w:val="000000"/>
          <w:sz w:val="20"/>
        </w:rPr>
        <w:t>Bay Area Addiction Research &amp; Treatment, Inc. v. City of Antioch</w:t>
      </w:r>
      <w:r>
        <w:rPr>
          <w:rFonts w:ascii="Arial" w:eastAsia="Arial" w:hAnsi="Arial" w:cs="Arial"/>
          <w:color w:val="000000"/>
          <w:sz w:val="20"/>
        </w:rPr>
        <w:t xml:space="preserve">, 179 F.3d 725, 731-32 (9th Cir. 1999). </w:t>
      </w:r>
      <w:bookmarkStart w:id="5050" w:name="Bookmark_I5D88D662D6N2J0030000400_2"/>
      <w:bookmarkStart w:id="5051" w:name="Bookmark_I5D88D662SF7X10020000400"/>
      <w:bookmarkEnd w:id="5050"/>
      <w:bookmarkEnd w:id="5051"/>
      <w:r>
        <w:rPr>
          <w:rFonts w:ascii="Arial" w:eastAsia="Arial" w:hAnsi="Arial" w:cs="Arial"/>
          <w:color w:val="000000"/>
          <w:sz w:val="20"/>
        </w:rPr>
        <w:t xml:space="preserve">The Rehabilitation Act defines "program or activity" as "all of the operations of . . . a department, agency, special purpose district, or other instrumentality of a State or of a local government." 29 U.S.C. § 794(b). We have recognized that  [*1102]  the term "services, programs, or activities" as used in the ADA is similarly broad, "'bringing within its scope anything a public entity does.'" </w:t>
      </w:r>
      <w:bookmarkStart w:id="5052" w:name="Bookmark_I5D88D662D6N2J0020000400"/>
      <w:bookmarkEnd w:id="5052"/>
      <w:r>
        <w:rPr>
          <w:rFonts w:ascii="Arial" w:eastAsia="Arial" w:hAnsi="Arial" w:cs="Arial"/>
          <w:i/>
          <w:color w:val="000000"/>
          <w:sz w:val="20"/>
        </w:rPr>
        <w:t>Barden v. City of Sacramento</w:t>
      </w:r>
      <w:r>
        <w:rPr>
          <w:rFonts w:ascii="Arial" w:eastAsia="Arial" w:hAnsi="Arial" w:cs="Arial"/>
          <w:color w:val="000000"/>
          <w:sz w:val="20"/>
        </w:rPr>
        <w:t xml:space="preserve">, 292 F.3d 1073, 1076 (9th Cir. 2002) (brackets omitted) (quoting </w:t>
      </w:r>
      <w:bookmarkStart w:id="5053" w:name="Bookmark_I5D88D662D6N2J0040000400"/>
      <w:bookmarkEnd w:id="5053"/>
      <w:r>
        <w:rPr>
          <w:rFonts w:ascii="Arial" w:eastAsia="Arial" w:hAnsi="Arial" w:cs="Arial"/>
          <w:i/>
          <w:color w:val="000000"/>
          <w:sz w:val="20"/>
        </w:rPr>
        <w:t>Lee v. City of L.A</w:t>
      </w:r>
      <w:r>
        <w:rPr>
          <w:rFonts w:ascii="Arial" w:eastAsia="Arial" w:hAnsi="Arial" w:cs="Arial"/>
          <w:color w:val="000000"/>
          <w:sz w:val="20"/>
        </w:rPr>
        <w:t xml:space="preserve">., 250 F.3d 668, 691 (9th Cir. 2001)). </w:t>
      </w:r>
      <w:bookmarkStart w:id="5054" w:name="Bookmark_I5D88D662SF7X10020000400_2"/>
      <w:bookmarkEnd w:id="5054"/>
      <w:r>
        <w:rPr>
          <w:rFonts w:ascii="Arial" w:eastAsia="Arial" w:hAnsi="Arial" w:cs="Arial"/>
          <w:color w:val="000000"/>
          <w:sz w:val="20"/>
        </w:rPr>
        <w:t xml:space="preserve">Whether a particular public function is covered by the ADA turns simply on whether it is "'a normal function of a government entity.'" </w:t>
      </w:r>
      <w:r>
        <w:rPr>
          <w:rFonts w:ascii="Arial" w:eastAsia="Arial" w:hAnsi="Arial" w:cs="Arial"/>
          <w:i/>
          <w:color w:val="000000"/>
          <w:sz w:val="20"/>
        </w:rPr>
        <w:t>Id</w:t>
      </w:r>
      <w:r>
        <w:rPr>
          <w:rFonts w:ascii="Arial" w:eastAsia="Arial" w:hAnsi="Arial" w:cs="Arial"/>
          <w:color w:val="000000"/>
          <w:sz w:val="20"/>
        </w:rPr>
        <w:t xml:space="preserve">. (quoting </w:t>
      </w:r>
      <w:bookmarkStart w:id="5055" w:name="Bookmark_I5D88D662SF7X10010000400"/>
      <w:bookmarkEnd w:id="5055"/>
      <w:r>
        <w:rPr>
          <w:rFonts w:ascii="Arial" w:eastAsia="Arial" w:hAnsi="Arial" w:cs="Arial"/>
          <w:i/>
          <w:color w:val="000000"/>
          <w:sz w:val="20"/>
        </w:rPr>
        <w:t>BAART</w:t>
      </w:r>
      <w:r>
        <w:rPr>
          <w:rFonts w:ascii="Arial" w:eastAsia="Arial" w:hAnsi="Arial" w:cs="Arial"/>
          <w:color w:val="000000"/>
          <w:sz w:val="20"/>
        </w:rPr>
        <w:t>, 179 F.3d at 731).</w:t>
      </w:r>
    </w:p>
    <w:p w14:paraId="143B081B" w14:textId="77777777" w:rsidR="002D0E71" w:rsidRDefault="00000000">
      <w:pPr>
        <w:pStyle w:val="Normal37"/>
        <w:widowControl w:val="0"/>
        <w:spacing w:before="200" w:line="260" w:lineRule="atLeast"/>
        <w:jc w:val="both"/>
      </w:pPr>
      <w:bookmarkStart w:id="5056" w:name="Bookmark_para_9_35"/>
      <w:bookmarkStart w:id="5057" w:name="Bookmark_I5D88D662SF7X10040000400"/>
      <w:bookmarkStart w:id="5058" w:name="Bookmark_I4GW5SPV9S2000RKF9S001FP"/>
      <w:bookmarkStart w:id="5059" w:name="Bookmark_I4GW5SPVFK6000RKF9S001FR"/>
      <w:bookmarkStart w:id="5060" w:name="Bookmark_I5D88D662SF7X20010000400"/>
      <w:bookmarkStart w:id="5061" w:name="Bookmark_LNHNREFclscc7_28"/>
      <w:bookmarkEnd w:id="5056"/>
      <w:bookmarkEnd w:id="5057"/>
      <w:bookmarkEnd w:id="5058"/>
      <w:bookmarkEnd w:id="5059"/>
      <w:bookmarkEnd w:id="5060"/>
      <w:bookmarkEnd w:id="5061"/>
      <w:r>
        <w:rPr>
          <w:rFonts w:ascii="Arial" w:eastAsia="Arial" w:hAnsi="Arial" w:cs="Arial"/>
          <w:color w:val="000000"/>
          <w:sz w:val="20"/>
        </w:rPr>
        <w:t xml:space="preserve">Recognizing the broad reach of the ADA, we have held that Title II requires public entities to maintain accessible public sidewalks, notwithstanding the fact that no implementing regulations specifically addressed sidewalks. </w:t>
      </w:r>
      <w:bookmarkStart w:id="5062" w:name="Bookmark_I5D88D662SF7X10030000400"/>
      <w:bookmarkEnd w:id="5062"/>
      <w:r>
        <w:rPr>
          <w:rFonts w:ascii="Arial" w:eastAsia="Arial" w:hAnsi="Arial" w:cs="Arial"/>
          <w:i/>
          <w:color w:val="000000"/>
          <w:sz w:val="20"/>
        </w:rPr>
        <w:t>Id</w:t>
      </w:r>
      <w:r>
        <w:rPr>
          <w:rFonts w:ascii="Arial" w:eastAsia="Arial" w:hAnsi="Arial" w:cs="Arial"/>
          <w:color w:val="000000"/>
          <w:sz w:val="20"/>
        </w:rPr>
        <w:t xml:space="preserve">. at 1076-78. In </w:t>
      </w:r>
      <w:r>
        <w:rPr>
          <w:rFonts w:ascii="Arial" w:eastAsia="Arial" w:hAnsi="Arial" w:cs="Arial"/>
          <w:i/>
          <w:color w:val="000000"/>
          <w:sz w:val="20"/>
        </w:rPr>
        <w:t>Barden</w:t>
      </w:r>
      <w:r>
        <w:rPr>
          <w:rFonts w:ascii="Arial" w:eastAsia="Arial" w:hAnsi="Arial" w:cs="Arial"/>
          <w:color w:val="000000"/>
          <w:sz w:val="20"/>
        </w:rPr>
        <w:t xml:space="preserve">, we explained that local governments must maintain accessible sidewalks because "maintaining public sidewalks is a normal function of a city and 'without a doubt something that the City does.'" </w:t>
      </w:r>
      <w:bookmarkStart w:id="5063" w:name="Bookmark_I5D88D662SF7X10050000400"/>
      <w:bookmarkEnd w:id="5063"/>
      <w:r>
        <w:rPr>
          <w:rFonts w:ascii="Arial" w:eastAsia="Arial" w:hAnsi="Arial" w:cs="Arial"/>
          <w:i/>
          <w:color w:val="000000"/>
          <w:sz w:val="20"/>
        </w:rPr>
        <w:t>Id</w:t>
      </w:r>
      <w:r>
        <w:rPr>
          <w:rFonts w:ascii="Arial" w:eastAsia="Arial" w:hAnsi="Arial" w:cs="Arial"/>
          <w:color w:val="000000"/>
          <w:sz w:val="20"/>
        </w:rPr>
        <w:t xml:space="preserve">. at 1076 (brackets omitted) (quoting </w:t>
      </w:r>
      <w:bookmarkStart w:id="5064" w:name="Bookmark_I5D88D662SF7X20020000400"/>
      <w:bookmarkEnd w:id="5064"/>
      <w:r>
        <w:rPr>
          <w:rFonts w:ascii="Arial" w:eastAsia="Arial" w:hAnsi="Arial" w:cs="Arial"/>
          <w:i/>
          <w:color w:val="000000"/>
          <w:sz w:val="20"/>
        </w:rPr>
        <w:t>Hason v. Med. Bd</w:t>
      </w:r>
      <w:r>
        <w:rPr>
          <w:rFonts w:ascii="Arial" w:eastAsia="Arial" w:hAnsi="Arial" w:cs="Arial"/>
          <w:color w:val="000000"/>
          <w:sz w:val="20"/>
        </w:rPr>
        <w:t>., 279 F.3d 1167, 1173 (9th Cir. 2002)). The same reasoning leads us to conclude that local governments must maintain accessible on-street public parking.</w:t>
      </w:r>
    </w:p>
    <w:p w14:paraId="37B2A077" w14:textId="77777777" w:rsidR="002D0E71" w:rsidRDefault="00000000">
      <w:pPr>
        <w:pStyle w:val="Normal37"/>
        <w:widowControl w:val="0"/>
        <w:spacing w:before="200" w:line="260" w:lineRule="atLeast"/>
        <w:jc w:val="both"/>
      </w:pPr>
      <w:bookmarkStart w:id="5065" w:name="Bookmark_para_10_34"/>
      <w:bookmarkEnd w:id="5065"/>
      <w:r>
        <w:rPr>
          <w:rFonts w:ascii="Arial" w:eastAsia="Arial" w:hAnsi="Arial" w:cs="Arial"/>
          <w:color w:val="000000"/>
          <w:sz w:val="20"/>
        </w:rPr>
        <w:t xml:space="preserve">The City argues that </w:t>
      </w:r>
      <w:r>
        <w:rPr>
          <w:rFonts w:ascii="Arial" w:eastAsia="Arial" w:hAnsi="Arial" w:cs="Arial"/>
          <w:i/>
          <w:color w:val="000000"/>
          <w:sz w:val="20"/>
        </w:rPr>
        <w:t>Barden</w:t>
      </w:r>
      <w:r>
        <w:rPr>
          <w:rFonts w:ascii="Arial" w:eastAsia="Arial" w:hAnsi="Arial" w:cs="Arial"/>
          <w:color w:val="000000"/>
          <w:sz w:val="20"/>
        </w:rPr>
        <w:t xml:space="preserve"> is distinguishable because, in that case, existing regulations concerning curb ramps clearly contemplated sidewalk accessibility. </w:t>
      </w:r>
      <w:bookmarkStart w:id="5066" w:name="Bookmark_I5D88D662SF7X20050000400"/>
      <w:bookmarkEnd w:id="5066"/>
      <w:r>
        <w:rPr>
          <w:rFonts w:ascii="Arial" w:eastAsia="Arial" w:hAnsi="Arial" w:cs="Arial"/>
          <w:color w:val="000000"/>
          <w:sz w:val="20"/>
        </w:rPr>
        <w:t xml:space="preserve">Here, however, the City contends that no existing regulation implicates onstreet parking. The City's argument fails for several reasons. </w:t>
      </w:r>
      <w:bookmarkStart w:id="5067" w:name="Bookmark_I5D88D6628T4KC0020000400"/>
      <w:bookmarkEnd w:id="5067"/>
      <w:r>
        <w:rPr>
          <w:rFonts w:ascii="Arial" w:eastAsia="Arial" w:hAnsi="Arial" w:cs="Arial"/>
          <w:color w:val="000000"/>
          <w:sz w:val="20"/>
        </w:rPr>
        <w:t xml:space="preserve">First, although the </w:t>
      </w:r>
      <w:r>
        <w:rPr>
          <w:rFonts w:ascii="Arial" w:eastAsia="Arial" w:hAnsi="Arial" w:cs="Arial"/>
          <w:i/>
          <w:color w:val="000000"/>
          <w:sz w:val="20"/>
        </w:rPr>
        <w:t>Barden</w:t>
      </w:r>
      <w:r>
        <w:rPr>
          <w:rFonts w:ascii="Arial" w:eastAsia="Arial" w:hAnsi="Arial" w:cs="Arial"/>
          <w:color w:val="000000"/>
          <w:sz w:val="20"/>
        </w:rPr>
        <w:t xml:space="preserve"> court noted that its conclusion was "consistent with" an existing curb ramp regulation, its holding was based on the text of the ADA. </w:t>
      </w:r>
      <w:r>
        <w:rPr>
          <w:rFonts w:ascii="Arial" w:eastAsia="Arial" w:hAnsi="Arial" w:cs="Arial"/>
          <w:i/>
          <w:color w:val="000000"/>
          <w:sz w:val="20"/>
        </w:rPr>
        <w:t xml:space="preserve">See </w:t>
      </w:r>
      <w:bookmarkStart w:id="5068" w:name="Bookmark_I5D88D662SF7X20040000400"/>
      <w:bookmarkEnd w:id="5068"/>
      <w:r>
        <w:rPr>
          <w:rFonts w:ascii="Arial" w:eastAsia="Arial" w:hAnsi="Arial" w:cs="Arial"/>
          <w:i/>
          <w:color w:val="000000"/>
          <w:sz w:val="20"/>
        </w:rPr>
        <w:t>id</w:t>
      </w:r>
      <w:r>
        <w:rPr>
          <w:rFonts w:ascii="Arial" w:eastAsia="Arial" w:hAnsi="Arial" w:cs="Arial"/>
          <w:color w:val="000000"/>
          <w:sz w:val="20"/>
        </w:rPr>
        <w:t xml:space="preserve">. at 1076-77 (interpreting the phrase "services, programs, or activities" and considering similar [**7]  text in the Rehabilitation Act). </w:t>
      </w:r>
      <w:bookmarkStart w:id="5069" w:name="Bookmark_I5D88D6628T4KC0020000400_2"/>
      <w:bookmarkEnd w:id="5069"/>
      <w:r>
        <w:rPr>
          <w:rFonts w:ascii="Arial" w:eastAsia="Arial" w:hAnsi="Arial" w:cs="Arial"/>
          <w:color w:val="000000"/>
          <w:sz w:val="20"/>
        </w:rPr>
        <w:t xml:space="preserve">Second, we have previously recognized that, as a general matter, the lack of specific regulations cannot eliminate a statutory obligation. </w:t>
      </w:r>
      <w:r>
        <w:rPr>
          <w:rFonts w:ascii="Arial" w:eastAsia="Arial" w:hAnsi="Arial" w:cs="Arial"/>
          <w:i/>
          <w:color w:val="000000"/>
          <w:sz w:val="20"/>
        </w:rPr>
        <w:t xml:space="preserve">See </w:t>
      </w:r>
      <w:bookmarkStart w:id="5070" w:name="Bookmark_I5D88D6628T4KC0010000400"/>
      <w:bookmarkEnd w:id="5070"/>
      <w:r>
        <w:rPr>
          <w:rFonts w:ascii="Arial" w:eastAsia="Arial" w:hAnsi="Arial" w:cs="Arial"/>
          <w:i/>
          <w:color w:val="000000"/>
          <w:sz w:val="20"/>
        </w:rPr>
        <w:t>Reich v. Mont. Sulphur &amp; Chem. Co</w:t>
      </w:r>
      <w:r>
        <w:rPr>
          <w:rFonts w:ascii="Arial" w:eastAsia="Arial" w:hAnsi="Arial" w:cs="Arial"/>
          <w:color w:val="000000"/>
          <w:sz w:val="20"/>
        </w:rPr>
        <w:t>., 32 F.3d 440, 444-45 (9th Cir. 1994) (explaining that although the Occupational Safety and Health Act contemplated that the Secretary of Labor would promulgate specific safety standards, such regulations could only "amplify and augment" the statute's general duty clause and their absence did not "displace" the statutory mandate to provide a safe workplace).</w:t>
      </w:r>
    </w:p>
    <w:p w14:paraId="5AC2D8F5" w14:textId="77777777" w:rsidR="002D0E71" w:rsidRDefault="00000000">
      <w:pPr>
        <w:pStyle w:val="Normal37"/>
        <w:widowControl w:val="0"/>
        <w:spacing w:before="200" w:line="260" w:lineRule="atLeast"/>
        <w:jc w:val="both"/>
      </w:pPr>
      <w:bookmarkStart w:id="5071" w:name="Bookmark_para_11_34"/>
      <w:bookmarkEnd w:id="5071"/>
      <w:r>
        <w:rPr>
          <w:rFonts w:ascii="Arial" w:eastAsia="Arial" w:hAnsi="Arial" w:cs="Arial"/>
          <w:color w:val="000000"/>
          <w:sz w:val="20"/>
        </w:rPr>
        <w:t xml:space="preserve">Third, existing regulations </w:t>
      </w:r>
      <w:r>
        <w:rPr>
          <w:rFonts w:ascii="Arial" w:eastAsia="Arial" w:hAnsi="Arial" w:cs="Arial"/>
          <w:i/>
          <w:color w:val="000000"/>
          <w:sz w:val="20"/>
        </w:rPr>
        <w:t>do</w:t>
      </w:r>
      <w:r>
        <w:rPr>
          <w:rFonts w:ascii="Arial" w:eastAsia="Arial" w:hAnsi="Arial" w:cs="Arial"/>
          <w:color w:val="000000"/>
          <w:sz w:val="20"/>
        </w:rPr>
        <w:t xml:space="preserve"> require accessible on-street parking. Two regulations in particular apply to public on-street parking. </w:t>
      </w:r>
      <w:bookmarkStart w:id="5072" w:name="Bookmark_I5D88D6628T4KC0040000400"/>
      <w:bookmarkEnd w:id="5072"/>
      <w:r>
        <w:rPr>
          <w:rFonts w:ascii="Arial" w:eastAsia="Arial" w:hAnsi="Arial" w:cs="Arial"/>
          <w:color w:val="000000"/>
          <w:sz w:val="20"/>
        </w:rPr>
        <w:t>The first is 28 C.F.R. § 35.150, which applies to all existing facilities.</w:t>
      </w:r>
      <w:r>
        <w:rPr>
          <w:rFonts w:ascii="Arial" w:eastAsia="Arial" w:hAnsi="Arial" w:cs="Arial"/>
          <w:vertAlign w:val="superscript"/>
        </w:rPr>
        <w:footnoteReference w:customMarkFollows="1" w:id="191"/>
        <w:t>3</w:t>
      </w:r>
      <w:r>
        <w:rPr>
          <w:rFonts w:ascii="Arial" w:eastAsia="Arial" w:hAnsi="Arial" w:cs="Arial"/>
          <w:color w:val="000000"/>
          <w:sz w:val="20"/>
        </w:rPr>
        <w:t xml:space="preserve"> Pursuant to this regulation, public entities must "operate each service, program, or activity so that the service, program, or activity, when viewed in its entirety, is readily accessible to and usable by individuals with disabilities." 28 C.F.R. § 35.150(a). Because the provision of public on-street parking is a "service, program, or activity," 28 C.F.R. § 35.150(a) applies to it. Under the regulation, however, public entities have some flexibility in handling existing inaccessible facilities. For instance, they are not required to make structural [**8]  changes to all existing on-street  [*1103]  parking facilities if they can make public on-street parking accessible by other means, such as by providing accessible on-street parking at other nearby sites. 28 C.F.R. § 35.150(b)(1); </w:t>
      </w:r>
      <w:r>
        <w:rPr>
          <w:rFonts w:ascii="Arial" w:eastAsia="Arial" w:hAnsi="Arial" w:cs="Arial"/>
          <w:i/>
          <w:color w:val="000000"/>
          <w:sz w:val="20"/>
        </w:rPr>
        <w:t xml:space="preserve">cf. </w:t>
      </w:r>
      <w:bookmarkStart w:id="5075" w:name="Bookmark_I5D88D6628T4KC0030000400"/>
      <w:bookmarkEnd w:id="5075"/>
      <w:r>
        <w:rPr>
          <w:rFonts w:ascii="Arial" w:eastAsia="Arial" w:hAnsi="Arial" w:cs="Arial"/>
          <w:i/>
          <w:color w:val="000000"/>
          <w:sz w:val="20"/>
        </w:rPr>
        <w:t>Cohen</w:t>
      </w:r>
      <w:r>
        <w:rPr>
          <w:rFonts w:ascii="Arial" w:eastAsia="Arial" w:hAnsi="Arial" w:cs="Arial"/>
          <w:color w:val="000000"/>
          <w:sz w:val="20"/>
        </w:rPr>
        <w:t>, 754 F.3d at 697 (noting that in order to comply with 28 C.F.R. § 35.150, a public entity may require disabled individuals to "take a marginally longer route" (internal quotation marks omitted)). But, at bottom, the regulation mandates program accessibility for all normal governmental functions, including the provision of on-street public parking.</w:t>
      </w:r>
    </w:p>
    <w:p w14:paraId="000A2625" w14:textId="77777777" w:rsidR="002D0E71" w:rsidRDefault="00000000">
      <w:pPr>
        <w:pStyle w:val="Normal37"/>
        <w:widowControl w:val="0"/>
        <w:spacing w:before="200" w:line="260" w:lineRule="atLeast"/>
        <w:jc w:val="both"/>
      </w:pPr>
      <w:bookmarkStart w:id="5076" w:name="Bookmark_para_12_33"/>
      <w:bookmarkEnd w:id="5076"/>
      <w:r>
        <w:rPr>
          <w:rFonts w:ascii="Arial" w:eastAsia="Arial" w:hAnsi="Arial" w:cs="Arial"/>
          <w:color w:val="000000"/>
          <w:sz w:val="20"/>
        </w:rPr>
        <w:t xml:space="preserve">The second regulation, </w:t>
      </w:r>
      <w:bookmarkStart w:id="5077" w:name="Bookmark_LNHNREFclscc9_26"/>
      <w:bookmarkEnd w:id="5077"/>
      <w:r>
        <w:rPr>
          <w:rFonts w:ascii="Arial" w:eastAsia="Arial" w:hAnsi="Arial" w:cs="Arial"/>
          <w:color w:val="000000"/>
          <w:sz w:val="20"/>
        </w:rPr>
        <w:t xml:space="preserve">28 C.F.R. § 35.151, governs only facilities that were constructed or modified after the ADA's effective date. Unlike 28 C.F.R. § 35.150, it requires that "each facility" constructed or altered after June 26, 1992 be "readily accessible to and usable by individuals with disabilities." 28 C.F.R. § 35.151(a)(1), (b)(1). By its terms, then, this regulation extends to newly constructed or altered on-street parking facilities. The City seeks to avoid this conclusion by pointing out that the technical specifications governing newly constructed or altered facilities are silent with respect to on-street parking. </w:t>
      </w:r>
      <w:bookmarkStart w:id="5078" w:name="Bookmark_LNHNREFclscc10_26"/>
      <w:bookmarkEnd w:id="5078"/>
      <w:r>
        <w:rPr>
          <w:rFonts w:ascii="Arial" w:eastAsia="Arial" w:hAnsi="Arial" w:cs="Arial"/>
          <w:color w:val="000000"/>
          <w:sz w:val="20"/>
        </w:rPr>
        <w:t xml:space="preserve">In addition to the general mandate of accessibility set forth in subsections (a)(1) and (b)(1), 28 C.F.R. § 35.151 also requires that newly constructed or altered facilities meet the technical standards set forth in the Uniform Federal Accessibility Standards ("UFAS"), the 1991 Standards for Accessible Design ("1991 Standards"), or the 2010 Standards for Accessible Design ("2010 Standards"). </w:t>
      </w:r>
      <w:r>
        <w:rPr>
          <w:rFonts w:ascii="Arial" w:eastAsia="Arial" w:hAnsi="Arial" w:cs="Arial"/>
          <w:i/>
          <w:color w:val="000000"/>
          <w:sz w:val="20"/>
        </w:rPr>
        <w:t>See id</w:t>
      </w:r>
      <w:r>
        <w:rPr>
          <w:rFonts w:ascii="Arial" w:eastAsia="Arial" w:hAnsi="Arial" w:cs="Arial"/>
          <w:color w:val="000000"/>
          <w:sz w:val="20"/>
        </w:rPr>
        <w:t>. § 35.151(c).</w:t>
      </w:r>
      <w:r>
        <w:rPr>
          <w:rFonts w:ascii="Arial" w:eastAsia="Arial" w:hAnsi="Arial" w:cs="Arial"/>
          <w:vertAlign w:val="superscript"/>
        </w:rPr>
        <w:footnoteReference w:customMarkFollows="1" w:id="192"/>
        <w:t>4</w:t>
      </w:r>
      <w:r>
        <w:rPr>
          <w:rFonts w:ascii="Arial" w:eastAsia="Arial" w:hAnsi="Arial" w:cs="Arial"/>
          <w:color w:val="000000"/>
          <w:sz w:val="20"/>
        </w:rPr>
        <w:t xml:space="preserve"> The UFAS, the 1991 Standards, and the 2010 Standards contain detailed specifications for a range of different facilities, but none of them address on-street parking.</w:t>
      </w:r>
      <w:r>
        <w:rPr>
          <w:rFonts w:ascii="Arial" w:eastAsia="Arial" w:hAnsi="Arial" w:cs="Arial"/>
          <w:vertAlign w:val="superscript"/>
        </w:rPr>
        <w:footnoteReference w:customMarkFollows="1" w:id="193"/>
        <w:t>5</w:t>
      </w:r>
      <w:r>
        <w:rPr>
          <w:rFonts w:ascii="Arial" w:eastAsia="Arial" w:hAnsi="Arial" w:cs="Arial"/>
          <w:color w:val="000000"/>
          <w:sz w:val="20"/>
        </w:rPr>
        <w:t xml:space="preserve"> However, nothing in 28 C.F.R. § 35.151 suggests that when technical [**10]  specifications do not exist for a particular type of facility, public entities have no accessibility obligations. In fact, such an interpretation of the regulation cannot be reconciled with subsections (a)(1) and (b)(1), which mandate that "each" newly constructed or altered facility be readily accessible. Therefore, we read 28 C.F.R. § 35.151 to require that all public on-street parking facilities constructed or altered after the ADA's effective date be accessible.</w:t>
      </w:r>
    </w:p>
    <w:p w14:paraId="20660594" w14:textId="77777777" w:rsidR="002D0E71" w:rsidRDefault="00000000">
      <w:pPr>
        <w:pStyle w:val="Normal37"/>
        <w:widowControl w:val="0"/>
        <w:spacing w:before="200" w:line="260" w:lineRule="atLeast"/>
        <w:jc w:val="both"/>
      </w:pPr>
      <w:bookmarkStart w:id="5081" w:name="Bookmark_para_13_33"/>
      <w:bookmarkEnd w:id="5081"/>
      <w:r>
        <w:rPr>
          <w:rFonts w:ascii="Arial" w:eastAsia="Arial" w:hAnsi="Arial" w:cs="Arial"/>
          <w:color w:val="000000"/>
          <w:sz w:val="20"/>
        </w:rPr>
        <w:t>Our interpretation of 28 C.F.R. § 35.151 is also consistent with the DOJ's interpretation. The DOJ issues a Technical Assistance Manual ("TA Manual") to assist individuals and entities to understand their rights and obligations under the ADA.</w:t>
      </w:r>
      <w:r>
        <w:rPr>
          <w:rFonts w:ascii="Arial" w:eastAsia="Arial" w:hAnsi="Arial" w:cs="Arial"/>
          <w:vertAlign w:val="superscript"/>
        </w:rPr>
        <w:footnoteReference w:customMarkFollows="1" w:id="194"/>
        <w:t>6</w:t>
      </w:r>
      <w:r>
        <w:rPr>
          <w:rFonts w:ascii="Arial" w:eastAsia="Arial" w:hAnsi="Arial" w:cs="Arial"/>
          <w:color w:val="000000"/>
          <w:sz w:val="20"/>
        </w:rPr>
        <w:t xml:space="preserve"> In a 1994 supplement to the TA Manual, the DOJ offered the following guidance on complying with 28 C.F.R. § 35.151 when neither the UFAS nor the Americans with Disabilities Act Accessibility Guidelines for Buildings and Facilities ("ADAAG")</w:t>
      </w:r>
      <w:r>
        <w:rPr>
          <w:rFonts w:ascii="Arial" w:eastAsia="Arial" w:hAnsi="Arial" w:cs="Arial"/>
          <w:vertAlign w:val="superscript"/>
        </w:rPr>
        <w:footnoteReference w:customMarkFollows="1" w:id="195"/>
        <w:t>7</w:t>
      </w:r>
      <w:r>
        <w:rPr>
          <w:rFonts w:ascii="Arial" w:eastAsia="Arial" w:hAnsi="Arial" w:cs="Arial"/>
          <w:color w:val="000000"/>
          <w:sz w:val="20"/>
        </w:rPr>
        <w:t xml:space="preserve"> contained specifications [**11]  for a type of facility:</w:t>
      </w:r>
    </w:p>
    <w:p w14:paraId="04F0B1B9" w14:textId="77777777" w:rsidR="002D0E71" w:rsidRDefault="00000000">
      <w:pPr>
        <w:pStyle w:val="Normal37"/>
        <w:widowControl w:val="0"/>
        <w:spacing w:before="200" w:line="260" w:lineRule="atLeast"/>
        <w:ind w:left="400"/>
        <w:jc w:val="both"/>
      </w:pPr>
      <w:bookmarkStart w:id="5084" w:name="Bookmark_para_14_32"/>
      <w:bookmarkEnd w:id="5084"/>
      <w:r>
        <w:rPr>
          <w:rFonts w:ascii="Arial" w:eastAsia="Arial" w:hAnsi="Arial" w:cs="Arial"/>
          <w:color w:val="000000"/>
          <w:sz w:val="20"/>
        </w:rPr>
        <w:t xml:space="preserve"> [*1104]  </w:t>
      </w:r>
      <w:bookmarkStart w:id="5085" w:name="Bookmark_LNHNREFclscc11_19"/>
      <w:bookmarkEnd w:id="5085"/>
      <w:r>
        <w:rPr>
          <w:rFonts w:ascii="Arial" w:eastAsia="Arial" w:hAnsi="Arial" w:cs="Arial"/>
          <w:color w:val="000000"/>
          <w:sz w:val="20"/>
        </w:rPr>
        <w:t>In such cases the technical requirements of the chosen standard should be applied to the extent possible. If no standard exists for particular features, those features need not comply with a particular design standard. However, the facility must still be designed and operated to meet other title II requirements, including program accessibility.</w:t>
      </w:r>
    </w:p>
    <w:p w14:paraId="20DEB4BD" w14:textId="77777777" w:rsidR="002D0E71" w:rsidRDefault="00000000">
      <w:pPr>
        <w:pStyle w:val="Normal37"/>
        <w:widowControl w:val="0"/>
        <w:spacing w:line="260" w:lineRule="atLeast"/>
        <w:jc w:val="both"/>
      </w:pPr>
      <w:r>
        <w:rPr>
          <w:rFonts w:ascii="Arial" w:eastAsia="Arial" w:hAnsi="Arial" w:cs="Arial"/>
          <w:color w:val="000000"/>
          <w:sz w:val="20"/>
        </w:rPr>
        <w:t>1994 Supplement to TA Manual, II-6.2100 (citation omitted).</w:t>
      </w:r>
      <w:r>
        <w:rPr>
          <w:rFonts w:ascii="Arial" w:eastAsia="Arial" w:hAnsi="Arial" w:cs="Arial"/>
          <w:vertAlign w:val="superscript"/>
        </w:rPr>
        <w:footnoteReference w:customMarkFollows="1" w:id="196"/>
        <w:t>8</w:t>
      </w:r>
      <w:r>
        <w:rPr>
          <w:rFonts w:ascii="Arial" w:eastAsia="Arial" w:hAnsi="Arial" w:cs="Arial"/>
          <w:color w:val="000000"/>
          <w:sz w:val="20"/>
        </w:rPr>
        <w:t xml:space="preserve"> Moreover, the DOJ's amicus brief also sets forth this interpretation of 28 C.F.R. § 35.151.</w:t>
      </w:r>
    </w:p>
    <w:p w14:paraId="1AC888C9" w14:textId="77777777" w:rsidR="002D0E71" w:rsidRDefault="00000000">
      <w:pPr>
        <w:pStyle w:val="Normal37"/>
        <w:widowControl w:val="0"/>
        <w:spacing w:before="200" w:line="260" w:lineRule="atLeast"/>
        <w:jc w:val="both"/>
      </w:pPr>
      <w:bookmarkStart w:id="5087" w:name="Bookmark_para_15_31"/>
      <w:bookmarkStart w:id="5088" w:name="Bookmark_I5D88D6628T4KD0010000400"/>
      <w:bookmarkStart w:id="5089" w:name="Bookmark_I5D88D6628T4KD0030000400"/>
      <w:bookmarkStart w:id="5090" w:name="Bookmark_LNHNREFclscc12_18"/>
      <w:bookmarkEnd w:id="5087"/>
      <w:bookmarkEnd w:id="5088"/>
      <w:bookmarkEnd w:id="5089"/>
      <w:bookmarkEnd w:id="5090"/>
      <w:r>
        <w:rPr>
          <w:rFonts w:ascii="Arial" w:eastAsia="Arial" w:hAnsi="Arial" w:cs="Arial"/>
          <w:color w:val="000000"/>
          <w:sz w:val="20"/>
        </w:rPr>
        <w:t xml:space="preserve">An agency's interpretation of its own regulations is entitled to deference. [**12]  </w:t>
      </w:r>
      <w:bookmarkStart w:id="5091" w:name="Bookmark_I5D88D6628T4KF0020000400"/>
      <w:bookmarkStart w:id="5092" w:name="Bookmark_I5D88D6628T4KC0050000400"/>
      <w:bookmarkEnd w:id="5091"/>
      <w:bookmarkEnd w:id="5092"/>
      <w:r>
        <w:rPr>
          <w:rFonts w:ascii="Arial" w:eastAsia="Arial" w:hAnsi="Arial" w:cs="Arial"/>
          <w:i/>
          <w:color w:val="000000"/>
          <w:sz w:val="20"/>
        </w:rPr>
        <w:t>Auer v. Robbins</w:t>
      </w:r>
      <w:r>
        <w:rPr>
          <w:rFonts w:ascii="Arial" w:eastAsia="Arial" w:hAnsi="Arial" w:cs="Arial"/>
          <w:color w:val="000000"/>
          <w:sz w:val="20"/>
        </w:rPr>
        <w:t xml:space="preserve">, 519 U.S. 452, 461, 117 S. Ct. 905, 137 L. Ed. 2d 79 (1997). The DOJ's interpretation of its ADA implementing regulations is entitled to "'controlling weight unless it is plainly erroneous or inconsistent with the regulation.'" </w:t>
      </w:r>
      <w:bookmarkStart w:id="5093" w:name="Bookmark_I5D88D6628T4KD0020000400"/>
      <w:bookmarkEnd w:id="5093"/>
      <w:r>
        <w:rPr>
          <w:rFonts w:ascii="Arial" w:eastAsia="Arial" w:hAnsi="Arial" w:cs="Arial"/>
          <w:i/>
          <w:color w:val="000000"/>
          <w:sz w:val="20"/>
        </w:rPr>
        <w:t>Miller v. Cal. Speedway Corp</w:t>
      </w:r>
      <w:r>
        <w:rPr>
          <w:rFonts w:ascii="Arial" w:eastAsia="Arial" w:hAnsi="Arial" w:cs="Arial"/>
          <w:color w:val="000000"/>
          <w:sz w:val="20"/>
        </w:rPr>
        <w:t xml:space="preserve">., 536 F.3d 1020, 1028 (9th Cir. 2008) (quoting </w:t>
      </w:r>
      <w:bookmarkStart w:id="5094" w:name="Bookmark_I5D88D6628T4KD0040000400"/>
      <w:bookmarkEnd w:id="5094"/>
      <w:r>
        <w:rPr>
          <w:rFonts w:ascii="Arial" w:eastAsia="Arial" w:hAnsi="Arial" w:cs="Arial"/>
          <w:i/>
          <w:color w:val="000000"/>
          <w:sz w:val="20"/>
        </w:rPr>
        <w:t>Bowles v. Seminole Rock &amp; Sand Co</w:t>
      </w:r>
      <w:r>
        <w:rPr>
          <w:rFonts w:ascii="Arial" w:eastAsia="Arial" w:hAnsi="Arial" w:cs="Arial"/>
          <w:color w:val="000000"/>
          <w:sz w:val="20"/>
        </w:rPr>
        <w:t xml:space="preserve">., 325 U.S. 410, 414, 65 S. Ct. 1215, 89 L. Ed. 1700 (1945)). </w:t>
      </w:r>
      <w:bookmarkStart w:id="5095" w:name="Bookmark_I5D88D6628T4KF0020000400_2"/>
      <w:bookmarkStart w:id="5096" w:name="Bookmark_I5D88D6628T4KF0040000400"/>
      <w:bookmarkEnd w:id="5095"/>
      <w:bookmarkEnd w:id="5096"/>
      <w:r>
        <w:rPr>
          <w:rFonts w:ascii="Arial" w:eastAsia="Arial" w:hAnsi="Arial" w:cs="Arial"/>
          <w:color w:val="000000"/>
          <w:sz w:val="20"/>
        </w:rPr>
        <w:t xml:space="preserve">The TA Manual is such "'an interpretation[,] . . . and, as such, is entitled to significant weight as to the meaning of the regulation[s].'" </w:t>
      </w:r>
      <w:r>
        <w:rPr>
          <w:rFonts w:ascii="Arial" w:eastAsia="Arial" w:hAnsi="Arial" w:cs="Arial"/>
          <w:i/>
          <w:color w:val="000000"/>
          <w:sz w:val="20"/>
        </w:rPr>
        <w:t>Id</w:t>
      </w:r>
      <w:r>
        <w:rPr>
          <w:rFonts w:ascii="Arial" w:eastAsia="Arial" w:hAnsi="Arial" w:cs="Arial"/>
          <w:color w:val="000000"/>
          <w:sz w:val="20"/>
        </w:rPr>
        <w:t xml:space="preserve">. (quoting </w:t>
      </w:r>
      <w:bookmarkStart w:id="5097" w:name="Bookmark_I5D88D6628T4KF0010000400"/>
      <w:bookmarkEnd w:id="5097"/>
      <w:r>
        <w:rPr>
          <w:rFonts w:ascii="Arial" w:eastAsia="Arial" w:hAnsi="Arial" w:cs="Arial"/>
          <w:i/>
          <w:color w:val="000000"/>
          <w:sz w:val="20"/>
        </w:rPr>
        <w:t>Disabled Rights Action Comm. v. Las Vegas Events, Inc</w:t>
      </w:r>
      <w:r>
        <w:rPr>
          <w:rFonts w:ascii="Arial" w:eastAsia="Arial" w:hAnsi="Arial" w:cs="Arial"/>
          <w:color w:val="000000"/>
          <w:sz w:val="20"/>
        </w:rPr>
        <w:t xml:space="preserve">., 375 F.3d 861, 875-76 (9th Cir. 2004)). </w:t>
      </w:r>
      <w:bookmarkStart w:id="5098" w:name="Bookmark_I5D88D6628T4KF0040000400_2"/>
      <w:bookmarkStart w:id="5099" w:name="Bookmark_I5D88D662SF7X30030000400"/>
      <w:bookmarkEnd w:id="5098"/>
      <w:bookmarkEnd w:id="5099"/>
      <w:r>
        <w:rPr>
          <w:rFonts w:ascii="Arial" w:eastAsia="Arial" w:hAnsi="Arial" w:cs="Arial"/>
          <w:color w:val="000000"/>
          <w:sz w:val="20"/>
        </w:rPr>
        <w:t xml:space="preserve">Additionally, an agency's interpretation of its own regulations as advanced in an amicus brief is also entitled to deference. </w:t>
      </w:r>
      <w:bookmarkStart w:id="5100" w:name="Bookmark_I5D88D6628T4KF0030000400"/>
      <w:bookmarkEnd w:id="5100"/>
      <w:r>
        <w:rPr>
          <w:rFonts w:ascii="Arial" w:eastAsia="Arial" w:hAnsi="Arial" w:cs="Arial"/>
          <w:i/>
          <w:color w:val="000000"/>
          <w:sz w:val="20"/>
        </w:rPr>
        <w:t>Chase Bank, USA, N.A. v. McCoy</w:t>
      </w:r>
      <w:r>
        <w:rPr>
          <w:rFonts w:ascii="Arial" w:eastAsia="Arial" w:hAnsi="Arial" w:cs="Arial"/>
          <w:color w:val="000000"/>
          <w:sz w:val="20"/>
        </w:rPr>
        <w:t xml:space="preserve">, 562 U.S. 195, 131 S. Ct. 871, 880-82, 178 L. Ed. 2d 716 (2011); </w:t>
      </w:r>
      <w:bookmarkStart w:id="5101" w:name="Bookmark_I5D88D6628T4KF0050000400"/>
      <w:bookmarkEnd w:id="5101"/>
      <w:r>
        <w:rPr>
          <w:rFonts w:ascii="Arial" w:eastAsia="Arial" w:hAnsi="Arial" w:cs="Arial"/>
          <w:i/>
          <w:color w:val="000000"/>
          <w:sz w:val="20"/>
        </w:rPr>
        <w:t>Auer</w:t>
      </w:r>
      <w:r>
        <w:rPr>
          <w:rFonts w:ascii="Arial" w:eastAsia="Arial" w:hAnsi="Arial" w:cs="Arial"/>
          <w:color w:val="000000"/>
          <w:sz w:val="20"/>
        </w:rPr>
        <w:t xml:space="preserve">, 519 U.S. at 461. </w:t>
      </w:r>
      <w:bookmarkStart w:id="5102" w:name="Bookmark_I5D88D662SF7X30030000400_2"/>
      <w:bookmarkEnd w:id="5102"/>
      <w:r>
        <w:rPr>
          <w:rFonts w:ascii="Arial" w:eastAsia="Arial" w:hAnsi="Arial" w:cs="Arial"/>
          <w:color w:val="000000"/>
          <w:sz w:val="20"/>
        </w:rPr>
        <w:t xml:space="preserve">Accordingly, even if we had doubts about the applicability of 28 C.F.R. § 35.151 to facilities for which no technical specifications exist, we would be bound to defer to the DOJ's interpretation of the regulation because it is not "plainly erroneous or inconsistent with the regulation." </w:t>
      </w:r>
      <w:bookmarkStart w:id="5103" w:name="Bookmark_I5D88D662SF7X30020000400"/>
      <w:bookmarkEnd w:id="5103"/>
      <w:r>
        <w:rPr>
          <w:rFonts w:ascii="Arial" w:eastAsia="Arial" w:hAnsi="Arial" w:cs="Arial"/>
          <w:i/>
          <w:color w:val="000000"/>
          <w:sz w:val="20"/>
        </w:rPr>
        <w:t>Miller</w:t>
      </w:r>
      <w:r>
        <w:rPr>
          <w:rFonts w:ascii="Arial" w:eastAsia="Arial" w:hAnsi="Arial" w:cs="Arial"/>
          <w:color w:val="000000"/>
          <w:sz w:val="20"/>
        </w:rPr>
        <w:t>, 536 F.3d at 1028 (internal quotation marks omitted).</w:t>
      </w:r>
    </w:p>
    <w:p w14:paraId="1A343D7F" w14:textId="77777777" w:rsidR="002D0E71" w:rsidRDefault="00000000">
      <w:pPr>
        <w:pStyle w:val="Normal37"/>
        <w:widowControl w:val="0"/>
        <w:spacing w:before="200" w:line="260" w:lineRule="atLeast"/>
        <w:jc w:val="both"/>
      </w:pPr>
      <w:bookmarkStart w:id="5104" w:name="Bookmark_para_16_30"/>
      <w:bookmarkEnd w:id="5104"/>
      <w:r>
        <w:rPr>
          <w:rFonts w:ascii="Arial" w:eastAsia="Arial" w:hAnsi="Arial" w:cs="Arial"/>
          <w:color w:val="000000"/>
          <w:sz w:val="20"/>
        </w:rPr>
        <w:t>The City contends that another DOJ publication, an informal guidance publication entitled "ADA Guide for Small Towns," supports its position.</w:t>
      </w:r>
      <w:r>
        <w:rPr>
          <w:rFonts w:ascii="Arial" w:eastAsia="Arial" w:hAnsi="Arial" w:cs="Arial"/>
          <w:vertAlign w:val="superscript"/>
        </w:rPr>
        <w:footnoteReference w:customMarkFollows="1" w:id="197"/>
        <w:t>9</w:t>
      </w:r>
      <w:r>
        <w:rPr>
          <w:rFonts w:ascii="Arial" w:eastAsia="Arial" w:hAnsi="Arial" w:cs="Arial"/>
          <w:color w:val="000000"/>
          <w:sz w:val="20"/>
        </w:rPr>
        <w:t xml:space="preserve"> That publication states only that "[t]he ADA Standards have technical requirements for parking lots and garages but no technical requirements for the design of on-street parking." ADA Guide for Small Towns, Part II.A. This statement does not support the City's argument that public on-street parking need [**13]  not be accessible; it provides only that no technical specifications exist for public on-street parking facilities.</w:t>
      </w:r>
    </w:p>
    <w:p w14:paraId="6127E6A2" w14:textId="77777777" w:rsidR="002D0E71" w:rsidRDefault="00000000">
      <w:pPr>
        <w:pStyle w:val="Normal37"/>
        <w:widowControl w:val="0"/>
        <w:spacing w:before="200" w:line="260" w:lineRule="atLeast"/>
        <w:jc w:val="both"/>
      </w:pPr>
      <w:bookmarkStart w:id="5106" w:name="Bookmark_para_17_29"/>
      <w:bookmarkEnd w:id="5106"/>
      <w:r>
        <w:rPr>
          <w:rFonts w:ascii="Arial" w:eastAsia="Arial" w:hAnsi="Arial" w:cs="Arial"/>
          <w:color w:val="000000"/>
          <w:sz w:val="20"/>
        </w:rPr>
        <w:t>The City also points to certain text in "Using ADAAG," a 2003 Access Board technical bulletin, that supposedly stands for the proposition that public entities have no obligations under the ADA absent specific technical guidelines.</w:t>
      </w:r>
      <w:r>
        <w:rPr>
          <w:rFonts w:ascii="Arial" w:eastAsia="Arial" w:hAnsi="Arial" w:cs="Arial"/>
          <w:vertAlign w:val="superscript"/>
        </w:rPr>
        <w:footnoteReference w:customMarkFollows="1" w:id="198"/>
        <w:t>10</w:t>
      </w:r>
      <w:r>
        <w:rPr>
          <w:rFonts w:ascii="Arial" w:eastAsia="Arial" w:hAnsi="Arial" w:cs="Arial"/>
          <w:color w:val="000000"/>
          <w:sz w:val="20"/>
        </w:rPr>
        <w:t xml:space="preserve"> But like the "ADA Guide for Small Towns," "Using ADAAG" does not actually advance such a position. The text the City relies on merely states that "[t]he DOJ and [the Department of Transportation] rules describe all of the ADA obligations of covered entities arising from titles II and III of the [ADA]." Access Board, "Using ADAAG," 1 (2003).</w:t>
      </w:r>
      <w:r>
        <w:rPr>
          <w:rFonts w:ascii="Arial" w:eastAsia="Arial" w:hAnsi="Arial" w:cs="Arial"/>
          <w:vertAlign w:val="superscript"/>
        </w:rPr>
        <w:footnoteReference w:customMarkFollows="1" w:id="199"/>
        <w:t>11</w:t>
      </w:r>
      <w:r>
        <w:rPr>
          <w:rFonts w:ascii="Arial" w:eastAsia="Arial" w:hAnsi="Arial" w:cs="Arial"/>
          <w:color w:val="000000"/>
          <w:sz w:val="20"/>
        </w:rPr>
        <w:t xml:space="preserve"> This statement says nothing  [*1105]  about how the DOJ regulations apply to facilities for which no specifications exist. Furthermore, later in the bulletin, the Access Board explains that when there are "no provisions in ADAAG for a facility type, element, or feature," such facilities are</w:t>
      </w:r>
    </w:p>
    <w:p w14:paraId="52C7C937" w14:textId="77777777" w:rsidR="002D0E71" w:rsidRDefault="00000000">
      <w:pPr>
        <w:pStyle w:val="Normal37"/>
        <w:widowControl w:val="0"/>
        <w:spacing w:before="200" w:line="260" w:lineRule="atLeast"/>
        <w:ind w:left="400"/>
        <w:jc w:val="both"/>
      </w:pPr>
      <w:bookmarkStart w:id="5109" w:name="Bookmark_para_18_29"/>
      <w:bookmarkEnd w:id="5109"/>
      <w:r>
        <w:rPr>
          <w:rFonts w:ascii="Arial" w:eastAsia="Arial" w:hAnsi="Arial" w:cs="Arial"/>
          <w:color w:val="000000"/>
          <w:sz w:val="20"/>
        </w:rPr>
        <w:t>nevertheless subject to other ADA requirements, including the duty to provide equal opportunity. In many cases it will be feasible to provide access by incorporating basic elements specified [**14]  in ADAAG, such as ramps and other parameters of an accessible route. . . . [I]n new construction and alterations, a reasonable number, but at least one of each type of element should be designed to be accessible.</w:t>
      </w:r>
    </w:p>
    <w:p w14:paraId="557F2031" w14:textId="77777777" w:rsidR="002D0E71" w:rsidRDefault="00000000">
      <w:pPr>
        <w:pStyle w:val="Normal37"/>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at 8. </w:t>
      </w:r>
      <w:bookmarkStart w:id="5110" w:name="Bookmark_I5D88D662SF7X30050000400"/>
      <w:bookmarkEnd w:id="5110"/>
      <w:r>
        <w:rPr>
          <w:rFonts w:ascii="Arial" w:eastAsia="Arial" w:hAnsi="Arial" w:cs="Arial"/>
          <w:color w:val="000000"/>
          <w:sz w:val="20"/>
        </w:rPr>
        <w:t xml:space="preserve">Accordingly, the Access Board, like the DOJ, understood the ADA to impose general accessibility requirements on public entities even in the absence of technical specifications for a particular facility. Moreover, even if the bulletin did support the City's position, </w:t>
      </w:r>
      <w:bookmarkStart w:id="5111" w:name="Bookmark_LNHNREFclscc13_15"/>
      <w:bookmarkEnd w:id="5111"/>
      <w:r>
        <w:rPr>
          <w:rFonts w:ascii="Arial" w:eastAsia="Arial" w:hAnsi="Arial" w:cs="Arial"/>
          <w:color w:val="000000"/>
          <w:sz w:val="20"/>
        </w:rPr>
        <w:t xml:space="preserve">the Access Board's understanding of the ADAAG is not entitled to any deference. </w:t>
      </w:r>
      <w:r>
        <w:rPr>
          <w:rFonts w:ascii="Arial" w:eastAsia="Arial" w:hAnsi="Arial" w:cs="Arial"/>
          <w:i/>
          <w:color w:val="000000"/>
          <w:sz w:val="20"/>
        </w:rPr>
        <w:t xml:space="preserve">See </w:t>
      </w:r>
      <w:bookmarkStart w:id="5112" w:name="Bookmark_I5D88D662SF7X30040000400"/>
      <w:bookmarkEnd w:id="5112"/>
      <w:r>
        <w:rPr>
          <w:rFonts w:ascii="Arial" w:eastAsia="Arial" w:hAnsi="Arial" w:cs="Arial"/>
          <w:i/>
          <w:color w:val="000000"/>
          <w:sz w:val="20"/>
        </w:rPr>
        <w:t>Miller</w:t>
      </w:r>
      <w:r>
        <w:rPr>
          <w:rFonts w:ascii="Arial" w:eastAsia="Arial" w:hAnsi="Arial" w:cs="Arial"/>
          <w:color w:val="000000"/>
          <w:sz w:val="20"/>
        </w:rPr>
        <w:t>, 536 F.3d at 1031 ("Whatever the Access Board thought of its own guidelines, the Department of Justice adopted the text of the guidelines themselves, not the Access Board's interpretation of that text.").</w:t>
      </w:r>
    </w:p>
    <w:p w14:paraId="0902D025" w14:textId="77777777" w:rsidR="002D0E71" w:rsidRDefault="00000000">
      <w:pPr>
        <w:pStyle w:val="Normal37"/>
        <w:widowControl w:val="0"/>
        <w:spacing w:before="200" w:line="260" w:lineRule="atLeast"/>
        <w:jc w:val="both"/>
      </w:pPr>
      <w:bookmarkStart w:id="5113" w:name="Bookmark_para_19_29"/>
      <w:bookmarkStart w:id="5114" w:name="Bookmark_I4GW5SPVKDB000RKF9S001FS"/>
      <w:bookmarkStart w:id="5115" w:name="Bookmark_I5D88D662HM5TN0020000400"/>
      <w:bookmarkEnd w:id="5113"/>
      <w:bookmarkEnd w:id="5114"/>
      <w:bookmarkEnd w:id="5115"/>
      <w:r>
        <w:rPr>
          <w:rFonts w:ascii="Arial" w:eastAsia="Arial" w:hAnsi="Arial" w:cs="Arial"/>
          <w:color w:val="000000"/>
          <w:sz w:val="20"/>
        </w:rPr>
        <w:t>Nor are we persuaded that the City should be exempted from the general mandate of the ADA and its implementing regulations simply because the Access [**15]  Board has proposed guidelines that do contain technical specifications for on-street parking.</w:t>
      </w:r>
      <w:r>
        <w:rPr>
          <w:rFonts w:ascii="Arial" w:eastAsia="Arial" w:hAnsi="Arial" w:cs="Arial"/>
          <w:vertAlign w:val="superscript"/>
        </w:rPr>
        <w:footnoteReference w:customMarkFollows="1" w:id="200"/>
        <w:t>12</w:t>
      </w:r>
      <w:r>
        <w:rPr>
          <w:rFonts w:ascii="Arial" w:eastAsia="Arial" w:hAnsi="Arial" w:cs="Arial"/>
          <w:color w:val="000000"/>
          <w:sz w:val="20"/>
        </w:rPr>
        <w:t xml:space="preserve"> We have previously interpreted existing regulations to require certain accommodations even when the Access Board was in the midst of addressing the specific issue before us. </w:t>
      </w:r>
      <w:r>
        <w:rPr>
          <w:rFonts w:ascii="Arial" w:eastAsia="Arial" w:hAnsi="Arial" w:cs="Arial"/>
          <w:i/>
          <w:color w:val="000000"/>
          <w:sz w:val="20"/>
        </w:rPr>
        <w:t xml:space="preserve">See </w:t>
      </w:r>
      <w:bookmarkStart w:id="5117" w:name="Bookmark_I5D88D662HM5TN0010000400"/>
      <w:bookmarkEnd w:id="5117"/>
      <w:r>
        <w:rPr>
          <w:rFonts w:ascii="Arial" w:eastAsia="Arial" w:hAnsi="Arial" w:cs="Arial"/>
          <w:i/>
          <w:color w:val="000000"/>
          <w:sz w:val="20"/>
        </w:rPr>
        <w:t>Or. Paralyzed Veterans of Am. v. Regal Cinemas, Inc</w:t>
      </w:r>
      <w:r>
        <w:rPr>
          <w:rFonts w:ascii="Arial" w:eastAsia="Arial" w:hAnsi="Arial" w:cs="Arial"/>
          <w:color w:val="000000"/>
          <w:sz w:val="20"/>
        </w:rPr>
        <w:t xml:space="preserve">., 339 F.3d 1126, 1132-33 (9th Cir. 2003) (deferring to the DOJ's interpretation of how a regulation applied in an unanticipated situation without reference to ongoing Access Board rulemaking); </w:t>
      </w:r>
      <w:bookmarkStart w:id="5118" w:name="Bookmark_I5D88D662HM5TN0030000400"/>
      <w:bookmarkEnd w:id="5118"/>
      <w:r>
        <w:rPr>
          <w:rFonts w:ascii="Arial" w:eastAsia="Arial" w:hAnsi="Arial" w:cs="Arial"/>
          <w:i/>
          <w:color w:val="000000"/>
          <w:sz w:val="20"/>
        </w:rPr>
        <w:t>id</w:t>
      </w:r>
      <w:r>
        <w:rPr>
          <w:rFonts w:ascii="Arial" w:eastAsia="Arial" w:hAnsi="Arial" w:cs="Arial"/>
          <w:color w:val="000000"/>
          <w:sz w:val="20"/>
        </w:rPr>
        <w:t>. at 1133-34 (Kleinfeld, J., dissenting) (emphasizing that the Access Board had promulgated directly on-point proposed guidelines). We see no reason to conclude otherwise here.</w:t>
      </w:r>
    </w:p>
    <w:p w14:paraId="4BF7D4D6" w14:textId="77777777" w:rsidR="002D0E71" w:rsidRDefault="00000000">
      <w:pPr>
        <w:pStyle w:val="Normal37"/>
        <w:widowControl w:val="0"/>
        <w:spacing w:before="200" w:line="260" w:lineRule="atLeast"/>
        <w:jc w:val="both"/>
      </w:pPr>
      <w:bookmarkStart w:id="5119" w:name="Bookmark_para_20_27"/>
      <w:bookmarkEnd w:id="5119"/>
      <w:r>
        <w:rPr>
          <w:rFonts w:ascii="Arial" w:eastAsia="Arial" w:hAnsi="Arial" w:cs="Arial"/>
          <w:color w:val="000000"/>
          <w:sz w:val="20"/>
        </w:rPr>
        <w:t xml:space="preserve">Finally, the City's due process argument is unavailing. </w:t>
      </w:r>
      <w:bookmarkStart w:id="5120" w:name="Bookmark_I5D88D662HM5TP0010000400"/>
      <w:bookmarkEnd w:id="5120"/>
      <w:r>
        <w:rPr>
          <w:rFonts w:ascii="Arial" w:eastAsia="Arial" w:hAnsi="Arial" w:cs="Arial"/>
          <w:color w:val="000000"/>
          <w:sz w:val="20"/>
        </w:rPr>
        <w:t xml:space="preserve">The City contends that because it was not on notice that accessible on-street parking was required until, at the earliest, the DOJ's amicus brief in this litigation, allowing Fortyune's claims to proceed would violate its right to due process. </w:t>
      </w:r>
      <w:bookmarkStart w:id="5121" w:name="Bookmark_LNHNREFclscc14_11"/>
      <w:bookmarkEnd w:id="5121"/>
      <w:r>
        <w:rPr>
          <w:rFonts w:ascii="Arial" w:eastAsia="Arial" w:hAnsi="Arial" w:cs="Arial"/>
          <w:color w:val="000000"/>
          <w:sz w:val="20"/>
        </w:rPr>
        <w:t xml:space="preserve">Entities regulated by administrative agencies have a due process right to fair notice of regulators' requirements. </w:t>
      </w:r>
      <w:bookmarkStart w:id="5122" w:name="Bookmark_I5D88D662HM5TN0050000400"/>
      <w:bookmarkEnd w:id="5122"/>
      <w:r>
        <w:rPr>
          <w:rFonts w:ascii="Arial" w:eastAsia="Arial" w:hAnsi="Arial" w:cs="Arial"/>
          <w:i/>
          <w:color w:val="000000"/>
          <w:sz w:val="20"/>
        </w:rPr>
        <w:t>United States v. AMC Entm't, Inc</w:t>
      </w:r>
      <w:r>
        <w:rPr>
          <w:rFonts w:ascii="Arial" w:eastAsia="Arial" w:hAnsi="Arial" w:cs="Arial"/>
          <w:color w:val="000000"/>
          <w:sz w:val="20"/>
        </w:rPr>
        <w:t xml:space="preserve">., 549 F.3d 760, 768-70 (9th Cir. 2008). </w:t>
      </w:r>
      <w:bookmarkStart w:id="5123" w:name="Bookmark_I5D88D662HM5TP0030000400"/>
      <w:bookmarkEnd w:id="5123"/>
      <w:r>
        <w:rPr>
          <w:rFonts w:ascii="Arial" w:eastAsia="Arial" w:hAnsi="Arial" w:cs="Arial"/>
          <w:color w:val="000000"/>
          <w:sz w:val="20"/>
        </w:rPr>
        <w:t xml:space="preserve">Here, however, the DOJ made it known in 1994, in a publicly available supplement [**16]  to the TA Manual, that public entities have a general obligation to ensure that governmental services are reasonably accessible even when no technical specifications exist for a particular type of facility. 1994 Supplement to TA Manual, II-6.2100. In </w:t>
      </w:r>
      <w:r>
        <w:rPr>
          <w:rFonts w:ascii="Arial" w:eastAsia="Arial" w:hAnsi="Arial" w:cs="Arial"/>
          <w:i/>
          <w:color w:val="000000"/>
          <w:sz w:val="20"/>
        </w:rPr>
        <w:t>AMC</w:t>
      </w:r>
      <w:r>
        <w:rPr>
          <w:rFonts w:ascii="Arial" w:eastAsia="Arial" w:hAnsi="Arial" w:cs="Arial"/>
          <w:color w:val="000000"/>
          <w:sz w:val="20"/>
        </w:rPr>
        <w:t xml:space="preserve">, we recognized that a significantly less public announcement—the filing of an amicus brief in separate litigation—could provide adequate prospective notice of prohibited conduct. </w:t>
      </w:r>
      <w:r>
        <w:rPr>
          <w:rFonts w:ascii="Arial" w:eastAsia="Arial" w:hAnsi="Arial" w:cs="Arial"/>
          <w:i/>
          <w:color w:val="000000"/>
          <w:sz w:val="20"/>
        </w:rPr>
        <w:t xml:space="preserve">See </w:t>
      </w:r>
      <w:bookmarkStart w:id="5124" w:name="Bookmark_I5D88D662HM5TP0020000400"/>
      <w:bookmarkEnd w:id="5124"/>
      <w:r>
        <w:rPr>
          <w:rFonts w:ascii="Arial" w:eastAsia="Arial" w:hAnsi="Arial" w:cs="Arial"/>
          <w:i/>
          <w:color w:val="000000"/>
          <w:sz w:val="20"/>
        </w:rPr>
        <w:t>id</w:t>
      </w:r>
      <w:r>
        <w:rPr>
          <w:rFonts w:ascii="Arial" w:eastAsia="Arial" w:hAnsi="Arial" w:cs="Arial"/>
          <w:color w:val="000000"/>
          <w:sz w:val="20"/>
        </w:rPr>
        <w:t>. at 770. Consequently, it is simply untrue that the City lacked notice that the ADA's  [*1106]  general mandate applied even absent technical specifications.</w:t>
      </w:r>
      <w:r>
        <w:rPr>
          <w:rFonts w:ascii="Arial" w:eastAsia="Arial" w:hAnsi="Arial" w:cs="Arial"/>
          <w:vertAlign w:val="superscript"/>
        </w:rPr>
        <w:footnoteReference w:customMarkFollows="1" w:id="201"/>
        <w:t>13</w:t>
      </w:r>
    </w:p>
    <w:p w14:paraId="7DACF4D3" w14:textId="77777777" w:rsidR="002D0E71" w:rsidRDefault="00000000">
      <w:pPr>
        <w:pStyle w:val="Normal37"/>
        <w:widowControl w:val="0"/>
        <w:spacing w:before="240" w:line="260" w:lineRule="atLeast"/>
      </w:pPr>
      <w:r>
        <w:br/>
      </w:r>
      <w:r>
        <w:rPr>
          <w:rFonts w:ascii="Arial" w:eastAsia="Arial" w:hAnsi="Arial" w:cs="Arial"/>
          <w:b/>
          <w:color w:val="000000"/>
          <w:sz w:val="20"/>
        </w:rPr>
        <w:t>IV. CONCLUSION</w:t>
      </w:r>
    </w:p>
    <w:p w14:paraId="6F392FBF" w14:textId="77777777" w:rsidR="002D0E71" w:rsidRDefault="00000000">
      <w:pPr>
        <w:pStyle w:val="Normal37"/>
        <w:widowControl w:val="0"/>
        <w:spacing w:before="200" w:line="260" w:lineRule="atLeast"/>
        <w:jc w:val="both"/>
      </w:pPr>
      <w:bookmarkStart w:id="5128" w:name="Bookmark_para_21_26"/>
      <w:bookmarkStart w:id="5129" w:name="Bookmark_I5D88D662N1RM50020000400"/>
      <w:bookmarkEnd w:id="5128"/>
      <w:bookmarkEnd w:id="5129"/>
      <w:r>
        <w:rPr>
          <w:rFonts w:ascii="Arial" w:eastAsia="Arial" w:hAnsi="Arial" w:cs="Arial"/>
          <w:color w:val="000000"/>
          <w:sz w:val="20"/>
        </w:rPr>
        <w:t>The text of the ADA, the relevant implementing regulations, and the DOJ's interpretation of its own regulations all lead us to conclude that public entities must ensure that all normal governmental functions are reasonably accessible to disabled [**17]  persons, irrespective of whether the DOJ has adopted technical specifications for the particular types of facilities involved. Accordingly, we hold that Fortyune has stated claims under the ADA and the CDPA</w:t>
      </w:r>
      <w:r>
        <w:rPr>
          <w:rFonts w:ascii="Arial" w:eastAsia="Arial" w:hAnsi="Arial" w:cs="Arial"/>
          <w:vertAlign w:val="superscript"/>
        </w:rPr>
        <w:footnoteReference w:customMarkFollows="1" w:id="202"/>
        <w:t>14</w:t>
      </w:r>
      <w:r>
        <w:rPr>
          <w:rFonts w:ascii="Arial" w:eastAsia="Arial" w:hAnsi="Arial" w:cs="Arial"/>
          <w:color w:val="000000"/>
          <w:sz w:val="20"/>
        </w:rPr>
        <w:t xml:space="preserve"> based on the City's alleged failure to provide accessible on-street diagonal stall parking.</w:t>
      </w:r>
    </w:p>
    <w:p w14:paraId="7FE99E34" w14:textId="77777777" w:rsidR="002D0E71" w:rsidRDefault="00000000">
      <w:pPr>
        <w:pStyle w:val="Normal37"/>
        <w:widowControl w:val="0"/>
        <w:spacing w:before="200" w:line="260" w:lineRule="atLeast"/>
        <w:jc w:val="both"/>
      </w:pPr>
      <w:bookmarkStart w:id="5134" w:name="Bookmark_para_22_26"/>
      <w:bookmarkEnd w:id="5134"/>
      <w:r>
        <w:rPr>
          <w:rFonts w:ascii="Arial" w:eastAsia="Arial" w:hAnsi="Arial" w:cs="Arial"/>
          <w:b/>
          <w:color w:val="000000"/>
          <w:sz w:val="20"/>
        </w:rPr>
        <w:t>AFFIRMED</w:t>
      </w:r>
      <w:r>
        <w:rPr>
          <w:rFonts w:ascii="Arial" w:eastAsia="Arial" w:hAnsi="Arial" w:cs="Arial"/>
          <w:color w:val="000000"/>
          <w:sz w:val="20"/>
        </w:rPr>
        <w:t>.</w:t>
      </w:r>
    </w:p>
    <w:p w14:paraId="40673FC7" w14:textId="77777777" w:rsidR="002D0E71" w:rsidRDefault="002D0E71">
      <w:pPr>
        <w:pStyle w:val="Normal37"/>
      </w:pPr>
    </w:p>
    <w:p w14:paraId="54069E1E" w14:textId="0A46BD4E" w:rsidR="002D0E71" w:rsidRDefault="00000000">
      <w:pPr>
        <w:pStyle w:val="Normal37"/>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37088" behindDoc="0" locked="0" layoutInCell="1" allowOverlap="1" wp14:anchorId="3344724D" wp14:editId="18798DEF">
                <wp:simplePos x="0" y="0"/>
                <wp:positionH relativeFrom="column">
                  <wp:posOffset>0</wp:posOffset>
                </wp:positionH>
                <wp:positionV relativeFrom="paragraph">
                  <wp:posOffset>127000</wp:posOffset>
                </wp:positionV>
                <wp:extent cx="6502400" cy="0"/>
                <wp:effectExtent l="9525" t="12700" r="12700" b="6350"/>
                <wp:wrapNone/>
                <wp:docPr id="781905332"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903218" id="Line 80"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CECC329" w14:textId="77777777" w:rsidR="002D0E71" w:rsidRDefault="002D0E71">
      <w:pPr>
        <w:pStyle w:val="Normal38"/>
        <w:sectPr w:rsidR="002D0E71">
          <w:headerReference w:type="even" r:id="rId236"/>
          <w:headerReference w:type="default" r:id="rId237"/>
          <w:footerReference w:type="even" r:id="rId238"/>
          <w:footerReference w:type="default" r:id="rId239"/>
          <w:headerReference w:type="first" r:id="rId240"/>
          <w:footerReference w:type="first" r:id="rId241"/>
          <w:pgSz w:w="12240" w:h="15840"/>
          <w:pgMar w:top="840" w:right="1000" w:bottom="840" w:left="1000" w:header="400" w:footer="400" w:gutter="0"/>
          <w:cols w:space="720"/>
          <w:titlePg/>
        </w:sectPr>
      </w:pPr>
    </w:p>
    <w:p w14:paraId="4207C2B4" w14:textId="77777777" w:rsidR="002D0E71" w:rsidRDefault="002D0E71">
      <w:pPr>
        <w:pStyle w:val="Normal38"/>
      </w:pPr>
    </w:p>
    <w:p w14:paraId="3EC53FD1" w14:textId="77777777" w:rsidR="002D0E71" w:rsidRDefault="00000000">
      <w:pPr>
        <w:pStyle w:val="Heading137"/>
        <w:keepNext w:val="0"/>
        <w:widowControl w:val="0"/>
        <w:spacing w:after="200" w:line="340" w:lineRule="atLeast"/>
        <w:jc w:val="center"/>
      </w:pPr>
      <w:r>
        <w:rPr>
          <w:rFonts w:eastAsia="Arial"/>
          <w:color w:val="000000"/>
          <w:sz w:val="28"/>
        </w:rPr>
        <w:t>Colo. Cross-Disability Coalition v. Abercrombie &amp; Fitch Co.</w:t>
      </w:r>
    </w:p>
    <w:p w14:paraId="302E1942" w14:textId="77777777" w:rsidR="002D0E71" w:rsidRDefault="00000000">
      <w:pPr>
        <w:pStyle w:val="Normal38"/>
        <w:widowControl w:val="0"/>
        <w:spacing w:before="120" w:line="260" w:lineRule="atLeast"/>
        <w:jc w:val="center"/>
      </w:pPr>
      <w:r>
        <w:rPr>
          <w:rFonts w:ascii="Arial" w:eastAsia="Arial" w:hAnsi="Arial" w:cs="Arial"/>
          <w:color w:val="000000"/>
          <w:sz w:val="20"/>
        </w:rPr>
        <w:t>United States Court of Appeals for the Tenth Circuit</w:t>
      </w:r>
    </w:p>
    <w:p w14:paraId="738BB4C4" w14:textId="77777777" w:rsidR="002D0E71" w:rsidRDefault="00000000">
      <w:pPr>
        <w:pStyle w:val="Normal38"/>
        <w:widowControl w:val="0"/>
        <w:spacing w:before="120" w:line="260" w:lineRule="atLeast"/>
        <w:jc w:val="center"/>
      </w:pPr>
      <w:r>
        <w:rPr>
          <w:rFonts w:ascii="Arial" w:eastAsia="Arial" w:hAnsi="Arial" w:cs="Arial"/>
          <w:color w:val="000000"/>
          <w:sz w:val="20"/>
        </w:rPr>
        <w:t>August 29, 2014, Filed</w:t>
      </w:r>
    </w:p>
    <w:p w14:paraId="51A2C175" w14:textId="77777777" w:rsidR="002D0E71" w:rsidRDefault="00000000">
      <w:pPr>
        <w:pStyle w:val="Normal38"/>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13-1377</w:t>
      </w:r>
    </w:p>
    <w:p w14:paraId="6BE481E3" w14:textId="77777777" w:rsidR="002D0E71" w:rsidRDefault="002D0E71">
      <w:pPr>
        <w:pStyle w:val="Normal38"/>
        <w:widowControl w:val="0"/>
        <w:spacing w:line="240" w:lineRule="atLeast"/>
        <w:jc w:val="both"/>
      </w:pPr>
      <w:bookmarkStart w:id="5135" w:name="Bookmark_39"/>
      <w:bookmarkEnd w:id="5135"/>
    </w:p>
    <w:p w14:paraId="3857E03F" w14:textId="77777777" w:rsidR="002D0E71" w:rsidRDefault="00000000">
      <w:pPr>
        <w:pStyle w:val="Normal38"/>
        <w:widowControl w:val="0"/>
        <w:spacing w:before="200" w:line="240" w:lineRule="atLeast"/>
      </w:pPr>
      <w:bookmarkStart w:id="5136" w:name="Reporter_37"/>
      <w:bookmarkEnd w:id="5136"/>
      <w:r>
        <w:rPr>
          <w:rFonts w:ascii="Arial" w:eastAsia="Arial" w:hAnsi="Arial" w:cs="Arial"/>
          <w:b/>
          <w:color w:val="000000"/>
          <w:sz w:val="18"/>
        </w:rPr>
        <w:t>Reporter</w:t>
      </w:r>
    </w:p>
    <w:p w14:paraId="1E429141" w14:textId="77777777" w:rsidR="002D0E71" w:rsidRDefault="00000000">
      <w:pPr>
        <w:pStyle w:val="Normal38"/>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765 F.3d 1205 *; 2014 U.S. App. LEXIS 16920 **; 89 Fed. R. Serv. 3d (Callaghan) 585</w:t>
      </w:r>
    </w:p>
    <w:p w14:paraId="7ACB1F36" w14:textId="77777777" w:rsidR="002D0E71" w:rsidRDefault="00000000">
      <w:pPr>
        <w:pStyle w:val="Normal38"/>
        <w:widowControl w:val="0"/>
        <w:spacing w:before="120" w:line="260" w:lineRule="atLeast"/>
      </w:pPr>
      <w:r>
        <w:rPr>
          <w:rFonts w:ascii="Arial" w:eastAsia="Arial" w:hAnsi="Arial" w:cs="Arial"/>
          <w:color w:val="000000"/>
          <w:sz w:val="20"/>
        </w:rPr>
        <w:t>COLORADO CROSS-DISABILITY COALITION, a Colorado non-profit corporation; ANITA HANSEN; JULIE FARRAR, on behalf of themselves and all others similarly situated, Plaintiffs - Appellees, and BENJAMIN HERNANDEZ; ROBERT SIROWITZ; JOSHUA STAPEN; ROBIN STEPHENS, Plaintiffs, v. ABERCROMBIE &amp; FITCH CO.; ABERCROMBIE &amp; FITCH STORES, INC.; J.M. HOLLISTER LLC, d/b/a Hollister Co., Defendants - Appellants. UNITED STATES OF AMERICA; LEGAL CENTER FOR PEOPLE WITH DISABILITIES AND OLDER PEOPLE; AMERICAN ASSOCIATION OF PEOPLE WITH DISABILITIES; CENTER FOR RIGHTS OF PARENTS WITH DISABILITIES; DISABILITY RIGHTS AND ADVOCATES; DISABILITY RIGHTS EDUCATION AND DEFENSE FUND; DISABILITY RIGHTS LEGAL CENTER; LEGAL AID SOCIETY—EMPLOYMENT LAW CENTER; NATIONAL DISABILITY RIGHTS NETWORK; NATIONAL FEDERATION OF THE BLIND, Amici Curiae.</w:t>
      </w:r>
    </w:p>
    <w:p w14:paraId="5D794816" w14:textId="77777777" w:rsidR="002D0E71" w:rsidRDefault="00000000">
      <w:pPr>
        <w:pStyle w:val="Normal38"/>
        <w:widowControl w:val="0"/>
        <w:spacing w:before="240" w:line="260" w:lineRule="atLeast"/>
      </w:pPr>
      <w:bookmarkStart w:id="5137" w:name="Subsequent_History_13"/>
      <w:bookmarkEnd w:id="5137"/>
      <w:r>
        <w:rPr>
          <w:rFonts w:ascii="Arial" w:eastAsia="Arial" w:hAnsi="Arial" w:cs="Arial"/>
          <w:b/>
          <w:color w:val="000000"/>
          <w:sz w:val="20"/>
        </w:rPr>
        <w:t>Subsequent History:</w:t>
      </w:r>
      <w:r>
        <w:rPr>
          <w:rFonts w:ascii="Arial" w:eastAsia="Arial" w:hAnsi="Arial" w:cs="Arial"/>
          <w:color w:val="000000"/>
          <w:sz w:val="20"/>
        </w:rPr>
        <w:t> Motion granted by, Request granted, Costs and fees proceeding at Colo. Cross-Disability Coal. v. Abercrombie &amp; Fitch Co., 2015 U.S. Dist. LEXIS 131149 (D. Colo., Sept. 29, 2015)</w:t>
      </w:r>
    </w:p>
    <w:p w14:paraId="10CF5C5F" w14:textId="77777777" w:rsidR="002D0E71" w:rsidRDefault="00000000">
      <w:pPr>
        <w:pStyle w:val="Normal38"/>
        <w:widowControl w:val="0"/>
        <w:spacing w:before="240" w:line="260" w:lineRule="atLeast"/>
        <w:jc w:val="both"/>
      </w:pPr>
      <w:bookmarkStart w:id="5138" w:name="Prior_History_36"/>
      <w:bookmarkEnd w:id="5138"/>
      <w:r>
        <w:rPr>
          <w:rFonts w:ascii="Arial" w:eastAsia="Arial" w:hAnsi="Arial" w:cs="Arial"/>
          <w:b/>
          <w:color w:val="000000"/>
          <w:sz w:val="20"/>
        </w:rPr>
        <w:t>Prior History:</w:t>
      </w:r>
      <w:r>
        <w:rPr>
          <w:rFonts w:ascii="Arial" w:eastAsia="Arial" w:hAnsi="Arial" w:cs="Arial"/>
          <w:color w:val="000000"/>
          <w:sz w:val="20"/>
        </w:rPr>
        <w:t> </w:t>
      </w:r>
      <w:bookmarkStart w:id="5139" w:name="Bookmark_para_1_37"/>
      <w:bookmarkEnd w:id="5139"/>
      <w:r>
        <w:rPr>
          <w:rFonts w:ascii="Arial" w:eastAsia="Arial" w:hAnsi="Arial" w:cs="Arial"/>
          <w:color w:val="000000"/>
          <w:sz w:val="20"/>
        </w:rPr>
        <w:t> [**1] APPEAL FROM THE UNITED STATES DISTRICT COURT FOR THE DISTRICT OF COLORADO. (D.C. No. 1:09-CV-02757-WYD-KMT).</w:t>
      </w:r>
    </w:p>
    <w:p w14:paraId="7E175CF5" w14:textId="77777777" w:rsidR="002D0E71" w:rsidRDefault="00000000">
      <w:pPr>
        <w:pStyle w:val="Normal38"/>
        <w:widowControl w:val="0"/>
        <w:spacing w:before="120" w:line="260" w:lineRule="atLeast"/>
      </w:pPr>
      <w:r>
        <w:rPr>
          <w:rFonts w:ascii="Arial" w:eastAsia="Arial" w:hAnsi="Arial" w:cs="Arial"/>
          <w:color w:val="000000"/>
          <w:sz w:val="20"/>
        </w:rPr>
        <w:t>Colo. Cross-Disability Coalition v. Abercrombie &amp; Fitch Co., 2013 U.S. Dist. LEXIS 162982 (D. Colo., Nov. 15, 2013)</w:t>
      </w:r>
    </w:p>
    <w:p w14:paraId="615628E6" w14:textId="77777777" w:rsidR="002D0E71" w:rsidRDefault="00000000">
      <w:pPr>
        <w:pStyle w:val="Normal38"/>
        <w:widowControl w:val="0"/>
        <w:spacing w:before="120" w:line="260" w:lineRule="atLeast"/>
      </w:pPr>
      <w:r>
        <w:rPr>
          <w:rFonts w:ascii="Arial" w:eastAsia="Arial" w:hAnsi="Arial" w:cs="Arial"/>
          <w:color w:val="000000"/>
          <w:sz w:val="20"/>
        </w:rPr>
        <w:t>Colo. Cross-Disability Coalition v. Abercrombie &amp; Fitch Co., 957 F. Supp. 2d 1272, 2013 U.S. Dist. LEXIS 31645 (D. Colo., 2013)</w:t>
      </w:r>
    </w:p>
    <w:p w14:paraId="416BF02C" w14:textId="77777777" w:rsidR="002D0E71" w:rsidRDefault="00000000">
      <w:pPr>
        <w:pStyle w:val="Normal38"/>
        <w:widowControl w:val="0"/>
        <w:spacing w:before="120" w:line="260" w:lineRule="atLeast"/>
      </w:pPr>
      <w:r>
        <w:rPr>
          <w:rFonts w:ascii="Arial" w:eastAsia="Arial" w:hAnsi="Arial" w:cs="Arial"/>
          <w:color w:val="000000"/>
          <w:sz w:val="20"/>
        </w:rPr>
        <w:t>Colo. Cross-Disability Coalition v. Abercrombie &amp; Fitch Co., 835 F. Supp. 2d 1077, 2011 U.S. Dist. LEXIS 97784 (D. Colo., 2011)</w:t>
      </w:r>
    </w:p>
    <w:p w14:paraId="64E9A20C" w14:textId="77777777" w:rsidR="002D0E71" w:rsidRDefault="00000000">
      <w:pPr>
        <w:pStyle w:val="Normal38"/>
        <w:widowControl w:val="0"/>
        <w:spacing w:before="120" w:line="260" w:lineRule="atLeast"/>
      </w:pPr>
      <w:r>
        <w:rPr>
          <w:rFonts w:ascii="Arial" w:eastAsia="Arial" w:hAnsi="Arial" w:cs="Arial"/>
          <w:color w:val="000000"/>
          <w:sz w:val="20"/>
        </w:rPr>
        <w:t>Colo. Cross-Disability Coalition v. Abercrombie &amp; Fitch Co., 2012 U.S. Dist. LEXIS 55680 (D. Colo., Apr. 20, 2012)</w:t>
      </w:r>
    </w:p>
    <w:p w14:paraId="71FA8CEF" w14:textId="77777777" w:rsidR="002D0E71" w:rsidRDefault="00000000">
      <w:pPr>
        <w:pStyle w:val="Normal38"/>
        <w:widowControl w:val="0"/>
        <w:spacing w:before="240" w:line="260" w:lineRule="atLeast"/>
      </w:pPr>
      <w:bookmarkStart w:id="5140" w:name="Counsel_37"/>
      <w:bookmarkEnd w:id="5140"/>
      <w:r>
        <w:rPr>
          <w:rFonts w:ascii="Arial" w:eastAsia="Arial" w:hAnsi="Arial" w:cs="Arial"/>
          <w:b/>
          <w:color w:val="000000"/>
          <w:sz w:val="20"/>
        </w:rPr>
        <w:t>Counsel:</w:t>
      </w:r>
      <w:r>
        <w:rPr>
          <w:rFonts w:ascii="Arial" w:eastAsia="Arial" w:hAnsi="Arial" w:cs="Arial"/>
          <w:color w:val="000000"/>
          <w:sz w:val="20"/>
        </w:rPr>
        <w:t> Mark A. Knueve (and Michael J. Ball of Vorys, Sater, Seymour and Pease, LLP, Columbus, Ohio; Gregory Alan Eurich and Joseph Neguse of Holland &amp; Hart LLP, Denver, Colorado, on the briefs), for Defendants - Appellant.</w:t>
      </w:r>
    </w:p>
    <w:p w14:paraId="33FDA037" w14:textId="77777777" w:rsidR="002D0E71" w:rsidRDefault="00000000">
      <w:pPr>
        <w:pStyle w:val="Normal38"/>
        <w:widowControl w:val="0"/>
        <w:spacing w:before="120" w:line="260" w:lineRule="atLeast"/>
      </w:pPr>
      <w:r>
        <w:rPr>
          <w:rFonts w:ascii="Arial" w:eastAsia="Arial" w:hAnsi="Arial" w:cs="Arial"/>
          <w:color w:val="000000"/>
          <w:sz w:val="20"/>
        </w:rPr>
        <w:t>Amy F. Robertson (and Timothy P. Fox of Civil Rights Education and Enforcement Center, Denver, Colorado; Bill Lann Lee of Lewis, Feinberg, Lee, Renaker &amp; Jackson, PC, Oakland, California; Kevin W. Williams and Andrew C. Montoya of Colorado Cross Disability Coalition, Denver, Colorado; Julia Campins and Hillary Benham-Baker of Campins, Benham-Baker, LLP, San Francisco, California, on the brief), for Plaintiffs - Appellees.</w:t>
      </w:r>
    </w:p>
    <w:p w14:paraId="23F82D55" w14:textId="77777777" w:rsidR="002D0E71" w:rsidRDefault="00000000">
      <w:pPr>
        <w:pStyle w:val="Normal38"/>
        <w:widowControl w:val="0"/>
        <w:spacing w:before="120" w:line="260" w:lineRule="atLeast"/>
      </w:pPr>
      <w:r>
        <w:rPr>
          <w:rFonts w:ascii="Arial" w:eastAsia="Arial" w:hAnsi="Arial" w:cs="Arial"/>
          <w:color w:val="000000"/>
          <w:sz w:val="20"/>
        </w:rPr>
        <w:t>Sasha Samberg-Champion, (Jocelyn Samuels, Acting Assistant Attorney General, and Mark L. Gross, Department of Justice, Civil Rights Division, Appellate Section, on the brief), Washington, D.C., for Amicus Curiae United States of America.</w:t>
      </w:r>
    </w:p>
    <w:p w14:paraId="02EFD712" w14:textId="77777777" w:rsidR="002D0E71" w:rsidRDefault="00000000">
      <w:pPr>
        <w:pStyle w:val="Normal38"/>
        <w:widowControl w:val="0"/>
        <w:spacing w:before="120" w:line="260" w:lineRule="atLeast"/>
      </w:pPr>
      <w:r>
        <w:rPr>
          <w:rFonts w:ascii="Arial" w:eastAsia="Arial" w:hAnsi="Arial" w:cs="Arial"/>
          <w:color w:val="000000"/>
          <w:sz w:val="20"/>
        </w:rPr>
        <w:t>Michelle Uzeta, Monrovia, California, for Amici Curiae Legal Center for People With Disabilities and Older People, American Association of People with Disabilities, Center for Rights of Parents with Disabilities, Disability [**2]  Rights Advocates, Disability Rights Education and Defense Fund, Disability Rights Legal Center, Legal Aid Society — Employment Law Center, National Disability Rights Network and National Federation of the Blind.</w:t>
      </w:r>
    </w:p>
    <w:p w14:paraId="461A8210" w14:textId="77777777" w:rsidR="002D0E71" w:rsidRDefault="00000000">
      <w:pPr>
        <w:pStyle w:val="Normal38"/>
        <w:widowControl w:val="0"/>
        <w:spacing w:before="240" w:line="260" w:lineRule="atLeast"/>
      </w:pPr>
      <w:bookmarkStart w:id="5141" w:name="Judges_37"/>
      <w:bookmarkEnd w:id="5141"/>
      <w:r>
        <w:rPr>
          <w:rFonts w:ascii="Arial" w:eastAsia="Arial" w:hAnsi="Arial" w:cs="Arial"/>
          <w:b/>
          <w:color w:val="000000"/>
          <w:sz w:val="20"/>
        </w:rPr>
        <w:t>Judges:</w:t>
      </w:r>
      <w:r>
        <w:rPr>
          <w:rFonts w:ascii="Arial" w:eastAsia="Arial" w:hAnsi="Arial" w:cs="Arial"/>
          <w:color w:val="000000"/>
          <w:sz w:val="20"/>
        </w:rPr>
        <w:t> Before KELLY, TYMKOVICH, and McHUGH, Circuit Judges. McHUGH, Circuit Judge, concurring in part and dissenting in part.</w:t>
      </w:r>
    </w:p>
    <w:p w14:paraId="01FC8652" w14:textId="77777777" w:rsidR="002D0E71" w:rsidRDefault="00000000">
      <w:pPr>
        <w:pStyle w:val="Normal38"/>
        <w:widowControl w:val="0"/>
        <w:spacing w:before="240" w:line="260" w:lineRule="atLeast"/>
      </w:pPr>
      <w:bookmarkStart w:id="5142" w:name="Opinion_by_26"/>
      <w:bookmarkEnd w:id="5142"/>
      <w:r>
        <w:rPr>
          <w:rFonts w:ascii="Arial" w:eastAsia="Arial" w:hAnsi="Arial" w:cs="Arial"/>
          <w:b/>
          <w:color w:val="000000"/>
          <w:sz w:val="20"/>
        </w:rPr>
        <w:t>Opinion by:</w:t>
      </w:r>
      <w:r>
        <w:rPr>
          <w:rFonts w:ascii="Arial" w:eastAsia="Arial" w:hAnsi="Arial" w:cs="Arial"/>
          <w:color w:val="000000"/>
          <w:sz w:val="20"/>
        </w:rPr>
        <w:t> KELLY</w:t>
      </w:r>
    </w:p>
    <w:p w14:paraId="4FB9AE7C" w14:textId="77777777" w:rsidR="002D0E71" w:rsidRDefault="00000000">
      <w:pPr>
        <w:pStyle w:val="Normal38"/>
        <w:keepNext/>
        <w:widowControl w:val="0"/>
        <w:spacing w:before="240" w:line="340" w:lineRule="atLeast"/>
      </w:pPr>
      <w:bookmarkStart w:id="5143" w:name="Opinion_37"/>
      <w:bookmarkEnd w:id="5143"/>
      <w:r>
        <w:rPr>
          <w:rFonts w:ascii="Arial" w:eastAsia="Arial" w:hAnsi="Arial" w:cs="Arial"/>
          <w:b/>
          <w:color w:val="000000"/>
          <w:sz w:val="28"/>
        </w:rPr>
        <w:t>Opinion</w:t>
      </w:r>
    </w:p>
    <w:p w14:paraId="2167BBD2" w14:textId="29B17821" w:rsidR="002D0E71" w:rsidRDefault="002939DF">
      <w:pPr>
        <w:pStyle w:val="Normal38"/>
        <w:spacing w:line="60" w:lineRule="exact"/>
      </w:pPr>
      <w:r>
        <w:rPr>
          <w:noProof/>
        </w:rPr>
        <mc:AlternateContent>
          <mc:Choice Requires="wps">
            <w:drawing>
              <wp:anchor distT="0" distB="0" distL="114300" distR="114300" simplePos="0" relativeHeight="251738112" behindDoc="0" locked="0" layoutInCell="1" allowOverlap="1" wp14:anchorId="63E1CDBC" wp14:editId="296F30D7">
                <wp:simplePos x="0" y="0"/>
                <wp:positionH relativeFrom="column">
                  <wp:posOffset>0</wp:posOffset>
                </wp:positionH>
                <wp:positionV relativeFrom="paragraph">
                  <wp:posOffset>25400</wp:posOffset>
                </wp:positionV>
                <wp:extent cx="3187700" cy="0"/>
                <wp:effectExtent l="19050" t="15875" r="12700" b="12700"/>
                <wp:wrapTopAndBottom/>
                <wp:docPr id="1626225115"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04D3D" id="Line 81"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239D1991" w14:textId="77777777" w:rsidR="002D0E71" w:rsidRDefault="002D0E71">
      <w:pPr>
        <w:pStyle w:val="Normal38"/>
      </w:pPr>
    </w:p>
    <w:p w14:paraId="5CEAA4F1" w14:textId="77777777" w:rsidR="002D0E71" w:rsidRDefault="00000000">
      <w:pPr>
        <w:pStyle w:val="Normal38"/>
        <w:widowControl w:val="0"/>
        <w:spacing w:before="200" w:line="260" w:lineRule="atLeast"/>
        <w:jc w:val="both"/>
      </w:pPr>
      <w:bookmarkStart w:id="5144" w:name="Bookmark_para_2_37"/>
      <w:bookmarkEnd w:id="5144"/>
      <w:r>
        <w:rPr>
          <w:rFonts w:ascii="Arial" w:eastAsia="Arial" w:hAnsi="Arial" w:cs="Arial"/>
          <w:color w:val="000000"/>
          <w:sz w:val="20"/>
        </w:rPr>
        <w:t xml:space="preserve"> [*1208]  </w:t>
      </w:r>
      <w:r>
        <w:rPr>
          <w:rFonts w:ascii="Arial" w:eastAsia="Arial" w:hAnsi="Arial" w:cs="Arial"/>
          <w:b/>
          <w:color w:val="000000"/>
          <w:sz w:val="20"/>
        </w:rPr>
        <w:t>KELLY</w:t>
      </w:r>
      <w:r>
        <w:rPr>
          <w:rFonts w:ascii="Arial" w:eastAsia="Arial" w:hAnsi="Arial" w:cs="Arial"/>
          <w:color w:val="000000"/>
          <w:sz w:val="20"/>
        </w:rPr>
        <w:t>, Circuit Judge.</w:t>
      </w:r>
    </w:p>
    <w:p w14:paraId="30C6A684" w14:textId="77777777" w:rsidR="002D0E71" w:rsidRDefault="00000000">
      <w:pPr>
        <w:pStyle w:val="Normal38"/>
        <w:widowControl w:val="0"/>
        <w:spacing w:before="200" w:line="260" w:lineRule="atLeast"/>
        <w:jc w:val="both"/>
      </w:pPr>
      <w:bookmarkStart w:id="5145" w:name="Bookmark_para_3_37"/>
      <w:bookmarkStart w:id="5146" w:name="Bookmark_I5D7DCTX2D6NYG0020000400"/>
      <w:bookmarkEnd w:id="5145"/>
      <w:bookmarkEnd w:id="5146"/>
      <w:r>
        <w:rPr>
          <w:rFonts w:ascii="Arial" w:eastAsia="Arial" w:hAnsi="Arial" w:cs="Arial"/>
          <w:color w:val="000000"/>
          <w:sz w:val="20"/>
        </w:rPr>
        <w:t>Defendants—Appellants Abercrombie &amp; Fitch Co., Abercrombie &amp; Fitch Stores, Inc., and J.M. Hollister LLC, d/b/a Hollister Co. (collectively, Abercrombie)</w:t>
      </w:r>
      <w:r>
        <w:rPr>
          <w:rFonts w:ascii="Arial" w:eastAsia="Arial" w:hAnsi="Arial" w:cs="Arial"/>
          <w:vertAlign w:val="superscript"/>
        </w:rPr>
        <w:footnoteReference w:customMarkFollows="1" w:id="203"/>
        <w:t>1</w:t>
      </w:r>
      <w:r>
        <w:rPr>
          <w:rFonts w:ascii="Arial" w:eastAsia="Arial" w:hAnsi="Arial" w:cs="Arial"/>
          <w:color w:val="000000"/>
          <w:sz w:val="20"/>
        </w:rPr>
        <w:t xml:space="preserve"> appeal from several orders by the district court holding that Hollister clothing stores violate the Americans with Disabilities Act (ADA). First, Abercrombie challenges the district court's holding that the Plaintiffs have Article III standing. </w:t>
      </w:r>
      <w:r>
        <w:rPr>
          <w:rFonts w:ascii="Arial" w:eastAsia="Arial" w:hAnsi="Arial" w:cs="Arial"/>
          <w:color w:val="000000"/>
          <w:sz w:val="20"/>
          <w:u w:val="single"/>
        </w:rPr>
        <w:t xml:space="preserve">See </w:t>
      </w:r>
      <w:bookmarkStart w:id="5148" w:name="Bookmark_I5D7DCTX2D6NYG0010000400"/>
      <w:bookmarkEnd w:id="5148"/>
      <w:r>
        <w:rPr>
          <w:rFonts w:ascii="Arial" w:eastAsia="Arial" w:hAnsi="Arial" w:cs="Arial"/>
          <w:color w:val="000000"/>
          <w:sz w:val="20"/>
          <w:u w:val="single"/>
        </w:rPr>
        <w:t>Colo. Cross-Disability Coal. v. Abercrombie &amp; Fitch Co</w:t>
      </w:r>
      <w:r>
        <w:rPr>
          <w:rFonts w:ascii="Arial" w:eastAsia="Arial" w:hAnsi="Arial" w:cs="Arial"/>
          <w:color w:val="000000"/>
          <w:sz w:val="20"/>
        </w:rPr>
        <w:t xml:space="preserve">., 957 F. Supp. 2d 1272, 1277 (D. Colo. 2013). </w:t>
      </w:r>
      <w:bookmarkStart w:id="5149" w:name="Bookmark_I5D7DCTX2D6NYG0040000400"/>
      <w:bookmarkEnd w:id="5149"/>
      <w:r>
        <w:rPr>
          <w:rFonts w:ascii="Arial" w:eastAsia="Arial" w:hAnsi="Arial" w:cs="Arial"/>
          <w:color w:val="000000"/>
          <w:sz w:val="20"/>
        </w:rPr>
        <w:t xml:space="preserve">Second, it challenges the court's certification of a nationwide class of disabled persons who shop at Hollister stores. </w:t>
      </w:r>
      <w:r>
        <w:rPr>
          <w:rFonts w:ascii="Arial" w:eastAsia="Arial" w:hAnsi="Arial" w:cs="Arial"/>
          <w:color w:val="000000"/>
          <w:sz w:val="20"/>
          <w:u w:val="single"/>
        </w:rPr>
        <w:t>See Colo. Cross-Disability Coal. v. Abercrombie &amp; Fitch Co</w:t>
      </w:r>
      <w:r>
        <w:rPr>
          <w:rFonts w:ascii="Arial" w:eastAsia="Arial" w:hAnsi="Arial" w:cs="Arial"/>
          <w:color w:val="000000"/>
          <w:sz w:val="20"/>
        </w:rPr>
        <w:t xml:space="preserve">., No. 09-cv-02757, 2012 U.S. Dist. LEXIS 55680, 2012 WL 1378531, at *7 (D. Colo. 2012). </w:t>
      </w:r>
      <w:bookmarkStart w:id="5150" w:name="Bookmark_I5D7DCV628T4F50010000400"/>
      <w:bookmarkEnd w:id="5150"/>
      <w:r>
        <w:rPr>
          <w:rFonts w:ascii="Arial" w:eastAsia="Arial" w:hAnsi="Arial" w:cs="Arial"/>
          <w:color w:val="000000"/>
          <w:sz w:val="20"/>
        </w:rPr>
        <w:t xml:space="preserve">Third, it challenges the court's holding that entrances at many Hollister stores violate Title III of the ADA. </w:t>
      </w:r>
      <w:r>
        <w:rPr>
          <w:rFonts w:ascii="Arial" w:eastAsia="Arial" w:hAnsi="Arial" w:cs="Arial"/>
          <w:color w:val="000000"/>
          <w:sz w:val="20"/>
          <w:u w:val="single"/>
        </w:rPr>
        <w:t xml:space="preserve">See </w:t>
      </w:r>
      <w:bookmarkStart w:id="5151" w:name="Bookmark_I5D7DCTX2D6NYG0030000400"/>
      <w:bookmarkEnd w:id="5151"/>
      <w:r>
        <w:rPr>
          <w:rFonts w:ascii="Arial" w:eastAsia="Arial" w:hAnsi="Arial" w:cs="Arial"/>
          <w:color w:val="000000"/>
          <w:sz w:val="20"/>
          <w:u w:val="single"/>
        </w:rPr>
        <w:t>Abercrombie &amp; Fitch Co</w:t>
      </w:r>
      <w:r>
        <w:rPr>
          <w:rFonts w:ascii="Arial" w:eastAsia="Arial" w:hAnsi="Arial" w:cs="Arial"/>
          <w:color w:val="000000"/>
          <w:sz w:val="20"/>
        </w:rPr>
        <w:t xml:space="preserve">., 957 F. Supp. 2d at 1283. </w:t>
      </w:r>
      <w:bookmarkStart w:id="5152" w:name="Bookmark_I5D7DCV628T4F50010000400_2"/>
      <w:bookmarkEnd w:id="5152"/>
      <w:r>
        <w:rPr>
          <w:rFonts w:ascii="Arial" w:eastAsia="Arial" w:hAnsi="Arial" w:cs="Arial"/>
          <w:color w:val="000000"/>
          <w:sz w:val="20"/>
        </w:rPr>
        <w:t xml:space="preserve">Finally, it challenges the court's entry of a permanent injunction remedying those violations. </w:t>
      </w:r>
      <w:r>
        <w:rPr>
          <w:rFonts w:ascii="Arial" w:eastAsia="Arial" w:hAnsi="Arial" w:cs="Arial"/>
          <w:color w:val="000000"/>
          <w:sz w:val="20"/>
          <w:u w:val="single"/>
        </w:rPr>
        <w:t xml:space="preserve">See </w:t>
      </w:r>
      <w:bookmarkStart w:id="5153" w:name="Bookmark_I5D7DCTX2D6NYG0050000400"/>
      <w:bookmarkEnd w:id="5153"/>
      <w:r>
        <w:rPr>
          <w:rFonts w:ascii="Arial" w:eastAsia="Arial" w:hAnsi="Arial" w:cs="Arial"/>
          <w:color w:val="000000"/>
          <w:sz w:val="20"/>
          <w:u w:val="single"/>
        </w:rPr>
        <w:t>Colo. Cross-Disability Coal. v. Abercrombie &amp; Fitch Co</w:t>
      </w:r>
      <w:r>
        <w:rPr>
          <w:rFonts w:ascii="Arial" w:eastAsia="Arial" w:hAnsi="Arial" w:cs="Arial"/>
          <w:color w:val="000000"/>
          <w:sz w:val="20"/>
        </w:rPr>
        <w:t>., No. 09-cv-02757, 2013 U.S. Dist. LEXIS 162982, 2013 WL 6050011, at *1 (D. Colo. 2013). [**3]  Our jurisdiction arises under 28 U.S.C. § 1291, and we affirm in part, reverse in part, and remand for further proceedings.</w:t>
      </w:r>
    </w:p>
    <w:p w14:paraId="4FEEDE2F" w14:textId="77777777" w:rsidR="002D0E71" w:rsidRDefault="00000000">
      <w:pPr>
        <w:pStyle w:val="Normal38"/>
        <w:widowControl w:val="0"/>
        <w:spacing w:before="240" w:line="260" w:lineRule="atLeast"/>
      </w:pPr>
      <w:r>
        <w:br/>
      </w:r>
      <w:r>
        <w:rPr>
          <w:rFonts w:ascii="Arial" w:eastAsia="Arial" w:hAnsi="Arial" w:cs="Arial"/>
          <w:color w:val="000000"/>
          <w:sz w:val="20"/>
          <w:u w:val="single"/>
        </w:rPr>
        <w:t>Background</w:t>
      </w:r>
    </w:p>
    <w:p w14:paraId="19CE8ED0" w14:textId="77777777" w:rsidR="002D0E71" w:rsidRDefault="00000000">
      <w:pPr>
        <w:pStyle w:val="Normal38"/>
        <w:widowControl w:val="0"/>
        <w:spacing w:before="200" w:line="260" w:lineRule="atLeast"/>
        <w:jc w:val="both"/>
      </w:pPr>
      <w:bookmarkStart w:id="5154" w:name="Bookmark_para_4_37"/>
      <w:bookmarkEnd w:id="5154"/>
      <w:r>
        <w:rPr>
          <w:rFonts w:ascii="Arial" w:eastAsia="Arial" w:hAnsi="Arial" w:cs="Arial"/>
          <w:color w:val="000000"/>
          <w:sz w:val="20"/>
        </w:rPr>
        <w:t xml:space="preserve">Plaintiff—Appellee Colorado Cross-Disability Coalition (CCDC) is a disability advocacy organization in Colorado. Aplee. Br. 7. It advocates on behalf of its members to promote "independence, self-reliance, and full inclusion for people with disabilities in the entire community." II Aplt. App. 486. In 2009, CCDC notified Abercrombie that Hollister stores at two malls in Colorado—Orchard Town Center and Park Meadows Mall—violated the ADA. Aplt. Br. 4-5. Initial attempts to settle the matter were unsuccessful, and this litigation followed. </w:t>
      </w:r>
      <w:r>
        <w:rPr>
          <w:rFonts w:ascii="Arial" w:eastAsia="Arial" w:hAnsi="Arial" w:cs="Arial"/>
          <w:color w:val="000000"/>
          <w:sz w:val="20"/>
          <w:u w:val="single"/>
        </w:rPr>
        <w:t>Id</w:t>
      </w:r>
      <w:r>
        <w:rPr>
          <w:rFonts w:ascii="Arial" w:eastAsia="Arial" w:hAnsi="Arial" w:cs="Arial"/>
          <w:color w:val="000000"/>
          <w:sz w:val="20"/>
        </w:rPr>
        <w:t>. at 4.</w:t>
      </w:r>
    </w:p>
    <w:p w14:paraId="24497DF5" w14:textId="77777777" w:rsidR="002D0E71" w:rsidRDefault="00000000">
      <w:pPr>
        <w:pStyle w:val="Normal38"/>
        <w:widowControl w:val="0"/>
        <w:spacing w:before="200" w:line="260" w:lineRule="atLeast"/>
        <w:jc w:val="both"/>
      </w:pPr>
      <w:bookmarkStart w:id="5155" w:name="Bookmark_para_5_37"/>
      <w:bookmarkEnd w:id="5155"/>
      <w:r>
        <w:rPr>
          <w:rFonts w:ascii="Arial" w:eastAsia="Arial" w:hAnsi="Arial" w:cs="Arial"/>
          <w:color w:val="000000"/>
          <w:sz w:val="20"/>
        </w:rPr>
        <w:t xml:space="preserve">An ADA complaint was filed by CCDC and four of its members, one of whom was Anita Hansen. I Aplt. App. 24. Ms. Hansen, who uses a wheelchair for mobility, encountered accessibility obstacles at the Hollister at Orchard Town Center. [**4]  </w:t>
      </w:r>
      <w:r>
        <w:rPr>
          <w:rFonts w:ascii="Arial" w:eastAsia="Arial" w:hAnsi="Arial" w:cs="Arial"/>
          <w:color w:val="000000"/>
          <w:sz w:val="20"/>
          <w:u w:val="single"/>
        </w:rPr>
        <w:t>Id</w:t>
      </w:r>
      <w:r>
        <w:rPr>
          <w:rFonts w:ascii="Arial" w:eastAsia="Arial" w:hAnsi="Arial" w:cs="Arial"/>
          <w:color w:val="000000"/>
          <w:sz w:val="20"/>
        </w:rPr>
        <w:t xml:space="preserve">. at 111. Because steps led to the store's center entrance, she attempted to enter the store through an adjacent side door, which was locked. </w:t>
      </w:r>
      <w:r>
        <w:rPr>
          <w:rFonts w:ascii="Arial" w:eastAsia="Arial" w:hAnsi="Arial" w:cs="Arial"/>
          <w:color w:val="000000"/>
          <w:sz w:val="20"/>
          <w:u w:val="single"/>
        </w:rPr>
        <w:t>Id</w:t>
      </w:r>
      <w:r>
        <w:rPr>
          <w:rFonts w:ascii="Arial" w:eastAsia="Arial" w:hAnsi="Arial" w:cs="Arial"/>
          <w:color w:val="000000"/>
          <w:sz w:val="20"/>
        </w:rPr>
        <w:t xml:space="preserve">. at 112. A Hollister employee let her in, but once inside, Ms. Hansen had to ask employees to move tables and furniture to get about the store. </w:t>
      </w:r>
      <w:r>
        <w:rPr>
          <w:rFonts w:ascii="Arial" w:eastAsia="Arial" w:hAnsi="Arial" w:cs="Arial"/>
          <w:color w:val="000000"/>
          <w:sz w:val="20"/>
          <w:u w:val="single"/>
        </w:rPr>
        <w:t>Id</w:t>
      </w:r>
      <w:r>
        <w:rPr>
          <w:rFonts w:ascii="Arial" w:eastAsia="Arial" w:hAnsi="Arial" w:cs="Arial"/>
          <w:color w:val="000000"/>
          <w:sz w:val="20"/>
        </w:rPr>
        <w:t xml:space="preserve">. This experience left her "frustrated and humiliated." </w:t>
      </w:r>
      <w:r>
        <w:rPr>
          <w:rFonts w:ascii="Arial" w:eastAsia="Arial" w:hAnsi="Arial" w:cs="Arial"/>
          <w:color w:val="000000"/>
          <w:sz w:val="20"/>
          <w:u w:val="single"/>
        </w:rPr>
        <w:t>Id</w:t>
      </w:r>
      <w:r>
        <w:rPr>
          <w:rFonts w:ascii="Arial" w:eastAsia="Arial" w:hAnsi="Arial" w:cs="Arial"/>
          <w:color w:val="000000"/>
          <w:sz w:val="20"/>
        </w:rPr>
        <w:t xml:space="preserve">. at 113. She had a similar experience at the Hollister at Park Meadows Mall. </w:t>
      </w:r>
      <w:r>
        <w:rPr>
          <w:rFonts w:ascii="Arial" w:eastAsia="Arial" w:hAnsi="Arial" w:cs="Arial"/>
          <w:color w:val="000000"/>
          <w:sz w:val="20"/>
          <w:u w:val="single"/>
        </w:rPr>
        <w:t>Id</w:t>
      </w:r>
      <w:r>
        <w:rPr>
          <w:rFonts w:ascii="Arial" w:eastAsia="Arial" w:hAnsi="Arial" w:cs="Arial"/>
          <w:color w:val="000000"/>
          <w:sz w:val="20"/>
        </w:rPr>
        <w:t xml:space="preserve">. at 114-15. The complaint alleged that these barriers, including the stepped "porch-like structure" that served as the stores' center entrance, violated Title III of the ADA. </w:t>
      </w:r>
      <w:r>
        <w:rPr>
          <w:rFonts w:ascii="Arial" w:eastAsia="Arial" w:hAnsi="Arial" w:cs="Arial"/>
          <w:color w:val="000000"/>
          <w:sz w:val="20"/>
          <w:u w:val="single"/>
        </w:rPr>
        <w:t>Id</w:t>
      </w:r>
      <w:r>
        <w:rPr>
          <w:rFonts w:ascii="Arial" w:eastAsia="Arial" w:hAnsi="Arial" w:cs="Arial"/>
          <w:color w:val="000000"/>
          <w:sz w:val="20"/>
        </w:rPr>
        <w:t xml:space="preserve">. at 29-37. The Plaintiffs added class allegations to the complaint, challenging these barriers at "Hollister Co. stores throughout the United States." </w:t>
      </w:r>
      <w:r>
        <w:rPr>
          <w:rFonts w:ascii="Arial" w:eastAsia="Arial" w:hAnsi="Arial" w:cs="Arial"/>
          <w:color w:val="000000"/>
          <w:sz w:val="20"/>
          <w:u w:val="single"/>
        </w:rPr>
        <w:t>Id</w:t>
      </w:r>
      <w:r>
        <w:rPr>
          <w:rFonts w:ascii="Arial" w:eastAsia="Arial" w:hAnsi="Arial" w:cs="Arial"/>
          <w:color w:val="000000"/>
          <w:sz w:val="20"/>
        </w:rPr>
        <w:t>. at 71.</w:t>
      </w:r>
    </w:p>
    <w:p w14:paraId="3271E2EB" w14:textId="77777777" w:rsidR="002D0E71" w:rsidRDefault="00000000">
      <w:pPr>
        <w:pStyle w:val="Normal38"/>
        <w:widowControl w:val="0"/>
        <w:spacing w:before="200" w:line="260" w:lineRule="atLeast"/>
        <w:jc w:val="both"/>
      </w:pPr>
      <w:bookmarkStart w:id="5156" w:name="Bookmark_para_6_37"/>
      <w:bookmarkEnd w:id="5156"/>
      <w:r>
        <w:rPr>
          <w:rFonts w:ascii="Arial" w:eastAsia="Arial" w:hAnsi="Arial" w:cs="Arial"/>
          <w:color w:val="000000"/>
          <w:sz w:val="20"/>
        </w:rPr>
        <w:t> [*1209]  Abercrombie took it upon itself to correct some of these barriers. It modified Hollister stores by lowering sales counters, rearranging merchandise to ensure an unimpeded path of travel for customers in wheelchairs, adding additional buttons to open the adjacent side doors, and ensuring that the side doors were not blocked or locked. III Aplt. App. 782. However, one thing remained unchanged: a stepped, porch-like structure served as the center entrance at many Hollister stores.</w:t>
      </w:r>
    </w:p>
    <w:p w14:paraId="561B0CB7" w14:textId="77777777" w:rsidR="002D0E71" w:rsidRDefault="00000000">
      <w:pPr>
        <w:pStyle w:val="Normal38"/>
        <w:widowControl w:val="0"/>
        <w:spacing w:before="200" w:line="260" w:lineRule="atLeast"/>
        <w:jc w:val="both"/>
      </w:pPr>
      <w:bookmarkStart w:id="5157" w:name="Bookmark_para_7_36"/>
      <w:bookmarkEnd w:id="5157"/>
      <w:r>
        <w:rPr>
          <w:rFonts w:ascii="Arial" w:eastAsia="Arial" w:hAnsi="Arial" w:cs="Arial"/>
          <w:color w:val="000000"/>
          <w:sz w:val="20"/>
        </w:rPr>
        <w:t>There are two [**5]  types of Hollister stores in the United States: those with center entrances that are level with the surrounding mall floor, and those like the Park Meadows Hollister</w:t>
      </w:r>
      <w:r>
        <w:rPr>
          <w:rFonts w:ascii="Arial" w:eastAsia="Arial" w:hAnsi="Arial" w:cs="Arial"/>
          <w:vertAlign w:val="superscript"/>
        </w:rPr>
        <w:footnoteReference w:customMarkFollows="1" w:id="204"/>
        <w:t>2</w:t>
      </w:r>
      <w:r>
        <w:rPr>
          <w:rFonts w:ascii="Arial" w:eastAsia="Arial" w:hAnsi="Arial" w:cs="Arial"/>
          <w:color w:val="000000"/>
          <w:sz w:val="20"/>
        </w:rPr>
        <w:t xml:space="preserve"> that feature a stepped porch as their center entrance. Aplt. Br. 5-6. These porches share a common design: the porch protrudes into the mall corridor and is covered by a terracotta roof, which gives it the look and feel of a Southern California surf shack. </w:t>
      </w:r>
      <w:r>
        <w:rPr>
          <w:rFonts w:ascii="Arial" w:eastAsia="Arial" w:hAnsi="Arial" w:cs="Arial"/>
          <w:color w:val="000000"/>
          <w:sz w:val="20"/>
          <w:u w:val="single"/>
        </w:rPr>
        <w:t>Id</w:t>
      </w:r>
      <w:r>
        <w:rPr>
          <w:rFonts w:ascii="Arial" w:eastAsia="Arial" w:hAnsi="Arial" w:cs="Arial"/>
          <w:color w:val="000000"/>
          <w:sz w:val="20"/>
        </w:rPr>
        <w:t xml:space="preserve">. at 6; Aplee. Br. 4. Two steps lead from the mall floor onto the porch—where clothed mannequins, upholstered chairs, and marketing images are displayed—and another two steps lead off the porch into either the "Dudes" (male) or "Bettys" (female) side of the store. Aplt. Br. 5-7; Aplee. Br. 4-5. On either side of the porch are two doors leading into the store that are level with the mall floor. Aplt. Br. 5. These doors are on the same storefront as the porch. Whether a person enters the store through one of these doors, or ascends and descends the porch, that person arrives at the same point in either the Dudes or Bettys side of the store. </w:t>
      </w:r>
      <w:r>
        <w:rPr>
          <w:rFonts w:ascii="Arial" w:eastAsia="Arial" w:hAnsi="Arial" w:cs="Arial"/>
          <w:color w:val="000000"/>
          <w:sz w:val="20"/>
          <w:u w:val="single"/>
        </w:rPr>
        <w:t>Id</w:t>
      </w:r>
      <w:r>
        <w:rPr>
          <w:rFonts w:ascii="Arial" w:eastAsia="Arial" w:hAnsi="Arial" w:cs="Arial"/>
          <w:color w:val="000000"/>
          <w:sz w:val="20"/>
        </w:rPr>
        <w:t>. at 6-7. The following picture, depicting the raised porch in the center and the level doors to the sides, may be a helpful reference.</w:t>
      </w:r>
    </w:p>
    <w:p w14:paraId="66C39CEC" w14:textId="10C6A5C5" w:rsidR="002D0E71" w:rsidRDefault="002939DF">
      <w:pPr>
        <w:pStyle w:val="Normal38"/>
        <w:widowControl w:val="0"/>
        <w:spacing w:before="200" w:line="260" w:lineRule="atLeast"/>
        <w:jc w:val="both"/>
      </w:pPr>
      <w:bookmarkStart w:id="5159" w:name="Bookmark_para_8_36"/>
      <w:bookmarkEnd w:id="5159"/>
      <w:r>
        <w:rPr>
          <w:noProof/>
        </w:rPr>
        <w:drawing>
          <wp:inline distT="0" distB="0" distL="0" distR="0" wp14:anchorId="689E965D" wp14:editId="1129EF1B">
            <wp:extent cx="3919855" cy="19037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3919855" cy="1903730"/>
                    </a:xfrm>
                    <a:prstGeom prst="rect">
                      <a:avLst/>
                    </a:prstGeom>
                    <a:noFill/>
                    <a:ln>
                      <a:noFill/>
                    </a:ln>
                  </pic:spPr>
                </pic:pic>
              </a:graphicData>
            </a:graphic>
          </wp:inline>
        </w:drawing>
      </w:r>
    </w:p>
    <w:p w14:paraId="7967FEC5" w14:textId="77777777" w:rsidR="002D0E71" w:rsidRDefault="00000000">
      <w:pPr>
        <w:pStyle w:val="Normal38"/>
        <w:widowControl w:val="0"/>
        <w:spacing w:before="200" w:line="260" w:lineRule="atLeast"/>
        <w:jc w:val="both"/>
      </w:pPr>
      <w:bookmarkStart w:id="5160" w:name="Bookmark_para_9_36"/>
      <w:bookmarkEnd w:id="5160"/>
      <w:r>
        <w:rPr>
          <w:rFonts w:ascii="Arial" w:eastAsia="Arial" w:hAnsi="Arial" w:cs="Arial"/>
          <w:color w:val="000000"/>
          <w:sz w:val="20"/>
        </w:rPr>
        <w:t xml:space="preserve">After the Plaintiffs filed a third amended complaint, Abercrombie moved to dismiss arguing that the Plaintiffs lacked Article III standing. </w:t>
      </w:r>
      <w:bookmarkStart w:id="5161" w:name="Bookmark_I5D7DCV628T4F50030000400"/>
      <w:bookmarkEnd w:id="5161"/>
      <w:r>
        <w:rPr>
          <w:rFonts w:ascii="Arial" w:eastAsia="Arial" w:hAnsi="Arial" w:cs="Arial"/>
          <w:color w:val="000000"/>
          <w:sz w:val="20"/>
        </w:rPr>
        <w:t xml:space="preserve">I Aplt. App. 184. The district court denied the motion, holding that the Plaintiffs alleged a "real and immediate threat" of future harm if the alleged ADA violations were not remedied. [*1210]  </w:t>
      </w:r>
      <w:bookmarkStart w:id="5162" w:name="Bookmark_I5D7DCV628T4F50020000400"/>
      <w:bookmarkEnd w:id="5162"/>
      <w:r>
        <w:rPr>
          <w:rFonts w:ascii="Arial" w:eastAsia="Arial" w:hAnsi="Arial" w:cs="Arial"/>
          <w:color w:val="000000"/>
          <w:sz w:val="20"/>
          <w:u w:val="single"/>
        </w:rPr>
        <w:t>Colo. Cross-Disability Coal. v. Abercrombie &amp; Fitch Co</w:t>
      </w:r>
      <w:r>
        <w:rPr>
          <w:rFonts w:ascii="Arial" w:eastAsia="Arial" w:hAnsi="Arial" w:cs="Arial"/>
          <w:color w:val="000000"/>
          <w:sz w:val="20"/>
        </w:rPr>
        <w:t xml:space="preserve">., No. 09-cv-02757, 2011 U.S. Dist. LEXIS 58799, 2011 WL 2173713, at *3 (D. Colo. 2011). The Plaintiffs filed a motion for partial summary judgment, asking for judgment as a matter of law on whether the porch at the Park Meadows Hollister violated Title III of the ADA. I Aplt. App. 270. </w:t>
      </w:r>
      <w:bookmarkStart w:id="5163" w:name="Bookmark_I5D7DCV628T4F50050000400"/>
      <w:bookmarkEnd w:id="5163"/>
      <w:r>
        <w:rPr>
          <w:rFonts w:ascii="Arial" w:eastAsia="Arial" w:hAnsi="Arial" w:cs="Arial"/>
          <w:color w:val="000000"/>
          <w:sz w:val="20"/>
        </w:rPr>
        <w:t xml:space="preserve">The Department of Justice (DOJ) filed a Statement of Interest supporting the Plaintiffs. II Aplt. App. 346. The district court granted [**7]  the Plaintiffs' motion, holding that the "steps to the center entrance are a legally unacceptable piece of [Hollister's] branding and violate Title III of the ADA." </w:t>
      </w:r>
      <w:bookmarkStart w:id="5164" w:name="Bookmark_I5D7DCV628T4F50040000400"/>
      <w:bookmarkEnd w:id="5164"/>
      <w:r>
        <w:rPr>
          <w:rFonts w:ascii="Arial" w:eastAsia="Arial" w:hAnsi="Arial" w:cs="Arial"/>
          <w:color w:val="000000"/>
          <w:sz w:val="20"/>
          <w:u w:val="single"/>
        </w:rPr>
        <w:t>Colo. Cross-Disability Coal. v. Abercrombie &amp; Fitch Co</w:t>
      </w:r>
      <w:r>
        <w:rPr>
          <w:rFonts w:ascii="Arial" w:eastAsia="Arial" w:hAnsi="Arial" w:cs="Arial"/>
          <w:color w:val="000000"/>
          <w:sz w:val="20"/>
        </w:rPr>
        <w:t>., 835 F. Supp. 2d. 1077, 1083 (D. Colo. 2011).</w:t>
      </w:r>
    </w:p>
    <w:p w14:paraId="25A5C121" w14:textId="77777777" w:rsidR="002D0E71" w:rsidRDefault="00000000">
      <w:pPr>
        <w:pStyle w:val="Normal38"/>
        <w:widowControl w:val="0"/>
        <w:spacing w:before="200" w:line="260" w:lineRule="atLeast"/>
        <w:jc w:val="both"/>
      </w:pPr>
      <w:bookmarkStart w:id="5165" w:name="Bookmark_para_10_35"/>
      <w:bookmarkEnd w:id="5165"/>
      <w:r>
        <w:rPr>
          <w:rFonts w:ascii="Arial" w:eastAsia="Arial" w:hAnsi="Arial" w:cs="Arial"/>
          <w:color w:val="000000"/>
          <w:sz w:val="20"/>
        </w:rPr>
        <w:t xml:space="preserve">Thereafter, four of the named Plaintiffs withdrew, and Julie Farrar, another CCDC member who uses a wheelchair, was added to join Ms. Hansen on the final complaint. II Aplt. App. 474. </w:t>
      </w:r>
      <w:bookmarkStart w:id="5166" w:name="Bookmark_I5D7DCV62D6MTH0020000400"/>
      <w:bookmarkEnd w:id="5166"/>
      <w:r>
        <w:rPr>
          <w:rFonts w:ascii="Arial" w:eastAsia="Arial" w:hAnsi="Arial" w:cs="Arial"/>
          <w:color w:val="000000"/>
          <w:sz w:val="20"/>
        </w:rPr>
        <w:t>On the Plaintiffs' motion, the district court certified a class defined as</w:t>
      </w:r>
    </w:p>
    <w:p w14:paraId="62EEE8AD" w14:textId="77777777" w:rsidR="002D0E71" w:rsidRDefault="00000000">
      <w:pPr>
        <w:pStyle w:val="Normal38"/>
        <w:widowControl w:val="0"/>
        <w:spacing w:line="260" w:lineRule="atLeast"/>
        <w:ind w:left="400"/>
        <w:jc w:val="both"/>
      </w:pPr>
      <w:bookmarkStart w:id="5167" w:name="Bookmark_para_11_35"/>
      <w:bookmarkStart w:id="5168" w:name="Bookmark_I5D7DCV62D6MTH0020000400_2"/>
      <w:bookmarkEnd w:id="5167"/>
      <w:bookmarkEnd w:id="5168"/>
      <w:r>
        <w:rPr>
          <w:rFonts w:ascii="Arial" w:eastAsia="Arial" w:hAnsi="Arial" w:cs="Arial"/>
          <w:color w:val="000000"/>
          <w:sz w:val="20"/>
        </w:rPr>
        <w:t>all people with disabilities who use wheelchairs for mobility who, during the two years prior to the filing of the Complaint in this case, were denied the full and equal enjoyment of the goods, services, facilities, privileges, advantages, or accommodations of any Hollister Co. Store in the United States on the basis of disability because of the presence of an Elevated Entrance.</w:t>
      </w:r>
    </w:p>
    <w:p w14:paraId="02611EF3" w14:textId="77777777" w:rsidR="002D0E71" w:rsidRDefault="00000000">
      <w:pPr>
        <w:pStyle w:val="Normal38"/>
        <w:widowControl w:val="0"/>
        <w:spacing w:before="200" w:line="260" w:lineRule="atLeast"/>
        <w:jc w:val="both"/>
      </w:pPr>
      <w:bookmarkStart w:id="5169" w:name="Bookmark_I5D7DCV62D6MTH0020000400_3"/>
      <w:bookmarkStart w:id="5170" w:name="Bookmark_I5D7DCV62D6MTH0010000400"/>
      <w:bookmarkEnd w:id="5169"/>
      <w:bookmarkEnd w:id="5170"/>
      <w:r>
        <w:rPr>
          <w:rFonts w:ascii="Arial" w:eastAsia="Arial" w:hAnsi="Arial" w:cs="Arial"/>
          <w:color w:val="000000"/>
          <w:sz w:val="20"/>
          <w:u w:val="single"/>
        </w:rPr>
        <w:t>Abercrombie &amp; Fitch Co</w:t>
      </w:r>
      <w:r>
        <w:rPr>
          <w:rFonts w:ascii="Arial" w:eastAsia="Arial" w:hAnsi="Arial" w:cs="Arial"/>
          <w:color w:val="000000"/>
          <w:sz w:val="20"/>
        </w:rPr>
        <w:t>., 2012 U.S. Dist. LEXIS 55680, 2012 WL 1378531, at * 1.</w:t>
      </w:r>
    </w:p>
    <w:p w14:paraId="62ED0B8B" w14:textId="77777777" w:rsidR="002D0E71" w:rsidRDefault="00000000">
      <w:pPr>
        <w:pStyle w:val="Normal38"/>
        <w:widowControl w:val="0"/>
        <w:spacing w:before="200" w:line="260" w:lineRule="atLeast"/>
        <w:jc w:val="both"/>
      </w:pPr>
      <w:bookmarkStart w:id="5171" w:name="Bookmark_para_12_34"/>
      <w:bookmarkEnd w:id="5171"/>
      <w:r>
        <w:rPr>
          <w:rFonts w:ascii="Arial" w:eastAsia="Arial" w:hAnsi="Arial" w:cs="Arial"/>
          <w:color w:val="000000"/>
          <w:sz w:val="20"/>
        </w:rPr>
        <w:t xml:space="preserve">The parties filed cross motions for summary judgment. The Plaintiffs sought summary judgment on whether all Hollister stores with porches—some 249 stores nationwide—violated Title III of the ADA. II Aplt. App. 698. They also sought entry of a permanent injunction remedying this nationwide violation. </w:t>
      </w:r>
      <w:r>
        <w:rPr>
          <w:rFonts w:ascii="Arial" w:eastAsia="Arial" w:hAnsi="Arial" w:cs="Arial"/>
          <w:color w:val="000000"/>
          <w:sz w:val="20"/>
          <w:u w:val="single"/>
        </w:rPr>
        <w:t>Id</w:t>
      </w:r>
      <w:r>
        <w:rPr>
          <w:rFonts w:ascii="Arial" w:eastAsia="Arial" w:hAnsi="Arial" w:cs="Arial"/>
          <w:color w:val="000000"/>
          <w:sz w:val="20"/>
        </w:rPr>
        <w:t xml:space="preserve">. Abercrombie sought summary judgment on standing, arguing that the Plaintiffs failed to offer [**8]  proof of a concrete injury in fact. III Aplt. App. 946-47. It also argued that the district court's earlier grant of partial summary judgment should be vacated because Abercrombie made changes to the Park Meadows Hollister addressing the court's concerns. </w:t>
      </w:r>
      <w:bookmarkStart w:id="5172" w:name="Bookmark_I5D7DCV62D6MTH0040000400"/>
      <w:bookmarkEnd w:id="5172"/>
      <w:r>
        <w:rPr>
          <w:rFonts w:ascii="Arial" w:eastAsia="Arial" w:hAnsi="Arial" w:cs="Arial"/>
          <w:color w:val="000000"/>
          <w:sz w:val="20"/>
          <w:u w:val="single"/>
        </w:rPr>
        <w:t>Id</w:t>
      </w:r>
      <w:r>
        <w:rPr>
          <w:rFonts w:ascii="Arial" w:eastAsia="Arial" w:hAnsi="Arial" w:cs="Arial"/>
          <w:color w:val="000000"/>
          <w:sz w:val="20"/>
        </w:rPr>
        <w:t xml:space="preserve">. at 711. The district court granted the Plaintiffs' motion in full and denied Abercrombie's. </w:t>
      </w:r>
      <w:bookmarkStart w:id="5173" w:name="Bookmark_I5D7DCV82HM6JM0010000400"/>
      <w:bookmarkStart w:id="5174" w:name="Bookmark_I5D7DCV62D6MTH0030000400"/>
      <w:bookmarkEnd w:id="5173"/>
      <w:bookmarkEnd w:id="5174"/>
      <w:r>
        <w:rPr>
          <w:rFonts w:ascii="Arial" w:eastAsia="Arial" w:hAnsi="Arial" w:cs="Arial"/>
          <w:color w:val="000000"/>
          <w:sz w:val="20"/>
          <w:u w:val="single"/>
        </w:rPr>
        <w:t>Abercrombie &amp; Fitch Co</w:t>
      </w:r>
      <w:r>
        <w:rPr>
          <w:rFonts w:ascii="Arial" w:eastAsia="Arial" w:hAnsi="Arial" w:cs="Arial"/>
          <w:color w:val="000000"/>
          <w:sz w:val="20"/>
        </w:rPr>
        <w:t xml:space="preserve">., 957 F. Supp. 2d at 1283-84. </w:t>
      </w:r>
      <w:bookmarkStart w:id="5175" w:name="Bookmark_I5D7DCV82HM6JM0010000400_2"/>
      <w:bookmarkStart w:id="5176" w:name="Bookmark_I5D7DCV82HM6JM0030000400"/>
      <w:bookmarkEnd w:id="5175"/>
      <w:bookmarkEnd w:id="5176"/>
      <w:r>
        <w:rPr>
          <w:rFonts w:ascii="Arial" w:eastAsia="Arial" w:hAnsi="Arial" w:cs="Arial"/>
          <w:color w:val="000000"/>
          <w:sz w:val="20"/>
        </w:rPr>
        <w:t xml:space="preserve">The court held that the Plaintiffs produced evidence of their standing and that Abercrombie's changes to the Park Meadows Hollister did not moot the claim against the porch entrance. </w:t>
      </w:r>
      <w:bookmarkStart w:id="5177" w:name="Bookmark_I5D7DCV62D6MTH0050000400"/>
      <w:bookmarkEnd w:id="5177"/>
      <w:r>
        <w:rPr>
          <w:rFonts w:ascii="Arial" w:eastAsia="Arial" w:hAnsi="Arial" w:cs="Arial"/>
          <w:color w:val="000000"/>
          <w:sz w:val="20"/>
          <w:u w:val="single"/>
        </w:rPr>
        <w:t>Id</w:t>
      </w:r>
      <w:r>
        <w:rPr>
          <w:rFonts w:ascii="Arial" w:eastAsia="Arial" w:hAnsi="Arial" w:cs="Arial"/>
          <w:color w:val="000000"/>
          <w:sz w:val="20"/>
        </w:rPr>
        <w:t xml:space="preserve">. at 1277. </w:t>
      </w:r>
      <w:bookmarkStart w:id="5178" w:name="Bookmark_I5D7DCV82HM6JM0030000400_2"/>
      <w:bookmarkEnd w:id="5178"/>
      <w:r>
        <w:rPr>
          <w:rFonts w:ascii="Arial" w:eastAsia="Arial" w:hAnsi="Arial" w:cs="Arial"/>
          <w:color w:val="000000"/>
          <w:sz w:val="20"/>
        </w:rPr>
        <w:t xml:space="preserve">The court then held that the porch structures at all Hollister stores violated Title III of the ADA. </w:t>
      </w:r>
      <w:bookmarkStart w:id="5179" w:name="Bookmark_I5D7DCV82HM6JM0020000400"/>
      <w:bookmarkEnd w:id="5179"/>
      <w:r>
        <w:rPr>
          <w:rFonts w:ascii="Arial" w:eastAsia="Arial" w:hAnsi="Arial" w:cs="Arial"/>
          <w:color w:val="000000"/>
          <w:sz w:val="20"/>
          <w:u w:val="single"/>
        </w:rPr>
        <w:t>Id</w:t>
      </w:r>
      <w:r>
        <w:rPr>
          <w:rFonts w:ascii="Arial" w:eastAsia="Arial" w:hAnsi="Arial" w:cs="Arial"/>
          <w:color w:val="000000"/>
          <w:sz w:val="20"/>
        </w:rPr>
        <w:t>. at 1283.</w:t>
      </w:r>
    </w:p>
    <w:p w14:paraId="3AE0C757" w14:textId="77777777" w:rsidR="002D0E71" w:rsidRDefault="00000000">
      <w:pPr>
        <w:pStyle w:val="Normal38"/>
        <w:widowControl w:val="0"/>
        <w:spacing w:before="200" w:line="260" w:lineRule="atLeast"/>
        <w:jc w:val="both"/>
      </w:pPr>
      <w:bookmarkStart w:id="5180" w:name="Bookmark_para_13_34"/>
      <w:bookmarkEnd w:id="5180"/>
      <w:r>
        <w:rPr>
          <w:rFonts w:ascii="Arial" w:eastAsia="Arial" w:hAnsi="Arial" w:cs="Arial"/>
          <w:color w:val="000000"/>
          <w:sz w:val="20"/>
        </w:rPr>
        <w:t xml:space="preserve">Finally, the court entered a permanent injunction; it ordered Abercrombie to bring all Hollister stores with porches into compliance with Title III of the ADA within three years, at a rate of at least 77 stores per year. III Aplt. App. 1098-99. Abercrombie could do so by modifying the porches in one of three ways: (1) making the porch entrance "level with the surrounding floor space"; (2) placing a ramp on the porch; or (3) closing the porch off from "any public access." </w:t>
      </w:r>
      <w:r>
        <w:rPr>
          <w:rFonts w:ascii="Arial" w:eastAsia="Arial" w:hAnsi="Arial" w:cs="Arial"/>
          <w:color w:val="000000"/>
          <w:sz w:val="20"/>
          <w:u w:val="single"/>
        </w:rPr>
        <w:t>Id</w:t>
      </w:r>
      <w:r>
        <w:rPr>
          <w:rFonts w:ascii="Arial" w:eastAsia="Arial" w:hAnsi="Arial" w:cs="Arial"/>
          <w:color w:val="000000"/>
          <w:sz w:val="20"/>
        </w:rPr>
        <w:t>. at 1098. Abercrombie appealed.</w:t>
      </w:r>
    </w:p>
    <w:p w14:paraId="5C4C180A" w14:textId="77777777" w:rsidR="002D0E71" w:rsidRDefault="00000000">
      <w:pPr>
        <w:pStyle w:val="Normal38"/>
        <w:widowControl w:val="0"/>
        <w:spacing w:before="240" w:line="260" w:lineRule="atLeast"/>
      </w:pPr>
      <w:r>
        <w:br/>
      </w:r>
      <w:r>
        <w:rPr>
          <w:rFonts w:ascii="Arial" w:eastAsia="Arial" w:hAnsi="Arial" w:cs="Arial"/>
          <w:color w:val="000000"/>
          <w:sz w:val="20"/>
          <w:u w:val="single"/>
        </w:rPr>
        <w:t>Discussion</w:t>
      </w:r>
    </w:p>
    <w:p w14:paraId="6E4323C0" w14:textId="77777777" w:rsidR="002D0E71" w:rsidRDefault="00000000">
      <w:pPr>
        <w:pStyle w:val="Normal38"/>
        <w:widowControl w:val="0"/>
        <w:spacing w:before="120" w:line="260" w:lineRule="atLeast"/>
      </w:pPr>
      <w:r>
        <w:rPr>
          <w:rFonts w:ascii="Arial" w:eastAsia="Arial" w:hAnsi="Arial" w:cs="Arial"/>
          <w:color w:val="000000"/>
          <w:sz w:val="20"/>
        </w:rPr>
        <w:t xml:space="preserve">I. </w:t>
      </w:r>
      <w:r>
        <w:rPr>
          <w:rFonts w:ascii="Arial" w:eastAsia="Arial" w:hAnsi="Arial" w:cs="Arial"/>
          <w:color w:val="000000"/>
          <w:sz w:val="20"/>
          <w:u w:val="single"/>
        </w:rPr>
        <w:t>Standing</w:t>
      </w:r>
    </w:p>
    <w:p w14:paraId="20BF8113" w14:textId="77777777" w:rsidR="002D0E71" w:rsidRDefault="00000000">
      <w:pPr>
        <w:pStyle w:val="Normal38"/>
        <w:widowControl w:val="0"/>
        <w:spacing w:before="200" w:line="260" w:lineRule="atLeast"/>
        <w:jc w:val="both"/>
      </w:pPr>
      <w:bookmarkStart w:id="5181" w:name="Bookmark_para_14_33"/>
      <w:bookmarkStart w:id="5182" w:name="Bookmark_I5D7DCV82HM6JM0050000400"/>
      <w:bookmarkStart w:id="5183" w:name="Bookmark_I5D7DCVC2HM6KN0020000400"/>
      <w:bookmarkStart w:id="5184" w:name="Bookmark_LNHNREFclscc1_32"/>
      <w:bookmarkEnd w:id="5181"/>
      <w:bookmarkEnd w:id="5182"/>
      <w:bookmarkEnd w:id="5183"/>
      <w:bookmarkEnd w:id="5184"/>
      <w:r>
        <w:rPr>
          <w:rFonts w:ascii="Arial" w:eastAsia="Arial" w:hAnsi="Arial" w:cs="Arial"/>
          <w:color w:val="000000"/>
          <w:sz w:val="20"/>
        </w:rPr>
        <w:t xml:space="preserve">This court reviews standing de novo. </w:t>
      </w:r>
      <w:bookmarkStart w:id="5185" w:name="Bookmark_I5D7DCV82HM6JM0040000400"/>
      <w:bookmarkEnd w:id="5185"/>
      <w:r>
        <w:rPr>
          <w:rFonts w:ascii="Arial" w:eastAsia="Arial" w:hAnsi="Arial" w:cs="Arial"/>
          <w:color w:val="000000"/>
          <w:sz w:val="20"/>
          <w:u w:val="single"/>
        </w:rPr>
        <w:t>Tandy v. City of Wichita</w:t>
      </w:r>
      <w:r>
        <w:rPr>
          <w:rFonts w:ascii="Arial" w:eastAsia="Arial" w:hAnsi="Arial" w:cs="Arial"/>
          <w:color w:val="000000"/>
          <w:sz w:val="20"/>
        </w:rPr>
        <w:t xml:space="preserve">, 380 F.3d 1277, 1283 (10th Cir. 2004). </w:t>
      </w:r>
      <w:bookmarkStart w:id="5186" w:name="Bookmark_LNHNREFclscc2_32"/>
      <w:bookmarkEnd w:id="5186"/>
      <w:r>
        <w:rPr>
          <w:rFonts w:ascii="Arial" w:eastAsia="Arial" w:hAnsi="Arial" w:cs="Arial"/>
          <w:color w:val="000000"/>
          <w:sz w:val="20"/>
        </w:rPr>
        <w:t xml:space="preserve">At its "irreducible [**9]  constitutional minimum," standing has three elements. </w:t>
      </w:r>
      <w:bookmarkStart w:id="5187" w:name="Bookmark_I5D7DCVC2HM6KN0010000400"/>
      <w:bookmarkEnd w:id="5187"/>
      <w:r>
        <w:rPr>
          <w:rFonts w:ascii="Arial" w:eastAsia="Arial" w:hAnsi="Arial" w:cs="Arial"/>
          <w:color w:val="000000"/>
          <w:sz w:val="20"/>
          <w:u w:val="single"/>
        </w:rPr>
        <w:t>Lujan v. Defenders of Wildlife</w:t>
      </w:r>
      <w:r>
        <w:rPr>
          <w:rFonts w:ascii="Arial" w:eastAsia="Arial" w:hAnsi="Arial" w:cs="Arial"/>
          <w:color w:val="000000"/>
          <w:sz w:val="20"/>
        </w:rPr>
        <w:t xml:space="preserve">, 504 U.S. 555, 560, 112 S. Ct. 2130, 119 L. Ed. 2d 351 (1992). First, a plaintiff must suffer an "injury in fact" that is actual or imminent. </w:t>
      </w:r>
      <w:bookmarkStart w:id="5188" w:name="Bookmark_I5D7DCVC2HM6KN0040000400"/>
      <w:bookmarkEnd w:id="5188"/>
      <w:r>
        <w:rPr>
          <w:rFonts w:ascii="Arial" w:eastAsia="Arial" w:hAnsi="Arial" w:cs="Arial"/>
          <w:color w:val="000000"/>
          <w:sz w:val="20"/>
          <w:u w:val="single"/>
        </w:rPr>
        <w:t>Id</w:t>
      </w:r>
      <w:r>
        <w:rPr>
          <w:rFonts w:ascii="Arial" w:eastAsia="Arial" w:hAnsi="Arial" w:cs="Arial"/>
          <w:color w:val="000000"/>
          <w:sz w:val="20"/>
        </w:rPr>
        <w:t xml:space="preserve">. Second, the injury must be fairly traceable to the challenged action of the defendant. </w:t>
      </w:r>
      <w:r>
        <w:rPr>
          <w:rFonts w:ascii="Arial" w:eastAsia="Arial" w:hAnsi="Arial" w:cs="Arial"/>
          <w:color w:val="000000"/>
          <w:sz w:val="20"/>
          <w:u w:val="single"/>
        </w:rPr>
        <w:t>Id</w:t>
      </w:r>
      <w:r>
        <w:rPr>
          <w:rFonts w:ascii="Arial" w:eastAsia="Arial" w:hAnsi="Arial" w:cs="Arial"/>
          <w:color w:val="000000"/>
          <w:sz w:val="20"/>
        </w:rPr>
        <w:t xml:space="preserve">. Third, it must  [*1211]  be likely that the injury will be redressed by the relief requested. </w:t>
      </w:r>
      <w:bookmarkStart w:id="5189" w:name="Bookmark_I5D7DCVC2HM6KN0030000400"/>
      <w:bookmarkEnd w:id="5189"/>
      <w:r>
        <w:rPr>
          <w:rFonts w:ascii="Arial" w:eastAsia="Arial" w:hAnsi="Arial" w:cs="Arial"/>
          <w:color w:val="000000"/>
          <w:sz w:val="20"/>
          <w:u w:val="single"/>
        </w:rPr>
        <w:t>Id</w:t>
      </w:r>
      <w:r>
        <w:rPr>
          <w:rFonts w:ascii="Arial" w:eastAsia="Arial" w:hAnsi="Arial" w:cs="Arial"/>
          <w:color w:val="000000"/>
          <w:sz w:val="20"/>
        </w:rPr>
        <w:t xml:space="preserve">. at 561. </w:t>
      </w:r>
      <w:bookmarkStart w:id="5190" w:name="Bookmark_LNHNREFclscc3_31"/>
      <w:bookmarkEnd w:id="5190"/>
      <w:r>
        <w:rPr>
          <w:rFonts w:ascii="Arial" w:eastAsia="Arial" w:hAnsi="Arial" w:cs="Arial"/>
          <w:color w:val="000000"/>
          <w:sz w:val="20"/>
        </w:rPr>
        <w:t xml:space="preserve">In response to a summary judgment motion, a plaintiff must support each element of standing by setting forth, through affidavit or other evidence, "'specific facts,' which for purposes of the summary judgment motion will be taken to be true." </w:t>
      </w:r>
      <w:r>
        <w:rPr>
          <w:rFonts w:ascii="Arial" w:eastAsia="Arial" w:hAnsi="Arial" w:cs="Arial"/>
          <w:color w:val="000000"/>
          <w:sz w:val="20"/>
          <w:u w:val="single"/>
        </w:rPr>
        <w:t>Id</w:t>
      </w:r>
      <w:r>
        <w:rPr>
          <w:rFonts w:ascii="Arial" w:eastAsia="Arial" w:hAnsi="Arial" w:cs="Arial"/>
          <w:color w:val="000000"/>
          <w:sz w:val="20"/>
        </w:rPr>
        <w:t>. (citation omitted) (quoting Fed. R. Civ. P. 56(e)).</w:t>
      </w:r>
    </w:p>
    <w:p w14:paraId="6DC78759" w14:textId="77777777" w:rsidR="002D0E71" w:rsidRDefault="00000000">
      <w:pPr>
        <w:pStyle w:val="Normal38"/>
        <w:widowControl w:val="0"/>
        <w:spacing w:before="200" w:line="260" w:lineRule="atLeast"/>
        <w:jc w:val="both"/>
      </w:pPr>
      <w:bookmarkStart w:id="5191" w:name="Bookmark_para_15_32"/>
      <w:bookmarkStart w:id="5192" w:name="Bookmark_I5D7DCVK28T4N70010000400"/>
      <w:bookmarkEnd w:id="5191"/>
      <w:bookmarkEnd w:id="5192"/>
      <w:r>
        <w:rPr>
          <w:rFonts w:ascii="Arial" w:eastAsia="Arial" w:hAnsi="Arial" w:cs="Arial"/>
          <w:color w:val="000000"/>
          <w:sz w:val="20"/>
        </w:rPr>
        <w:t xml:space="preserve">Abercrombie contends that Ms. Hansen and Ms. Farrar have not suffered a genuine injury in fact because they are ADA testers. </w:t>
      </w:r>
      <w:bookmarkStart w:id="5193" w:name="Bookmark_I5D7DCVK28T4N70030000400"/>
      <w:bookmarkEnd w:id="5193"/>
      <w:r>
        <w:rPr>
          <w:rFonts w:ascii="Arial" w:eastAsia="Arial" w:hAnsi="Arial" w:cs="Arial"/>
          <w:color w:val="000000"/>
          <w:sz w:val="20"/>
        </w:rPr>
        <w:t xml:space="preserve">Aplt. Br. 19-20. This court has held, however, that </w:t>
      </w:r>
      <w:bookmarkStart w:id="5194" w:name="Bookmark_LNHNREFclscc4_31"/>
      <w:bookmarkEnd w:id="5194"/>
      <w:r>
        <w:rPr>
          <w:rFonts w:ascii="Arial" w:eastAsia="Arial" w:hAnsi="Arial" w:cs="Arial"/>
          <w:color w:val="000000"/>
          <w:sz w:val="20"/>
        </w:rPr>
        <w:t xml:space="preserve">"testers have standing to sue under Title II of the ADA." </w:t>
      </w:r>
      <w:bookmarkStart w:id="5195" w:name="Bookmark_I5D7DCVC2HM6KN0050000400"/>
      <w:bookmarkEnd w:id="5195"/>
      <w:r>
        <w:rPr>
          <w:rFonts w:ascii="Arial" w:eastAsia="Arial" w:hAnsi="Arial" w:cs="Arial"/>
          <w:color w:val="000000"/>
          <w:sz w:val="20"/>
          <w:u w:val="single"/>
        </w:rPr>
        <w:t>Tandy</w:t>
      </w:r>
      <w:r>
        <w:rPr>
          <w:rFonts w:ascii="Arial" w:eastAsia="Arial" w:hAnsi="Arial" w:cs="Arial"/>
          <w:color w:val="000000"/>
          <w:sz w:val="20"/>
        </w:rPr>
        <w:t xml:space="preserve">, 380 F.3d at 1287. </w:t>
      </w:r>
      <w:bookmarkStart w:id="5196" w:name="Bookmark_I5D7DCVK28T4N70030000400_2"/>
      <w:bookmarkStart w:id="5197" w:name="Bookmark_I5D7DCVK28T4N70050000400"/>
      <w:bookmarkEnd w:id="5196"/>
      <w:bookmarkEnd w:id="5197"/>
      <w:r>
        <w:rPr>
          <w:rFonts w:ascii="Arial" w:eastAsia="Arial" w:hAnsi="Arial" w:cs="Arial"/>
          <w:color w:val="000000"/>
          <w:sz w:val="20"/>
        </w:rPr>
        <w:t xml:space="preserve">We believe the same is true for Title III of the ADA. </w:t>
      </w:r>
      <w:r>
        <w:rPr>
          <w:rFonts w:ascii="Arial" w:eastAsia="Arial" w:hAnsi="Arial" w:cs="Arial"/>
          <w:color w:val="000000"/>
          <w:sz w:val="20"/>
          <w:u w:val="single"/>
        </w:rPr>
        <w:t xml:space="preserve">See </w:t>
      </w:r>
      <w:bookmarkStart w:id="5198" w:name="Bookmark_I5D7DCVK28T4N70020000400"/>
      <w:bookmarkEnd w:id="5198"/>
      <w:r>
        <w:rPr>
          <w:rFonts w:ascii="Arial" w:eastAsia="Arial" w:hAnsi="Arial" w:cs="Arial"/>
          <w:color w:val="000000"/>
          <w:sz w:val="20"/>
          <w:u w:val="single"/>
        </w:rPr>
        <w:t>Houston v. Marod Supermarkets, Inc</w:t>
      </w:r>
      <w:r>
        <w:rPr>
          <w:rFonts w:ascii="Arial" w:eastAsia="Arial" w:hAnsi="Arial" w:cs="Arial"/>
          <w:color w:val="000000"/>
          <w:sz w:val="20"/>
        </w:rPr>
        <w:t xml:space="preserve">., 733 F.3d 1323, 1332-34 (11th Cir. 2013) (relying on </w:t>
      </w:r>
      <w:r>
        <w:rPr>
          <w:rFonts w:ascii="Arial" w:eastAsia="Arial" w:hAnsi="Arial" w:cs="Arial"/>
          <w:color w:val="000000"/>
          <w:sz w:val="20"/>
          <w:u w:val="single"/>
        </w:rPr>
        <w:t>Tandy</w:t>
      </w:r>
      <w:r>
        <w:rPr>
          <w:rFonts w:ascii="Arial" w:eastAsia="Arial" w:hAnsi="Arial" w:cs="Arial"/>
          <w:color w:val="000000"/>
          <w:sz w:val="20"/>
        </w:rPr>
        <w:t xml:space="preserve"> and holding that testers have standing under Title III of ADA). </w:t>
      </w:r>
      <w:bookmarkStart w:id="5199" w:name="Bookmark_I5D7DCVK28T4N70050000400_2"/>
      <w:bookmarkEnd w:id="5199"/>
      <w:r>
        <w:rPr>
          <w:rFonts w:ascii="Arial" w:eastAsia="Arial" w:hAnsi="Arial" w:cs="Arial"/>
          <w:color w:val="000000"/>
          <w:sz w:val="20"/>
        </w:rPr>
        <w:t xml:space="preserve">Like Title II, Title III provides remedies for "any person" subjected to illegal disability discrimination. </w:t>
      </w:r>
      <w:r>
        <w:rPr>
          <w:rFonts w:ascii="Arial" w:eastAsia="Arial" w:hAnsi="Arial" w:cs="Arial"/>
          <w:color w:val="000000"/>
          <w:sz w:val="20"/>
          <w:u w:val="single"/>
        </w:rPr>
        <w:t>Compare</w:t>
      </w:r>
      <w:r>
        <w:rPr>
          <w:rFonts w:ascii="Arial" w:eastAsia="Arial" w:hAnsi="Arial" w:cs="Arial"/>
          <w:color w:val="000000"/>
          <w:sz w:val="20"/>
        </w:rPr>
        <w:t xml:space="preserve"> 42 U.S.C. § 12133 (Title II), </w:t>
      </w:r>
      <w:r>
        <w:rPr>
          <w:rFonts w:ascii="Arial" w:eastAsia="Arial" w:hAnsi="Arial" w:cs="Arial"/>
          <w:color w:val="000000"/>
          <w:sz w:val="20"/>
          <w:u w:val="single"/>
        </w:rPr>
        <w:t>with id</w:t>
      </w:r>
      <w:r>
        <w:rPr>
          <w:rFonts w:ascii="Arial" w:eastAsia="Arial" w:hAnsi="Arial" w:cs="Arial"/>
          <w:color w:val="000000"/>
          <w:sz w:val="20"/>
        </w:rPr>
        <w:t xml:space="preserve">. § 12188(a)(1) (Title III); </w:t>
      </w:r>
      <w:r>
        <w:rPr>
          <w:rFonts w:ascii="Arial" w:eastAsia="Arial" w:hAnsi="Arial" w:cs="Arial"/>
          <w:color w:val="000000"/>
          <w:sz w:val="20"/>
          <w:u w:val="single"/>
        </w:rPr>
        <w:t xml:space="preserve">see also </w:t>
      </w:r>
      <w:bookmarkStart w:id="5200" w:name="Bookmark_I5D7DCVK28T4N70040000400"/>
      <w:bookmarkEnd w:id="5200"/>
      <w:r>
        <w:rPr>
          <w:rFonts w:ascii="Arial" w:eastAsia="Arial" w:hAnsi="Arial" w:cs="Arial"/>
          <w:color w:val="000000"/>
          <w:sz w:val="20"/>
          <w:u w:val="single"/>
        </w:rPr>
        <w:t>Tandy</w:t>
      </w:r>
      <w:r>
        <w:rPr>
          <w:rFonts w:ascii="Arial" w:eastAsia="Arial" w:hAnsi="Arial" w:cs="Arial"/>
          <w:color w:val="000000"/>
          <w:sz w:val="20"/>
        </w:rPr>
        <w:t xml:space="preserve">, 380 F.3d at 1286-87. </w:t>
      </w:r>
      <w:bookmarkStart w:id="5201" w:name="Bookmark_I5D7DCVR2HM6SX0020000400"/>
      <w:bookmarkEnd w:id="5201"/>
      <w:r>
        <w:rPr>
          <w:rFonts w:ascii="Arial" w:eastAsia="Arial" w:hAnsi="Arial" w:cs="Arial"/>
          <w:color w:val="000000"/>
          <w:sz w:val="20"/>
        </w:rPr>
        <w:t xml:space="preserve">Thus, anyone who has suffered an invasion of the legal interest protected [**10]  by Title III may have standing, regardless of his or her motivation in encountering that invasion. However, the fact that "tester standing" exists under Title III does not displace the general requirements of standing. </w:t>
      </w:r>
      <w:r>
        <w:rPr>
          <w:rFonts w:ascii="Arial" w:eastAsia="Arial" w:hAnsi="Arial" w:cs="Arial"/>
          <w:color w:val="000000"/>
          <w:sz w:val="20"/>
          <w:u w:val="single"/>
        </w:rPr>
        <w:t xml:space="preserve">See </w:t>
      </w:r>
      <w:bookmarkStart w:id="5202" w:name="Bookmark_I5D7DCVR2HM6SX0010000400"/>
      <w:bookmarkEnd w:id="5202"/>
      <w:r>
        <w:rPr>
          <w:rFonts w:ascii="Arial" w:eastAsia="Arial" w:hAnsi="Arial" w:cs="Arial"/>
          <w:color w:val="000000"/>
          <w:sz w:val="20"/>
          <w:u w:val="single"/>
        </w:rPr>
        <w:t>Houston</w:t>
      </w:r>
      <w:r>
        <w:rPr>
          <w:rFonts w:ascii="Arial" w:eastAsia="Arial" w:hAnsi="Arial" w:cs="Arial"/>
          <w:color w:val="000000"/>
          <w:sz w:val="20"/>
        </w:rPr>
        <w:t>, 733 F.3d at 1334. Like any plaintiff, a tester must demonstrate that she has indeed suffered a cognizable injury in fact that will be redressed by the relief sought.</w:t>
      </w:r>
    </w:p>
    <w:p w14:paraId="1AA04C2F" w14:textId="77777777" w:rsidR="002D0E71" w:rsidRDefault="00000000">
      <w:pPr>
        <w:pStyle w:val="Normal38"/>
        <w:widowControl w:val="0"/>
        <w:spacing w:before="200" w:line="260" w:lineRule="atLeast"/>
        <w:jc w:val="both"/>
      </w:pPr>
      <w:bookmarkStart w:id="5203" w:name="Bookmark_para_16_31"/>
      <w:bookmarkStart w:id="5204" w:name="Bookmark_I5D7DCVR2HM6SX0040000400"/>
      <w:bookmarkStart w:id="5205" w:name="Bookmark_I5D7DCW628T4VW0030000400"/>
      <w:bookmarkStart w:id="5206" w:name="Bookmark_LNHNREFclscc5_31"/>
      <w:bookmarkEnd w:id="5203"/>
      <w:bookmarkEnd w:id="5204"/>
      <w:bookmarkEnd w:id="5205"/>
      <w:bookmarkEnd w:id="5206"/>
      <w:r>
        <w:rPr>
          <w:rFonts w:ascii="Arial" w:eastAsia="Arial" w:hAnsi="Arial" w:cs="Arial"/>
          <w:color w:val="000000"/>
          <w:sz w:val="20"/>
        </w:rPr>
        <w:t xml:space="preserve">The "injury in fact" requirement differs "depending on whether the plaintiff seeks prospective or retrospective relief." </w:t>
      </w:r>
      <w:bookmarkStart w:id="5207" w:name="Bookmark_I5D7DCVR2HM6SX0030000400"/>
      <w:bookmarkEnd w:id="5207"/>
      <w:r>
        <w:rPr>
          <w:rFonts w:ascii="Arial" w:eastAsia="Arial" w:hAnsi="Arial" w:cs="Arial"/>
          <w:color w:val="000000"/>
          <w:sz w:val="20"/>
        </w:rPr>
        <w:t xml:space="preserve">Tandy, 380 F.3d at 1283 (citing </w:t>
      </w:r>
      <w:bookmarkStart w:id="5208" w:name="Bookmark_I5D7DCVR2HM6SX0050000400"/>
      <w:bookmarkEnd w:id="5208"/>
      <w:r>
        <w:rPr>
          <w:rFonts w:ascii="Arial" w:eastAsia="Arial" w:hAnsi="Arial" w:cs="Arial"/>
          <w:color w:val="000000"/>
          <w:sz w:val="20"/>
          <w:u w:val="single"/>
        </w:rPr>
        <w:t>City of Los Angeles v. Lyons</w:t>
      </w:r>
      <w:r>
        <w:rPr>
          <w:rFonts w:ascii="Arial" w:eastAsia="Arial" w:hAnsi="Arial" w:cs="Arial"/>
          <w:color w:val="000000"/>
          <w:sz w:val="20"/>
        </w:rPr>
        <w:t xml:space="preserve">, 461 U.S. 95, 101-02, 103 S. Ct. 1660, 75 L. Ed. 2d 675 (1983)). </w:t>
      </w:r>
      <w:bookmarkStart w:id="5209" w:name="Bookmark_I5D7DCW628T4VW0050000400"/>
      <w:bookmarkStart w:id="5210" w:name="Bookmark_I5D7DCWX28T3VC0030000400"/>
      <w:bookmarkEnd w:id="5209"/>
      <w:bookmarkEnd w:id="5210"/>
      <w:r>
        <w:rPr>
          <w:rFonts w:ascii="Arial" w:eastAsia="Arial" w:hAnsi="Arial" w:cs="Arial"/>
          <w:color w:val="000000"/>
          <w:sz w:val="20"/>
        </w:rPr>
        <w:t xml:space="preserve">When prospective relief—such as an injunction—is sought, "the plaintiff must be suffering a continuing injury or be under a real and immediate threat of being injured in the future." </w:t>
      </w:r>
      <w:r>
        <w:rPr>
          <w:rFonts w:ascii="Arial" w:eastAsia="Arial" w:hAnsi="Arial" w:cs="Arial"/>
          <w:color w:val="000000"/>
          <w:sz w:val="20"/>
          <w:u w:val="single"/>
        </w:rPr>
        <w:t>Id</w:t>
      </w:r>
      <w:r>
        <w:rPr>
          <w:rFonts w:ascii="Arial" w:eastAsia="Arial" w:hAnsi="Arial" w:cs="Arial"/>
          <w:color w:val="000000"/>
          <w:sz w:val="20"/>
        </w:rPr>
        <w:t xml:space="preserve">. In </w:t>
      </w:r>
      <w:r>
        <w:rPr>
          <w:rFonts w:ascii="Arial" w:eastAsia="Arial" w:hAnsi="Arial" w:cs="Arial"/>
          <w:color w:val="000000"/>
          <w:sz w:val="20"/>
          <w:u w:val="single"/>
        </w:rPr>
        <w:t>Tandy</w:t>
      </w:r>
      <w:r>
        <w:rPr>
          <w:rFonts w:ascii="Arial" w:eastAsia="Arial" w:hAnsi="Arial" w:cs="Arial"/>
          <w:color w:val="000000"/>
          <w:sz w:val="20"/>
        </w:rPr>
        <w:t xml:space="preserve">, we held that several ADA testers had standing to seek injunctive relief against the City of Wichita. </w:t>
      </w:r>
      <w:bookmarkStart w:id="5211" w:name="Bookmark_I5D7DCWX28T3VC0010000400"/>
      <w:bookmarkStart w:id="5212" w:name="Bookmark_I5D7DCW628T4VW0020000400"/>
      <w:bookmarkEnd w:id="5211"/>
      <w:bookmarkEnd w:id="5212"/>
      <w:r>
        <w:rPr>
          <w:rFonts w:ascii="Arial" w:eastAsia="Arial" w:hAnsi="Arial" w:cs="Arial"/>
          <w:color w:val="000000"/>
          <w:sz w:val="20"/>
          <w:u w:val="single"/>
        </w:rPr>
        <w:t>Id</w:t>
      </w:r>
      <w:r>
        <w:rPr>
          <w:rFonts w:ascii="Arial" w:eastAsia="Arial" w:hAnsi="Arial" w:cs="Arial"/>
          <w:color w:val="000000"/>
          <w:sz w:val="20"/>
        </w:rPr>
        <w:t xml:space="preserve">. at 1287-89. </w:t>
      </w:r>
      <w:bookmarkStart w:id="5213" w:name="Bookmark_I5D7DCWX28T3VC0010000400_2"/>
      <w:bookmarkStart w:id="5214" w:name="Bookmark_I5D7DCWX28T3VC0030000400_2"/>
      <w:bookmarkStart w:id="5215" w:name="Bookmark_I5D7DCW628T4VW0050000400_2"/>
      <w:bookmarkEnd w:id="5213"/>
      <w:bookmarkEnd w:id="5214"/>
      <w:bookmarkEnd w:id="5215"/>
      <w:r>
        <w:rPr>
          <w:rFonts w:ascii="Arial" w:eastAsia="Arial" w:hAnsi="Arial" w:cs="Arial"/>
          <w:color w:val="000000"/>
          <w:sz w:val="20"/>
        </w:rPr>
        <w:t xml:space="preserve">These plaintiffs were "under a real and immediate threat of experiencing a lift malfunction" on the city's buses because they averred in affidavits an intent "to test Wichita Transit's fixed-route services several times per year." </w:t>
      </w:r>
      <w:bookmarkStart w:id="5216" w:name="Bookmark_I5D7DCW628T4VW0040000400"/>
      <w:bookmarkEnd w:id="5216"/>
      <w:r>
        <w:rPr>
          <w:rFonts w:ascii="Arial" w:eastAsia="Arial" w:hAnsi="Arial" w:cs="Arial"/>
          <w:color w:val="000000"/>
          <w:sz w:val="20"/>
          <w:u w:val="single"/>
        </w:rPr>
        <w:t>Id</w:t>
      </w:r>
      <w:r>
        <w:rPr>
          <w:rFonts w:ascii="Arial" w:eastAsia="Arial" w:hAnsi="Arial" w:cs="Arial"/>
          <w:color w:val="000000"/>
          <w:sz w:val="20"/>
        </w:rPr>
        <w:t>. at 1287.</w:t>
      </w:r>
      <w:r>
        <w:rPr>
          <w:rFonts w:ascii="Arial" w:eastAsia="Arial" w:hAnsi="Arial" w:cs="Arial"/>
          <w:vertAlign w:val="superscript"/>
        </w:rPr>
        <w:footnoteReference w:customMarkFollows="1" w:id="205"/>
        <w:t>3</w:t>
      </w:r>
      <w:r>
        <w:rPr>
          <w:rFonts w:ascii="Arial" w:eastAsia="Arial" w:hAnsi="Arial" w:cs="Arial"/>
          <w:color w:val="000000"/>
          <w:sz w:val="20"/>
        </w:rPr>
        <w:t xml:space="preserve"> We held that "testimony of an intent to use buses 'several times per year' suggests a concrete, </w:t>
      </w:r>
      <w:r>
        <w:rPr>
          <w:rFonts w:ascii="Arial" w:eastAsia="Arial" w:hAnsi="Arial" w:cs="Arial"/>
          <w:color w:val="000000"/>
          <w:sz w:val="20"/>
          <w:u w:val="single"/>
        </w:rPr>
        <w:t>present</w:t>
      </w:r>
      <w:r>
        <w:rPr>
          <w:rFonts w:ascii="Arial" w:eastAsia="Arial" w:hAnsi="Arial" w:cs="Arial"/>
          <w:color w:val="000000"/>
          <w:sz w:val="20"/>
        </w:rPr>
        <w:t xml:space="preserve"> plan to use" the buses "several times </w:t>
      </w:r>
      <w:r>
        <w:rPr>
          <w:rFonts w:ascii="Arial" w:eastAsia="Arial" w:hAnsi="Arial" w:cs="Arial"/>
          <w:color w:val="000000"/>
          <w:sz w:val="20"/>
          <w:u w:val="single"/>
        </w:rPr>
        <w:t>each</w:t>
      </w:r>
      <w:r>
        <w:rPr>
          <w:rFonts w:ascii="Arial" w:eastAsia="Arial" w:hAnsi="Arial" w:cs="Arial"/>
          <w:color w:val="000000"/>
          <w:sz w:val="20"/>
        </w:rPr>
        <w:t xml:space="preserve"> year, including [**11]  the year in which [the plaintiff] made that statement." </w:t>
      </w:r>
      <w:bookmarkStart w:id="5219" w:name="Bookmark_I5D7DCWB2SF8MY0010000400"/>
      <w:bookmarkEnd w:id="5219"/>
      <w:r>
        <w:rPr>
          <w:rFonts w:ascii="Arial" w:eastAsia="Arial" w:hAnsi="Arial" w:cs="Arial"/>
          <w:color w:val="000000"/>
          <w:sz w:val="20"/>
          <w:u w:val="single"/>
        </w:rPr>
        <w:t>Id</w:t>
      </w:r>
      <w:r>
        <w:rPr>
          <w:rFonts w:ascii="Arial" w:eastAsia="Arial" w:hAnsi="Arial" w:cs="Arial"/>
          <w:color w:val="000000"/>
          <w:sz w:val="20"/>
        </w:rPr>
        <w:t xml:space="preserve">. at 1284; </w:t>
      </w:r>
      <w:r>
        <w:rPr>
          <w:rFonts w:ascii="Arial" w:eastAsia="Arial" w:hAnsi="Arial" w:cs="Arial"/>
          <w:color w:val="000000"/>
          <w:sz w:val="20"/>
          <w:u w:val="single"/>
        </w:rPr>
        <w:t xml:space="preserve">see also </w:t>
      </w:r>
      <w:bookmarkStart w:id="5220" w:name="Bookmark_I5D7DCWB2SF8MY0030000400"/>
      <w:bookmarkEnd w:id="5220"/>
      <w:r>
        <w:rPr>
          <w:rFonts w:ascii="Arial" w:eastAsia="Arial" w:hAnsi="Arial" w:cs="Arial"/>
          <w:color w:val="000000"/>
          <w:sz w:val="20"/>
          <w:u w:val="single"/>
        </w:rPr>
        <w:t>id</w:t>
      </w:r>
      <w:r>
        <w:rPr>
          <w:rFonts w:ascii="Arial" w:eastAsia="Arial" w:hAnsi="Arial" w:cs="Arial"/>
          <w:color w:val="000000"/>
          <w:sz w:val="20"/>
        </w:rPr>
        <w:t xml:space="preserve">. at 1285 n.12. This contrasted with the plaintiffs in </w:t>
      </w:r>
      <w:r>
        <w:rPr>
          <w:rFonts w:ascii="Arial" w:eastAsia="Arial" w:hAnsi="Arial" w:cs="Arial"/>
          <w:color w:val="000000"/>
          <w:sz w:val="20"/>
          <w:u w:val="single"/>
        </w:rPr>
        <w:t>Lujan v. Defenders of Wildlife</w:t>
      </w:r>
      <w:r>
        <w:rPr>
          <w:rFonts w:ascii="Arial" w:eastAsia="Arial" w:hAnsi="Arial" w:cs="Arial"/>
          <w:color w:val="000000"/>
          <w:sz w:val="20"/>
        </w:rPr>
        <w:t xml:space="preserve">, whom the Supreme Court held "merely expressed a desire to </w:t>
      </w:r>
      <w:r>
        <w:rPr>
          <w:rFonts w:ascii="Arial" w:eastAsia="Arial" w:hAnsi="Arial" w:cs="Arial"/>
          <w:color w:val="000000"/>
          <w:sz w:val="20"/>
          <w:u w:val="single"/>
        </w:rPr>
        <w:t>someday</w:t>
      </w:r>
      <w:r>
        <w:rPr>
          <w:rFonts w:ascii="Arial" w:eastAsia="Arial" w:hAnsi="Arial" w:cs="Arial"/>
          <w:color w:val="000000"/>
          <w:sz w:val="20"/>
        </w:rPr>
        <w:t xml:space="preserve"> visit places halfway around the world." </w:t>
      </w:r>
      <w:r>
        <w:rPr>
          <w:rFonts w:ascii="Arial" w:eastAsia="Arial" w:hAnsi="Arial" w:cs="Arial"/>
          <w:color w:val="000000"/>
          <w:sz w:val="20"/>
          <w:u w:val="single"/>
        </w:rPr>
        <w:t>Id</w:t>
      </w:r>
      <w:r>
        <w:rPr>
          <w:rFonts w:ascii="Arial" w:eastAsia="Arial" w:hAnsi="Arial" w:cs="Arial"/>
          <w:color w:val="000000"/>
          <w:sz w:val="20"/>
        </w:rPr>
        <w:t xml:space="preserve">. (citing </w:t>
      </w:r>
      <w:bookmarkStart w:id="5221" w:name="Bookmark_I5D7DCWB2SF8MY0050000400"/>
      <w:bookmarkEnd w:id="5221"/>
      <w:r>
        <w:rPr>
          <w:rFonts w:ascii="Arial" w:eastAsia="Arial" w:hAnsi="Arial" w:cs="Arial"/>
          <w:color w:val="000000"/>
          <w:sz w:val="20"/>
          <w:u w:val="single"/>
        </w:rPr>
        <w:t>Defenders of Wildlife</w:t>
      </w:r>
      <w:r>
        <w:rPr>
          <w:rFonts w:ascii="Arial" w:eastAsia="Arial" w:hAnsi="Arial" w:cs="Arial"/>
          <w:color w:val="000000"/>
          <w:sz w:val="20"/>
        </w:rPr>
        <w:t>, 504 U.S. at 564).</w:t>
      </w:r>
    </w:p>
    <w:p w14:paraId="12975B74" w14:textId="77777777" w:rsidR="002D0E71" w:rsidRDefault="00000000">
      <w:pPr>
        <w:pStyle w:val="Normal38"/>
        <w:widowControl w:val="0"/>
        <w:spacing w:before="200" w:line="260" w:lineRule="atLeast"/>
        <w:jc w:val="both"/>
      </w:pPr>
      <w:bookmarkStart w:id="5222" w:name="Bookmark_para_17_30"/>
      <w:bookmarkEnd w:id="5222"/>
      <w:r>
        <w:rPr>
          <w:rFonts w:ascii="Arial" w:eastAsia="Arial" w:hAnsi="Arial" w:cs="Arial"/>
          <w:color w:val="000000"/>
          <w:sz w:val="20"/>
        </w:rPr>
        <w:t xml:space="preserve">With these principles in mind, we hold that Plaintiff Julie Farrar has standing to seek prospective relief. In two affidavits, Ms. Farrar averred that she "intend[s] to . . . return to" the Park Meadows Hollister, II Aplt. App. 463, and that she "will likely be going to the Park Meadows Mall at least six times per year," </w:t>
      </w:r>
      <w:r>
        <w:rPr>
          <w:rFonts w:ascii="Arial" w:eastAsia="Arial" w:hAnsi="Arial" w:cs="Arial"/>
          <w:color w:val="000000"/>
          <w:sz w:val="20"/>
          <w:u w:val="single"/>
        </w:rPr>
        <w:t>id</w:t>
      </w:r>
      <w:r>
        <w:rPr>
          <w:rFonts w:ascii="Arial" w:eastAsia="Arial" w:hAnsi="Arial" w:cs="Arial"/>
          <w:color w:val="000000"/>
          <w:sz w:val="20"/>
        </w:rPr>
        <w:t xml:space="preserve">. at 644. </w:t>
      </w:r>
      <w:bookmarkStart w:id="5223" w:name="Bookmark_I5D7DCWX28T3VC0050000400"/>
      <w:bookmarkEnd w:id="5223"/>
      <w:r>
        <w:rPr>
          <w:rFonts w:ascii="Arial" w:eastAsia="Arial" w:hAnsi="Arial" w:cs="Arial"/>
          <w:color w:val="000000"/>
          <w:sz w:val="20"/>
        </w:rPr>
        <w:t xml:space="preserve">This "six times per year" testimony has the same effect as the "several times per year" testimony in </w:t>
      </w:r>
      <w:r>
        <w:rPr>
          <w:rFonts w:ascii="Arial" w:eastAsia="Arial" w:hAnsi="Arial" w:cs="Arial"/>
          <w:color w:val="000000"/>
          <w:sz w:val="20"/>
          <w:u w:val="single"/>
        </w:rPr>
        <w:t>Tandy</w:t>
      </w:r>
      <w:r>
        <w:rPr>
          <w:rFonts w:ascii="Arial" w:eastAsia="Arial" w:hAnsi="Arial" w:cs="Arial"/>
          <w:color w:val="000000"/>
          <w:sz w:val="20"/>
        </w:rPr>
        <w:t xml:space="preserve">. It suggests a concrete, present plan to return to the Park Meadows Hollister several times—at least six—each  [*1212]  year, including the year in which Ms. Farrar made that statement. </w:t>
      </w:r>
      <w:r>
        <w:rPr>
          <w:rFonts w:ascii="Arial" w:eastAsia="Arial" w:hAnsi="Arial" w:cs="Arial"/>
          <w:color w:val="000000"/>
          <w:sz w:val="20"/>
          <w:u w:val="single"/>
        </w:rPr>
        <w:t xml:space="preserve">See </w:t>
      </w:r>
      <w:bookmarkStart w:id="5224" w:name="Bookmark_I5D7DCWX28T3VC0040000400"/>
      <w:bookmarkEnd w:id="5224"/>
      <w:r>
        <w:rPr>
          <w:rFonts w:ascii="Arial" w:eastAsia="Arial" w:hAnsi="Arial" w:cs="Arial"/>
          <w:color w:val="000000"/>
          <w:sz w:val="20"/>
          <w:u w:val="single"/>
        </w:rPr>
        <w:t>Tandy</w:t>
      </w:r>
      <w:r>
        <w:rPr>
          <w:rFonts w:ascii="Arial" w:eastAsia="Arial" w:hAnsi="Arial" w:cs="Arial"/>
          <w:color w:val="000000"/>
          <w:sz w:val="20"/>
        </w:rPr>
        <w:t>, 380 F.3d at 1284.</w:t>
      </w:r>
    </w:p>
    <w:p w14:paraId="539C2357" w14:textId="77777777" w:rsidR="002D0E71" w:rsidRDefault="00000000">
      <w:pPr>
        <w:pStyle w:val="Normal38"/>
        <w:widowControl w:val="0"/>
        <w:spacing w:before="200" w:line="260" w:lineRule="atLeast"/>
        <w:jc w:val="both"/>
      </w:pPr>
      <w:bookmarkStart w:id="5225" w:name="Bookmark_para_18_30"/>
      <w:bookmarkStart w:id="5226" w:name="Bookmark_I5D7DCX12HM64G0020000400"/>
      <w:bookmarkEnd w:id="5225"/>
      <w:bookmarkEnd w:id="5226"/>
      <w:r>
        <w:rPr>
          <w:rFonts w:ascii="Arial" w:eastAsia="Arial" w:hAnsi="Arial" w:cs="Arial"/>
          <w:color w:val="000000"/>
          <w:sz w:val="20"/>
        </w:rPr>
        <w:t xml:space="preserve">Abercrombie challenges the plausibility of Ms. Farrar's intent to return to the Park Meadows Hollister, pointing out that she has never entered a Hollister store and that the Park Meadows Mall is not the closest to her home. Aplt. Br. 21-22; Aplt. [**12]  Reply Br. 5. </w:t>
      </w:r>
      <w:bookmarkStart w:id="5227" w:name="Bookmark_I5D7DCX12HM64G0040000400"/>
      <w:bookmarkStart w:id="5228" w:name="Bookmark_LNHNREFclscc6_30"/>
      <w:bookmarkEnd w:id="5227"/>
      <w:bookmarkEnd w:id="5228"/>
      <w:r>
        <w:rPr>
          <w:rFonts w:ascii="Arial" w:eastAsia="Arial" w:hAnsi="Arial" w:cs="Arial"/>
          <w:color w:val="000000"/>
          <w:sz w:val="20"/>
        </w:rPr>
        <w:t xml:space="preserve">For the purposes of summary judgment, however, we must take the specific facts set forth in Ms. Farrar's affidavit as true. </w:t>
      </w:r>
      <w:r>
        <w:rPr>
          <w:rFonts w:ascii="Arial" w:eastAsia="Arial" w:hAnsi="Arial" w:cs="Arial"/>
          <w:color w:val="000000"/>
          <w:sz w:val="20"/>
          <w:u w:val="single"/>
        </w:rPr>
        <w:t xml:space="preserve">See </w:t>
      </w:r>
      <w:bookmarkStart w:id="5229" w:name="Bookmark_I5D7DCX12HM64G0010000400"/>
      <w:bookmarkEnd w:id="5229"/>
      <w:r>
        <w:rPr>
          <w:rFonts w:ascii="Arial" w:eastAsia="Arial" w:hAnsi="Arial" w:cs="Arial"/>
          <w:color w:val="000000"/>
          <w:sz w:val="20"/>
          <w:u w:val="single"/>
        </w:rPr>
        <w:t>Defenders of Wildlife</w:t>
      </w:r>
      <w:r>
        <w:rPr>
          <w:rFonts w:ascii="Arial" w:eastAsia="Arial" w:hAnsi="Arial" w:cs="Arial"/>
          <w:color w:val="000000"/>
          <w:sz w:val="20"/>
        </w:rPr>
        <w:t xml:space="preserve">, 504 U.S. at 561. Moreover, her claim that she will return to the Park Meadows Hollister at least six times per year is not rendered implausible by the distance between the store and her home. Ms. Farrar testified that she will go to the Park Meadows Mall more often now that her friend has moved nearby. </w:t>
      </w:r>
      <w:bookmarkStart w:id="5230" w:name="Bookmark_I5D7DCX12HM64G0040000400_2"/>
      <w:bookmarkEnd w:id="5230"/>
      <w:r>
        <w:rPr>
          <w:rFonts w:ascii="Arial" w:eastAsia="Arial" w:hAnsi="Arial" w:cs="Arial"/>
          <w:color w:val="000000"/>
          <w:sz w:val="20"/>
        </w:rPr>
        <w:t xml:space="preserve">II Aplt. App. 644, 661; </w:t>
      </w:r>
      <w:r>
        <w:rPr>
          <w:rFonts w:ascii="Arial" w:eastAsia="Arial" w:hAnsi="Arial" w:cs="Arial"/>
          <w:color w:val="000000"/>
          <w:sz w:val="20"/>
          <w:u w:val="single"/>
        </w:rPr>
        <w:t xml:space="preserve">see </w:t>
      </w:r>
      <w:bookmarkStart w:id="5231" w:name="Bookmark_I5D7DCX12HM64G0030000400"/>
      <w:bookmarkEnd w:id="5231"/>
      <w:r>
        <w:rPr>
          <w:rFonts w:ascii="Arial" w:eastAsia="Arial" w:hAnsi="Arial" w:cs="Arial"/>
          <w:color w:val="000000"/>
          <w:sz w:val="20"/>
          <w:u w:val="single"/>
        </w:rPr>
        <w:t>Houston</w:t>
      </w:r>
      <w:r>
        <w:rPr>
          <w:rFonts w:ascii="Arial" w:eastAsia="Arial" w:hAnsi="Arial" w:cs="Arial"/>
          <w:color w:val="000000"/>
          <w:sz w:val="20"/>
        </w:rPr>
        <w:t>, 733 F.3d at 1336-37 (ADA plaintiff suffered an injury in fact because his frequent trips to his lawyer's offices took him near the defendant's store, which was more than thirty miles from his home). Ms. Farrar's testimony demonstrates that she suffers a real and imminent threat of encountering the alleged accessibility barrier at the Park Meadows Mall in the future; this injury is directly traceable to the porch at Abercrombie's store, and it is likely that a remedial injunction, if warranted, would redress this harm. Therefore, Ms. Farrar has standing to seek prospective relief.</w:t>
      </w:r>
    </w:p>
    <w:p w14:paraId="2804B545" w14:textId="77777777" w:rsidR="002D0E71" w:rsidRDefault="00000000">
      <w:pPr>
        <w:pStyle w:val="Normal38"/>
        <w:widowControl w:val="0"/>
        <w:spacing w:before="200" w:line="260" w:lineRule="atLeast"/>
        <w:jc w:val="both"/>
      </w:pPr>
      <w:bookmarkStart w:id="5232" w:name="Bookmark_para_19_30"/>
      <w:bookmarkStart w:id="5233" w:name="Bookmark_I5D7DCX72N1R7D0010000400"/>
      <w:bookmarkEnd w:id="5232"/>
      <w:bookmarkEnd w:id="5233"/>
      <w:r>
        <w:rPr>
          <w:rFonts w:ascii="Arial" w:eastAsia="Arial" w:hAnsi="Arial" w:cs="Arial"/>
          <w:color w:val="000000"/>
          <w:sz w:val="20"/>
        </w:rPr>
        <w:t xml:space="preserve">Ms. Farrar sought prospective relief as the representative of a nationwide class. </w:t>
      </w:r>
      <w:bookmarkStart w:id="5234" w:name="Bookmark_LNHNREFclscc7_29"/>
      <w:bookmarkEnd w:id="5234"/>
      <w:r>
        <w:rPr>
          <w:rFonts w:ascii="Arial" w:eastAsia="Arial" w:hAnsi="Arial" w:cs="Arial"/>
          <w:color w:val="000000"/>
          <w:sz w:val="20"/>
        </w:rPr>
        <w:t xml:space="preserve">Because we hold that she has Article III standing to challenge the porch at the Park Meadows [**13]  Hollister, we need not decide whether the other named Plaintiffs, i.e., Anita Hansen and CCDC, have standing to serve as class representatives. </w:t>
      </w:r>
      <w:r>
        <w:rPr>
          <w:rFonts w:ascii="Arial" w:eastAsia="Arial" w:hAnsi="Arial" w:cs="Arial"/>
          <w:color w:val="000000"/>
          <w:sz w:val="20"/>
          <w:u w:val="single"/>
        </w:rPr>
        <w:t xml:space="preserve">See </w:t>
      </w:r>
      <w:bookmarkStart w:id="5235" w:name="Bookmark_I5D7DCX12HM64G0050000400"/>
      <w:bookmarkEnd w:id="5235"/>
      <w:r>
        <w:rPr>
          <w:rFonts w:ascii="Arial" w:eastAsia="Arial" w:hAnsi="Arial" w:cs="Arial"/>
          <w:color w:val="000000"/>
          <w:sz w:val="20"/>
          <w:u w:val="single"/>
        </w:rPr>
        <w:t>Horne v. Flores</w:t>
      </w:r>
      <w:r>
        <w:rPr>
          <w:rFonts w:ascii="Arial" w:eastAsia="Arial" w:hAnsi="Arial" w:cs="Arial"/>
          <w:color w:val="000000"/>
          <w:sz w:val="20"/>
        </w:rPr>
        <w:t xml:space="preserve">, 557 U.S. 433, 446-47, 129 S. Ct. 2579, 174 L. Ed. 2d 406 (2009); </w:t>
      </w:r>
      <w:bookmarkStart w:id="5236" w:name="Bookmark_I5D7DCX72N1R7D0020000400"/>
      <w:bookmarkEnd w:id="5236"/>
      <w:r>
        <w:rPr>
          <w:rFonts w:ascii="Arial" w:eastAsia="Arial" w:hAnsi="Arial" w:cs="Arial"/>
          <w:color w:val="000000"/>
          <w:sz w:val="20"/>
          <w:u w:val="single"/>
        </w:rPr>
        <w:t>Arlington Heights v. Metro. Hous. Dev. Corp</w:t>
      </w:r>
      <w:r>
        <w:rPr>
          <w:rFonts w:ascii="Arial" w:eastAsia="Arial" w:hAnsi="Arial" w:cs="Arial"/>
          <w:color w:val="000000"/>
          <w:sz w:val="20"/>
        </w:rPr>
        <w:t xml:space="preserve">., 429 U.S. 252, 264, 97 S. Ct. 555, 50 L. Ed. 2d 450 &amp; n.9 (1977) ("[W]e have at least one individual plaintiff who has demonstrated standing . . . . Because of the presence of this plaintiff, we need not consider whether the other individual . . . plaintiffs have standing to maintain the suit."). </w:t>
      </w:r>
      <w:bookmarkStart w:id="5237" w:name="Bookmark_I5D7DCX72N1R7D0050000400"/>
      <w:bookmarkEnd w:id="5237"/>
      <w:r>
        <w:rPr>
          <w:rFonts w:ascii="Arial" w:eastAsia="Arial" w:hAnsi="Arial" w:cs="Arial"/>
          <w:color w:val="000000"/>
          <w:sz w:val="20"/>
        </w:rPr>
        <w:t xml:space="preserve">However, Abercrombie insists that our standing analysis does not end at the Park Meadows Mall. It argues that Ms. Farrar lacks standing to bring a claim for nationwide injunctive relief because she does not intend to visit every Hollister store with a porch—over 230 stores nationwide. Aplt. Br. 23-24. </w:t>
      </w:r>
      <w:bookmarkStart w:id="5238" w:name="Bookmark_I5D7DCXC2HM6810020000400"/>
      <w:bookmarkEnd w:id="5238"/>
      <w:r>
        <w:rPr>
          <w:rFonts w:ascii="Arial" w:eastAsia="Arial" w:hAnsi="Arial" w:cs="Arial"/>
          <w:color w:val="000000"/>
          <w:sz w:val="20"/>
        </w:rPr>
        <w:t>We have no doubt that if Ms. Farrar were seeking a nationwide injunction in her own right, then she would lack standing to challenge accessibility barriers at stores she never intends to visit.</w:t>
      </w:r>
      <w:r>
        <w:rPr>
          <w:rFonts w:ascii="Arial" w:eastAsia="Arial" w:hAnsi="Arial" w:cs="Arial"/>
          <w:vertAlign w:val="superscript"/>
        </w:rPr>
        <w:footnoteReference w:customMarkFollows="1" w:id="206"/>
        <w:t>4</w:t>
      </w:r>
      <w:r>
        <w:rPr>
          <w:rFonts w:ascii="Arial" w:eastAsia="Arial" w:hAnsi="Arial" w:cs="Arial"/>
          <w:color w:val="000000"/>
          <w:sz w:val="20"/>
        </w:rPr>
        <w:t xml:space="preserve"> </w:t>
      </w:r>
      <w:r>
        <w:rPr>
          <w:rFonts w:ascii="Arial" w:eastAsia="Arial" w:hAnsi="Arial" w:cs="Arial"/>
          <w:color w:val="000000"/>
          <w:sz w:val="20"/>
          <w:u w:val="single"/>
        </w:rPr>
        <w:t xml:space="preserve">See </w:t>
      </w:r>
      <w:bookmarkStart w:id="5242" w:name="Bookmark_I5D7DCX72N1R7D0040000400"/>
      <w:bookmarkEnd w:id="5242"/>
      <w:r>
        <w:rPr>
          <w:rFonts w:ascii="Arial" w:eastAsia="Arial" w:hAnsi="Arial" w:cs="Arial"/>
          <w:color w:val="000000"/>
          <w:sz w:val="20"/>
          <w:u w:val="single"/>
        </w:rPr>
        <w:t>Scherr v. Marriott Int'l, Inc</w:t>
      </w:r>
      <w:r>
        <w:rPr>
          <w:rFonts w:ascii="Arial" w:eastAsia="Arial" w:hAnsi="Arial" w:cs="Arial"/>
          <w:color w:val="000000"/>
          <w:sz w:val="20"/>
        </w:rPr>
        <w:t xml:space="preserve">., 703 F.3d 1069, 1075 (7th Cir. 2013) (although ADA plaintiff had standing to challenge the design of a single hotel she intended to visit, plaintiff lacked standing to challenge that same design at 56 other  [*1213]  hotels she had no plans to visit). </w:t>
      </w:r>
      <w:bookmarkStart w:id="5243" w:name="Bookmark_I5D7DCXC2HM6810020000400_2"/>
      <w:bookmarkEnd w:id="5243"/>
      <w:r>
        <w:rPr>
          <w:rFonts w:ascii="Arial" w:eastAsia="Arial" w:hAnsi="Arial" w:cs="Arial"/>
          <w:color w:val="000000"/>
          <w:sz w:val="20"/>
        </w:rPr>
        <w:t xml:space="preserve">Although the concepts of standing and adequacy of status to maintain a class action appear related, they are independent [**14]  criteria and must be evaluated separately. </w:t>
      </w:r>
      <w:r>
        <w:rPr>
          <w:rFonts w:ascii="Arial" w:eastAsia="Arial" w:hAnsi="Arial" w:cs="Arial"/>
          <w:color w:val="000000"/>
          <w:sz w:val="20"/>
          <w:u w:val="single"/>
        </w:rPr>
        <w:t xml:space="preserve">See </w:t>
      </w:r>
      <w:bookmarkStart w:id="5244" w:name="Bookmark_I5D7DCXC2HM6810010000400"/>
      <w:bookmarkEnd w:id="5244"/>
      <w:r>
        <w:rPr>
          <w:rFonts w:ascii="Arial" w:eastAsia="Arial" w:hAnsi="Arial" w:cs="Arial"/>
          <w:color w:val="000000"/>
          <w:sz w:val="20"/>
          <w:u w:val="single"/>
        </w:rPr>
        <w:t>Hassine v. Jeffes</w:t>
      </w:r>
      <w:r>
        <w:rPr>
          <w:rFonts w:ascii="Arial" w:eastAsia="Arial" w:hAnsi="Arial" w:cs="Arial"/>
          <w:color w:val="000000"/>
          <w:sz w:val="20"/>
        </w:rPr>
        <w:t xml:space="preserve">, 846 F.2d 169, 175-76 (3d Cir. 1988). </w:t>
      </w:r>
      <w:bookmarkStart w:id="5245" w:name="Bookmark_I5D7DCXC2HM6810040000400"/>
      <w:bookmarkEnd w:id="5245"/>
      <w:r>
        <w:rPr>
          <w:rFonts w:ascii="Arial" w:eastAsia="Arial" w:hAnsi="Arial" w:cs="Arial"/>
          <w:color w:val="000000"/>
          <w:sz w:val="20"/>
        </w:rPr>
        <w:t xml:space="preserve">The question whether an injunction may properly extend to Hollister stores nationwide is answered by asking whether Ms. Farrar may serve as a representative of a class that seeks such relief. All that is necessary to answer this question is an application of Rule 23. </w:t>
      </w:r>
      <w:r>
        <w:rPr>
          <w:rFonts w:ascii="Arial" w:eastAsia="Arial" w:hAnsi="Arial" w:cs="Arial"/>
          <w:color w:val="000000"/>
          <w:sz w:val="20"/>
          <w:u w:val="single"/>
        </w:rPr>
        <w:t xml:space="preserve">See </w:t>
      </w:r>
      <w:bookmarkStart w:id="5246" w:name="Bookmark_I5D7DCXC2HM6810030000400"/>
      <w:bookmarkEnd w:id="5246"/>
      <w:r>
        <w:rPr>
          <w:rFonts w:ascii="Arial" w:eastAsia="Arial" w:hAnsi="Arial" w:cs="Arial"/>
          <w:color w:val="000000"/>
          <w:sz w:val="20"/>
          <w:u w:val="single"/>
        </w:rPr>
        <w:t>DG ex rel. Stricklin v. Devaughn</w:t>
      </w:r>
      <w:r>
        <w:rPr>
          <w:rFonts w:ascii="Arial" w:eastAsia="Arial" w:hAnsi="Arial" w:cs="Arial"/>
          <w:color w:val="000000"/>
          <w:sz w:val="20"/>
        </w:rPr>
        <w:t>, 594 F.3d 1188, 1194 (10th Cir. 2010). We turn to that task next.</w:t>
      </w:r>
    </w:p>
    <w:p w14:paraId="57AAEAC9" w14:textId="77777777" w:rsidR="002D0E71" w:rsidRDefault="00000000">
      <w:pPr>
        <w:pStyle w:val="Normal38"/>
        <w:widowControl w:val="0"/>
        <w:spacing w:before="120" w:line="260" w:lineRule="atLeast"/>
      </w:pPr>
      <w:r>
        <w:rPr>
          <w:rFonts w:ascii="Arial" w:eastAsia="Arial" w:hAnsi="Arial" w:cs="Arial"/>
          <w:color w:val="000000"/>
          <w:sz w:val="20"/>
        </w:rPr>
        <w:t xml:space="preserve">II. </w:t>
      </w:r>
      <w:r>
        <w:rPr>
          <w:rFonts w:ascii="Arial" w:eastAsia="Arial" w:hAnsi="Arial" w:cs="Arial"/>
          <w:color w:val="000000"/>
          <w:sz w:val="20"/>
          <w:u w:val="single"/>
        </w:rPr>
        <w:t>Class Certification</w:t>
      </w:r>
    </w:p>
    <w:p w14:paraId="52FE0F3D" w14:textId="77777777" w:rsidR="002D0E71" w:rsidRDefault="00000000">
      <w:pPr>
        <w:pStyle w:val="Normal38"/>
        <w:widowControl w:val="0"/>
        <w:spacing w:before="200" w:line="260" w:lineRule="atLeast"/>
        <w:jc w:val="both"/>
      </w:pPr>
      <w:bookmarkStart w:id="5247" w:name="Bookmark_para_20_28"/>
      <w:bookmarkStart w:id="5248" w:name="Bookmark_I5D7DCXK2D6NW90030000400"/>
      <w:bookmarkStart w:id="5249" w:name="Bookmark_I5D7DCXK2D6NW90050000400"/>
      <w:bookmarkStart w:id="5250" w:name="Bookmark_LNHNREFclscc8_29"/>
      <w:bookmarkEnd w:id="5247"/>
      <w:bookmarkEnd w:id="5248"/>
      <w:bookmarkEnd w:id="5249"/>
      <w:bookmarkEnd w:id="5250"/>
      <w:r>
        <w:rPr>
          <w:rFonts w:ascii="Arial" w:eastAsia="Arial" w:hAnsi="Arial" w:cs="Arial"/>
          <w:color w:val="000000"/>
          <w:sz w:val="20"/>
        </w:rPr>
        <w:t xml:space="preserve">"The class action is an exception to the usual rule that litigation is conducted by and on behalf of the individual named parties only." </w:t>
      </w:r>
      <w:bookmarkStart w:id="5251" w:name="Bookmark_I5D7DCXK2D6NW90020000400"/>
      <w:bookmarkEnd w:id="5251"/>
      <w:r>
        <w:rPr>
          <w:rFonts w:ascii="Arial" w:eastAsia="Arial" w:hAnsi="Arial" w:cs="Arial"/>
          <w:color w:val="000000"/>
          <w:sz w:val="20"/>
          <w:u w:val="single"/>
        </w:rPr>
        <w:t>Wal-Mart Stores, Inc. v. Dukes</w:t>
      </w:r>
      <w:r>
        <w:rPr>
          <w:rFonts w:ascii="Arial" w:eastAsia="Arial" w:hAnsi="Arial" w:cs="Arial"/>
          <w:color w:val="000000"/>
          <w:sz w:val="20"/>
        </w:rPr>
        <w:t xml:space="preserve">, 131 S. Ct. 2541, 2550, 180 L. Ed. 2d 374 (2011) (internal quotation marks omitted). To justify departure from that rule, "a class representative must be part of the class and possess the same interest and suffer the same injury as the class members." </w:t>
      </w:r>
      <w:r>
        <w:rPr>
          <w:rFonts w:ascii="Arial" w:eastAsia="Arial" w:hAnsi="Arial" w:cs="Arial"/>
          <w:color w:val="000000"/>
          <w:sz w:val="20"/>
          <w:u w:val="single"/>
        </w:rPr>
        <w:t>Id</w:t>
      </w:r>
      <w:r>
        <w:rPr>
          <w:rFonts w:ascii="Arial" w:eastAsia="Arial" w:hAnsi="Arial" w:cs="Arial"/>
          <w:color w:val="000000"/>
          <w:sz w:val="20"/>
        </w:rPr>
        <w:t xml:space="preserve">. (quoting </w:t>
      </w:r>
      <w:bookmarkStart w:id="5252" w:name="Bookmark_I5D7DCXK2D6NW90040000400"/>
      <w:bookmarkEnd w:id="5252"/>
      <w:r>
        <w:rPr>
          <w:rFonts w:ascii="Arial" w:eastAsia="Arial" w:hAnsi="Arial" w:cs="Arial"/>
          <w:color w:val="000000"/>
          <w:sz w:val="20"/>
          <w:u w:val="single"/>
        </w:rPr>
        <w:t>E. Tex. Motor Freight Sys., Inc. v. Rodriguez</w:t>
      </w:r>
      <w:r>
        <w:rPr>
          <w:rFonts w:ascii="Arial" w:eastAsia="Arial" w:hAnsi="Arial" w:cs="Arial"/>
          <w:color w:val="000000"/>
          <w:sz w:val="20"/>
        </w:rPr>
        <w:t xml:space="preserve">, 431 U.S. 395, 403, 97 S. Ct. 1891, 52 L. Ed. 2d 453 (1977)) (internal quotation marks omitted). It is "Rule 23(a) [that] ensures that the named plaintiffs are appropriate representatives of the class whose claims they wish to litigate." </w:t>
      </w:r>
      <w:r>
        <w:rPr>
          <w:rFonts w:ascii="Arial" w:eastAsia="Arial" w:hAnsi="Arial" w:cs="Arial"/>
          <w:color w:val="000000"/>
          <w:sz w:val="20"/>
          <w:u w:val="single"/>
        </w:rPr>
        <w:t>Id</w:t>
      </w:r>
      <w:r>
        <w:rPr>
          <w:rFonts w:ascii="Arial" w:eastAsia="Arial" w:hAnsi="Arial" w:cs="Arial"/>
          <w:color w:val="000000"/>
          <w:sz w:val="20"/>
        </w:rPr>
        <w:t>. Rule 23(a)'s requirements are quite familiar: (1) the class is so numerous that joinder of all members is impracticable (numerosity); (2) there is a question of law or fact common to the class (commonality); (3) the claims or defenses of the representative parties are typical of the claims or defenses of the class (typicality); and (4) the representative parties will fairly and adequately protect the interests of the class (adequacy). Fed. R. Civ. P. 23(a).</w:t>
      </w:r>
    </w:p>
    <w:p w14:paraId="779B786A" w14:textId="77777777" w:rsidR="002D0E71" w:rsidRDefault="00000000">
      <w:pPr>
        <w:pStyle w:val="Normal38"/>
        <w:widowControl w:val="0"/>
        <w:spacing w:before="200" w:line="260" w:lineRule="atLeast"/>
        <w:jc w:val="both"/>
      </w:pPr>
      <w:bookmarkStart w:id="5253" w:name="Bookmark_para_21_27"/>
      <w:bookmarkStart w:id="5254" w:name="Bookmark_I5D7DCXM28T44R0020000400"/>
      <w:bookmarkStart w:id="5255" w:name="Bookmark_LNHNREFclscc9_27"/>
      <w:bookmarkEnd w:id="5253"/>
      <w:bookmarkEnd w:id="5254"/>
      <w:bookmarkEnd w:id="5255"/>
      <w:r>
        <w:rPr>
          <w:rFonts w:ascii="Arial" w:eastAsia="Arial" w:hAnsi="Arial" w:cs="Arial"/>
          <w:color w:val="000000"/>
          <w:sz w:val="20"/>
        </w:rPr>
        <w:t xml:space="preserve">In addition to Rule 23(a), the class proponent must also satisfy through evidentiary proof at least one of the provisions of [**16]  Rule 23(b). </w:t>
      </w:r>
      <w:bookmarkStart w:id="5256" w:name="Bookmark_I5D7DCXM28T44R0010000400"/>
      <w:bookmarkEnd w:id="5256"/>
      <w:r>
        <w:rPr>
          <w:rFonts w:ascii="Arial" w:eastAsia="Arial" w:hAnsi="Arial" w:cs="Arial"/>
          <w:color w:val="000000"/>
          <w:sz w:val="20"/>
          <w:u w:val="single"/>
        </w:rPr>
        <w:t>Comcast Corp. v. Behrend</w:t>
      </w:r>
      <w:r>
        <w:rPr>
          <w:rFonts w:ascii="Arial" w:eastAsia="Arial" w:hAnsi="Arial" w:cs="Arial"/>
          <w:color w:val="000000"/>
          <w:sz w:val="20"/>
        </w:rPr>
        <w:t>, 133 S. Ct. 1426, 1432, 185 L. Ed. 2d 515 (2013). In this case, the class was certified under Rule 23(b)(2), which requires the court to find that "the party opposing the class has acted or refused to act on grounds that apply generally to the class, so that final injunctive relief or corresponding declaratory relief is appropriate respecting the class as a whole." Fed. R. Civ. P. 23(b)(2).</w:t>
      </w:r>
    </w:p>
    <w:p w14:paraId="226771DF" w14:textId="77777777" w:rsidR="002D0E71" w:rsidRDefault="00000000">
      <w:pPr>
        <w:pStyle w:val="Normal38"/>
        <w:widowControl w:val="0"/>
        <w:spacing w:before="200" w:line="260" w:lineRule="atLeast"/>
        <w:jc w:val="both"/>
      </w:pPr>
      <w:bookmarkStart w:id="5257" w:name="Bookmark_para_22_27"/>
      <w:bookmarkStart w:id="5258" w:name="Bookmark_I5D7DCXM28T44R0040000400"/>
      <w:bookmarkStart w:id="5259" w:name="Bookmark_I5D7DCXW2D6P170010000400"/>
      <w:bookmarkStart w:id="5260" w:name="Bookmark_LNHNREFclscc10_27"/>
      <w:bookmarkEnd w:id="5257"/>
      <w:bookmarkEnd w:id="5258"/>
      <w:bookmarkEnd w:id="5259"/>
      <w:bookmarkEnd w:id="5260"/>
      <w:r>
        <w:rPr>
          <w:rFonts w:ascii="Arial" w:eastAsia="Arial" w:hAnsi="Arial" w:cs="Arial"/>
          <w:color w:val="000000"/>
          <w:sz w:val="20"/>
        </w:rPr>
        <w:t xml:space="preserve">We review the standard the district court used in making its Rule 23 determination de novo, and we review the merits of that determination for an abuse of discretion. </w:t>
      </w:r>
      <w:bookmarkStart w:id="5261" w:name="Bookmark_I5D7DCXM28T44R0030000400"/>
      <w:bookmarkEnd w:id="5261"/>
      <w:r>
        <w:rPr>
          <w:rFonts w:ascii="Arial" w:eastAsia="Arial" w:hAnsi="Arial" w:cs="Arial"/>
          <w:color w:val="000000"/>
          <w:sz w:val="20"/>
          <w:u w:val="single"/>
        </w:rPr>
        <w:t>Wallace B. Roderick Revocable Living Trust v. XTO Energy, Inc</w:t>
      </w:r>
      <w:r>
        <w:rPr>
          <w:rFonts w:ascii="Arial" w:eastAsia="Arial" w:hAnsi="Arial" w:cs="Arial"/>
          <w:color w:val="000000"/>
          <w:sz w:val="20"/>
        </w:rPr>
        <w:t xml:space="preserve">., 725 F.3d 1213, 1217 (10th Cir. 2013). The district court enjoys "considerable discretion" in this area, and "we defer to the district court's certification ruling if it applies the proper Rule 23 standard and its decision falls within the bounds of rationally available choices given the facts and law involved." </w:t>
      </w:r>
      <w:bookmarkStart w:id="5262" w:name="Bookmark_I5D7DCXM28T44R0050000400"/>
      <w:bookmarkEnd w:id="5262"/>
      <w:r>
        <w:rPr>
          <w:rFonts w:ascii="Arial" w:eastAsia="Arial" w:hAnsi="Arial" w:cs="Arial"/>
          <w:color w:val="000000"/>
          <w:sz w:val="20"/>
          <w:u w:val="single"/>
        </w:rPr>
        <w:t>Devaughn</w:t>
      </w:r>
      <w:r>
        <w:rPr>
          <w:rFonts w:ascii="Arial" w:eastAsia="Arial" w:hAnsi="Arial" w:cs="Arial"/>
          <w:color w:val="000000"/>
          <w:sz w:val="20"/>
        </w:rPr>
        <w:t>, 594 F.3d at 1194 (internal quotation marks omitted).</w:t>
      </w:r>
    </w:p>
    <w:p w14:paraId="7588391F" w14:textId="77777777" w:rsidR="002D0E71" w:rsidRDefault="00000000">
      <w:pPr>
        <w:pStyle w:val="Normal38"/>
        <w:widowControl w:val="0"/>
        <w:spacing w:before="120" w:line="260" w:lineRule="atLeast"/>
      </w:pPr>
      <w:r>
        <w:rPr>
          <w:rFonts w:ascii="Arial" w:eastAsia="Arial" w:hAnsi="Arial" w:cs="Arial"/>
          <w:color w:val="000000"/>
          <w:sz w:val="20"/>
        </w:rPr>
        <w:t xml:space="preserve">A. </w:t>
      </w:r>
      <w:r>
        <w:rPr>
          <w:rFonts w:ascii="Arial" w:eastAsia="Arial" w:hAnsi="Arial" w:cs="Arial"/>
          <w:color w:val="000000"/>
          <w:sz w:val="20"/>
          <w:u w:val="single"/>
        </w:rPr>
        <w:t>Class Standing</w:t>
      </w:r>
    </w:p>
    <w:p w14:paraId="0604548C" w14:textId="77777777" w:rsidR="002D0E71" w:rsidRDefault="00000000">
      <w:pPr>
        <w:pStyle w:val="Normal38"/>
        <w:widowControl w:val="0"/>
        <w:spacing w:before="200" w:line="260" w:lineRule="atLeast"/>
        <w:jc w:val="both"/>
      </w:pPr>
      <w:bookmarkStart w:id="5263" w:name="Bookmark_para_23_26"/>
      <w:bookmarkEnd w:id="5263"/>
      <w:r>
        <w:rPr>
          <w:rFonts w:ascii="Arial" w:eastAsia="Arial" w:hAnsi="Arial" w:cs="Arial"/>
          <w:color w:val="000000"/>
          <w:sz w:val="20"/>
        </w:rPr>
        <w:t xml:space="preserve">Before we apply Rule 23, we must address Abercrombie's repeated contention that no one, not even the class, has standing in this case. Specifically, Abercrombie argues that the class lacks standing because the Plaintiffs "never established that there are actual, non-hypothetical class members who intend to patronize each of the Hollister stores." Aplt. Br. 29. That is, the Plaintiffs must offer proof of "actual [**17]  members of the certified class who have standing" as to the 231 Hollister stores with a porch. </w:t>
      </w:r>
      <w:r>
        <w:rPr>
          <w:rFonts w:ascii="Arial" w:eastAsia="Arial" w:hAnsi="Arial" w:cs="Arial"/>
          <w:color w:val="000000"/>
          <w:sz w:val="20"/>
          <w:u w:val="single"/>
        </w:rPr>
        <w:t>Id</w:t>
      </w:r>
      <w:r>
        <w:rPr>
          <w:rFonts w:ascii="Arial" w:eastAsia="Arial" w:hAnsi="Arial" w:cs="Arial"/>
          <w:color w:val="000000"/>
          <w:sz w:val="20"/>
        </w:rPr>
        <w:t>. at 30.</w:t>
      </w:r>
    </w:p>
    <w:p w14:paraId="6F2C431E" w14:textId="77777777" w:rsidR="002D0E71" w:rsidRDefault="00000000">
      <w:pPr>
        <w:pStyle w:val="Normal38"/>
        <w:widowControl w:val="0"/>
        <w:spacing w:before="200" w:line="260" w:lineRule="atLeast"/>
        <w:jc w:val="both"/>
      </w:pPr>
      <w:bookmarkStart w:id="5264" w:name="Bookmark_para_24_26"/>
      <w:bookmarkEnd w:id="5264"/>
      <w:r>
        <w:rPr>
          <w:rFonts w:ascii="Arial" w:eastAsia="Arial" w:hAnsi="Arial" w:cs="Arial"/>
          <w:color w:val="000000"/>
          <w:sz w:val="20"/>
        </w:rPr>
        <w:t xml:space="preserve"> [*1214]  </w:t>
      </w:r>
      <w:bookmarkStart w:id="5265" w:name="Bookmark_I48TWVXKV5X0003XDXH00295"/>
      <w:bookmarkStart w:id="5266" w:name="Bookmark_I5D7DCXW2D6P170030000400"/>
      <w:bookmarkStart w:id="5267" w:name="Bookmark_I5D7DCXW2D6P170050000400"/>
      <w:bookmarkEnd w:id="5265"/>
      <w:bookmarkEnd w:id="5266"/>
      <w:bookmarkEnd w:id="5267"/>
      <w:r>
        <w:rPr>
          <w:rFonts w:ascii="Arial" w:eastAsia="Arial" w:hAnsi="Arial" w:cs="Arial"/>
          <w:color w:val="000000"/>
          <w:sz w:val="20"/>
        </w:rPr>
        <w:t xml:space="preserve">We have heard this argument before. In </w:t>
      </w:r>
      <w:r>
        <w:rPr>
          <w:rFonts w:ascii="Arial" w:eastAsia="Arial" w:hAnsi="Arial" w:cs="Arial"/>
          <w:color w:val="000000"/>
          <w:sz w:val="20"/>
          <w:u w:val="single"/>
        </w:rPr>
        <w:t>DG ex rel. Stricklin v. Devaughn</w:t>
      </w:r>
      <w:r>
        <w:rPr>
          <w:rFonts w:ascii="Arial" w:eastAsia="Arial" w:hAnsi="Arial" w:cs="Arial"/>
          <w:color w:val="000000"/>
          <w:sz w:val="20"/>
        </w:rPr>
        <w:t xml:space="preserve">, the defendants argued that "Rule 23(a)'s commonality and typicality requirements demanded that Named Plaintiffs prove all members were [injured] or are actually exposed to an imminent threat of harm as a result of" the defendants' actions. </w:t>
      </w:r>
      <w:bookmarkStart w:id="5268" w:name="Bookmark_I5D7DCXW2D6P170020000400"/>
      <w:bookmarkEnd w:id="5268"/>
      <w:r>
        <w:rPr>
          <w:rFonts w:ascii="Arial" w:eastAsia="Arial" w:hAnsi="Arial" w:cs="Arial"/>
          <w:color w:val="000000"/>
          <w:sz w:val="20"/>
        </w:rPr>
        <w:t xml:space="preserve">594 F.3d at 1197. We rejected this argument, noting that it "conflate[d] the requirements for standing, prospective injunctive relief, and class certification." </w:t>
      </w:r>
      <w:r>
        <w:rPr>
          <w:rFonts w:ascii="Arial" w:eastAsia="Arial" w:hAnsi="Arial" w:cs="Arial"/>
          <w:color w:val="000000"/>
          <w:sz w:val="20"/>
          <w:u w:val="single"/>
        </w:rPr>
        <w:t>Id</w:t>
      </w:r>
      <w:r>
        <w:rPr>
          <w:rFonts w:ascii="Arial" w:eastAsia="Arial" w:hAnsi="Arial" w:cs="Arial"/>
          <w:color w:val="000000"/>
          <w:sz w:val="20"/>
        </w:rPr>
        <w:t xml:space="preserve">. "First," we held, </w:t>
      </w:r>
      <w:bookmarkStart w:id="5269" w:name="Bookmark_LNHNREFclscc11_20"/>
      <w:bookmarkEnd w:id="5269"/>
      <w:r>
        <w:rPr>
          <w:rFonts w:ascii="Arial" w:eastAsia="Arial" w:hAnsi="Arial" w:cs="Arial"/>
          <w:color w:val="000000"/>
          <w:sz w:val="20"/>
        </w:rPr>
        <w:t xml:space="preserve">"only named plaintiffs in a class action seeking prospective injunctive relief must demonstrate standing by establishing they are suffering a continuing injury or are under an imminent threat of being injured in the future." </w:t>
      </w:r>
      <w:r>
        <w:rPr>
          <w:rFonts w:ascii="Arial" w:eastAsia="Arial" w:hAnsi="Arial" w:cs="Arial"/>
          <w:color w:val="000000"/>
          <w:sz w:val="20"/>
          <w:u w:val="single"/>
        </w:rPr>
        <w:t>Id</w:t>
      </w:r>
      <w:r>
        <w:rPr>
          <w:rFonts w:ascii="Arial" w:eastAsia="Arial" w:hAnsi="Arial" w:cs="Arial"/>
          <w:color w:val="000000"/>
          <w:sz w:val="20"/>
        </w:rPr>
        <w:t xml:space="preserve">. "Second, Rule 23's certification requirements neither require all class members to suffer harm or threat of immediate harm nor Named Plaintiffs to prove class members have suffered such harm." </w:t>
      </w:r>
      <w:bookmarkStart w:id="5270" w:name="Bookmark_I5D7DCXW2D6P170040000400"/>
      <w:bookmarkEnd w:id="5270"/>
      <w:r>
        <w:rPr>
          <w:rFonts w:ascii="Arial" w:eastAsia="Arial" w:hAnsi="Arial" w:cs="Arial"/>
          <w:color w:val="000000"/>
          <w:sz w:val="20"/>
          <w:u w:val="single"/>
        </w:rPr>
        <w:t>Id</w:t>
      </w:r>
      <w:r>
        <w:rPr>
          <w:rFonts w:ascii="Arial" w:eastAsia="Arial" w:hAnsi="Arial" w:cs="Arial"/>
          <w:color w:val="000000"/>
          <w:sz w:val="20"/>
        </w:rPr>
        <w:t>. at 1198.</w:t>
      </w:r>
    </w:p>
    <w:p w14:paraId="1017C1F3" w14:textId="77777777" w:rsidR="002D0E71" w:rsidRDefault="00000000">
      <w:pPr>
        <w:pStyle w:val="Normal38"/>
        <w:widowControl w:val="0"/>
        <w:spacing w:before="200" w:line="260" w:lineRule="atLeast"/>
        <w:jc w:val="both"/>
      </w:pPr>
      <w:bookmarkStart w:id="5271" w:name="Bookmark_para_25_26"/>
      <w:bookmarkStart w:id="5272" w:name="Bookmark_I5D7DCY92HM6K60020000400"/>
      <w:bookmarkEnd w:id="5271"/>
      <w:bookmarkEnd w:id="5272"/>
      <w:r>
        <w:rPr>
          <w:rFonts w:ascii="Arial" w:eastAsia="Arial" w:hAnsi="Arial" w:cs="Arial"/>
          <w:color w:val="000000"/>
          <w:sz w:val="20"/>
        </w:rPr>
        <w:t xml:space="preserve">Other authorities support the notion that class "standing" does not require individualized proof from class members. </w:t>
      </w:r>
      <w:r>
        <w:rPr>
          <w:rFonts w:ascii="Arial" w:eastAsia="Arial" w:hAnsi="Arial" w:cs="Arial"/>
          <w:color w:val="000000"/>
          <w:sz w:val="20"/>
          <w:u w:val="single"/>
        </w:rPr>
        <w:t xml:space="preserve">See </w:t>
      </w:r>
      <w:bookmarkStart w:id="5273" w:name="Bookmark_I5D7DCY92HM6K60010000400"/>
      <w:bookmarkEnd w:id="5273"/>
      <w:r>
        <w:rPr>
          <w:rFonts w:ascii="Arial" w:eastAsia="Arial" w:hAnsi="Arial" w:cs="Arial"/>
          <w:color w:val="000000"/>
          <w:sz w:val="20"/>
          <w:u w:val="single"/>
        </w:rPr>
        <w:t>Denney v. Deutsche Bank AG</w:t>
      </w:r>
      <w:r>
        <w:rPr>
          <w:rFonts w:ascii="Arial" w:eastAsia="Arial" w:hAnsi="Arial" w:cs="Arial"/>
          <w:color w:val="000000"/>
          <w:sz w:val="20"/>
        </w:rPr>
        <w:t xml:space="preserve">, 443 F.3d 253, 263 (2d Cir. 2006) (noting that Article III standing does "not require that each member of a class submit evidence of personal [**18]  standing"); </w:t>
      </w:r>
      <w:bookmarkStart w:id="5274" w:name="Bookmark_I5D7DCY92HM6K60030000400"/>
      <w:bookmarkEnd w:id="5274"/>
      <w:r>
        <w:rPr>
          <w:rFonts w:ascii="Arial" w:eastAsia="Arial" w:hAnsi="Arial" w:cs="Arial"/>
          <w:color w:val="000000"/>
          <w:sz w:val="20"/>
          <w:u w:val="single"/>
        </w:rPr>
        <w:t>Prado-Steiman ex rel. Prado v. Bush</w:t>
      </w:r>
      <w:r>
        <w:rPr>
          <w:rFonts w:ascii="Arial" w:eastAsia="Arial" w:hAnsi="Arial" w:cs="Arial"/>
          <w:color w:val="000000"/>
          <w:sz w:val="20"/>
        </w:rPr>
        <w:t>, 221 F.3d 1266, 1279-80 (11th Cir. 2000) (Court must first determine whether "at least one named class representative has Article III standing," then "question whether the named plaintiffs have representative capacity, as defined by Rule 23(a), to assert the rights of others."). Three Justices of the Supreme Court favorably quoted this principle from a leading class action treatise:</w:t>
      </w:r>
    </w:p>
    <w:p w14:paraId="7A78380D" w14:textId="77777777" w:rsidR="002D0E71" w:rsidRDefault="00000000">
      <w:pPr>
        <w:pStyle w:val="Normal38"/>
        <w:widowControl w:val="0"/>
        <w:spacing w:line="260" w:lineRule="atLeast"/>
        <w:ind w:left="400"/>
        <w:jc w:val="both"/>
      </w:pPr>
      <w:bookmarkStart w:id="5275" w:name="Bookmark_para_26_25"/>
      <w:bookmarkStart w:id="5276" w:name="Bookmark_I5D7DCYK2N1RSW0010000400"/>
      <w:bookmarkStart w:id="5277" w:name="Bookmark_LNHNREFclscc12_19"/>
      <w:bookmarkEnd w:id="5275"/>
      <w:bookmarkEnd w:id="5276"/>
      <w:bookmarkEnd w:id="5277"/>
      <w:r>
        <w:rPr>
          <w:rFonts w:ascii="Arial" w:eastAsia="Arial" w:hAnsi="Arial" w:cs="Arial"/>
          <w:color w:val="000000"/>
          <w:sz w:val="20"/>
        </w:rPr>
        <w:t xml:space="preserve">"[Unnamed plaintiffs] need not make any individual showing of standing [in order to obtain relief] . . . . </w:t>
      </w:r>
      <w:bookmarkStart w:id="5278" w:name="Bookmark_I5D7DCYK2N1RSW0030000400"/>
      <w:bookmarkEnd w:id="5278"/>
      <w:r>
        <w:rPr>
          <w:rFonts w:ascii="Arial" w:eastAsia="Arial" w:hAnsi="Arial" w:cs="Arial"/>
          <w:color w:val="000000"/>
          <w:sz w:val="20"/>
        </w:rPr>
        <w:t>Whether or not the named plaintiff who meets individual standing requirements may assert the rights of absent class members is neither a standing issue nor an Article III case or controversy issue but depends rather on meeting the prerequisites of Rule 23 governing class actions."</w:t>
      </w:r>
    </w:p>
    <w:p w14:paraId="710B5470" w14:textId="77777777" w:rsidR="002D0E71" w:rsidRDefault="00000000">
      <w:pPr>
        <w:pStyle w:val="Normal38"/>
        <w:widowControl w:val="0"/>
        <w:spacing w:before="200" w:line="260" w:lineRule="atLeast"/>
        <w:jc w:val="both"/>
      </w:pPr>
      <w:bookmarkStart w:id="5279" w:name="Bookmark_I5D7DCYK2N1RSW0030000400_2"/>
      <w:bookmarkStart w:id="5280" w:name="Bookmark_I5D7DCYK2N1RSW0010000400_2"/>
      <w:bookmarkStart w:id="5281" w:name="Bookmark_I5D7DCY92HM6K60050000400"/>
      <w:bookmarkEnd w:id="5279"/>
      <w:bookmarkEnd w:id="5280"/>
      <w:bookmarkEnd w:id="5281"/>
      <w:r>
        <w:rPr>
          <w:rFonts w:ascii="Arial" w:eastAsia="Arial" w:hAnsi="Arial" w:cs="Arial"/>
          <w:color w:val="000000"/>
          <w:sz w:val="20"/>
          <w:u w:val="single"/>
        </w:rPr>
        <w:t>Lewis v. Casey</w:t>
      </w:r>
      <w:r>
        <w:rPr>
          <w:rFonts w:ascii="Arial" w:eastAsia="Arial" w:hAnsi="Arial" w:cs="Arial"/>
          <w:color w:val="000000"/>
          <w:sz w:val="20"/>
        </w:rPr>
        <w:t xml:space="preserve">, 518 U.S. 343, 395-96, 116 S. Ct. 2174, 135 L. Ed. 2d 606 (1996) (Souter, J., concurring) (alterations in original) (ellipses added) (quoting 1 H. Newberg &amp; A. Conte, Newberg on Class Actions § 2.07, pp. 2-40 to 2-41 (3d ed. 1992)). The majority seemed to agree, pointing out that its holding did "not rest upon the application of standing rules." </w:t>
      </w:r>
      <w:r>
        <w:rPr>
          <w:rFonts w:ascii="Arial" w:eastAsia="Arial" w:hAnsi="Arial" w:cs="Arial"/>
          <w:color w:val="000000"/>
          <w:sz w:val="20"/>
          <w:u w:val="single"/>
        </w:rPr>
        <w:t xml:space="preserve">See </w:t>
      </w:r>
      <w:bookmarkStart w:id="5282" w:name="Bookmark_I5D7DCYK2N1RSW0020000400"/>
      <w:bookmarkEnd w:id="5282"/>
      <w:r>
        <w:rPr>
          <w:rFonts w:ascii="Arial" w:eastAsia="Arial" w:hAnsi="Arial" w:cs="Arial"/>
          <w:color w:val="000000"/>
          <w:sz w:val="20"/>
          <w:u w:val="single"/>
        </w:rPr>
        <w:t>id</w:t>
      </w:r>
      <w:r>
        <w:rPr>
          <w:rFonts w:ascii="Arial" w:eastAsia="Arial" w:hAnsi="Arial" w:cs="Arial"/>
          <w:color w:val="000000"/>
          <w:sz w:val="20"/>
        </w:rPr>
        <w:t>. at 360 n.7.</w:t>
      </w:r>
      <w:r>
        <w:rPr>
          <w:rFonts w:ascii="Arial" w:eastAsia="Arial" w:hAnsi="Arial" w:cs="Arial"/>
          <w:vertAlign w:val="superscript"/>
        </w:rPr>
        <w:footnoteReference w:customMarkFollows="1" w:id="207"/>
        <w:t>5</w:t>
      </w:r>
    </w:p>
    <w:p w14:paraId="5AB3477E" w14:textId="77777777" w:rsidR="002D0E71" w:rsidRDefault="00000000">
      <w:pPr>
        <w:pStyle w:val="Normal38"/>
        <w:widowControl w:val="0"/>
        <w:spacing w:before="200" w:line="260" w:lineRule="atLeast"/>
        <w:jc w:val="both"/>
      </w:pPr>
      <w:bookmarkStart w:id="5289" w:name="Bookmark_para_27_25"/>
      <w:bookmarkEnd w:id="5289"/>
      <w:r>
        <w:rPr>
          <w:rFonts w:ascii="Arial" w:eastAsia="Arial" w:hAnsi="Arial" w:cs="Arial"/>
          <w:color w:val="000000"/>
          <w:sz w:val="20"/>
        </w:rPr>
        <w:t>Thus, the question whether this class may seek nationwide injunctive relief is not answered by demanding proof of standing from each class member but by application of Rule 23.</w:t>
      </w:r>
    </w:p>
    <w:p w14:paraId="2ACAA1E3" w14:textId="77777777" w:rsidR="002D0E71" w:rsidRDefault="00000000">
      <w:pPr>
        <w:pStyle w:val="Normal38"/>
        <w:widowControl w:val="0"/>
        <w:spacing w:before="120" w:line="260" w:lineRule="atLeast"/>
      </w:pPr>
      <w:r>
        <w:rPr>
          <w:rFonts w:ascii="Arial" w:eastAsia="Arial" w:hAnsi="Arial" w:cs="Arial"/>
          <w:color w:val="000000"/>
          <w:sz w:val="20"/>
        </w:rPr>
        <w:t xml:space="preserve">B. </w:t>
      </w:r>
      <w:r>
        <w:rPr>
          <w:rFonts w:ascii="Arial" w:eastAsia="Arial" w:hAnsi="Arial" w:cs="Arial"/>
          <w:color w:val="000000"/>
          <w:sz w:val="20"/>
          <w:u w:val="single"/>
        </w:rPr>
        <w:t>Numerosity</w:t>
      </w:r>
    </w:p>
    <w:p w14:paraId="3AB157A2" w14:textId="77777777" w:rsidR="002D0E71" w:rsidRDefault="00000000">
      <w:pPr>
        <w:pStyle w:val="Normal38"/>
        <w:widowControl w:val="0"/>
        <w:spacing w:before="200" w:line="260" w:lineRule="atLeast"/>
        <w:jc w:val="both"/>
      </w:pPr>
      <w:bookmarkStart w:id="5290" w:name="Bookmark_para_28_22"/>
      <w:bookmarkStart w:id="5291" w:name="Bookmark_I5D7DCYW28T4JN0040000400"/>
      <w:bookmarkStart w:id="5292" w:name="Bookmark_I5D7DD0828T4PH0010000400"/>
      <w:bookmarkStart w:id="5293" w:name="Bookmark_I5D7DD0828T4PH0030000400"/>
      <w:bookmarkStart w:id="5294" w:name="Bookmark_LNHNREFclscc13_16"/>
      <w:bookmarkEnd w:id="5290"/>
      <w:bookmarkEnd w:id="5291"/>
      <w:bookmarkEnd w:id="5292"/>
      <w:bookmarkEnd w:id="5293"/>
      <w:bookmarkEnd w:id="5294"/>
      <w:r>
        <w:rPr>
          <w:rFonts w:ascii="Arial" w:eastAsia="Arial" w:hAnsi="Arial" w:cs="Arial"/>
          <w:color w:val="000000"/>
          <w:sz w:val="20"/>
        </w:rPr>
        <w:t xml:space="preserve">"The burden is upon plaintiffs seeking to represent a class to establish that the class is so numerous as to make joinder impracticable." </w:t>
      </w:r>
      <w:bookmarkStart w:id="5295" w:name="Bookmark_I5D7DCYW28T4JN0030000400"/>
      <w:bookmarkEnd w:id="5295"/>
      <w:r>
        <w:rPr>
          <w:rFonts w:ascii="Arial" w:eastAsia="Arial" w:hAnsi="Arial" w:cs="Arial"/>
          <w:color w:val="000000"/>
          <w:sz w:val="20"/>
          <w:u w:val="single"/>
        </w:rPr>
        <w:t>Peterson v. Okla. City Hous. Auth</w:t>
      </w:r>
      <w:r>
        <w:rPr>
          <w:rFonts w:ascii="Arial" w:eastAsia="Arial" w:hAnsi="Arial" w:cs="Arial"/>
          <w:color w:val="000000"/>
          <w:sz w:val="20"/>
        </w:rPr>
        <w:t xml:space="preserve">., 545 F.2d 1270, 1273 (10th Cir. 1976). "The numerosity requirement requires examination of the specific facts of each case and imposes no absolute limitations."  [*1215]  </w:t>
      </w:r>
      <w:bookmarkStart w:id="5296" w:name="Bookmark_I5D7DCYW28T4JN0050000400"/>
      <w:bookmarkEnd w:id="5296"/>
      <w:r>
        <w:rPr>
          <w:rFonts w:ascii="Arial" w:eastAsia="Arial" w:hAnsi="Arial" w:cs="Arial"/>
          <w:color w:val="000000"/>
          <w:sz w:val="20"/>
          <w:u w:val="single"/>
        </w:rPr>
        <w:t>Gen. Tel. Co. of the Nw., Inc. v. Equal Emp't Opportunity Comm'n</w:t>
      </w:r>
      <w:r>
        <w:rPr>
          <w:rFonts w:ascii="Arial" w:eastAsia="Arial" w:hAnsi="Arial" w:cs="Arial"/>
          <w:color w:val="000000"/>
          <w:sz w:val="20"/>
        </w:rPr>
        <w:t xml:space="preserve">, 446 U.S. 318, 330, 100 S. Ct. 1698, 64 L. Ed. 2d 319 (1980). Plaintiffs must offer "some evidence of established, ascertainable numbers constituting the class," but there is "no set formula to determine if the class is so numerous that it should be so certified." </w:t>
      </w:r>
      <w:bookmarkStart w:id="5297" w:name="Bookmark_I5D7DD0828T4PH0020000400"/>
      <w:bookmarkEnd w:id="5297"/>
      <w:r>
        <w:rPr>
          <w:rFonts w:ascii="Arial" w:eastAsia="Arial" w:hAnsi="Arial" w:cs="Arial"/>
          <w:color w:val="000000"/>
          <w:sz w:val="20"/>
          <w:u w:val="single"/>
        </w:rPr>
        <w:t>Rex v. Owens ex rel. Okla</w:t>
      </w:r>
      <w:r>
        <w:rPr>
          <w:rFonts w:ascii="Arial" w:eastAsia="Arial" w:hAnsi="Arial" w:cs="Arial"/>
          <w:color w:val="000000"/>
          <w:sz w:val="20"/>
        </w:rPr>
        <w:t>., 585 F.2d 432, 436 (10th Cir. 1978).</w:t>
      </w:r>
    </w:p>
    <w:p w14:paraId="407BB758" w14:textId="77777777" w:rsidR="002D0E71" w:rsidRDefault="00000000">
      <w:pPr>
        <w:pStyle w:val="Normal38"/>
        <w:widowControl w:val="0"/>
        <w:spacing w:before="200" w:line="260" w:lineRule="atLeast"/>
        <w:jc w:val="both"/>
      </w:pPr>
      <w:bookmarkStart w:id="5298" w:name="Bookmark_para_29_22"/>
      <w:bookmarkStart w:id="5299" w:name="Bookmark_I5D7DD0828T4PH0050000400"/>
      <w:bookmarkEnd w:id="5298"/>
      <w:bookmarkEnd w:id="5299"/>
      <w:r>
        <w:rPr>
          <w:rFonts w:ascii="Arial" w:eastAsia="Arial" w:hAnsi="Arial" w:cs="Arial"/>
          <w:color w:val="000000"/>
          <w:sz w:val="20"/>
        </w:rPr>
        <w:t xml:space="preserve">Abercrombie argues that the Plaintiffs failed to meet the numerosity requirement because [**20]  "they presented no evidence regarding the size of their proposed class." Aplt. Br. 50. </w:t>
      </w:r>
      <w:bookmarkStart w:id="5300" w:name="Bookmark_I5D7DD0S28T4VH0020000400"/>
      <w:bookmarkEnd w:id="5300"/>
      <w:r>
        <w:rPr>
          <w:rFonts w:ascii="Arial" w:eastAsia="Arial" w:hAnsi="Arial" w:cs="Arial"/>
          <w:color w:val="000000"/>
          <w:sz w:val="20"/>
        </w:rPr>
        <w:t xml:space="preserve">This court has said, however, that </w:t>
      </w:r>
      <w:bookmarkStart w:id="5301" w:name="Bookmark_LNHNREFclscc14_12"/>
      <w:bookmarkEnd w:id="5301"/>
      <w:r>
        <w:rPr>
          <w:rFonts w:ascii="Arial" w:eastAsia="Arial" w:hAnsi="Arial" w:cs="Arial"/>
          <w:color w:val="000000"/>
          <w:sz w:val="20"/>
        </w:rPr>
        <w:t xml:space="preserve">the numerosity requirement is not "a question of numbers." </w:t>
      </w:r>
      <w:bookmarkStart w:id="5302" w:name="Bookmark_I5D7DD0828T4PH0040000400"/>
      <w:bookmarkEnd w:id="5302"/>
      <w:r>
        <w:rPr>
          <w:rFonts w:ascii="Arial" w:eastAsia="Arial" w:hAnsi="Arial" w:cs="Arial"/>
          <w:color w:val="000000"/>
          <w:sz w:val="20"/>
          <w:u w:val="single"/>
        </w:rPr>
        <w:t>Horn v. Associated Wholesale Grocers, Inc</w:t>
      </w:r>
      <w:r>
        <w:rPr>
          <w:rFonts w:ascii="Arial" w:eastAsia="Arial" w:hAnsi="Arial" w:cs="Arial"/>
          <w:color w:val="000000"/>
          <w:sz w:val="20"/>
        </w:rPr>
        <w:t xml:space="preserve">., 555 F.2d 270, 275 (10th Cir. 1977). Rather, there are a several "factors that enter into the impracticability issue." </w:t>
      </w:r>
      <w:r>
        <w:rPr>
          <w:rFonts w:ascii="Arial" w:eastAsia="Arial" w:hAnsi="Arial" w:cs="Arial"/>
          <w:color w:val="000000"/>
          <w:sz w:val="20"/>
          <w:u w:val="single"/>
        </w:rPr>
        <w:t>Id</w:t>
      </w:r>
      <w:r>
        <w:rPr>
          <w:rFonts w:ascii="Arial" w:eastAsia="Arial" w:hAnsi="Arial" w:cs="Arial"/>
          <w:color w:val="000000"/>
          <w:sz w:val="20"/>
        </w:rPr>
        <w:t xml:space="preserve">. Such factors may "includ[e] the nature of the action, the size of the individual claims, and the location of the members of the class or the property that is the subject matter of the dispute." 7A Charles Alan Wright, Arthur R. Miller &amp; Marry Kay Kane, Federal Practice and Procedure § 1762, at 206-07 (3d ed. 2005) (footnote omitted). </w:t>
      </w:r>
      <w:bookmarkStart w:id="5303" w:name="Bookmark_I5D7DD0S28T4VH0020000400_2"/>
      <w:bookmarkEnd w:id="5303"/>
      <w:r>
        <w:rPr>
          <w:rFonts w:ascii="Arial" w:eastAsia="Arial" w:hAnsi="Arial" w:cs="Arial"/>
          <w:color w:val="000000"/>
          <w:sz w:val="20"/>
        </w:rPr>
        <w:t xml:space="preserve">"[B]ecause it is such a fact-specific inquiry, we grant wide latitude to the district court in making this determination," and we defer to its determination if the court "made an appropriate judgment call." </w:t>
      </w:r>
      <w:bookmarkStart w:id="5304" w:name="Bookmark_I5D7DD0S28T4VH0010000400"/>
      <w:bookmarkEnd w:id="5304"/>
      <w:r>
        <w:rPr>
          <w:rFonts w:ascii="Arial" w:eastAsia="Arial" w:hAnsi="Arial" w:cs="Arial"/>
          <w:color w:val="000000"/>
          <w:sz w:val="20"/>
          <w:u w:val="single"/>
        </w:rPr>
        <w:t>Trevizo v. Adams</w:t>
      </w:r>
      <w:r>
        <w:rPr>
          <w:rFonts w:ascii="Arial" w:eastAsia="Arial" w:hAnsi="Arial" w:cs="Arial"/>
          <w:color w:val="000000"/>
          <w:sz w:val="20"/>
        </w:rPr>
        <w:t>, 455 F.3d 1155, 1162 (10th Cir. 2006).</w:t>
      </w:r>
    </w:p>
    <w:p w14:paraId="65358E79" w14:textId="77777777" w:rsidR="002D0E71" w:rsidRDefault="00000000">
      <w:pPr>
        <w:pStyle w:val="Normal38"/>
        <w:widowControl w:val="0"/>
        <w:spacing w:before="200" w:line="260" w:lineRule="atLeast"/>
        <w:jc w:val="both"/>
      </w:pPr>
      <w:bookmarkStart w:id="5305" w:name="Bookmark_para_30_21"/>
      <w:bookmarkEnd w:id="5305"/>
      <w:r>
        <w:rPr>
          <w:rFonts w:ascii="Arial" w:eastAsia="Arial" w:hAnsi="Arial" w:cs="Arial"/>
          <w:color w:val="000000"/>
          <w:sz w:val="20"/>
        </w:rPr>
        <w:t xml:space="preserve">In this case, the district court had before it several facts that pointed to the existence of a class so numerous that joinder would be impracticable. At the time of the court's certification decision, it was undisputed that porches were present at nearly 250 Hollister stores in over 40 states. II Aplt. App. 451-58, 688. Moreover, CCDC submitted declarations from five of its members who averred that they shop [**21]  at malls where Hollister stores are located. </w:t>
      </w:r>
      <w:bookmarkStart w:id="5306" w:name="Bookmark_I5D7DD0S28T4VH0040000400"/>
      <w:bookmarkEnd w:id="5306"/>
      <w:r>
        <w:rPr>
          <w:rFonts w:ascii="Arial" w:eastAsia="Arial" w:hAnsi="Arial" w:cs="Arial"/>
          <w:color w:val="000000"/>
          <w:sz w:val="20"/>
        </w:rPr>
        <w:t xml:space="preserve">I Aplt. App. 111-28. It is undeniable, and subject to judicial notice, that there are millions of Americans with disabilities. </w:t>
      </w:r>
      <w:r>
        <w:rPr>
          <w:rFonts w:ascii="Arial" w:eastAsia="Arial" w:hAnsi="Arial" w:cs="Arial"/>
          <w:color w:val="000000"/>
          <w:sz w:val="20"/>
          <w:u w:val="single"/>
        </w:rPr>
        <w:t xml:space="preserve">See </w:t>
      </w:r>
      <w:bookmarkStart w:id="5307" w:name="Bookmark_I5D7DD0S28T4VH0030000400"/>
      <w:bookmarkEnd w:id="5307"/>
      <w:r>
        <w:rPr>
          <w:rFonts w:ascii="Arial" w:eastAsia="Arial" w:hAnsi="Arial" w:cs="Arial"/>
          <w:color w:val="000000"/>
          <w:sz w:val="20"/>
          <w:u w:val="single"/>
        </w:rPr>
        <w:t>Bd. of Trs. of Univ. of Ala. v. Garrett</w:t>
      </w:r>
      <w:r>
        <w:rPr>
          <w:rFonts w:ascii="Arial" w:eastAsia="Arial" w:hAnsi="Arial" w:cs="Arial"/>
          <w:color w:val="000000"/>
          <w:sz w:val="20"/>
        </w:rPr>
        <w:t>, 531 U.S. 356, 370, 121 S. Ct. 955, 148 L. Ed. 2d 866 (2001) (citing the congressional finding that "some 43,000,000 Americans have one or more physical or mental disabilities"). It was therefore reasonable to infer that a substantial number of disabled people live in the 40 states where Hollister stores are located; that these people, like CCDC members and many Americans, shop at malls, including the 250 malls with porched Hollisters; and that joining all of these people in one suit would be impracticable. The district court did not abuse its discretion in so finding.</w:t>
      </w:r>
    </w:p>
    <w:p w14:paraId="52A79A30" w14:textId="77777777" w:rsidR="002D0E71" w:rsidRDefault="00000000">
      <w:pPr>
        <w:pStyle w:val="Normal38"/>
        <w:widowControl w:val="0"/>
        <w:spacing w:before="200" w:line="260" w:lineRule="atLeast"/>
        <w:jc w:val="both"/>
      </w:pPr>
      <w:bookmarkStart w:id="5308" w:name="Bookmark_para_31_20"/>
      <w:bookmarkStart w:id="5309" w:name="Bookmark_I5D7DD1128T50H0010000400"/>
      <w:bookmarkEnd w:id="5308"/>
      <w:bookmarkEnd w:id="5309"/>
      <w:r>
        <w:rPr>
          <w:rFonts w:ascii="Arial" w:eastAsia="Arial" w:hAnsi="Arial" w:cs="Arial"/>
          <w:color w:val="000000"/>
          <w:sz w:val="20"/>
        </w:rPr>
        <w:t xml:space="preserve">The dissent suggests that we have weakened the evidentiary burden a class proponent faces on the numerosity element. To be sure, this class was defined only to include those who have suffered a past injury. </w:t>
      </w:r>
      <w:r>
        <w:rPr>
          <w:rFonts w:ascii="Arial" w:eastAsia="Arial" w:hAnsi="Arial" w:cs="Arial"/>
          <w:color w:val="000000"/>
          <w:sz w:val="20"/>
          <w:u w:val="single"/>
        </w:rPr>
        <w:t xml:space="preserve">See </w:t>
      </w:r>
      <w:bookmarkStart w:id="5310" w:name="Bookmark_I5D7DD0S28T4VH0050000400"/>
      <w:bookmarkEnd w:id="5310"/>
      <w:r>
        <w:rPr>
          <w:rFonts w:ascii="Arial" w:eastAsia="Arial" w:hAnsi="Arial" w:cs="Arial"/>
          <w:color w:val="000000"/>
          <w:sz w:val="20"/>
          <w:u w:val="single"/>
        </w:rPr>
        <w:t>Abercrombie &amp; Fitch Co</w:t>
      </w:r>
      <w:r>
        <w:rPr>
          <w:rFonts w:ascii="Arial" w:eastAsia="Arial" w:hAnsi="Arial" w:cs="Arial"/>
          <w:color w:val="000000"/>
          <w:sz w:val="20"/>
        </w:rPr>
        <w:t xml:space="preserve">., 2012 U.S. Dist. LEXIS 55680, 2012 WL 1378531, at *1. But the only relief sought by this class was prospective in nature. </w:t>
      </w:r>
      <w:bookmarkStart w:id="5311" w:name="Bookmark_I5D7DD1128T50H0030000400"/>
      <w:bookmarkEnd w:id="5311"/>
      <w:r>
        <w:rPr>
          <w:rFonts w:ascii="Arial" w:eastAsia="Arial" w:hAnsi="Arial" w:cs="Arial"/>
          <w:color w:val="000000"/>
          <w:sz w:val="20"/>
        </w:rPr>
        <w:t xml:space="preserve">We agree with the dissent that whether the class was defined only to include those suffering a past injury does not bar certification. As we see it, the timing of the class's injuries has little effect on the issue of impracticability: [**22]  identifying, locating, and joining individuals who encounter accessibility discrimination at shopping malls in 40 states would be impracticable, regardless of whether the injury occurred in the past, is ongoing, or will occur in the future. </w:t>
      </w:r>
      <w:r>
        <w:rPr>
          <w:rFonts w:ascii="Arial" w:eastAsia="Arial" w:hAnsi="Arial" w:cs="Arial"/>
          <w:color w:val="000000"/>
          <w:sz w:val="20"/>
          <w:u w:val="single"/>
        </w:rPr>
        <w:t xml:space="preserve">See </w:t>
      </w:r>
      <w:bookmarkStart w:id="5312" w:name="Bookmark_I5D7DD1128T50H0020000400"/>
      <w:bookmarkEnd w:id="5312"/>
      <w:r>
        <w:rPr>
          <w:rFonts w:ascii="Arial" w:eastAsia="Arial" w:hAnsi="Arial" w:cs="Arial"/>
          <w:color w:val="000000"/>
          <w:sz w:val="20"/>
          <w:u w:val="single"/>
        </w:rPr>
        <w:t>Penderson v. La. State Univ</w:t>
      </w:r>
      <w:r>
        <w:rPr>
          <w:rFonts w:ascii="Arial" w:eastAsia="Arial" w:hAnsi="Arial" w:cs="Arial"/>
          <w:color w:val="000000"/>
          <w:sz w:val="20"/>
        </w:rPr>
        <w:t xml:space="preserve">., 213 F.3d 858, 868 n.11 (5th Cir. 2000) ("'[J]oinder of unknown individuals is certainly impracticable,'" and "the fact that the class includes unknown, unnamed future members also weighs in favor of certification.") (first quoting </w:t>
      </w:r>
      <w:bookmarkStart w:id="5313" w:name="Bookmark_I5D7DD1128T50H0040000400"/>
      <w:bookmarkEnd w:id="5313"/>
      <w:r>
        <w:rPr>
          <w:rFonts w:ascii="Arial" w:eastAsia="Arial" w:hAnsi="Arial" w:cs="Arial"/>
          <w:color w:val="000000"/>
          <w:sz w:val="20"/>
          <w:u w:val="single"/>
        </w:rPr>
        <w:t>Jack v. Am. Linen Supply Co</w:t>
      </w:r>
      <w:r>
        <w:rPr>
          <w:rFonts w:ascii="Arial" w:eastAsia="Arial" w:hAnsi="Arial" w:cs="Arial"/>
          <w:color w:val="000000"/>
          <w:sz w:val="20"/>
        </w:rPr>
        <w:t>., 498 F.2d 122, 124 (5th Cir. 1974)). Overturing the district  [*1216]  court's class certification determinations would be substituting our discretion for that of the district court—something we are not empowered to do.</w:t>
      </w:r>
    </w:p>
    <w:p w14:paraId="02D3024D" w14:textId="77777777" w:rsidR="002D0E71" w:rsidRDefault="00000000">
      <w:pPr>
        <w:pStyle w:val="Normal38"/>
        <w:widowControl w:val="0"/>
        <w:spacing w:before="120" w:line="260" w:lineRule="atLeast"/>
      </w:pPr>
      <w:r>
        <w:rPr>
          <w:rFonts w:ascii="Arial" w:eastAsia="Arial" w:hAnsi="Arial" w:cs="Arial"/>
          <w:color w:val="000000"/>
          <w:sz w:val="20"/>
        </w:rPr>
        <w:t xml:space="preserve">C. </w:t>
      </w:r>
      <w:r>
        <w:rPr>
          <w:rFonts w:ascii="Arial" w:eastAsia="Arial" w:hAnsi="Arial" w:cs="Arial"/>
          <w:color w:val="000000"/>
          <w:sz w:val="20"/>
          <w:u w:val="single"/>
        </w:rPr>
        <w:t>Commonality, Typicality, and Adequacy</w:t>
      </w:r>
    </w:p>
    <w:p w14:paraId="740BF5CC" w14:textId="77777777" w:rsidR="002D0E71" w:rsidRDefault="00000000">
      <w:pPr>
        <w:pStyle w:val="Normal38"/>
        <w:widowControl w:val="0"/>
        <w:spacing w:before="200" w:line="260" w:lineRule="atLeast"/>
        <w:jc w:val="both"/>
      </w:pPr>
      <w:bookmarkStart w:id="5314" w:name="Bookmark_para_32_19"/>
      <w:bookmarkStart w:id="5315" w:name="Bookmark_I5D7DD1928T3VW0020000400"/>
      <w:bookmarkEnd w:id="5314"/>
      <w:bookmarkEnd w:id="5315"/>
      <w:r>
        <w:rPr>
          <w:rFonts w:ascii="Arial" w:eastAsia="Arial" w:hAnsi="Arial" w:cs="Arial"/>
          <w:color w:val="000000"/>
          <w:sz w:val="20"/>
        </w:rPr>
        <w:t xml:space="preserve">Abercrombie argues that the Plaintiffs failed to meet Rule 23(a)'s remaining requirements—commonality, typicality, and adequacy. Aplt. Br. 51-52. Because these requirements "tend to merge," </w:t>
      </w:r>
      <w:bookmarkStart w:id="5316" w:name="Bookmark_I5D7DD1928T3VW0010000400"/>
      <w:bookmarkEnd w:id="5316"/>
      <w:r>
        <w:rPr>
          <w:rFonts w:ascii="Arial" w:eastAsia="Arial" w:hAnsi="Arial" w:cs="Arial"/>
          <w:color w:val="000000"/>
          <w:sz w:val="20"/>
          <w:u w:val="single"/>
        </w:rPr>
        <w:t>Wal-Mart</w:t>
      </w:r>
      <w:r>
        <w:rPr>
          <w:rFonts w:ascii="Arial" w:eastAsia="Arial" w:hAnsi="Arial" w:cs="Arial"/>
          <w:color w:val="000000"/>
          <w:sz w:val="20"/>
        </w:rPr>
        <w:t>, 131 S. Ct. at 2551 n.5, and because Abercrombie does not address them separately, we address them together.</w:t>
      </w:r>
    </w:p>
    <w:p w14:paraId="09E18B4D" w14:textId="77777777" w:rsidR="002D0E71" w:rsidRDefault="00000000">
      <w:pPr>
        <w:pStyle w:val="Normal38"/>
        <w:widowControl w:val="0"/>
        <w:spacing w:before="200" w:line="260" w:lineRule="atLeast"/>
        <w:jc w:val="both"/>
      </w:pPr>
      <w:bookmarkStart w:id="5317" w:name="Bookmark_para_33_18"/>
      <w:bookmarkEnd w:id="5317"/>
      <w:r>
        <w:rPr>
          <w:rFonts w:ascii="Arial" w:eastAsia="Arial" w:hAnsi="Arial" w:cs="Arial"/>
          <w:color w:val="000000"/>
          <w:sz w:val="20"/>
        </w:rPr>
        <w:t xml:space="preserve">First, Abercrombie argues that tester plaintiffs cannot assert claims common to or typical of a class of bona fide patrons. </w:t>
      </w:r>
      <w:bookmarkStart w:id="5318" w:name="Bookmark_I5D7DD1928T3VW0040000400"/>
      <w:bookmarkEnd w:id="5318"/>
      <w:r>
        <w:rPr>
          <w:rFonts w:ascii="Arial" w:eastAsia="Arial" w:hAnsi="Arial" w:cs="Arial"/>
          <w:color w:val="000000"/>
          <w:sz w:val="20"/>
          <w:u w:val="single"/>
        </w:rPr>
        <w:t>See</w:t>
      </w:r>
      <w:r>
        <w:rPr>
          <w:rFonts w:ascii="Arial" w:eastAsia="Arial" w:hAnsi="Arial" w:cs="Arial"/>
          <w:color w:val="000000"/>
          <w:sz w:val="20"/>
        </w:rPr>
        <w:t xml:space="preserve"> Aplt. Br. 51-52. This argument lacks merit. As mentioned, a plaintiff's status as tester is irrelevant in determining whether she has suffered an injury in fact under [**23]  Title III of the ADA. </w:t>
      </w:r>
      <w:bookmarkStart w:id="5319" w:name="Bookmark_LNHNREFclscc15_10"/>
      <w:bookmarkEnd w:id="5319"/>
      <w:r>
        <w:rPr>
          <w:rFonts w:ascii="Arial" w:eastAsia="Arial" w:hAnsi="Arial" w:cs="Arial"/>
          <w:color w:val="000000"/>
          <w:sz w:val="20"/>
        </w:rPr>
        <w:t xml:space="preserve">To maintain a class action, a "class representative must be part of the class and possess the same interest and suffer the same injury as the class members." </w:t>
      </w:r>
      <w:bookmarkStart w:id="5320" w:name="Bookmark_I5D7DD1928T3VW0030000400"/>
      <w:bookmarkEnd w:id="5320"/>
      <w:r>
        <w:rPr>
          <w:rFonts w:ascii="Arial" w:eastAsia="Arial" w:hAnsi="Arial" w:cs="Arial"/>
          <w:color w:val="000000"/>
          <w:sz w:val="20"/>
          <w:u w:val="single"/>
        </w:rPr>
        <w:t>Wal-Mart</w:t>
      </w:r>
      <w:r>
        <w:rPr>
          <w:rFonts w:ascii="Arial" w:eastAsia="Arial" w:hAnsi="Arial" w:cs="Arial"/>
          <w:color w:val="000000"/>
          <w:sz w:val="20"/>
        </w:rPr>
        <w:t>, 131 S. Ct. at 2550 (internal quotation marks omitted). The interest asserted here is the same—the right to be free from disability discrimination in a place of public accommodation—as is the alleged injury—denial of that right by porches at Hollister stores.</w:t>
      </w:r>
    </w:p>
    <w:p w14:paraId="2CA9BAA7" w14:textId="77777777" w:rsidR="002D0E71" w:rsidRDefault="00000000">
      <w:pPr>
        <w:pStyle w:val="Normal38"/>
        <w:widowControl w:val="0"/>
        <w:spacing w:before="200" w:line="260" w:lineRule="atLeast"/>
        <w:jc w:val="both"/>
      </w:pPr>
      <w:bookmarkStart w:id="5321" w:name="Bookmark_para_34_17"/>
      <w:bookmarkEnd w:id="5321"/>
      <w:r>
        <w:rPr>
          <w:rFonts w:ascii="Arial" w:eastAsia="Arial" w:hAnsi="Arial" w:cs="Arial"/>
          <w:color w:val="000000"/>
          <w:sz w:val="20"/>
        </w:rPr>
        <w:t xml:space="preserve">Elsewhere, Abercrombie again raises the specter of standing and argues that, because Ms. Farrar does not intend to visit every Hollister store with a porch, she lacks standing to obtain a nationwide injunction, and her status as class representative does not cure her lack of standing. Aplt. Br. 25. This argument conflates standing and the ability to represent a class under Rule 23. What Abercrombie challenges is whether Ms. Farrar presents "questions of law or fact common to the class" and a claim "typical of" the class when she has only visited one of the many stores against which the class seeks relief. </w:t>
      </w:r>
      <w:r>
        <w:rPr>
          <w:rFonts w:ascii="Arial" w:eastAsia="Arial" w:hAnsi="Arial" w:cs="Arial"/>
          <w:color w:val="000000"/>
          <w:sz w:val="20"/>
          <w:u w:val="single"/>
        </w:rPr>
        <w:t>See</w:t>
      </w:r>
      <w:r>
        <w:rPr>
          <w:rFonts w:ascii="Arial" w:eastAsia="Arial" w:hAnsi="Arial" w:cs="Arial"/>
          <w:color w:val="000000"/>
          <w:sz w:val="20"/>
        </w:rPr>
        <w:t xml:space="preserve"> Fed. R. Civ. P. 23(a).</w:t>
      </w:r>
    </w:p>
    <w:p w14:paraId="066A5C8F" w14:textId="77777777" w:rsidR="002D0E71" w:rsidRDefault="00000000">
      <w:pPr>
        <w:pStyle w:val="Normal38"/>
        <w:widowControl w:val="0"/>
        <w:spacing w:before="200" w:line="260" w:lineRule="atLeast"/>
        <w:jc w:val="both"/>
      </w:pPr>
      <w:bookmarkStart w:id="5322" w:name="Bookmark_para_35_17"/>
      <w:bookmarkStart w:id="5323" w:name="Bookmark_I5D7DD1P28T41K0010000400"/>
      <w:bookmarkStart w:id="5324" w:name="Bookmark_I5D7DD1P28T41K0050000400"/>
      <w:bookmarkStart w:id="5325" w:name="Bookmark_LNHNREFclscc16_8"/>
      <w:bookmarkEnd w:id="5322"/>
      <w:bookmarkEnd w:id="5323"/>
      <w:bookmarkEnd w:id="5324"/>
      <w:bookmarkEnd w:id="5325"/>
      <w:r>
        <w:rPr>
          <w:rFonts w:ascii="Arial" w:eastAsia="Arial" w:hAnsi="Arial" w:cs="Arial"/>
          <w:color w:val="000000"/>
          <w:sz w:val="20"/>
        </w:rPr>
        <w:t xml:space="preserve">The commonality and typicality requirements of Rule 23(a) do not require that every member of the class share a fact situation </w:t>
      </w:r>
      <w:r>
        <w:rPr>
          <w:rFonts w:ascii="Arial" w:eastAsia="Arial" w:hAnsi="Arial" w:cs="Arial"/>
          <w:color w:val="000000"/>
          <w:sz w:val="20"/>
          <w:u w:val="single"/>
        </w:rPr>
        <w:t>identical</w:t>
      </w:r>
      <w:r>
        <w:rPr>
          <w:rFonts w:ascii="Arial" w:eastAsia="Arial" w:hAnsi="Arial" w:cs="Arial"/>
          <w:color w:val="000000"/>
          <w:sz w:val="20"/>
        </w:rPr>
        <w:t xml:space="preserve"> to that of the named plaintiff. </w:t>
      </w:r>
      <w:bookmarkStart w:id="5326" w:name="Bookmark_I5D7DD202N1RP20020000400"/>
      <w:bookmarkStart w:id="5327" w:name="Bookmark_I5D7DD1928T3VW0050000400"/>
      <w:bookmarkEnd w:id="5326"/>
      <w:bookmarkEnd w:id="5327"/>
      <w:r>
        <w:rPr>
          <w:rFonts w:ascii="Arial" w:eastAsia="Arial" w:hAnsi="Arial" w:cs="Arial"/>
          <w:color w:val="000000"/>
          <w:sz w:val="20"/>
          <w:u w:val="single"/>
        </w:rPr>
        <w:t>Devaughn</w:t>
      </w:r>
      <w:r>
        <w:rPr>
          <w:rFonts w:ascii="Arial" w:eastAsia="Arial" w:hAnsi="Arial" w:cs="Arial"/>
          <w:color w:val="000000"/>
          <w:sz w:val="20"/>
        </w:rPr>
        <w:t xml:space="preserve">, 594 F.3d at 1195; </w:t>
      </w:r>
      <w:r>
        <w:rPr>
          <w:rFonts w:ascii="Arial" w:eastAsia="Arial" w:hAnsi="Arial" w:cs="Arial"/>
          <w:color w:val="000000"/>
          <w:sz w:val="20"/>
          <w:u w:val="single"/>
        </w:rPr>
        <w:t xml:space="preserve">see also [**24]  </w:t>
      </w:r>
      <w:bookmarkStart w:id="5328" w:name="Bookmark_I5D7DD1P28T41K0020000400"/>
      <w:bookmarkEnd w:id="5328"/>
      <w:r>
        <w:rPr>
          <w:rFonts w:ascii="Arial" w:eastAsia="Arial" w:hAnsi="Arial" w:cs="Arial"/>
          <w:color w:val="000000"/>
          <w:sz w:val="20"/>
          <w:u w:val="single"/>
        </w:rPr>
        <w:t>Realmonte v. Reeves</w:t>
      </w:r>
      <w:r>
        <w:rPr>
          <w:rFonts w:ascii="Arial" w:eastAsia="Arial" w:hAnsi="Arial" w:cs="Arial"/>
          <w:color w:val="000000"/>
          <w:sz w:val="20"/>
        </w:rPr>
        <w:t xml:space="preserve">, 169 F.3d 1280, 1285 (10th Cir. 1999). "[D]iffering fact situations of class members do not defeat typicality under Rule 23(a)(3) so long as the claims of the class representative and class members are based on the same legal or remedial theory." </w:t>
      </w:r>
      <w:bookmarkStart w:id="5329" w:name="Bookmark_I5D7DD1P28T41K0040000400"/>
      <w:bookmarkEnd w:id="5329"/>
      <w:r>
        <w:rPr>
          <w:rFonts w:ascii="Arial" w:eastAsia="Arial" w:hAnsi="Arial" w:cs="Arial"/>
          <w:color w:val="000000"/>
          <w:sz w:val="20"/>
          <w:u w:val="single"/>
        </w:rPr>
        <w:t>Adamson v. Bowen</w:t>
      </w:r>
      <w:r>
        <w:rPr>
          <w:rFonts w:ascii="Arial" w:eastAsia="Arial" w:hAnsi="Arial" w:cs="Arial"/>
          <w:color w:val="000000"/>
          <w:sz w:val="20"/>
        </w:rPr>
        <w:t xml:space="preserve">, 855 F.2d 668, 676 (10th Cir. 1988). </w:t>
      </w:r>
      <w:bookmarkStart w:id="5330" w:name="Bookmark_I5D7DD202N1RP20020000400_2"/>
      <w:bookmarkEnd w:id="5330"/>
      <w:r>
        <w:rPr>
          <w:rFonts w:ascii="Arial" w:eastAsia="Arial" w:hAnsi="Arial" w:cs="Arial"/>
          <w:color w:val="000000"/>
          <w:sz w:val="20"/>
        </w:rPr>
        <w:t xml:space="preserve">The class's "common contention 'must be of such a nature that it is capable of </w:t>
      </w:r>
      <w:r>
        <w:rPr>
          <w:rFonts w:ascii="Arial" w:eastAsia="Arial" w:hAnsi="Arial" w:cs="Arial"/>
          <w:color w:val="000000"/>
          <w:sz w:val="20"/>
          <w:u w:val="single"/>
        </w:rPr>
        <w:t>classwide resolution</w:t>
      </w:r>
      <w:r>
        <w:rPr>
          <w:rFonts w:ascii="Arial" w:eastAsia="Arial" w:hAnsi="Arial" w:cs="Arial"/>
          <w:color w:val="000000"/>
          <w:sz w:val="20"/>
        </w:rPr>
        <w:t xml:space="preserve">—which means that determination of its truth or falsity will resolve an issue that is central to the validity of each one of the claims in one stroke.'" </w:t>
      </w:r>
      <w:bookmarkStart w:id="5331" w:name="Bookmark_I5D7DD202N1RP20010000400"/>
      <w:bookmarkEnd w:id="5331"/>
      <w:r>
        <w:rPr>
          <w:rFonts w:ascii="Arial" w:eastAsia="Arial" w:hAnsi="Arial" w:cs="Arial"/>
          <w:color w:val="000000"/>
          <w:sz w:val="20"/>
          <w:u w:val="single"/>
        </w:rPr>
        <w:t>XTO Energy</w:t>
      </w:r>
      <w:r>
        <w:rPr>
          <w:rFonts w:ascii="Arial" w:eastAsia="Arial" w:hAnsi="Arial" w:cs="Arial"/>
          <w:color w:val="000000"/>
          <w:sz w:val="20"/>
        </w:rPr>
        <w:t xml:space="preserve">, 725 F.3d at 1218 (quoting </w:t>
      </w:r>
      <w:bookmarkStart w:id="5332" w:name="Bookmark_I5D7DD202N1RP20030000400"/>
      <w:bookmarkEnd w:id="5332"/>
      <w:r>
        <w:rPr>
          <w:rFonts w:ascii="Arial" w:eastAsia="Arial" w:hAnsi="Arial" w:cs="Arial"/>
          <w:color w:val="000000"/>
          <w:sz w:val="20"/>
          <w:u w:val="single"/>
        </w:rPr>
        <w:t>Wal-Mart</w:t>
      </w:r>
      <w:r>
        <w:rPr>
          <w:rFonts w:ascii="Arial" w:eastAsia="Arial" w:hAnsi="Arial" w:cs="Arial"/>
          <w:color w:val="000000"/>
          <w:sz w:val="20"/>
        </w:rPr>
        <w:t>, 131 S. Ct. at 2551).</w:t>
      </w:r>
    </w:p>
    <w:p w14:paraId="396D7CCB" w14:textId="77777777" w:rsidR="002D0E71" w:rsidRDefault="00000000">
      <w:pPr>
        <w:pStyle w:val="Normal38"/>
        <w:widowControl w:val="0"/>
        <w:spacing w:before="200" w:line="260" w:lineRule="atLeast"/>
        <w:jc w:val="both"/>
      </w:pPr>
      <w:bookmarkStart w:id="5333" w:name="Bookmark_para_36_17"/>
      <w:bookmarkEnd w:id="5333"/>
      <w:r>
        <w:rPr>
          <w:rFonts w:ascii="Arial" w:eastAsia="Arial" w:hAnsi="Arial" w:cs="Arial"/>
          <w:color w:val="000000"/>
          <w:sz w:val="20"/>
        </w:rPr>
        <w:t>Given this authority, it is untenable to suggest that Ms. Farrar cannot represent a class unless she shares a factually identical claim with each class member—that she visit every Hollister store that the class claims violates the ADA. Her claim against the Park Meadows Hollister is "common to" the claims of the class because it raises a common question of law—whether Hollister stores' porched entrances violate the ADA.</w:t>
      </w:r>
      <w:r>
        <w:rPr>
          <w:rFonts w:ascii="Arial" w:eastAsia="Arial" w:hAnsi="Arial" w:cs="Arial"/>
          <w:vertAlign w:val="superscript"/>
        </w:rPr>
        <w:footnoteReference w:customMarkFollows="1" w:id="208"/>
        <w:t>6</w:t>
      </w:r>
      <w:r>
        <w:rPr>
          <w:rFonts w:ascii="Arial" w:eastAsia="Arial" w:hAnsi="Arial" w:cs="Arial"/>
          <w:color w:val="000000"/>
          <w:sz w:val="20"/>
        </w:rPr>
        <w:t xml:space="preserve"> Her claim is "typical of" the class's even though she has  [*1217]  not visited the remaining 230 stores. These claims are based on the same legal and remedial theory—that Title III of the ADA mandates injunctive relief against the porches.</w:t>
      </w:r>
    </w:p>
    <w:p w14:paraId="38593CFB" w14:textId="77777777" w:rsidR="002D0E71" w:rsidRDefault="00000000">
      <w:pPr>
        <w:pStyle w:val="Normal38"/>
        <w:widowControl w:val="0"/>
        <w:spacing w:before="200" w:line="260" w:lineRule="atLeast"/>
        <w:jc w:val="both"/>
      </w:pPr>
      <w:bookmarkStart w:id="5335" w:name="Bookmark_para_37_17"/>
      <w:bookmarkEnd w:id="5335"/>
      <w:r>
        <w:rPr>
          <w:rFonts w:ascii="Arial" w:eastAsia="Arial" w:hAnsi="Arial" w:cs="Arial"/>
          <w:color w:val="000000"/>
          <w:sz w:val="20"/>
        </w:rPr>
        <w:t xml:space="preserve">These claims are capable of classwide resolution. In this regard, it is telling that Abercrombie does not challenge the district court's decision to certify the class under Rule 23(b)(2), i.e., that Abercrombie "acted or refused to act on grounds that </w:t>
      </w:r>
      <w:r>
        <w:rPr>
          <w:rFonts w:ascii="Arial" w:eastAsia="Arial" w:hAnsi="Arial" w:cs="Arial"/>
          <w:color w:val="000000"/>
          <w:sz w:val="20"/>
          <w:u w:val="single"/>
        </w:rPr>
        <w:t>apply generally to the class</w:t>
      </w:r>
      <w:r>
        <w:rPr>
          <w:rFonts w:ascii="Arial" w:eastAsia="Arial" w:hAnsi="Arial" w:cs="Arial"/>
          <w:color w:val="000000"/>
          <w:sz w:val="20"/>
        </w:rPr>
        <w:t xml:space="preserve">, so that final injunctive relief . . . is appropriate </w:t>
      </w:r>
      <w:r>
        <w:rPr>
          <w:rFonts w:ascii="Arial" w:eastAsia="Arial" w:hAnsi="Arial" w:cs="Arial"/>
          <w:color w:val="000000"/>
          <w:sz w:val="20"/>
          <w:u w:val="single"/>
        </w:rPr>
        <w:t>respecting the class as a whole</w:t>
      </w:r>
      <w:r>
        <w:rPr>
          <w:rFonts w:ascii="Arial" w:eastAsia="Arial" w:hAnsi="Arial" w:cs="Arial"/>
          <w:color w:val="000000"/>
          <w:sz w:val="20"/>
        </w:rPr>
        <w:t>." II Aplt. App. 695 (quoting Fed. R. Civ. P. 23(b)(2)) (emphasis added). The district court did not abuse its discretion in finding the requirements of Rule 23(a) and (b)(2) met, and it appropriately certified the class. We now turn to the merits of the class's ADA claim.</w:t>
      </w:r>
    </w:p>
    <w:p w14:paraId="52853CBA" w14:textId="77777777" w:rsidR="002D0E71" w:rsidRDefault="00000000">
      <w:pPr>
        <w:pStyle w:val="Normal38"/>
        <w:widowControl w:val="0"/>
        <w:spacing w:before="120" w:line="260" w:lineRule="atLeast"/>
      </w:pPr>
      <w:r>
        <w:rPr>
          <w:rFonts w:ascii="Arial" w:eastAsia="Arial" w:hAnsi="Arial" w:cs="Arial"/>
          <w:color w:val="000000"/>
          <w:sz w:val="20"/>
        </w:rPr>
        <w:t xml:space="preserve">III. </w:t>
      </w:r>
      <w:r>
        <w:rPr>
          <w:rFonts w:ascii="Arial" w:eastAsia="Arial" w:hAnsi="Arial" w:cs="Arial"/>
          <w:color w:val="000000"/>
          <w:sz w:val="20"/>
          <w:u w:val="single"/>
        </w:rPr>
        <w:t>ADA Violation</w:t>
      </w:r>
    </w:p>
    <w:p w14:paraId="5C7799B7" w14:textId="77777777" w:rsidR="002D0E71" w:rsidRDefault="00000000">
      <w:pPr>
        <w:pStyle w:val="Normal38"/>
        <w:widowControl w:val="0"/>
        <w:spacing w:before="200" w:line="260" w:lineRule="atLeast"/>
        <w:jc w:val="both"/>
      </w:pPr>
      <w:bookmarkStart w:id="5336" w:name="Bookmark_para_38_15"/>
      <w:bookmarkStart w:id="5337" w:name="Bookmark_I5D7DD292N1RV30010000400"/>
      <w:bookmarkEnd w:id="5336"/>
      <w:bookmarkEnd w:id="5337"/>
      <w:r>
        <w:rPr>
          <w:rFonts w:ascii="Arial" w:eastAsia="Arial" w:hAnsi="Arial" w:cs="Arial"/>
          <w:color w:val="000000"/>
          <w:sz w:val="20"/>
        </w:rPr>
        <w:t xml:space="preserve">In 1990, Congress passed the ADA "to provide a clear and comprehensive national mandate for the elimination of discrimination against individuals with disabilities." 42 U.S.C. § 12101(b)(1). </w:t>
      </w:r>
      <w:bookmarkStart w:id="5338" w:name="Bookmark_LNHNREFclscc17_8"/>
      <w:bookmarkEnd w:id="5338"/>
      <w:r>
        <w:rPr>
          <w:rFonts w:ascii="Arial" w:eastAsia="Arial" w:hAnsi="Arial" w:cs="Arial"/>
          <w:color w:val="000000"/>
          <w:sz w:val="20"/>
        </w:rPr>
        <w:t xml:space="preserve">Title III of the ADA "prohibits discrimination against the disabled in the full and equal enjoyment of public accommodations." </w:t>
      </w:r>
      <w:bookmarkStart w:id="5339" w:name="Bookmark_I5D7DD202N1RP20050000400"/>
      <w:bookmarkEnd w:id="5339"/>
      <w:r>
        <w:rPr>
          <w:rFonts w:ascii="Arial" w:eastAsia="Arial" w:hAnsi="Arial" w:cs="Arial"/>
          <w:color w:val="000000"/>
          <w:sz w:val="20"/>
          <w:u w:val="single"/>
        </w:rPr>
        <w:t>Spector v. Norwegian Cruise Line Ltd</w:t>
      </w:r>
      <w:r>
        <w:rPr>
          <w:rFonts w:ascii="Arial" w:eastAsia="Arial" w:hAnsi="Arial" w:cs="Arial"/>
          <w:color w:val="000000"/>
          <w:sz w:val="20"/>
        </w:rPr>
        <w:t>., 545 U.S. 119, 128, 125 S. Ct. 2169, 162 L. Ed. 2d 97 (2005). Clothing stores, like Hollister, are public accommodations. 42 U.S.C. § 12181(7)(E). [**26]  Title III provides that</w:t>
      </w:r>
    </w:p>
    <w:p w14:paraId="7350DBC4" w14:textId="77777777" w:rsidR="002D0E71" w:rsidRDefault="00000000">
      <w:pPr>
        <w:pStyle w:val="Normal38"/>
        <w:widowControl w:val="0"/>
        <w:spacing w:line="260" w:lineRule="atLeast"/>
        <w:ind w:left="400"/>
        <w:jc w:val="both"/>
      </w:pPr>
      <w:bookmarkStart w:id="5340" w:name="Bookmark_para_39_15"/>
      <w:bookmarkEnd w:id="5340"/>
      <w:r>
        <w:rPr>
          <w:rFonts w:ascii="Arial" w:eastAsia="Arial" w:hAnsi="Arial" w:cs="Arial"/>
          <w:color w:val="000000"/>
          <w:sz w:val="20"/>
        </w:rPr>
        <w:t>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w:t>
      </w:r>
    </w:p>
    <w:p w14:paraId="000BE9B0" w14:textId="77777777" w:rsidR="002D0E71" w:rsidRDefault="00000000">
      <w:pPr>
        <w:pStyle w:val="Normal38"/>
        <w:widowControl w:val="0"/>
        <w:spacing w:before="200" w:line="260" w:lineRule="atLeast"/>
        <w:jc w:val="both"/>
      </w:pPr>
      <w:r>
        <w:rPr>
          <w:rFonts w:ascii="Arial" w:eastAsia="Arial" w:hAnsi="Arial" w:cs="Arial"/>
          <w:color w:val="000000"/>
          <w:sz w:val="20"/>
          <w:u w:val="single"/>
        </w:rPr>
        <w:t>Id</w:t>
      </w:r>
      <w:r>
        <w:rPr>
          <w:rFonts w:ascii="Arial" w:eastAsia="Arial" w:hAnsi="Arial" w:cs="Arial"/>
          <w:color w:val="000000"/>
          <w:sz w:val="20"/>
        </w:rPr>
        <w:t xml:space="preserve">. § 12182(a). After the ADA, all "new construction" of and alterations to public accommodations must be "accessible." </w:t>
      </w:r>
      <w:r>
        <w:rPr>
          <w:rFonts w:ascii="Arial" w:eastAsia="Arial" w:hAnsi="Arial" w:cs="Arial"/>
          <w:color w:val="000000"/>
          <w:sz w:val="20"/>
          <w:u w:val="single"/>
        </w:rPr>
        <w:t>Id</w:t>
      </w:r>
      <w:r>
        <w:rPr>
          <w:rFonts w:ascii="Arial" w:eastAsia="Arial" w:hAnsi="Arial" w:cs="Arial"/>
          <w:color w:val="000000"/>
          <w:sz w:val="20"/>
        </w:rPr>
        <w:t xml:space="preserve">. § 12183(a)(1), (2). That is, discrimination under § 12182(a) includes "a failure to design and construct facilities . . . that are readily accessible to and usable by individuals with disabilities." </w:t>
      </w:r>
      <w:r>
        <w:rPr>
          <w:rFonts w:ascii="Arial" w:eastAsia="Arial" w:hAnsi="Arial" w:cs="Arial"/>
          <w:color w:val="000000"/>
          <w:sz w:val="20"/>
          <w:u w:val="single"/>
        </w:rPr>
        <w:t>Id</w:t>
      </w:r>
      <w:r>
        <w:rPr>
          <w:rFonts w:ascii="Arial" w:eastAsia="Arial" w:hAnsi="Arial" w:cs="Arial"/>
          <w:color w:val="000000"/>
          <w:sz w:val="20"/>
        </w:rPr>
        <w:t xml:space="preserve">. § 12183(a)(1). There are statutory exemptions, </w:t>
      </w:r>
      <w:r>
        <w:rPr>
          <w:rFonts w:ascii="Arial" w:eastAsia="Arial" w:hAnsi="Arial" w:cs="Arial"/>
          <w:color w:val="000000"/>
          <w:sz w:val="20"/>
          <w:u w:val="single"/>
        </w:rPr>
        <w:t>e.g. id</w:t>
      </w:r>
      <w:r>
        <w:rPr>
          <w:rFonts w:ascii="Arial" w:eastAsia="Arial" w:hAnsi="Arial" w:cs="Arial"/>
          <w:color w:val="000000"/>
          <w:sz w:val="20"/>
        </w:rPr>
        <w:t>. §§ 12182(b)(1)(A)(iii), 12183(a)(1), but none of these apply here.</w:t>
      </w:r>
    </w:p>
    <w:p w14:paraId="6410C599" w14:textId="77777777" w:rsidR="002D0E71" w:rsidRDefault="00000000">
      <w:pPr>
        <w:pStyle w:val="Normal38"/>
        <w:widowControl w:val="0"/>
        <w:spacing w:before="200" w:line="260" w:lineRule="atLeast"/>
        <w:jc w:val="both"/>
      </w:pPr>
      <w:bookmarkStart w:id="5341" w:name="Bookmark_para_40_15"/>
      <w:bookmarkEnd w:id="5341"/>
      <w:r>
        <w:rPr>
          <w:rFonts w:ascii="Arial" w:eastAsia="Arial" w:hAnsi="Arial" w:cs="Arial"/>
          <w:color w:val="000000"/>
          <w:sz w:val="20"/>
        </w:rPr>
        <w:t xml:space="preserve">Congress authorized the Attorney General to promulgate regulations implementing the directives of Title III. </w:t>
      </w:r>
      <w:r>
        <w:rPr>
          <w:rFonts w:ascii="Arial" w:eastAsia="Arial" w:hAnsi="Arial" w:cs="Arial"/>
          <w:color w:val="000000"/>
          <w:sz w:val="20"/>
          <w:u w:val="single"/>
        </w:rPr>
        <w:t>Id</w:t>
      </w:r>
      <w:r>
        <w:rPr>
          <w:rFonts w:ascii="Arial" w:eastAsia="Arial" w:hAnsi="Arial" w:cs="Arial"/>
          <w:color w:val="000000"/>
          <w:sz w:val="20"/>
        </w:rPr>
        <w:t xml:space="preserve">. § 12186(b). Within a year of the ADA's enactment, the DOJ issued regulations based on ADA Accessibility Guidelines published by the Architectural and Transportation Barriers Compliance Board. 28 C.F.R. pt. 36. These guidelines now appear in Appendix D to 28 C.F.R. part 36, "1991 Standards for Accessible Design," or simply the "1991 Standards," </w:t>
      </w:r>
      <w:r>
        <w:rPr>
          <w:rFonts w:ascii="Arial" w:eastAsia="Arial" w:hAnsi="Arial" w:cs="Arial"/>
          <w:color w:val="000000"/>
          <w:sz w:val="20"/>
          <w:u w:val="single"/>
        </w:rPr>
        <w:t>id</w:t>
      </w:r>
      <w:r>
        <w:rPr>
          <w:rFonts w:ascii="Arial" w:eastAsia="Arial" w:hAnsi="Arial" w:cs="Arial"/>
          <w:color w:val="000000"/>
          <w:sz w:val="20"/>
        </w:rPr>
        <w:t>. § 36.104.</w:t>
      </w:r>
    </w:p>
    <w:p w14:paraId="7279756B" w14:textId="77777777" w:rsidR="002D0E71" w:rsidRDefault="00000000">
      <w:pPr>
        <w:pStyle w:val="Normal38"/>
        <w:widowControl w:val="0"/>
        <w:spacing w:before="200" w:line="260" w:lineRule="atLeast"/>
        <w:jc w:val="both"/>
      </w:pPr>
      <w:bookmarkStart w:id="5342" w:name="Bookmark_para_41_14"/>
      <w:bookmarkEnd w:id="5342"/>
      <w:r>
        <w:rPr>
          <w:rFonts w:ascii="Arial" w:eastAsia="Arial" w:hAnsi="Arial" w:cs="Arial"/>
          <w:color w:val="000000"/>
          <w:sz w:val="20"/>
        </w:rPr>
        <w:t xml:space="preserve">In 2010, the DOJ revised its ADA regulations. Without abrogating the 1991 Standards, the DOJ promulgated [**27]  new regulations—the "2010 Standards"—that adopted newer ADA Accessibility Guidelines. </w:t>
      </w:r>
      <w:r>
        <w:rPr>
          <w:rFonts w:ascii="Arial" w:eastAsia="Arial" w:hAnsi="Arial" w:cs="Arial"/>
          <w:color w:val="000000"/>
          <w:sz w:val="20"/>
          <w:u w:val="single"/>
        </w:rPr>
        <w:t>See id</w:t>
      </w:r>
      <w:r>
        <w:rPr>
          <w:rFonts w:ascii="Arial" w:eastAsia="Arial" w:hAnsi="Arial" w:cs="Arial"/>
          <w:color w:val="000000"/>
          <w:sz w:val="20"/>
        </w:rPr>
        <w:t xml:space="preserve">. The 2010 Standards appear in Appendices B and D to 36 C.F.R. part 1191, and also include the requirements of subpart D of 28 C.F.R. part 36. </w:t>
      </w:r>
      <w:r>
        <w:rPr>
          <w:rFonts w:ascii="Arial" w:eastAsia="Arial" w:hAnsi="Arial" w:cs="Arial"/>
          <w:color w:val="000000"/>
          <w:sz w:val="20"/>
          <w:u w:val="single"/>
        </w:rPr>
        <w:t>Id</w:t>
      </w:r>
      <w:r>
        <w:rPr>
          <w:rFonts w:ascii="Arial" w:eastAsia="Arial" w:hAnsi="Arial" w:cs="Arial"/>
          <w:color w:val="000000"/>
          <w:sz w:val="20"/>
        </w:rPr>
        <w:t>. We refer to the 1991 and 2010 Standards generally as the "Design Standards."</w:t>
      </w:r>
    </w:p>
    <w:p w14:paraId="389A747F" w14:textId="77777777" w:rsidR="002D0E71" w:rsidRDefault="00000000">
      <w:pPr>
        <w:pStyle w:val="Normal38"/>
        <w:widowControl w:val="0"/>
        <w:spacing w:before="200" w:line="260" w:lineRule="atLeast"/>
        <w:jc w:val="both"/>
      </w:pPr>
      <w:bookmarkStart w:id="5343" w:name="Bookmark_para_42_12"/>
      <w:bookmarkStart w:id="5344" w:name="Bookmark_LNHNREFclscc18_7"/>
      <w:bookmarkEnd w:id="5343"/>
      <w:bookmarkEnd w:id="5344"/>
      <w:r>
        <w:rPr>
          <w:rFonts w:ascii="Arial" w:eastAsia="Arial" w:hAnsi="Arial" w:cs="Arial"/>
          <w:color w:val="000000"/>
          <w:sz w:val="20"/>
        </w:rPr>
        <w:t xml:space="preserve">The Design Standards apply in phases: Public accommodations that were newly constructed or altered after January 26, 1993, but before September 15, 2010, need only comply with the 1991 Standards. 28 C.F.R. § 36.406(a) app. Those newly constructed or altered between September 15, 2010, and March 15, 2012, have the choice of complying with either the 1991 or 2010 Standards. </w:t>
      </w:r>
      <w:r>
        <w:rPr>
          <w:rFonts w:ascii="Arial" w:eastAsia="Arial" w:hAnsi="Arial" w:cs="Arial"/>
          <w:color w:val="000000"/>
          <w:sz w:val="20"/>
          <w:u w:val="single"/>
        </w:rPr>
        <w:t>Id</w:t>
      </w:r>
      <w:r>
        <w:rPr>
          <w:rFonts w:ascii="Arial" w:eastAsia="Arial" w:hAnsi="Arial" w:cs="Arial"/>
          <w:color w:val="000000"/>
          <w:sz w:val="20"/>
        </w:rPr>
        <w:t xml:space="preserve">. And those newly constructed or altered after March 15, 2012, must comply with the 2010 Standards. </w:t>
      </w:r>
      <w:r>
        <w:rPr>
          <w:rFonts w:ascii="Arial" w:eastAsia="Arial" w:hAnsi="Arial" w:cs="Arial"/>
          <w:color w:val="000000"/>
          <w:sz w:val="20"/>
          <w:u w:val="single"/>
        </w:rPr>
        <w:t>Id</w:t>
      </w:r>
      <w:r>
        <w:rPr>
          <w:rFonts w:ascii="Arial" w:eastAsia="Arial" w:hAnsi="Arial" w:cs="Arial"/>
          <w:color w:val="000000"/>
          <w:sz w:val="20"/>
        </w:rPr>
        <w:t xml:space="preserve">. There are exceptions: Any public accommodation that is required to comply with  [*1218]  the 1991 Standards, yet does not so comply, must "be made accessible in accordance with the 2010 Standards." </w:t>
      </w:r>
      <w:r>
        <w:rPr>
          <w:rFonts w:ascii="Arial" w:eastAsia="Arial" w:hAnsi="Arial" w:cs="Arial"/>
          <w:color w:val="000000"/>
          <w:sz w:val="20"/>
          <w:u w:val="single"/>
        </w:rPr>
        <w:t>Id</w:t>
      </w:r>
      <w:r>
        <w:rPr>
          <w:rFonts w:ascii="Arial" w:eastAsia="Arial" w:hAnsi="Arial" w:cs="Arial"/>
          <w:color w:val="000000"/>
          <w:sz w:val="20"/>
        </w:rPr>
        <w:t>. § 36.406(a)(5)(ii). Additionally, for public accommodations subject to the 1991 Standards,</w:t>
      </w:r>
    </w:p>
    <w:p w14:paraId="1873F1E6" w14:textId="77777777" w:rsidR="002D0E71" w:rsidRDefault="00000000">
      <w:pPr>
        <w:pStyle w:val="Normal38"/>
        <w:widowControl w:val="0"/>
        <w:spacing w:before="200" w:line="260" w:lineRule="atLeast"/>
        <w:ind w:left="400"/>
        <w:jc w:val="both"/>
      </w:pPr>
      <w:bookmarkStart w:id="5345" w:name="Bookmark_para_43_12"/>
      <w:bookmarkEnd w:id="5345"/>
      <w:r>
        <w:rPr>
          <w:rFonts w:ascii="Arial" w:eastAsia="Arial" w:hAnsi="Arial" w:cs="Arial"/>
          <w:color w:val="000000"/>
          <w:sz w:val="20"/>
        </w:rPr>
        <w:t>If the 2010 Standards reduce the technical requirements or the number of required accessible elements below the number required by the 1991 Standards, the technical requirements or the number of accessible [**28]  elements in a facility subject to this part may be reduced in accordance with the requirements of the 2010 Standards.</w:t>
      </w:r>
    </w:p>
    <w:p w14:paraId="3313BC27" w14:textId="77777777" w:rsidR="002D0E71" w:rsidRDefault="00000000">
      <w:pPr>
        <w:pStyle w:val="Normal38"/>
        <w:widowControl w:val="0"/>
        <w:spacing w:before="200" w:line="260" w:lineRule="atLeast"/>
        <w:jc w:val="both"/>
      </w:pPr>
      <w:r>
        <w:rPr>
          <w:rFonts w:ascii="Arial" w:eastAsia="Arial" w:hAnsi="Arial" w:cs="Arial"/>
          <w:color w:val="000000"/>
          <w:sz w:val="20"/>
          <w:u w:val="single"/>
        </w:rPr>
        <w:t>Id</w:t>
      </w:r>
      <w:r>
        <w:rPr>
          <w:rFonts w:ascii="Arial" w:eastAsia="Arial" w:hAnsi="Arial" w:cs="Arial"/>
          <w:color w:val="000000"/>
          <w:sz w:val="20"/>
        </w:rPr>
        <w:t>. § 36.211(c).</w:t>
      </w:r>
    </w:p>
    <w:p w14:paraId="1725F578" w14:textId="77777777" w:rsidR="002D0E71" w:rsidRDefault="00000000">
      <w:pPr>
        <w:pStyle w:val="Normal38"/>
        <w:widowControl w:val="0"/>
        <w:spacing w:before="200" w:line="260" w:lineRule="atLeast"/>
        <w:jc w:val="both"/>
      </w:pPr>
      <w:bookmarkStart w:id="5346" w:name="Bookmark_para_44_9"/>
      <w:bookmarkEnd w:id="5346"/>
      <w:r>
        <w:rPr>
          <w:rFonts w:ascii="Arial" w:eastAsia="Arial" w:hAnsi="Arial" w:cs="Arial"/>
          <w:color w:val="000000"/>
          <w:sz w:val="20"/>
        </w:rPr>
        <w:t>This regulatory framework sets the stage: Because the Hollister stores at issue were constructed after January 26, 1993, but before September 15, 2010, Aplee. Br. 44, they must comply with the 1991 Standards. To the extent the stores do not comply with the 1991 Standards, they must be brought into compliance with the 2010 Standards. And to the extent the 2010 Standards "reduce the technical requirements" of the 1991 Standards, Hollister stores are deemed to comply with the Design Standards so long as they meet the lower requirements of the 2010 Standards.</w:t>
      </w:r>
    </w:p>
    <w:p w14:paraId="2646B325" w14:textId="77777777" w:rsidR="002D0E71" w:rsidRDefault="00000000">
      <w:pPr>
        <w:pStyle w:val="Normal38"/>
        <w:widowControl w:val="0"/>
        <w:spacing w:before="200" w:line="260" w:lineRule="atLeast"/>
        <w:jc w:val="both"/>
      </w:pPr>
      <w:bookmarkStart w:id="5347" w:name="Bookmark_para_45_8"/>
      <w:bookmarkStart w:id="5348" w:name="Bookmark_I5D7DD292N1RV30030000400"/>
      <w:bookmarkStart w:id="5349" w:name="Bookmark_I5D7DD292N1RV30050000400"/>
      <w:bookmarkStart w:id="5350" w:name="Bookmark_I5D7DD2J2N1PPX0020000400"/>
      <w:bookmarkEnd w:id="5347"/>
      <w:bookmarkEnd w:id="5348"/>
      <w:bookmarkEnd w:id="5349"/>
      <w:bookmarkEnd w:id="5350"/>
      <w:r>
        <w:rPr>
          <w:rFonts w:ascii="Arial" w:eastAsia="Arial" w:hAnsi="Arial" w:cs="Arial"/>
          <w:color w:val="000000"/>
          <w:sz w:val="20"/>
        </w:rPr>
        <w:t xml:space="preserve">The district court held that the porch at Hollister stores violates Title III of the ADA in three ways. First, the court held that, regardless of any compliance with the Design Standards, Abercrombie violated the "broad statutory requirements" of the ADA. </w:t>
      </w:r>
      <w:bookmarkStart w:id="5351" w:name="Bookmark_I5D7DD292N1RV30020000400"/>
      <w:bookmarkEnd w:id="5351"/>
      <w:r>
        <w:rPr>
          <w:rFonts w:ascii="Arial" w:eastAsia="Arial" w:hAnsi="Arial" w:cs="Arial"/>
          <w:color w:val="000000"/>
          <w:sz w:val="20"/>
          <w:u w:val="single"/>
        </w:rPr>
        <w:t>Abercrombie &amp; Fitch Co</w:t>
      </w:r>
      <w:r>
        <w:rPr>
          <w:rFonts w:ascii="Arial" w:eastAsia="Arial" w:hAnsi="Arial" w:cs="Arial"/>
          <w:color w:val="000000"/>
          <w:sz w:val="20"/>
        </w:rPr>
        <w:t xml:space="preserve">., 835 F. Supp. 2d at 1082. Specifically, the raised porch violated the "overarching aims" of the ADA by providing a "different or separate" accommodation that was not "in the most integrated setting." </w:t>
      </w:r>
      <w:bookmarkStart w:id="5352" w:name="Bookmark_I5D7DD292N1RV30040000400"/>
      <w:bookmarkEnd w:id="5352"/>
      <w:r>
        <w:rPr>
          <w:rFonts w:ascii="Arial" w:eastAsia="Arial" w:hAnsi="Arial" w:cs="Arial"/>
          <w:color w:val="000000"/>
          <w:sz w:val="20"/>
          <w:u w:val="single"/>
        </w:rPr>
        <w:t>Id</w:t>
      </w:r>
      <w:r>
        <w:rPr>
          <w:rFonts w:ascii="Arial" w:eastAsia="Arial" w:hAnsi="Arial" w:cs="Arial"/>
          <w:color w:val="000000"/>
          <w:sz w:val="20"/>
        </w:rPr>
        <w:t xml:space="preserve">. at 1082-83 (quoting 42 U.S.C. § 12182(b)(1)(A)(iii), (B)). </w:t>
      </w:r>
      <w:bookmarkStart w:id="5353" w:name="Bookmark_I5D7DD2J2N1PPX0040000400"/>
      <w:bookmarkEnd w:id="5353"/>
      <w:r>
        <w:rPr>
          <w:rFonts w:ascii="Arial" w:eastAsia="Arial" w:hAnsi="Arial" w:cs="Arial"/>
          <w:color w:val="000000"/>
          <w:sz w:val="20"/>
        </w:rPr>
        <w:t xml:space="preserve">Second, the court held that the porch was a "space" under the Design Standards, [**29]  and because Abercrombie made that space "available to individuals who do not require wheelchairs for mobility, [it] must comply with regulations governing circulation paths and accessible routes to accessible spaces." </w:t>
      </w:r>
      <w:bookmarkStart w:id="5354" w:name="Bookmark_I5D7DD2J2N1PPX0010000400"/>
      <w:bookmarkEnd w:id="5354"/>
      <w:r>
        <w:rPr>
          <w:rFonts w:ascii="Arial" w:eastAsia="Arial" w:hAnsi="Arial" w:cs="Arial"/>
          <w:color w:val="000000"/>
          <w:sz w:val="20"/>
          <w:u w:val="single"/>
        </w:rPr>
        <w:t>Abercrombie &amp; Fitch Co</w:t>
      </w:r>
      <w:r>
        <w:rPr>
          <w:rFonts w:ascii="Arial" w:eastAsia="Arial" w:hAnsi="Arial" w:cs="Arial"/>
          <w:color w:val="000000"/>
          <w:sz w:val="20"/>
        </w:rPr>
        <w:t xml:space="preserve">., 957 F. Supp. 2d at 1281. </w:t>
      </w:r>
      <w:bookmarkStart w:id="5355" w:name="Bookmark_I5D7DD2J2N1PPX0040000400_2"/>
      <w:bookmarkEnd w:id="5355"/>
      <w:r>
        <w:rPr>
          <w:rFonts w:ascii="Arial" w:eastAsia="Arial" w:hAnsi="Arial" w:cs="Arial"/>
          <w:color w:val="000000"/>
          <w:sz w:val="20"/>
        </w:rPr>
        <w:t xml:space="preserve">Finally, as the porch was also an "entrance" under the Design Standards, the court held that the porch violated the 1991 Standard stating that the entrance used by the "majority of people" must be accessible. </w:t>
      </w:r>
      <w:bookmarkStart w:id="5356" w:name="Bookmark_I5D7DD2J2N1PPX0030000400"/>
      <w:bookmarkEnd w:id="5356"/>
      <w:r>
        <w:rPr>
          <w:rFonts w:ascii="Arial" w:eastAsia="Arial" w:hAnsi="Arial" w:cs="Arial"/>
          <w:color w:val="000000"/>
          <w:sz w:val="20"/>
          <w:u w:val="single"/>
        </w:rPr>
        <w:t>Id</w:t>
      </w:r>
      <w:r>
        <w:rPr>
          <w:rFonts w:ascii="Arial" w:eastAsia="Arial" w:hAnsi="Arial" w:cs="Arial"/>
          <w:color w:val="000000"/>
          <w:sz w:val="20"/>
        </w:rPr>
        <w:t xml:space="preserve">. at 1279; </w:t>
      </w:r>
      <w:r>
        <w:rPr>
          <w:rFonts w:ascii="Arial" w:eastAsia="Arial" w:hAnsi="Arial" w:cs="Arial"/>
          <w:color w:val="000000"/>
          <w:sz w:val="20"/>
          <w:u w:val="single"/>
        </w:rPr>
        <w:t xml:space="preserve">see also </w:t>
      </w:r>
      <w:bookmarkStart w:id="5357" w:name="Bookmark_I5D7DD2J2N1PPX0050000400"/>
      <w:bookmarkEnd w:id="5357"/>
      <w:r>
        <w:rPr>
          <w:rFonts w:ascii="Arial" w:eastAsia="Arial" w:hAnsi="Arial" w:cs="Arial"/>
          <w:color w:val="000000"/>
          <w:sz w:val="20"/>
          <w:u w:val="single"/>
        </w:rPr>
        <w:t>Abercrombie &amp; Fitch Co</w:t>
      </w:r>
      <w:r>
        <w:rPr>
          <w:rFonts w:ascii="Arial" w:eastAsia="Arial" w:hAnsi="Arial" w:cs="Arial"/>
          <w:color w:val="000000"/>
          <w:sz w:val="20"/>
        </w:rPr>
        <w:t>., 835 F. Supp. 2d at 1081-82.</w:t>
      </w:r>
    </w:p>
    <w:p w14:paraId="01534EEA" w14:textId="77777777" w:rsidR="002D0E71" w:rsidRDefault="00000000">
      <w:pPr>
        <w:pStyle w:val="Normal38"/>
        <w:widowControl w:val="0"/>
        <w:spacing w:before="200" w:line="260" w:lineRule="atLeast"/>
        <w:jc w:val="both"/>
      </w:pPr>
      <w:bookmarkStart w:id="5358" w:name="Bookmark_para_46_7"/>
      <w:bookmarkStart w:id="5359" w:name="Bookmark_I5D7DD2R2HM6MS0030000400"/>
      <w:bookmarkStart w:id="5360" w:name="Bookmark_I5D7DD2R2HM6MS0050000400"/>
      <w:bookmarkStart w:id="5361" w:name="Bookmark_LNHNREFclscc19_5"/>
      <w:bookmarkEnd w:id="5358"/>
      <w:bookmarkEnd w:id="5359"/>
      <w:bookmarkEnd w:id="5360"/>
      <w:bookmarkEnd w:id="5361"/>
      <w:r>
        <w:rPr>
          <w:rFonts w:ascii="Arial" w:eastAsia="Arial" w:hAnsi="Arial" w:cs="Arial"/>
          <w:color w:val="000000"/>
          <w:sz w:val="20"/>
        </w:rPr>
        <w:t xml:space="preserve">We review a district court's interpretation of statutes and regulations de novo. </w:t>
      </w:r>
      <w:bookmarkStart w:id="5362" w:name="Bookmark_I5D7DD2R2HM6MS0020000400"/>
      <w:bookmarkEnd w:id="5362"/>
      <w:r>
        <w:rPr>
          <w:rFonts w:ascii="Arial" w:eastAsia="Arial" w:hAnsi="Arial" w:cs="Arial"/>
          <w:color w:val="000000"/>
          <w:sz w:val="20"/>
          <w:u w:val="single"/>
        </w:rPr>
        <w:t>United States v. Davis</w:t>
      </w:r>
      <w:r>
        <w:rPr>
          <w:rFonts w:ascii="Arial" w:eastAsia="Arial" w:hAnsi="Arial" w:cs="Arial"/>
          <w:color w:val="000000"/>
          <w:sz w:val="20"/>
        </w:rPr>
        <w:t xml:space="preserve">, 339 F.3d 1223, 1226 (10th Cir. 2003). </w:t>
      </w:r>
      <w:bookmarkStart w:id="5363" w:name="Bookmark_LNHNREFclscc20_5"/>
      <w:bookmarkEnd w:id="5363"/>
      <w:r>
        <w:rPr>
          <w:rFonts w:ascii="Arial" w:eastAsia="Arial" w:hAnsi="Arial" w:cs="Arial"/>
          <w:color w:val="000000"/>
          <w:sz w:val="20"/>
        </w:rPr>
        <w:t xml:space="preserve">We review the district court's summary judgment decisions do novo, applying the same standard as the district court. </w:t>
      </w:r>
      <w:bookmarkStart w:id="5364" w:name="Bookmark_I5D7DD2R2HM6MS0040000400"/>
      <w:bookmarkEnd w:id="5364"/>
      <w:r>
        <w:rPr>
          <w:rFonts w:ascii="Arial" w:eastAsia="Arial" w:hAnsi="Arial" w:cs="Arial"/>
          <w:color w:val="000000"/>
          <w:sz w:val="20"/>
          <w:u w:val="single"/>
        </w:rPr>
        <w:t>Ribeau v. Katt</w:t>
      </w:r>
      <w:r>
        <w:rPr>
          <w:rFonts w:ascii="Arial" w:eastAsia="Arial" w:hAnsi="Arial" w:cs="Arial"/>
          <w:color w:val="000000"/>
          <w:sz w:val="20"/>
        </w:rPr>
        <w:t>, 681 F.3d 1190, 1194 (10th Cir. 2012). Because the district court held that the porches violate the ADA on three independent grounds, we only need to find one supportable to affirm, but we must find all wanting to reverse. We analyze each in turn.</w:t>
      </w:r>
    </w:p>
    <w:p w14:paraId="74070A85" w14:textId="77777777" w:rsidR="002D0E71" w:rsidRDefault="00000000">
      <w:pPr>
        <w:pStyle w:val="Normal38"/>
        <w:widowControl w:val="0"/>
        <w:spacing w:before="120" w:line="260" w:lineRule="atLeast"/>
      </w:pPr>
      <w:r>
        <w:rPr>
          <w:rFonts w:ascii="Arial" w:eastAsia="Arial" w:hAnsi="Arial" w:cs="Arial"/>
          <w:color w:val="000000"/>
          <w:sz w:val="20"/>
        </w:rPr>
        <w:t xml:space="preserve">A. </w:t>
      </w:r>
      <w:r>
        <w:rPr>
          <w:rFonts w:ascii="Arial" w:eastAsia="Arial" w:hAnsi="Arial" w:cs="Arial"/>
          <w:color w:val="000000"/>
          <w:sz w:val="20"/>
          <w:u w:val="single"/>
        </w:rPr>
        <w:t>Statutory ADA Violations</w:t>
      </w:r>
    </w:p>
    <w:p w14:paraId="4D2B9444" w14:textId="77777777" w:rsidR="002D0E71" w:rsidRDefault="00000000">
      <w:pPr>
        <w:pStyle w:val="Normal38"/>
        <w:widowControl w:val="0"/>
        <w:spacing w:before="200" w:line="260" w:lineRule="atLeast"/>
        <w:jc w:val="both"/>
      </w:pPr>
      <w:bookmarkStart w:id="5365" w:name="Bookmark_para_47_7"/>
      <w:bookmarkEnd w:id="5365"/>
      <w:r>
        <w:rPr>
          <w:rFonts w:ascii="Arial" w:eastAsia="Arial" w:hAnsi="Arial" w:cs="Arial"/>
          <w:color w:val="000000"/>
          <w:sz w:val="20"/>
        </w:rPr>
        <w:t xml:space="preserve">Abercrombie argues that the district court erred by holding that a facility may violate the ADA even if it complies with the regulations regarding accessible design. Aplt. Br. 32-34, 47. It argues that no court has ever found a Title III violation based on a public accommodation's design in the absence of a violation of [**30]  the 1991 or 2010 Standards. </w:t>
      </w:r>
      <w:r>
        <w:rPr>
          <w:rFonts w:ascii="Arial" w:eastAsia="Arial" w:hAnsi="Arial" w:cs="Arial"/>
          <w:color w:val="000000"/>
          <w:sz w:val="20"/>
          <w:u w:val="single"/>
        </w:rPr>
        <w:t>Id</w:t>
      </w:r>
      <w:r>
        <w:rPr>
          <w:rFonts w:ascii="Arial" w:eastAsia="Arial" w:hAnsi="Arial" w:cs="Arial"/>
          <w:color w:val="000000"/>
          <w:sz w:val="20"/>
        </w:rPr>
        <w:t xml:space="preserve">. at 33. The Plaintiffs counter that whether the porch violates the broad statutory guarantees of the ADA does not depend on the porch's </w:t>
      </w:r>
      <w:r>
        <w:rPr>
          <w:rFonts w:ascii="Arial" w:eastAsia="Arial" w:hAnsi="Arial" w:cs="Arial"/>
          <w:color w:val="000000"/>
          <w:sz w:val="20"/>
          <w:u w:val="single"/>
        </w:rPr>
        <w:t>design</w:t>
      </w:r>
      <w:r>
        <w:rPr>
          <w:rFonts w:ascii="Arial" w:eastAsia="Arial" w:hAnsi="Arial" w:cs="Arial"/>
          <w:color w:val="000000"/>
          <w:sz w:val="20"/>
        </w:rPr>
        <w:t xml:space="preserve"> but rather Abercrombie's </w:t>
      </w:r>
      <w:r>
        <w:rPr>
          <w:rFonts w:ascii="Arial" w:eastAsia="Arial" w:hAnsi="Arial" w:cs="Arial"/>
          <w:color w:val="000000"/>
          <w:sz w:val="20"/>
          <w:u w:val="single"/>
        </w:rPr>
        <w:t>use</w:t>
      </w:r>
      <w:r>
        <w:rPr>
          <w:rFonts w:ascii="Arial" w:eastAsia="Arial" w:hAnsi="Arial" w:cs="Arial"/>
          <w:color w:val="000000"/>
          <w:sz w:val="20"/>
        </w:rPr>
        <w:t xml:space="preserve"> of that design. Aplee. Br. 53, 57-59. The United States, as amicus, sums up this "use" argument:</w:t>
      </w:r>
    </w:p>
    <w:p w14:paraId="1BE3D523" w14:textId="77777777" w:rsidR="002D0E71" w:rsidRDefault="00000000">
      <w:pPr>
        <w:pStyle w:val="Normal38"/>
        <w:widowControl w:val="0"/>
        <w:spacing w:before="200" w:line="260" w:lineRule="atLeast"/>
        <w:ind w:left="400"/>
        <w:jc w:val="both"/>
      </w:pPr>
      <w:bookmarkStart w:id="5366" w:name="Bookmark_para_48_7"/>
      <w:bookmarkEnd w:id="5366"/>
      <w:r>
        <w:rPr>
          <w:rFonts w:ascii="Arial" w:eastAsia="Arial" w:hAnsi="Arial" w:cs="Arial"/>
          <w:color w:val="000000"/>
          <w:sz w:val="20"/>
        </w:rPr>
        <w:t>The problem is not that wheelchair users cannot enter the store and access  [*1219]  defendants' merchandise. Rather, it is that defendants exclude them from a part of the store that defendants themselves have made a part of the shopping experience. Having chosen to imbue the porch with such significance, the defendants cannot, as here, exclude individuals with disabilities from it and consign them to a wholly different experience.</w:t>
      </w:r>
    </w:p>
    <w:p w14:paraId="0E7470CA" w14:textId="77777777" w:rsidR="002D0E71" w:rsidRDefault="00000000">
      <w:pPr>
        <w:pStyle w:val="Normal38"/>
        <w:widowControl w:val="0"/>
        <w:spacing w:before="200" w:line="260" w:lineRule="atLeast"/>
        <w:jc w:val="both"/>
      </w:pPr>
      <w:r>
        <w:rPr>
          <w:rFonts w:ascii="Arial" w:eastAsia="Arial" w:hAnsi="Arial" w:cs="Arial"/>
          <w:color w:val="000000"/>
          <w:sz w:val="20"/>
        </w:rPr>
        <w:t xml:space="preserve">U.S. Br. 14. Because Abercrombie "uses" its porches as the central feature of the "Hollister experience," this argument goes, it denies disabled customers the full and equal enjoyment of that experience in violation of 42 U.S.C. § 12182(a). </w:t>
      </w:r>
      <w:r>
        <w:rPr>
          <w:rFonts w:ascii="Arial" w:eastAsia="Arial" w:hAnsi="Arial" w:cs="Arial"/>
          <w:color w:val="000000"/>
          <w:sz w:val="20"/>
          <w:u w:val="single"/>
        </w:rPr>
        <w:t>See</w:t>
      </w:r>
      <w:r>
        <w:rPr>
          <w:rFonts w:ascii="Arial" w:eastAsia="Arial" w:hAnsi="Arial" w:cs="Arial"/>
          <w:color w:val="000000"/>
          <w:sz w:val="20"/>
        </w:rPr>
        <w:t xml:space="preserve"> Aplee. Br. 58.</w:t>
      </w:r>
    </w:p>
    <w:p w14:paraId="2417BD64" w14:textId="77777777" w:rsidR="002D0E71" w:rsidRDefault="00000000">
      <w:pPr>
        <w:pStyle w:val="Normal38"/>
        <w:widowControl w:val="0"/>
        <w:spacing w:before="200" w:line="260" w:lineRule="atLeast"/>
        <w:jc w:val="both"/>
      </w:pPr>
      <w:bookmarkStart w:id="5367" w:name="Bookmark_para_49_7"/>
      <w:bookmarkEnd w:id="5367"/>
      <w:r>
        <w:rPr>
          <w:rFonts w:ascii="Arial" w:eastAsia="Arial" w:hAnsi="Arial" w:cs="Arial"/>
          <w:color w:val="000000"/>
          <w:sz w:val="20"/>
        </w:rPr>
        <w:t xml:space="preserve">There is a significant flaw in the Plaintiffs' argument. Apart from its existence (a byproduct of its design and construction) Abercrombie does not "use" the porch at all. It is the porch's design (as a two-stepped, elevated structure) that denies disabled persons [**31]  access to the store through the center entrance; the Plaintiffs do not point to any distinct policy or practice of Abercrombie's that can be called a discriminatory "use" of that structure. See Aplee. Br. 5-6 ("Because the Raised Porch Entrance is inaccessible to shoppers who use wheelchairs, those shoppers must use doors at the mall level that are located to the side . . . ."); </w:t>
      </w:r>
      <w:r>
        <w:rPr>
          <w:rFonts w:ascii="Arial" w:eastAsia="Arial" w:hAnsi="Arial" w:cs="Arial"/>
          <w:i/>
          <w:color w:val="000000"/>
          <w:sz w:val="20"/>
        </w:rPr>
        <w:t>id</w:t>
      </w:r>
      <w:r>
        <w:rPr>
          <w:rFonts w:ascii="Arial" w:eastAsia="Arial" w:hAnsi="Arial" w:cs="Arial"/>
          <w:color w:val="000000"/>
          <w:sz w:val="20"/>
        </w:rPr>
        <w:t xml:space="preserve">. at 47 (The porches "were constructed in violation" of the ADA.); </w:t>
      </w:r>
      <w:r>
        <w:rPr>
          <w:rFonts w:ascii="Arial" w:eastAsia="Arial" w:hAnsi="Arial" w:cs="Arial"/>
          <w:i/>
          <w:color w:val="000000"/>
          <w:sz w:val="20"/>
        </w:rPr>
        <w:t>id</w:t>
      </w:r>
      <w:r>
        <w:rPr>
          <w:rFonts w:ascii="Arial" w:eastAsia="Arial" w:hAnsi="Arial" w:cs="Arial"/>
          <w:color w:val="000000"/>
          <w:sz w:val="20"/>
        </w:rPr>
        <w:t xml:space="preserve">. at 50 (The porches violated the ADA "when built."). Even the United States cannot keep this "use" argument straight: It first asserts that the "complaint is not the </w:t>
      </w:r>
      <w:r>
        <w:rPr>
          <w:rFonts w:ascii="Arial" w:eastAsia="Arial" w:hAnsi="Arial" w:cs="Arial"/>
          <w:color w:val="000000"/>
          <w:sz w:val="20"/>
          <w:u w:val="single"/>
        </w:rPr>
        <w:t>existence</w:t>
      </w:r>
      <w:r>
        <w:rPr>
          <w:rFonts w:ascii="Arial" w:eastAsia="Arial" w:hAnsi="Arial" w:cs="Arial"/>
          <w:color w:val="000000"/>
          <w:sz w:val="20"/>
        </w:rPr>
        <w:t xml:space="preserve"> of an inaccessible entranceway but its idiosyncratic </w:t>
      </w:r>
      <w:r>
        <w:rPr>
          <w:rFonts w:ascii="Arial" w:eastAsia="Arial" w:hAnsi="Arial" w:cs="Arial"/>
          <w:color w:val="000000"/>
          <w:sz w:val="20"/>
          <w:u w:val="single"/>
        </w:rPr>
        <w:t>use</w:t>
      </w:r>
      <w:r>
        <w:rPr>
          <w:rFonts w:ascii="Arial" w:eastAsia="Arial" w:hAnsi="Arial" w:cs="Arial"/>
          <w:color w:val="000000"/>
          <w:sz w:val="20"/>
        </w:rPr>
        <w:t xml:space="preserve"> as an integral part of the shopping experience." U.S. Br. 12. It then does an about-face and states that the "claim here is that the defendants' unnecessarily discriminatory </w:t>
      </w:r>
      <w:r>
        <w:rPr>
          <w:rFonts w:ascii="Arial" w:eastAsia="Arial" w:hAnsi="Arial" w:cs="Arial"/>
          <w:color w:val="000000"/>
          <w:sz w:val="20"/>
          <w:u w:val="single"/>
        </w:rPr>
        <w:t>design</w:t>
      </w:r>
      <w:r>
        <w:rPr>
          <w:rFonts w:ascii="Arial" w:eastAsia="Arial" w:hAnsi="Arial" w:cs="Arial"/>
          <w:color w:val="000000"/>
          <w:sz w:val="20"/>
        </w:rPr>
        <w:t xml:space="preserve">—which serves no functional purpose—makes wheelchair users feel unwelcome and excluded." </w:t>
      </w:r>
      <w:r>
        <w:rPr>
          <w:rFonts w:ascii="Arial" w:eastAsia="Arial" w:hAnsi="Arial" w:cs="Arial"/>
          <w:color w:val="000000"/>
          <w:sz w:val="20"/>
          <w:u w:val="single"/>
        </w:rPr>
        <w:t>Id</w:t>
      </w:r>
      <w:r>
        <w:rPr>
          <w:rFonts w:ascii="Arial" w:eastAsia="Arial" w:hAnsi="Arial" w:cs="Arial"/>
          <w:color w:val="000000"/>
          <w:sz w:val="20"/>
        </w:rPr>
        <w:t xml:space="preserve">. at 17-18 (emphasis added). The fact that the Plaintiffs' challenge the porch </w:t>
      </w:r>
      <w:r>
        <w:rPr>
          <w:rFonts w:ascii="Arial" w:eastAsia="Arial" w:hAnsi="Arial" w:cs="Arial"/>
          <w:color w:val="000000"/>
          <w:sz w:val="20"/>
          <w:u w:val="single"/>
        </w:rPr>
        <w:t>as it was built</w:t>
      </w:r>
      <w:r>
        <w:rPr>
          <w:rFonts w:ascii="Arial" w:eastAsia="Arial" w:hAnsi="Arial" w:cs="Arial"/>
          <w:color w:val="000000"/>
          <w:sz w:val="20"/>
        </w:rPr>
        <w:t xml:space="preserve">, calling it a discriminatory </w:t>
      </w:r>
      <w:r>
        <w:rPr>
          <w:rFonts w:ascii="Arial" w:eastAsia="Arial" w:hAnsi="Arial" w:cs="Arial"/>
          <w:color w:val="000000"/>
          <w:sz w:val="20"/>
          <w:u w:val="single"/>
        </w:rPr>
        <w:t>design</w:t>
      </w:r>
      <w:r>
        <w:rPr>
          <w:rFonts w:ascii="Arial" w:eastAsia="Arial" w:hAnsi="Arial" w:cs="Arial"/>
          <w:color w:val="000000"/>
          <w:sz w:val="20"/>
        </w:rPr>
        <w:t xml:space="preserve">, leads us to conclude that we are dealing with the design of the porch and the exclusive effect </w:t>
      </w:r>
      <w:r>
        <w:rPr>
          <w:rFonts w:ascii="Arial" w:eastAsia="Arial" w:hAnsi="Arial" w:cs="Arial"/>
          <w:color w:val="000000"/>
          <w:sz w:val="20"/>
          <w:u w:val="single"/>
        </w:rPr>
        <w:t>of that design</w:t>
      </w:r>
      <w:r>
        <w:rPr>
          <w:rFonts w:ascii="Arial" w:eastAsia="Arial" w:hAnsi="Arial" w:cs="Arial"/>
          <w:color w:val="000000"/>
          <w:sz w:val="20"/>
        </w:rPr>
        <w:t>. The sources the Plaintiffs cite [**32]  bear out that the Design Standards are the appropriate measure of ADA liability in this case.</w:t>
      </w:r>
    </w:p>
    <w:p w14:paraId="3DC96E29" w14:textId="77777777" w:rsidR="002D0E71" w:rsidRDefault="00000000">
      <w:pPr>
        <w:pStyle w:val="Normal38"/>
        <w:widowControl w:val="0"/>
        <w:spacing w:before="200" w:line="260" w:lineRule="atLeast"/>
        <w:jc w:val="both"/>
      </w:pPr>
      <w:bookmarkStart w:id="5368" w:name="Bookmark_para_50_7"/>
      <w:bookmarkStart w:id="5369" w:name="Bookmark_I5D7DD2Y2N1PY70020000400"/>
      <w:bookmarkStart w:id="5370" w:name="Bookmark_I5D7DD2Y2N1PY70040000400"/>
      <w:bookmarkEnd w:id="5368"/>
      <w:bookmarkEnd w:id="5369"/>
      <w:bookmarkEnd w:id="5370"/>
      <w:r>
        <w:rPr>
          <w:rFonts w:ascii="Arial" w:eastAsia="Arial" w:hAnsi="Arial" w:cs="Arial"/>
          <w:color w:val="000000"/>
          <w:sz w:val="20"/>
        </w:rPr>
        <w:t xml:space="preserve">In </w:t>
      </w:r>
      <w:r>
        <w:rPr>
          <w:rFonts w:ascii="Arial" w:eastAsia="Arial" w:hAnsi="Arial" w:cs="Arial"/>
          <w:color w:val="000000"/>
          <w:sz w:val="20"/>
          <w:u w:val="single"/>
        </w:rPr>
        <w:t>Antoninetti v. Chipotle Mexican Grill, Inc</w:t>
      </w:r>
      <w:r>
        <w:rPr>
          <w:rFonts w:ascii="Arial" w:eastAsia="Arial" w:hAnsi="Arial" w:cs="Arial"/>
          <w:color w:val="000000"/>
          <w:sz w:val="20"/>
        </w:rPr>
        <w:t xml:space="preserve">., the Ninth Circuit held that service counters at Chipotle restaurants violated the ADA. </w:t>
      </w:r>
      <w:bookmarkStart w:id="5371" w:name="Bookmark_I5D7DD2Y2N1PY70010000400"/>
      <w:bookmarkEnd w:id="5371"/>
      <w:r>
        <w:rPr>
          <w:rFonts w:ascii="Arial" w:eastAsia="Arial" w:hAnsi="Arial" w:cs="Arial"/>
          <w:color w:val="000000"/>
          <w:sz w:val="20"/>
        </w:rPr>
        <w:t xml:space="preserve">643 F.3d 1165, 1174 (9th Cir. 2010). </w:t>
      </w:r>
      <w:bookmarkStart w:id="5372" w:name="Bookmark_I5D7DD3F2N1R3N0010000400"/>
      <w:bookmarkEnd w:id="5372"/>
      <w:r>
        <w:rPr>
          <w:rFonts w:ascii="Arial" w:eastAsia="Arial" w:hAnsi="Arial" w:cs="Arial"/>
          <w:color w:val="000000"/>
          <w:sz w:val="20"/>
        </w:rPr>
        <w:t xml:space="preserve">The case turned on the Design Standards, which require "equivalent facilitation" if counters do not meet certain height requirements. </w:t>
      </w:r>
      <w:bookmarkStart w:id="5373" w:name="Bookmark_I5D7DD2Y2N1PY70030000400"/>
      <w:bookmarkEnd w:id="5373"/>
      <w:r>
        <w:rPr>
          <w:rFonts w:ascii="Arial" w:eastAsia="Arial" w:hAnsi="Arial" w:cs="Arial"/>
          <w:color w:val="000000"/>
          <w:sz w:val="20"/>
          <w:u w:val="single"/>
        </w:rPr>
        <w:t>Id</w:t>
      </w:r>
      <w:r>
        <w:rPr>
          <w:rFonts w:ascii="Arial" w:eastAsia="Arial" w:hAnsi="Arial" w:cs="Arial"/>
          <w:color w:val="000000"/>
          <w:sz w:val="20"/>
        </w:rPr>
        <w:t xml:space="preserve">. at 1173 (quoting 1991 Standard 7.2(2)(iii)). </w:t>
      </w:r>
      <w:bookmarkStart w:id="5374" w:name="Bookmark_I5D7DD3F2N1R3N0010000400_2"/>
      <w:bookmarkEnd w:id="5374"/>
      <w:r>
        <w:rPr>
          <w:rFonts w:ascii="Arial" w:eastAsia="Arial" w:hAnsi="Arial" w:cs="Arial"/>
          <w:color w:val="000000"/>
          <w:sz w:val="20"/>
        </w:rPr>
        <w:t xml:space="preserve">The court held that Chipotle's "policy" of showing disabled patrons samples of food and preparing food in seating areas was not "equivalent facilitation" because it denied disabled customers the full "Chipotle experience." </w:t>
      </w:r>
      <w:bookmarkStart w:id="5375" w:name="Bookmark_I5D7DD2Y2N1PY70050000400"/>
      <w:bookmarkEnd w:id="5375"/>
      <w:r>
        <w:rPr>
          <w:rFonts w:ascii="Arial" w:eastAsia="Arial" w:hAnsi="Arial" w:cs="Arial"/>
          <w:color w:val="000000"/>
          <w:sz w:val="20"/>
          <w:u w:val="single"/>
        </w:rPr>
        <w:t>Id</w:t>
      </w:r>
      <w:r>
        <w:rPr>
          <w:rFonts w:ascii="Arial" w:eastAsia="Arial" w:hAnsi="Arial" w:cs="Arial"/>
          <w:color w:val="000000"/>
          <w:sz w:val="20"/>
        </w:rPr>
        <w:t xml:space="preserve">. at 1174. Chipotle's "service or policy" violated the ADA, not because of a statutory guarantee of equal experiences, but because "it did not comply with the Guidelines." </w:t>
      </w:r>
      <w:r>
        <w:rPr>
          <w:rFonts w:ascii="Arial" w:eastAsia="Arial" w:hAnsi="Arial" w:cs="Arial"/>
          <w:color w:val="000000"/>
          <w:sz w:val="20"/>
          <w:u w:val="single"/>
        </w:rPr>
        <w:t>Id</w:t>
      </w:r>
      <w:r>
        <w:rPr>
          <w:rFonts w:ascii="Arial" w:eastAsia="Arial" w:hAnsi="Arial" w:cs="Arial"/>
          <w:color w:val="000000"/>
          <w:sz w:val="20"/>
        </w:rPr>
        <w:t>.</w:t>
      </w:r>
    </w:p>
    <w:p w14:paraId="7393E3A6" w14:textId="77777777" w:rsidR="002D0E71" w:rsidRDefault="00000000">
      <w:pPr>
        <w:pStyle w:val="Normal38"/>
        <w:widowControl w:val="0"/>
        <w:spacing w:before="200" w:line="260" w:lineRule="atLeast"/>
        <w:jc w:val="both"/>
      </w:pPr>
      <w:bookmarkStart w:id="5376" w:name="Bookmark_para_51_6"/>
      <w:bookmarkStart w:id="5377" w:name="Bookmark_I5D7DD3F2N1R3N0030000400"/>
      <w:bookmarkStart w:id="5378" w:name="Bookmark_I5D7DD3F2N1R3N0050000400"/>
      <w:bookmarkEnd w:id="5376"/>
      <w:bookmarkEnd w:id="5377"/>
      <w:bookmarkEnd w:id="5378"/>
      <w:r>
        <w:rPr>
          <w:rFonts w:ascii="Arial" w:eastAsia="Arial" w:hAnsi="Arial" w:cs="Arial"/>
          <w:color w:val="000000"/>
          <w:sz w:val="20"/>
        </w:rPr>
        <w:t xml:space="preserve">In </w:t>
      </w:r>
      <w:r>
        <w:rPr>
          <w:rFonts w:ascii="Arial" w:eastAsia="Arial" w:hAnsi="Arial" w:cs="Arial"/>
          <w:color w:val="000000"/>
          <w:sz w:val="20"/>
          <w:u w:val="single"/>
        </w:rPr>
        <w:t>Fortyune v. Am. Multi-Cinema, Inc</w:t>
      </w:r>
      <w:r>
        <w:rPr>
          <w:rFonts w:ascii="Arial" w:eastAsia="Arial" w:hAnsi="Arial" w:cs="Arial"/>
          <w:color w:val="000000"/>
          <w:sz w:val="20"/>
        </w:rPr>
        <w:t xml:space="preserve">., the Ninth Circuit considered a movie theater's "policy concerning the use of wheelchair companion seats." </w:t>
      </w:r>
      <w:bookmarkStart w:id="5379" w:name="Bookmark_I5D7DD3F2N1R3N0020000400"/>
      <w:bookmarkEnd w:id="5379"/>
      <w:r>
        <w:rPr>
          <w:rFonts w:ascii="Arial" w:eastAsia="Arial" w:hAnsi="Arial" w:cs="Arial"/>
          <w:color w:val="000000"/>
          <w:sz w:val="20"/>
        </w:rPr>
        <w:t xml:space="preserve">364 F.3d 1075, 1078 (9th Cir. 2004). The court noted that the Design Standards were irrelevant because, unlike "cases that involve the </w:t>
      </w:r>
      <w:r>
        <w:rPr>
          <w:rFonts w:ascii="Arial" w:eastAsia="Arial" w:hAnsi="Arial" w:cs="Arial"/>
          <w:color w:val="000000"/>
          <w:sz w:val="20"/>
          <w:u w:val="single"/>
        </w:rPr>
        <w:t>design</w:t>
      </w:r>
      <w:r>
        <w:rPr>
          <w:rFonts w:ascii="Arial" w:eastAsia="Arial" w:hAnsi="Arial" w:cs="Arial"/>
          <w:color w:val="000000"/>
          <w:sz w:val="20"/>
        </w:rPr>
        <w:t xml:space="preserve"> of a public accommodation under the ADA," the case against the theater "concern[ed] a public accommodation's policy regarding the </w:t>
      </w:r>
      <w:r>
        <w:rPr>
          <w:rFonts w:ascii="Arial" w:eastAsia="Arial" w:hAnsi="Arial" w:cs="Arial"/>
          <w:color w:val="000000"/>
          <w:sz w:val="20"/>
          <w:u w:val="single"/>
        </w:rPr>
        <w:t>use</w:t>
      </w:r>
      <w:r>
        <w:rPr>
          <w:rFonts w:ascii="Arial" w:eastAsia="Arial" w:hAnsi="Arial" w:cs="Arial"/>
          <w:color w:val="000000"/>
          <w:sz w:val="20"/>
        </w:rPr>
        <w:t xml:space="preserve"> of that design (</w:t>
      </w:r>
      <w:r>
        <w:rPr>
          <w:rFonts w:ascii="Arial" w:eastAsia="Arial" w:hAnsi="Arial" w:cs="Arial"/>
          <w:color w:val="000000"/>
          <w:sz w:val="20"/>
          <w:u w:val="single"/>
        </w:rPr>
        <w:t>e.g</w:t>
      </w:r>
      <w:r>
        <w:rPr>
          <w:rFonts w:ascii="Arial" w:eastAsia="Arial" w:hAnsi="Arial" w:cs="Arial"/>
          <w:color w:val="000000"/>
          <w:sz w:val="20"/>
        </w:rPr>
        <w:t xml:space="preserve">., the use and availability [**33]  of a companion seat)." </w:t>
      </w:r>
      <w:bookmarkStart w:id="5380" w:name="Bookmark_I5D7DD3F2N1R3N0040000400"/>
      <w:bookmarkEnd w:id="5380"/>
      <w:r>
        <w:rPr>
          <w:rFonts w:ascii="Arial" w:eastAsia="Arial" w:hAnsi="Arial" w:cs="Arial"/>
          <w:color w:val="000000"/>
          <w:sz w:val="20"/>
          <w:u w:val="single"/>
        </w:rPr>
        <w:t>Id</w:t>
      </w:r>
      <w:r>
        <w:rPr>
          <w:rFonts w:ascii="Arial" w:eastAsia="Arial" w:hAnsi="Arial" w:cs="Arial"/>
          <w:color w:val="000000"/>
          <w:sz w:val="20"/>
        </w:rPr>
        <w:t xml:space="preserve">. at 1085. The court held that the plaintiff established an ADA claim because the theater "employed a discriminatory policy or practice." </w:t>
      </w:r>
      <w:r>
        <w:rPr>
          <w:rFonts w:ascii="Arial" w:eastAsia="Arial" w:hAnsi="Arial" w:cs="Arial"/>
          <w:color w:val="000000"/>
          <w:sz w:val="20"/>
          <w:u w:val="single"/>
        </w:rPr>
        <w:t>Id</w:t>
      </w:r>
      <w:r>
        <w:rPr>
          <w:rFonts w:ascii="Arial" w:eastAsia="Arial" w:hAnsi="Arial" w:cs="Arial"/>
          <w:color w:val="000000"/>
          <w:sz w:val="20"/>
        </w:rPr>
        <w:t>. (citing 42 U.S.C. § 12182(a), (b)(2)(A)(ii)).</w:t>
      </w:r>
    </w:p>
    <w:p w14:paraId="0B913F75" w14:textId="77777777" w:rsidR="002D0E71" w:rsidRDefault="00000000">
      <w:pPr>
        <w:pStyle w:val="Normal38"/>
        <w:widowControl w:val="0"/>
        <w:spacing w:before="200" w:line="260" w:lineRule="atLeast"/>
        <w:jc w:val="both"/>
      </w:pPr>
      <w:bookmarkStart w:id="5381" w:name="Bookmark_para_52_4"/>
      <w:bookmarkEnd w:id="5381"/>
      <w:r>
        <w:rPr>
          <w:rFonts w:ascii="Arial" w:eastAsia="Arial" w:hAnsi="Arial" w:cs="Arial"/>
          <w:color w:val="000000"/>
          <w:sz w:val="20"/>
        </w:rPr>
        <w:t xml:space="preserve"> [*1220]  The Design Standards are also instructive. </w:t>
      </w:r>
      <w:bookmarkStart w:id="5382" w:name="Bookmark_LNHNREFclscc21_4"/>
      <w:bookmarkEnd w:id="5382"/>
      <w:r>
        <w:rPr>
          <w:rFonts w:ascii="Arial" w:eastAsia="Arial" w:hAnsi="Arial" w:cs="Arial"/>
          <w:color w:val="000000"/>
          <w:sz w:val="20"/>
        </w:rPr>
        <w:t>The purpose of the standards is "to effectuate title III of the Americans with Disabilities Act." 28 C.F.R. pt. 36, app. C (guidance to 28 C.F.R. § 36.101). A public accommodation that "complies with these guidelines" is deemed "accessible." 1991 Standard 3.5. The commentary provides that</w:t>
      </w:r>
    </w:p>
    <w:p w14:paraId="5E3C318F" w14:textId="77777777" w:rsidR="002D0E71" w:rsidRDefault="00000000">
      <w:pPr>
        <w:pStyle w:val="Normal38"/>
        <w:widowControl w:val="0"/>
        <w:spacing w:before="200" w:line="260" w:lineRule="atLeast"/>
        <w:ind w:left="400"/>
        <w:jc w:val="both"/>
      </w:pPr>
      <w:bookmarkStart w:id="5383" w:name="Bookmark_para_53_4"/>
      <w:bookmarkEnd w:id="5383"/>
      <w:r>
        <w:rPr>
          <w:rFonts w:ascii="Arial" w:eastAsia="Arial" w:hAnsi="Arial" w:cs="Arial"/>
          <w:color w:val="000000"/>
          <w:sz w:val="20"/>
        </w:rPr>
        <w:t xml:space="preserve">A private entity that renders an "accessible" building inaccessible in its </w:t>
      </w:r>
      <w:r>
        <w:rPr>
          <w:rFonts w:ascii="Arial" w:eastAsia="Arial" w:hAnsi="Arial" w:cs="Arial"/>
          <w:color w:val="000000"/>
          <w:sz w:val="20"/>
          <w:u w:val="single"/>
        </w:rPr>
        <w:t>operation, through policies or practices</w:t>
      </w:r>
      <w:r>
        <w:rPr>
          <w:rFonts w:ascii="Arial" w:eastAsia="Arial" w:hAnsi="Arial" w:cs="Arial"/>
          <w:color w:val="000000"/>
          <w:sz w:val="20"/>
        </w:rPr>
        <w:t>, may be in violation of [42 U.S.C. § 12182]. For example, a private entity can render an entrance to a facility inaccessible by keeping an accessible entrance open only during certain hours (whereas the facility is available to others for a greater length of time). A facility could similarly be rendered inaccessible if a person with disabilities is significantly limited in her or his choice of a range of accommodations.</w:t>
      </w:r>
    </w:p>
    <w:p w14:paraId="464634C8" w14:textId="77777777" w:rsidR="002D0E71" w:rsidRDefault="00000000">
      <w:pPr>
        <w:pStyle w:val="Normal38"/>
        <w:widowControl w:val="0"/>
        <w:spacing w:line="260" w:lineRule="atLeast"/>
        <w:jc w:val="both"/>
      </w:pPr>
      <w:r>
        <w:rPr>
          <w:rFonts w:ascii="Arial" w:eastAsia="Arial" w:hAnsi="Arial" w:cs="Arial"/>
          <w:color w:val="000000"/>
          <w:sz w:val="20"/>
        </w:rPr>
        <w:t>28 C.F.R. pt. 36, app. C, at 914 (guidance to 28 C.F.R. § 36.401) (emphasis added).</w:t>
      </w:r>
    </w:p>
    <w:p w14:paraId="0E63C3D6" w14:textId="77777777" w:rsidR="002D0E71" w:rsidRDefault="00000000">
      <w:pPr>
        <w:pStyle w:val="Normal38"/>
        <w:widowControl w:val="0"/>
        <w:spacing w:before="200" w:line="260" w:lineRule="atLeast"/>
        <w:jc w:val="both"/>
      </w:pPr>
      <w:bookmarkStart w:id="5384" w:name="Bookmark_para_54_2"/>
      <w:bookmarkStart w:id="5385" w:name="Bookmark_I48TWVY2W060003XDXH002CP"/>
      <w:bookmarkStart w:id="5386" w:name="Bookmark_I5D7DD3Y2SF7PR0020000400"/>
      <w:bookmarkEnd w:id="5384"/>
      <w:bookmarkEnd w:id="5385"/>
      <w:bookmarkEnd w:id="5386"/>
      <w:r>
        <w:rPr>
          <w:rFonts w:ascii="Arial" w:eastAsia="Arial" w:hAnsi="Arial" w:cs="Arial"/>
          <w:color w:val="000000"/>
          <w:sz w:val="20"/>
        </w:rPr>
        <w:t>Unlike the case in</w:t>
      </w:r>
      <w:bookmarkStart w:id="5387" w:name="Bookmark_I5D7DD3Y2SF7PR0010000400"/>
      <w:bookmarkEnd w:id="5387"/>
      <w:r>
        <w:rPr>
          <w:rFonts w:ascii="Arial" w:eastAsia="Arial" w:hAnsi="Arial" w:cs="Arial"/>
          <w:color w:val="000000"/>
          <w:sz w:val="20"/>
        </w:rPr>
        <w:t xml:space="preserve"> </w:t>
      </w:r>
      <w:r>
        <w:rPr>
          <w:rFonts w:ascii="Arial" w:eastAsia="Arial" w:hAnsi="Arial" w:cs="Arial"/>
          <w:color w:val="000000"/>
          <w:sz w:val="20"/>
          <w:u w:val="single"/>
        </w:rPr>
        <w:t>Fortyune</w:t>
      </w:r>
      <w:r>
        <w:rPr>
          <w:rFonts w:ascii="Arial" w:eastAsia="Arial" w:hAnsi="Arial" w:cs="Arial"/>
          <w:color w:val="000000"/>
          <w:sz w:val="20"/>
        </w:rPr>
        <w:t xml:space="preserve">, we are not dealing with a public accommodation's </w:t>
      </w:r>
      <w:r>
        <w:rPr>
          <w:rFonts w:ascii="Arial" w:eastAsia="Arial" w:hAnsi="Arial" w:cs="Arial"/>
          <w:color w:val="000000"/>
          <w:sz w:val="20"/>
          <w:u w:val="single"/>
        </w:rPr>
        <w:t>use</w:t>
      </w:r>
      <w:r>
        <w:rPr>
          <w:rFonts w:ascii="Arial" w:eastAsia="Arial" w:hAnsi="Arial" w:cs="Arial"/>
          <w:color w:val="000000"/>
          <w:sz w:val="20"/>
        </w:rPr>
        <w:t xml:space="preserve"> of a design (e.g., a distinct policy or practice concerning to whom an accommodation is available, [**34]  when an accommodation is available, or what choice of accommodations is available), but rather the </w:t>
      </w:r>
      <w:r>
        <w:rPr>
          <w:rFonts w:ascii="Arial" w:eastAsia="Arial" w:hAnsi="Arial" w:cs="Arial"/>
          <w:color w:val="000000"/>
          <w:sz w:val="20"/>
          <w:u w:val="single"/>
        </w:rPr>
        <w:t>design</w:t>
      </w:r>
      <w:r>
        <w:rPr>
          <w:rFonts w:ascii="Arial" w:eastAsia="Arial" w:hAnsi="Arial" w:cs="Arial"/>
          <w:color w:val="000000"/>
          <w:sz w:val="20"/>
        </w:rPr>
        <w:t xml:space="preserve"> itself (i.e., the form and shape of a structure that render it inaccessible). </w:t>
      </w:r>
      <w:bookmarkStart w:id="5388" w:name="Bookmark_I48TWVXM18S0003XDXH00296"/>
      <w:bookmarkStart w:id="5389" w:name="Bookmark_I5D7DD3Y2SF7PR0040000400"/>
      <w:bookmarkEnd w:id="5388"/>
      <w:bookmarkEnd w:id="5389"/>
      <w:r>
        <w:rPr>
          <w:rFonts w:ascii="Arial" w:eastAsia="Arial" w:hAnsi="Arial" w:cs="Arial"/>
          <w:color w:val="000000"/>
          <w:sz w:val="20"/>
          <w:u w:val="single"/>
        </w:rPr>
        <w:t>See</w:t>
      </w:r>
      <w:r>
        <w:rPr>
          <w:rFonts w:ascii="Arial" w:eastAsia="Arial" w:hAnsi="Arial" w:cs="Arial"/>
          <w:color w:val="000000"/>
          <w:sz w:val="20"/>
        </w:rPr>
        <w:t xml:space="preserve"> U.S. Br. 17 ("[T]he claim here is that the defendant[s] [adopted an] unnecessarily discriminatory design."). And </w:t>
      </w:r>
      <w:r>
        <w:rPr>
          <w:rFonts w:ascii="Arial" w:eastAsia="Arial" w:hAnsi="Arial" w:cs="Arial"/>
          <w:color w:val="000000"/>
          <w:sz w:val="20"/>
          <w:u w:val="single"/>
        </w:rPr>
        <w:t>Antoninetti</w:t>
      </w:r>
      <w:r>
        <w:rPr>
          <w:rFonts w:ascii="Arial" w:eastAsia="Arial" w:hAnsi="Arial" w:cs="Arial"/>
          <w:color w:val="000000"/>
          <w:sz w:val="20"/>
        </w:rPr>
        <w:t xml:space="preserve"> counsels that, even when dealing with a "service or policy," </w:t>
      </w:r>
      <w:bookmarkStart w:id="5390" w:name="Bookmark_LNHNREFclscc22_3"/>
      <w:bookmarkEnd w:id="5390"/>
      <w:r>
        <w:rPr>
          <w:rFonts w:ascii="Arial" w:eastAsia="Arial" w:hAnsi="Arial" w:cs="Arial"/>
          <w:color w:val="000000"/>
          <w:sz w:val="20"/>
        </w:rPr>
        <w:t xml:space="preserve">Design Standards specifically addressing an issue are a better benchmark than more general prohibitions found in the statute itself. </w:t>
      </w:r>
      <w:bookmarkStart w:id="5391" w:name="Bookmark_I5D7DD3Y2SF7PR0040000400_2"/>
      <w:bookmarkEnd w:id="5391"/>
      <w:r>
        <w:rPr>
          <w:rFonts w:ascii="Arial" w:eastAsia="Arial" w:hAnsi="Arial" w:cs="Arial"/>
          <w:color w:val="000000"/>
          <w:sz w:val="20"/>
          <w:u w:val="single"/>
        </w:rPr>
        <w:t xml:space="preserve">See </w:t>
      </w:r>
      <w:bookmarkStart w:id="5392" w:name="Bookmark_I5D7DD3Y2SF7PR0030000400"/>
      <w:bookmarkEnd w:id="5392"/>
      <w:r>
        <w:rPr>
          <w:rFonts w:ascii="Arial" w:eastAsia="Arial" w:hAnsi="Arial" w:cs="Arial"/>
          <w:color w:val="000000"/>
          <w:sz w:val="20"/>
          <w:u w:val="single"/>
        </w:rPr>
        <w:t>Antoninetti</w:t>
      </w:r>
      <w:r>
        <w:rPr>
          <w:rFonts w:ascii="Arial" w:eastAsia="Arial" w:hAnsi="Arial" w:cs="Arial"/>
          <w:color w:val="000000"/>
          <w:sz w:val="20"/>
        </w:rPr>
        <w:t xml:space="preserve">, 643 F.3d at 1174; </w:t>
      </w:r>
      <w:r>
        <w:rPr>
          <w:rFonts w:ascii="Arial" w:eastAsia="Arial" w:hAnsi="Arial" w:cs="Arial"/>
          <w:color w:val="000000"/>
          <w:sz w:val="20"/>
          <w:u w:val="single"/>
        </w:rPr>
        <w:t xml:space="preserve">see also </w:t>
      </w:r>
      <w:bookmarkStart w:id="5393" w:name="Bookmark_I5D7DD3Y2SF7PR0050000400"/>
      <w:bookmarkEnd w:id="5393"/>
      <w:r>
        <w:rPr>
          <w:rFonts w:ascii="Arial" w:eastAsia="Arial" w:hAnsi="Arial" w:cs="Arial"/>
          <w:color w:val="000000"/>
          <w:sz w:val="20"/>
          <w:u w:val="single"/>
        </w:rPr>
        <w:t>United States v. Hoyts Cinemas Corp</w:t>
      </w:r>
      <w:r>
        <w:rPr>
          <w:rFonts w:ascii="Arial" w:eastAsia="Arial" w:hAnsi="Arial" w:cs="Arial"/>
          <w:color w:val="000000"/>
          <w:sz w:val="20"/>
        </w:rPr>
        <w:t>., 380 F.3d 558, 566 (1st Cir. 2004) ("[I]t makes more sense to focus upon a somewhat uncertain regulation directed to the very problem at hand rather than an even vaguer set of statutory provisions framed in more general terms.").</w:t>
      </w:r>
    </w:p>
    <w:p w14:paraId="245CA0CA" w14:textId="77777777" w:rsidR="002D0E71" w:rsidRDefault="00000000">
      <w:pPr>
        <w:pStyle w:val="Normal38"/>
        <w:widowControl w:val="0"/>
        <w:spacing w:before="200" w:line="260" w:lineRule="atLeast"/>
        <w:jc w:val="both"/>
      </w:pPr>
      <w:bookmarkStart w:id="5394" w:name="Bookmark_para_55_2"/>
      <w:bookmarkStart w:id="5395" w:name="Bookmark_LNHNREFclscc23_3"/>
      <w:bookmarkEnd w:id="5394"/>
      <w:bookmarkEnd w:id="5395"/>
      <w:r>
        <w:rPr>
          <w:rFonts w:ascii="Arial" w:eastAsia="Arial" w:hAnsi="Arial" w:cs="Arial"/>
          <w:color w:val="000000"/>
          <w:sz w:val="20"/>
        </w:rPr>
        <w:t xml:space="preserve">By their own terms, the Design Standards provide the necessary guidance required to build an "accessible" structure. The ADA itself makes this clear: § 12183(a)(1) requires new construction to be "readily accessible" except where it is "structurally impracticable to meet the requirements of such subsection </w:t>
      </w:r>
      <w:r>
        <w:rPr>
          <w:rFonts w:ascii="Arial" w:eastAsia="Arial" w:hAnsi="Arial" w:cs="Arial"/>
          <w:color w:val="000000"/>
          <w:sz w:val="20"/>
          <w:u w:val="single"/>
        </w:rPr>
        <w:t>in accordance with standards set forth or incorporated by reference in regulations issued under this subchapter</w:t>
      </w:r>
      <w:r>
        <w:rPr>
          <w:rFonts w:ascii="Arial" w:eastAsia="Arial" w:hAnsi="Arial" w:cs="Arial"/>
          <w:color w:val="000000"/>
          <w:sz w:val="20"/>
        </w:rPr>
        <w:t xml:space="preserve">." 42 U.S.C. § 12183(a)(1) (emphasis added). In turn, the regulations assure that a facility is "accessible" if it "complies [**35]  with these guidelines." 1991 Standard 3.5. Of course, if an entity constructs an "accessible" facility, but takes affirmative steps to bar disabled persons from enjoying it, then it has violated the ADA's prohibition of providing a separate benefit "on the basis of a disability." </w:t>
      </w:r>
      <w:r>
        <w:rPr>
          <w:rFonts w:ascii="Arial" w:eastAsia="Arial" w:hAnsi="Arial" w:cs="Arial"/>
          <w:color w:val="000000"/>
          <w:sz w:val="20"/>
          <w:u w:val="single"/>
        </w:rPr>
        <w:t>See</w:t>
      </w:r>
      <w:r>
        <w:rPr>
          <w:rFonts w:ascii="Arial" w:eastAsia="Arial" w:hAnsi="Arial" w:cs="Arial"/>
          <w:color w:val="000000"/>
          <w:sz w:val="20"/>
        </w:rPr>
        <w:t xml:space="preserve"> 42 U.S.C. § 12182(b)(1)(A)(iii). But that is not the case here. Abercrombie built porches that, as the Plaintiffs claim, were "inaccessible" from their inception. </w:t>
      </w:r>
      <w:r>
        <w:rPr>
          <w:rFonts w:ascii="Arial" w:eastAsia="Arial" w:hAnsi="Arial" w:cs="Arial"/>
          <w:color w:val="000000"/>
          <w:sz w:val="20"/>
          <w:u w:val="single"/>
        </w:rPr>
        <w:t>See</w:t>
      </w:r>
      <w:r>
        <w:rPr>
          <w:rFonts w:ascii="Arial" w:eastAsia="Arial" w:hAnsi="Arial" w:cs="Arial"/>
          <w:color w:val="000000"/>
          <w:sz w:val="20"/>
        </w:rPr>
        <w:t xml:space="preserve"> Aplee. </w:t>
      </w:r>
      <w:bookmarkStart w:id="5396" w:name="Bookmark_I5D7DD4D28T3YX0030000400"/>
      <w:bookmarkEnd w:id="5396"/>
      <w:r>
        <w:rPr>
          <w:rFonts w:ascii="Arial" w:eastAsia="Arial" w:hAnsi="Arial" w:cs="Arial"/>
          <w:color w:val="000000"/>
          <w:sz w:val="20"/>
        </w:rPr>
        <w:t xml:space="preserve">Br. 50. Such a claim must be evaluated through the lens of the Design Standards; were it otherwise, an entity's decision to follow the standards and build an "accessible" facility would have little meaning. </w:t>
      </w:r>
      <w:r>
        <w:rPr>
          <w:rFonts w:ascii="Arial" w:eastAsia="Arial" w:hAnsi="Arial" w:cs="Arial"/>
          <w:color w:val="000000"/>
          <w:sz w:val="20"/>
          <w:u w:val="single"/>
        </w:rPr>
        <w:t xml:space="preserve">See </w:t>
      </w:r>
      <w:bookmarkStart w:id="5397" w:name="Bookmark_I5D7DD4D28T3YX0020000400"/>
      <w:bookmarkEnd w:id="5397"/>
      <w:r>
        <w:rPr>
          <w:rFonts w:ascii="Arial" w:eastAsia="Arial" w:hAnsi="Arial" w:cs="Arial"/>
          <w:color w:val="000000"/>
          <w:sz w:val="20"/>
          <w:u w:val="single"/>
        </w:rPr>
        <w:t>United States v. Nat'l Amusements, Inc</w:t>
      </w:r>
      <w:r>
        <w:rPr>
          <w:rFonts w:ascii="Arial" w:eastAsia="Arial" w:hAnsi="Arial" w:cs="Arial"/>
          <w:color w:val="000000"/>
          <w:sz w:val="20"/>
        </w:rPr>
        <w:t>., 180 F. Supp. 2d 251, 258 (D. Mass 2001) (To hold that compliance with the standards is not sufficient to satisfy sections 12182 and 12183 of the ADA "would render compliance with these regulations meaningless, because a fully compliant structure would always be subject to a claim under ADA § [12182]."). The porch's design—and its secondary exclusive effect—must be evaluated solely under the Design Standards. The district  [*1221]  court erred by imposing liability on Abercrombie's design decision based on the "overarching aims" of the ADA.</w:t>
      </w:r>
    </w:p>
    <w:p w14:paraId="10913A21" w14:textId="77777777" w:rsidR="002D0E71" w:rsidRDefault="00000000">
      <w:pPr>
        <w:pStyle w:val="Normal38"/>
        <w:widowControl w:val="0"/>
        <w:spacing w:before="200" w:line="260" w:lineRule="atLeast"/>
        <w:jc w:val="both"/>
      </w:pPr>
      <w:bookmarkStart w:id="5398" w:name="Bookmark_para_56_2"/>
      <w:bookmarkEnd w:id="5398"/>
      <w:r>
        <w:rPr>
          <w:rFonts w:ascii="Arial" w:eastAsia="Arial" w:hAnsi="Arial" w:cs="Arial"/>
          <w:color w:val="000000"/>
          <w:sz w:val="20"/>
        </w:rPr>
        <w:t>The dissent agrees with our major premise, that "we must look to the Design Standards to determine [**36]  whether a defendant has discriminated in the design, construction, or alteration of a facility," but disagrees with our conclusion that Abercrombie did not engage in a secondary discriminatory "use" of that design. The dissent posits that Abercrombie "uses" the porch as a "branding tool, display area, and customer lounge." However, none of these "uses" are what deny disabled people access to the porch—it is the porch itself that effects that alleged injury. In fact, the dissent points out that Abercrombie has an alternative design for the porch, one that incorporates the "same surf-shack motif" but at "ground level." By all indications, Abercrombie "uses" this design in the same manner as its stepped porches—as a "branding tool, display area, and customer lounge." This "use" is not discriminatory in one instance and non-discriminatory in the other—it is the design that differs between the two porch layouts, and that must be the sole source of accessibility discrimination. The Design Standards specifically address that issue.</w:t>
      </w:r>
    </w:p>
    <w:p w14:paraId="2E6FC82D" w14:textId="77777777" w:rsidR="002D0E71" w:rsidRDefault="00000000">
      <w:pPr>
        <w:pStyle w:val="Normal38"/>
        <w:widowControl w:val="0"/>
        <w:spacing w:before="120" w:line="260" w:lineRule="atLeast"/>
      </w:pPr>
      <w:r>
        <w:rPr>
          <w:rFonts w:ascii="Arial" w:eastAsia="Arial" w:hAnsi="Arial" w:cs="Arial"/>
          <w:color w:val="000000"/>
          <w:sz w:val="20"/>
        </w:rPr>
        <w:t xml:space="preserve">B. </w:t>
      </w:r>
      <w:r>
        <w:rPr>
          <w:rFonts w:ascii="Arial" w:eastAsia="Arial" w:hAnsi="Arial" w:cs="Arial"/>
          <w:color w:val="000000"/>
          <w:sz w:val="20"/>
          <w:u w:val="single"/>
        </w:rPr>
        <w:t>Design Standard Requirements for "Spaces</w:t>
      </w:r>
      <w:r>
        <w:rPr>
          <w:rFonts w:ascii="Arial" w:eastAsia="Arial" w:hAnsi="Arial" w:cs="Arial"/>
          <w:color w:val="000000"/>
          <w:sz w:val="20"/>
        </w:rPr>
        <w:t>"</w:t>
      </w:r>
    </w:p>
    <w:p w14:paraId="115F2511" w14:textId="77777777" w:rsidR="002D0E71" w:rsidRDefault="00000000">
      <w:pPr>
        <w:pStyle w:val="Normal38"/>
        <w:widowControl w:val="0"/>
        <w:spacing w:before="200" w:line="260" w:lineRule="atLeast"/>
        <w:jc w:val="both"/>
      </w:pPr>
      <w:bookmarkStart w:id="5399" w:name="Bookmark_para_57_2"/>
      <w:bookmarkEnd w:id="5399"/>
      <w:r>
        <w:rPr>
          <w:rFonts w:ascii="Arial" w:eastAsia="Arial" w:hAnsi="Arial" w:cs="Arial"/>
          <w:color w:val="000000"/>
          <w:sz w:val="20"/>
        </w:rPr>
        <w:t xml:space="preserve">We now turn to the Design Standards. </w:t>
      </w:r>
      <w:bookmarkStart w:id="5400" w:name="Bookmark_I5D7DD4D28T3YX0050000400"/>
      <w:bookmarkEnd w:id="5400"/>
      <w:r>
        <w:rPr>
          <w:rFonts w:ascii="Arial" w:eastAsia="Arial" w:hAnsi="Arial" w:cs="Arial"/>
          <w:color w:val="000000"/>
          <w:sz w:val="20"/>
        </w:rPr>
        <w:t xml:space="preserve">Abercrombie argues that the district court erred by holding that the porch is a [**37]  "space" required to be accessible under the Design Standards. Aplt. Br. 44. After holding the porch to be a "space," the district court noted that "if nondisabled customers can get to a space, customers who use wheelchairs have to be able to get to that space as well." </w:t>
      </w:r>
      <w:bookmarkStart w:id="5401" w:name="Bookmark_I5D7DD4D28T3YX0040000400"/>
      <w:bookmarkEnd w:id="5401"/>
      <w:r>
        <w:rPr>
          <w:rFonts w:ascii="Arial" w:eastAsia="Arial" w:hAnsi="Arial" w:cs="Arial"/>
          <w:color w:val="000000"/>
          <w:sz w:val="20"/>
          <w:u w:val="single"/>
        </w:rPr>
        <w:t>Abercrombie &amp; Fitch Co</w:t>
      </w:r>
      <w:r>
        <w:rPr>
          <w:rFonts w:ascii="Arial" w:eastAsia="Arial" w:hAnsi="Arial" w:cs="Arial"/>
          <w:color w:val="000000"/>
          <w:sz w:val="20"/>
        </w:rPr>
        <w:t>., 957 F. Supp. 2d at 1281.</w:t>
      </w:r>
    </w:p>
    <w:p w14:paraId="0A1DB1EE" w14:textId="77777777" w:rsidR="002D0E71" w:rsidRDefault="00000000">
      <w:pPr>
        <w:pStyle w:val="Normal38"/>
        <w:widowControl w:val="0"/>
        <w:spacing w:before="200" w:line="260" w:lineRule="atLeast"/>
        <w:jc w:val="both"/>
      </w:pPr>
      <w:bookmarkStart w:id="5402" w:name="Bookmark_para_58_2"/>
      <w:bookmarkStart w:id="5403" w:name="Bookmark_LNHNREFclscc24_3"/>
      <w:bookmarkEnd w:id="5402"/>
      <w:bookmarkEnd w:id="5403"/>
      <w:r>
        <w:rPr>
          <w:rFonts w:ascii="Arial" w:eastAsia="Arial" w:hAnsi="Arial" w:cs="Arial"/>
          <w:color w:val="000000"/>
          <w:sz w:val="20"/>
        </w:rPr>
        <w:t>The 1991 and 2010 Standards contain identical definitions of "entrance" and "space":</w:t>
      </w:r>
    </w:p>
    <w:p w14:paraId="303FA624" w14:textId="77777777" w:rsidR="002D0E71" w:rsidRDefault="00000000">
      <w:pPr>
        <w:pStyle w:val="Normal38"/>
        <w:widowControl w:val="0"/>
        <w:spacing w:before="200" w:line="260" w:lineRule="atLeast"/>
        <w:ind w:left="400"/>
        <w:jc w:val="both"/>
      </w:pPr>
      <w:bookmarkStart w:id="5404" w:name="Bookmark_para_59_2"/>
      <w:bookmarkEnd w:id="5404"/>
      <w:r>
        <w:rPr>
          <w:rFonts w:ascii="Arial" w:eastAsia="Arial" w:hAnsi="Arial" w:cs="Arial"/>
          <w:b/>
          <w:color w:val="000000"/>
          <w:sz w:val="20"/>
          <w:u w:val="single"/>
        </w:rPr>
        <w:t>Entrance</w:t>
      </w:r>
      <w:r>
        <w:rPr>
          <w:rFonts w:ascii="Arial" w:eastAsia="Arial" w:hAnsi="Arial" w:cs="Arial"/>
          <w:color w:val="000000"/>
          <w:sz w:val="20"/>
        </w:rPr>
        <w:t>. Any access point to a building or portion of a building or facility used for the purpose of entering. An entrance includes the approach walk, the vertical access leading to the entrance platform, the entrance platform itself, vestibules if provided, the entry door(s) or gate(s), and the hardware of the entry door(s) or gate(s).</w:t>
      </w:r>
    </w:p>
    <w:p w14:paraId="14D59324" w14:textId="77777777" w:rsidR="002D0E71" w:rsidRDefault="00000000">
      <w:pPr>
        <w:pStyle w:val="Normal38"/>
        <w:widowControl w:val="0"/>
        <w:spacing w:line="260" w:lineRule="atLeast"/>
        <w:ind w:left="400"/>
        <w:jc w:val="both"/>
      </w:pPr>
      <w:bookmarkStart w:id="5405" w:name="Bookmark_para_60_1"/>
      <w:bookmarkEnd w:id="5405"/>
      <w:r>
        <w:rPr>
          <w:rFonts w:ascii="Arial" w:eastAsia="Arial" w:hAnsi="Arial" w:cs="Arial"/>
          <w:color w:val="000000"/>
          <w:sz w:val="20"/>
        </w:rPr>
        <w:t>. . .</w:t>
      </w:r>
    </w:p>
    <w:p w14:paraId="607A7A4F" w14:textId="77777777" w:rsidR="002D0E71" w:rsidRDefault="00000000">
      <w:pPr>
        <w:pStyle w:val="Normal38"/>
        <w:widowControl w:val="0"/>
        <w:spacing w:before="200" w:line="260" w:lineRule="atLeast"/>
        <w:ind w:left="400"/>
        <w:jc w:val="both"/>
      </w:pPr>
      <w:bookmarkStart w:id="5406" w:name="Bookmark_para_61_1"/>
      <w:bookmarkEnd w:id="5406"/>
      <w:r>
        <w:rPr>
          <w:rFonts w:ascii="Arial" w:eastAsia="Arial" w:hAnsi="Arial" w:cs="Arial"/>
          <w:b/>
          <w:color w:val="000000"/>
          <w:sz w:val="20"/>
          <w:u w:val="single"/>
        </w:rPr>
        <w:t>Space</w:t>
      </w:r>
      <w:r>
        <w:rPr>
          <w:rFonts w:ascii="Arial" w:eastAsia="Arial" w:hAnsi="Arial" w:cs="Arial"/>
          <w:color w:val="000000"/>
          <w:sz w:val="20"/>
        </w:rPr>
        <w:t>. A definable area, e.g., room, toilet room, hall, assembly area, entrance, storage room, alcove, courtyard, or lobby.</w:t>
      </w:r>
    </w:p>
    <w:p w14:paraId="55B3054F" w14:textId="77777777" w:rsidR="002D0E71" w:rsidRDefault="00000000">
      <w:pPr>
        <w:pStyle w:val="Normal38"/>
        <w:widowControl w:val="0"/>
        <w:spacing w:before="200" w:line="260" w:lineRule="atLeast"/>
        <w:jc w:val="both"/>
      </w:pPr>
      <w:r>
        <w:rPr>
          <w:rFonts w:ascii="Arial" w:eastAsia="Arial" w:hAnsi="Arial" w:cs="Arial"/>
          <w:color w:val="000000"/>
          <w:sz w:val="20"/>
        </w:rPr>
        <w:t xml:space="preserve">1991 Standard 3.5; </w:t>
      </w:r>
      <w:r>
        <w:rPr>
          <w:rFonts w:ascii="Arial" w:eastAsia="Arial" w:hAnsi="Arial" w:cs="Arial"/>
          <w:color w:val="000000"/>
          <w:sz w:val="20"/>
          <w:u w:val="single"/>
        </w:rPr>
        <w:t>see also</w:t>
      </w:r>
      <w:r>
        <w:rPr>
          <w:rFonts w:ascii="Arial" w:eastAsia="Arial" w:hAnsi="Arial" w:cs="Arial"/>
          <w:color w:val="000000"/>
          <w:sz w:val="20"/>
        </w:rPr>
        <w:t xml:space="preserve"> 2010 Standard 106.5. The 1991 Standards define "Accessible Space" as a "[s]pace that complies with these guidelines." 1991 Standard 3.5; </w:t>
      </w:r>
      <w:r>
        <w:rPr>
          <w:rFonts w:ascii="Arial" w:eastAsia="Arial" w:hAnsi="Arial" w:cs="Arial"/>
          <w:color w:val="000000"/>
          <w:sz w:val="20"/>
          <w:u w:val="single"/>
        </w:rPr>
        <w:t>see also</w:t>
      </w:r>
      <w:r>
        <w:rPr>
          <w:rFonts w:ascii="Arial" w:eastAsia="Arial" w:hAnsi="Arial" w:cs="Arial"/>
          <w:color w:val="000000"/>
          <w:sz w:val="20"/>
        </w:rPr>
        <w:t xml:space="preserve"> 2010 Standard 106.5 (defining "Accessible" as "[a] site, building, facility or portion thereof that complies with this part.").</w:t>
      </w:r>
    </w:p>
    <w:p w14:paraId="4FDF9505" w14:textId="77777777" w:rsidR="002D0E71" w:rsidRDefault="00000000">
      <w:pPr>
        <w:pStyle w:val="Normal38"/>
        <w:widowControl w:val="0"/>
        <w:spacing w:before="200" w:line="260" w:lineRule="atLeast"/>
        <w:jc w:val="both"/>
      </w:pPr>
      <w:bookmarkStart w:id="5407" w:name="Bookmark_para_62_1"/>
      <w:bookmarkEnd w:id="5407"/>
      <w:r>
        <w:rPr>
          <w:rFonts w:ascii="Arial" w:eastAsia="Arial" w:hAnsi="Arial" w:cs="Arial"/>
          <w:color w:val="000000"/>
          <w:sz w:val="20"/>
        </w:rPr>
        <w:t>As we see it, whether the porch is a "space" is not the issue—given the definition of [**38]  "space" as any "definable area," it is hard to envision what is not a "space." Rather, the issue is whether the regulations in fact require that all "spaces" be accessible, as the Plaintiffs contend. Aplee. Br. 45-46; U.S. Br. 11. Because the 1991 Standards distinguish between a "space" and an "accessible space," it seems that the regulations clearly anticipated that not all "spaces" would be accessible.</w:t>
      </w:r>
    </w:p>
    <w:p w14:paraId="4F64BB2E" w14:textId="77777777" w:rsidR="002D0E71" w:rsidRDefault="00000000">
      <w:pPr>
        <w:pStyle w:val="Normal38"/>
        <w:widowControl w:val="0"/>
        <w:spacing w:before="200" w:line="260" w:lineRule="atLeast"/>
        <w:jc w:val="both"/>
      </w:pPr>
      <w:bookmarkStart w:id="5408" w:name="Bookmark_para_63_1"/>
      <w:bookmarkEnd w:id="5408"/>
      <w:r>
        <w:rPr>
          <w:rFonts w:ascii="Arial" w:eastAsia="Arial" w:hAnsi="Arial" w:cs="Arial"/>
          <w:color w:val="000000"/>
          <w:sz w:val="20"/>
        </w:rPr>
        <w:t xml:space="preserve">The Plaintiffs take the use of "space" in the Design Standards to extremes. Their starting point is 1991 Standard 4.1.1. Aplee. Br. 46. This standard provides that "[a]ll areas of newly designed or newly constructed buildings and facilities </w:t>
      </w:r>
      <w:r>
        <w:rPr>
          <w:rFonts w:ascii="Arial" w:eastAsia="Arial" w:hAnsi="Arial" w:cs="Arial"/>
          <w:color w:val="000000"/>
          <w:sz w:val="20"/>
          <w:u w:val="single"/>
        </w:rPr>
        <w:t>required to be accessible by 4.1.2 and 4.1.3</w:t>
      </w:r>
      <w:r>
        <w:rPr>
          <w:rFonts w:ascii="Arial" w:eastAsia="Arial" w:hAnsi="Arial" w:cs="Arial"/>
          <w:color w:val="000000"/>
          <w:sz w:val="20"/>
        </w:rPr>
        <w:t xml:space="preserve"> . . . shall comply with these guidelines." 1991 Standard 4.1.1(1) (emphasis added).  [*1222]  Contrary to the Plaintiffs' suggestion, Aplee. Br. 45-46, this standard does not say that "all areas" must be accessible, but rather that areas must be accessible when </w:t>
      </w:r>
      <w:r>
        <w:rPr>
          <w:rFonts w:ascii="Arial" w:eastAsia="Arial" w:hAnsi="Arial" w:cs="Arial"/>
          <w:color w:val="000000"/>
          <w:sz w:val="20"/>
          <w:u w:val="single"/>
        </w:rPr>
        <w:t>other standards require accessibility</w:t>
      </w:r>
      <w:r>
        <w:rPr>
          <w:rFonts w:ascii="Arial" w:eastAsia="Arial" w:hAnsi="Arial" w:cs="Arial"/>
          <w:color w:val="000000"/>
          <w:sz w:val="20"/>
        </w:rPr>
        <w:t xml:space="preserve">. So we must keep looking. Turning to the first standard listed, 4.1.2 provides that an accessible route "shall connect accessible buildings, accessible facilities, accessible elements, and </w:t>
      </w:r>
      <w:r>
        <w:rPr>
          <w:rFonts w:ascii="Arial" w:eastAsia="Arial" w:hAnsi="Arial" w:cs="Arial"/>
          <w:color w:val="000000"/>
          <w:sz w:val="20"/>
          <w:u w:val="single"/>
        </w:rPr>
        <w:t>accessible spaces</w:t>
      </w:r>
      <w:r>
        <w:rPr>
          <w:rFonts w:ascii="Arial" w:eastAsia="Arial" w:hAnsi="Arial" w:cs="Arial"/>
          <w:color w:val="000000"/>
          <w:sz w:val="20"/>
        </w:rPr>
        <w:t xml:space="preserve"> that are on the [**39]  same site." 1991 Standard 4.1.2(2) (emphasis added). Similarly, 4.1.3 requires an accessible route connecting all "accessible building or facility entrances with all </w:t>
      </w:r>
      <w:r>
        <w:rPr>
          <w:rFonts w:ascii="Arial" w:eastAsia="Arial" w:hAnsi="Arial" w:cs="Arial"/>
          <w:color w:val="000000"/>
          <w:sz w:val="20"/>
          <w:u w:val="single"/>
        </w:rPr>
        <w:t>accessible spaces</w:t>
      </w:r>
      <w:r>
        <w:rPr>
          <w:rFonts w:ascii="Arial" w:eastAsia="Arial" w:hAnsi="Arial" w:cs="Arial"/>
          <w:color w:val="000000"/>
          <w:sz w:val="20"/>
        </w:rPr>
        <w:t xml:space="preserve"> and elements within a building or facility." 1991 Standards 4.1.3(1) (emphasis added). By their plain text, these standards do not require "spaces" to be accessible; rather, they assume that the mentioned space is already an "accessible space," i.e., that another standard requires it to "compl[y] with these guidelines." 1991 Standard 3.5.</w:t>
      </w:r>
    </w:p>
    <w:p w14:paraId="666DAFCC" w14:textId="77777777" w:rsidR="002D0E71" w:rsidRDefault="00000000">
      <w:pPr>
        <w:pStyle w:val="Normal38"/>
        <w:widowControl w:val="0"/>
        <w:spacing w:before="200" w:line="260" w:lineRule="atLeast"/>
        <w:jc w:val="both"/>
      </w:pPr>
      <w:bookmarkStart w:id="5409" w:name="Bookmark_para_64_1"/>
      <w:bookmarkEnd w:id="5409"/>
      <w:r>
        <w:rPr>
          <w:rFonts w:ascii="Arial" w:eastAsia="Arial" w:hAnsi="Arial" w:cs="Arial"/>
          <w:color w:val="000000"/>
          <w:sz w:val="20"/>
        </w:rPr>
        <w:t xml:space="preserve">Throughout the Design Standards, the term "space" is seldom used apart from the modifier "accessible." </w:t>
      </w:r>
      <w:r>
        <w:rPr>
          <w:rFonts w:ascii="Arial" w:eastAsia="Arial" w:hAnsi="Arial" w:cs="Arial"/>
          <w:color w:val="000000"/>
          <w:sz w:val="20"/>
          <w:u w:val="single"/>
        </w:rPr>
        <w:t>See, e.g</w:t>
      </w:r>
      <w:r>
        <w:rPr>
          <w:rFonts w:ascii="Arial" w:eastAsia="Arial" w:hAnsi="Arial" w:cs="Arial"/>
          <w:color w:val="000000"/>
          <w:sz w:val="20"/>
        </w:rPr>
        <w:t xml:space="preserve">., 1991 Standard 4.3.2(2) ("At least one accessible route shall connect accessible . . . spaces."); </w:t>
      </w:r>
      <w:r>
        <w:rPr>
          <w:rFonts w:ascii="Arial" w:eastAsia="Arial" w:hAnsi="Arial" w:cs="Arial"/>
          <w:color w:val="000000"/>
          <w:sz w:val="20"/>
          <w:u w:val="single"/>
        </w:rPr>
        <w:t>id</w:t>
      </w:r>
      <w:r>
        <w:rPr>
          <w:rFonts w:ascii="Arial" w:eastAsia="Arial" w:hAnsi="Arial" w:cs="Arial"/>
          <w:color w:val="000000"/>
          <w:sz w:val="20"/>
        </w:rPr>
        <w:t xml:space="preserve">. 4.3.10 ("Accessible routes serving any accessible spaces"); </w:t>
      </w:r>
      <w:r>
        <w:rPr>
          <w:rFonts w:ascii="Arial" w:eastAsia="Arial" w:hAnsi="Arial" w:cs="Arial"/>
          <w:color w:val="000000"/>
          <w:sz w:val="20"/>
          <w:u w:val="single"/>
        </w:rPr>
        <w:t>id</w:t>
      </w:r>
      <w:r>
        <w:rPr>
          <w:rFonts w:ascii="Arial" w:eastAsia="Arial" w:hAnsi="Arial" w:cs="Arial"/>
          <w:color w:val="000000"/>
          <w:sz w:val="20"/>
        </w:rPr>
        <w:t xml:space="preserve">. 4.5.1 ("Ground and floor surfaces along accessible routes and in accessible rooms and spaces"); </w:t>
      </w:r>
      <w:r>
        <w:rPr>
          <w:rFonts w:ascii="Arial" w:eastAsia="Arial" w:hAnsi="Arial" w:cs="Arial"/>
          <w:color w:val="000000"/>
          <w:sz w:val="20"/>
          <w:u w:val="single"/>
        </w:rPr>
        <w:t>id</w:t>
      </w:r>
      <w:r>
        <w:rPr>
          <w:rFonts w:ascii="Arial" w:eastAsia="Arial" w:hAnsi="Arial" w:cs="Arial"/>
          <w:color w:val="000000"/>
          <w:sz w:val="20"/>
        </w:rPr>
        <w:t>. 4.14.1 ("Entrances required to be accessible by 4.1 shall . . . be connected by an accessible route to all accessible spaces."). The term "accessible space" is a placeholder, used throughout the standards to denote compliance with other standards regulating areas that fall under the expansive definition [**40]  of "space" (e.g., those for toilet rooms (4.22), assembly areas (4.33), entrances (4.14), and storage rooms (4.25)).</w:t>
      </w:r>
    </w:p>
    <w:p w14:paraId="18FE0804" w14:textId="77777777" w:rsidR="002D0E71" w:rsidRDefault="00000000">
      <w:pPr>
        <w:pStyle w:val="Normal38"/>
        <w:widowControl w:val="0"/>
        <w:spacing w:before="200" w:line="260" w:lineRule="atLeast"/>
        <w:jc w:val="both"/>
      </w:pPr>
      <w:bookmarkStart w:id="5410" w:name="Bookmark_para_65_1"/>
      <w:bookmarkStart w:id="5411" w:name="Bookmark_I5D7DD4P2N1RRF0020000400"/>
      <w:bookmarkEnd w:id="5410"/>
      <w:bookmarkEnd w:id="5411"/>
      <w:r>
        <w:rPr>
          <w:rFonts w:ascii="Arial" w:eastAsia="Arial" w:hAnsi="Arial" w:cs="Arial"/>
          <w:color w:val="000000"/>
          <w:sz w:val="20"/>
        </w:rPr>
        <w:t xml:space="preserve">Simply put, the Plaintiffs cannot point to any standard stating that every "space" shall be an "accessible space." The standards clearly indicate when something that qualifies as a "space" must be accessible, e.g., by stating that certain "entrances . . . must be accessible." 1991 Standard 4.1.3(8)(a)(i). But there is no similar requirement for "spaces" generally. To defer to the DOJ's position—the "Standards guarantee people with disabilities physical access to spaces," U.S. Br. 14—"would be to permit the agency, under the guise of interpreting a regulation, to create </w:t>
      </w:r>
      <w:r>
        <w:rPr>
          <w:rFonts w:ascii="Arial" w:eastAsia="Arial" w:hAnsi="Arial" w:cs="Arial"/>
          <w:color w:val="000000"/>
          <w:sz w:val="20"/>
          <w:u w:val="single"/>
        </w:rPr>
        <w:t>de facto</w:t>
      </w:r>
      <w:r>
        <w:rPr>
          <w:rFonts w:ascii="Arial" w:eastAsia="Arial" w:hAnsi="Arial" w:cs="Arial"/>
          <w:color w:val="000000"/>
          <w:sz w:val="20"/>
        </w:rPr>
        <w:t xml:space="preserve"> a new regulation." </w:t>
      </w:r>
      <w:bookmarkStart w:id="5412" w:name="Bookmark_I5D7DD4P2N1RRF0010000400"/>
      <w:bookmarkEnd w:id="5412"/>
      <w:r>
        <w:rPr>
          <w:rFonts w:ascii="Arial" w:eastAsia="Arial" w:hAnsi="Arial" w:cs="Arial"/>
          <w:color w:val="000000"/>
          <w:sz w:val="20"/>
          <w:u w:val="single"/>
        </w:rPr>
        <w:t>Christensen v. Harris Cnty</w:t>
      </w:r>
      <w:r>
        <w:rPr>
          <w:rFonts w:ascii="Arial" w:eastAsia="Arial" w:hAnsi="Arial" w:cs="Arial"/>
          <w:color w:val="000000"/>
          <w:sz w:val="20"/>
        </w:rPr>
        <w:t>., 529 U.S. 576, 588, 120 S. Ct. 1655, 146 L. Ed. 2d 621 (2000). The standards are not ambiguous: the expansive definition of "space" is not an independent accessibility requirement. It was error for the district court to require that the porch be accessible because it is simply a "space."</w:t>
      </w:r>
      <w:r>
        <w:rPr>
          <w:rFonts w:ascii="Arial" w:eastAsia="Arial" w:hAnsi="Arial" w:cs="Arial"/>
          <w:vertAlign w:val="superscript"/>
        </w:rPr>
        <w:footnoteReference w:customMarkFollows="1" w:id="209"/>
        <w:t>7</w:t>
      </w:r>
    </w:p>
    <w:p w14:paraId="6486524D" w14:textId="77777777" w:rsidR="002D0E71" w:rsidRDefault="00000000">
      <w:pPr>
        <w:pStyle w:val="Normal38"/>
        <w:widowControl w:val="0"/>
        <w:spacing w:before="200" w:line="260" w:lineRule="atLeast"/>
        <w:jc w:val="both"/>
      </w:pPr>
      <w:bookmarkStart w:id="5417" w:name="Bookmark_para_66_1"/>
      <w:bookmarkStart w:id="5418" w:name="Bookmark_I5D7DD502D6MVN0010000400"/>
      <w:bookmarkEnd w:id="5417"/>
      <w:bookmarkEnd w:id="5418"/>
      <w:r>
        <w:rPr>
          <w:rFonts w:ascii="Arial" w:eastAsia="Arial" w:hAnsi="Arial" w:cs="Arial"/>
          <w:color w:val="000000"/>
          <w:sz w:val="20"/>
        </w:rPr>
        <w:t xml:space="preserve">The dissent reaches the opposite conclusion. Our principal disagreement concerns whether the standards require "all areas" or "spaces" to be accessible outright unless  [*1223]  expressly exempted. As discussed, this expansive reading is untenable given the standards' repeated reference to "accessible spaces" and the specific standards regulating those areas that fall under the definition of "space." </w:t>
      </w:r>
      <w:r>
        <w:rPr>
          <w:rFonts w:ascii="Arial" w:eastAsia="Arial" w:hAnsi="Arial" w:cs="Arial"/>
          <w:color w:val="000000"/>
          <w:sz w:val="20"/>
          <w:u w:val="single"/>
        </w:rPr>
        <w:t xml:space="preserve">See </w:t>
      </w:r>
      <w:bookmarkStart w:id="5419" w:name="Bookmark_I5D7DD4P2N1RRF0050000400"/>
      <w:bookmarkEnd w:id="5419"/>
      <w:r>
        <w:rPr>
          <w:rFonts w:ascii="Arial" w:eastAsia="Arial" w:hAnsi="Arial" w:cs="Arial"/>
          <w:color w:val="000000"/>
          <w:sz w:val="20"/>
          <w:u w:val="single"/>
        </w:rPr>
        <w:t>Morales v. Trans World Airlines, Inc</w:t>
      </w:r>
      <w:r>
        <w:rPr>
          <w:rFonts w:ascii="Arial" w:eastAsia="Arial" w:hAnsi="Arial" w:cs="Arial"/>
          <w:color w:val="000000"/>
          <w:sz w:val="20"/>
        </w:rPr>
        <w:t>., 504 U.S. 374, 384, 112 S. Ct. 2031, 119 L. Ed. 2d 157 (1992) (</w:t>
      </w:r>
      <w:bookmarkStart w:id="5420" w:name="Bookmark_LNHNREFclscc26_1"/>
      <w:bookmarkEnd w:id="5420"/>
      <w:r>
        <w:rPr>
          <w:rFonts w:ascii="Arial" w:eastAsia="Arial" w:hAnsi="Arial" w:cs="Arial"/>
          <w:color w:val="000000"/>
          <w:sz w:val="20"/>
        </w:rPr>
        <w:t>"[I]t is a commonplace of statutory [**42]  construction that the specific governs the general."). Even so, the idea that the porch is a "lobby" or "customer lounge" is a weak one, as the porch is not a destination in itself but a means of passage into the store. The standards provide no safety if an entity complies with the guidelines plainly regulating a contemplated feature (e.g., an "access point to a building or portion of a building or facility used for the purpose of entering," i.e., an "entrance," 1991 Standard 3.5) only later to be told that the feature is also a "space" that must be accessible unless fitting into a limited exemption. That is not the thrust of the highly detailed ADA regulations.</w:t>
      </w:r>
    </w:p>
    <w:p w14:paraId="10102D71" w14:textId="77777777" w:rsidR="002D0E71" w:rsidRDefault="00000000">
      <w:pPr>
        <w:pStyle w:val="Normal38"/>
        <w:widowControl w:val="0"/>
        <w:spacing w:before="120" w:line="260" w:lineRule="atLeast"/>
      </w:pPr>
      <w:r>
        <w:rPr>
          <w:rFonts w:ascii="Arial" w:eastAsia="Arial" w:hAnsi="Arial" w:cs="Arial"/>
          <w:color w:val="000000"/>
          <w:sz w:val="20"/>
        </w:rPr>
        <w:t xml:space="preserve">C. </w:t>
      </w:r>
      <w:r>
        <w:rPr>
          <w:rFonts w:ascii="Arial" w:eastAsia="Arial" w:hAnsi="Arial" w:cs="Arial"/>
          <w:color w:val="000000"/>
          <w:sz w:val="20"/>
          <w:u w:val="single"/>
        </w:rPr>
        <w:t>Entrance Standards: "Majority of People" Requirement</w:t>
      </w:r>
    </w:p>
    <w:p w14:paraId="57ABF6E1" w14:textId="77777777" w:rsidR="002D0E71" w:rsidRDefault="00000000">
      <w:pPr>
        <w:pStyle w:val="Normal38"/>
        <w:widowControl w:val="0"/>
        <w:spacing w:before="200" w:line="260" w:lineRule="atLeast"/>
        <w:jc w:val="both"/>
      </w:pPr>
      <w:bookmarkStart w:id="5421" w:name="Bookmark_para_67_1"/>
      <w:bookmarkEnd w:id="5421"/>
      <w:r>
        <w:rPr>
          <w:rFonts w:ascii="Arial" w:eastAsia="Arial" w:hAnsi="Arial" w:cs="Arial"/>
          <w:color w:val="000000"/>
          <w:sz w:val="20"/>
        </w:rPr>
        <w:t xml:space="preserve">Abercrombie argues that the district court erred by holding that Hollister's porches violated Design Standards regulating entrances. Specifically, it argues the court erred by finding noncompliance with 1991 Standard 4.1.3(8). Aplt. Br. 39. </w:t>
      </w:r>
      <w:bookmarkStart w:id="5422" w:name="Bookmark_LNHNREFclscc27_0"/>
      <w:bookmarkEnd w:id="5422"/>
      <w:r>
        <w:rPr>
          <w:rFonts w:ascii="Arial" w:eastAsia="Arial" w:hAnsi="Arial" w:cs="Arial"/>
          <w:color w:val="000000"/>
          <w:sz w:val="20"/>
        </w:rPr>
        <w:t>That standard provides that</w:t>
      </w:r>
    </w:p>
    <w:p w14:paraId="7B2B03BB" w14:textId="77777777" w:rsidR="002D0E71" w:rsidRDefault="00000000">
      <w:pPr>
        <w:pStyle w:val="Normal38"/>
        <w:widowControl w:val="0"/>
        <w:spacing w:line="260" w:lineRule="atLeast"/>
        <w:ind w:left="400"/>
        <w:jc w:val="both"/>
      </w:pPr>
      <w:bookmarkStart w:id="5423" w:name="Bookmark_para_68_1"/>
      <w:bookmarkEnd w:id="5423"/>
      <w:r>
        <w:rPr>
          <w:rFonts w:ascii="Arial" w:eastAsia="Arial" w:hAnsi="Arial" w:cs="Arial"/>
          <w:color w:val="000000"/>
          <w:sz w:val="20"/>
        </w:rPr>
        <w:t>(a)(i) At least 50% of all public entrances . . . must be accessible. At least one must be a ground floor entrance. Public entrances are any entrances that are not loading or service entrances.</w:t>
      </w:r>
    </w:p>
    <w:p w14:paraId="3C3B0FA6" w14:textId="77777777" w:rsidR="002D0E71" w:rsidRDefault="00000000">
      <w:pPr>
        <w:pStyle w:val="Normal38"/>
        <w:widowControl w:val="0"/>
        <w:spacing w:before="200" w:line="260" w:lineRule="atLeast"/>
        <w:ind w:left="400"/>
        <w:jc w:val="both"/>
      </w:pPr>
      <w:bookmarkStart w:id="5424" w:name="Bookmark_para_69_1"/>
      <w:bookmarkEnd w:id="5424"/>
      <w:r>
        <w:rPr>
          <w:rFonts w:ascii="Arial" w:eastAsia="Arial" w:hAnsi="Arial" w:cs="Arial"/>
          <w:color w:val="000000"/>
          <w:sz w:val="20"/>
        </w:rPr>
        <w:t>(ii) Accessible [**43]  entrances must be provided in a number at least equivalent to the number of exists required by the applicable building/fire codes. (This paragraph does not require an increase in the total number of entrances planned for a facility.)</w:t>
      </w:r>
    </w:p>
    <w:p w14:paraId="40D430BE" w14:textId="77777777" w:rsidR="002D0E71" w:rsidRDefault="00000000">
      <w:pPr>
        <w:pStyle w:val="Normal38"/>
        <w:widowControl w:val="0"/>
        <w:spacing w:line="260" w:lineRule="atLeast"/>
        <w:ind w:left="400"/>
        <w:jc w:val="both"/>
      </w:pPr>
      <w:bookmarkStart w:id="5425" w:name="Bookmark_para_70_1"/>
      <w:bookmarkEnd w:id="5425"/>
      <w:r>
        <w:rPr>
          <w:rFonts w:ascii="Arial" w:eastAsia="Arial" w:hAnsi="Arial" w:cs="Arial"/>
          <w:color w:val="000000"/>
          <w:sz w:val="20"/>
        </w:rPr>
        <w:t>(iii) An accessible entrance must be provided to each tenancy in a facility (for example, individual stores in a strip shopping center).</w:t>
      </w:r>
    </w:p>
    <w:p w14:paraId="275EAFE8" w14:textId="77777777" w:rsidR="002D0E71" w:rsidRDefault="00000000">
      <w:pPr>
        <w:pStyle w:val="Normal38"/>
        <w:widowControl w:val="0"/>
        <w:spacing w:line="260" w:lineRule="atLeast"/>
        <w:ind w:left="400"/>
        <w:jc w:val="both"/>
      </w:pPr>
      <w:bookmarkStart w:id="5426" w:name="Bookmark_para_71_1"/>
      <w:bookmarkEnd w:id="5426"/>
      <w:r>
        <w:rPr>
          <w:rFonts w:ascii="Arial" w:eastAsia="Arial" w:hAnsi="Arial" w:cs="Arial"/>
          <w:color w:val="000000"/>
          <w:sz w:val="20"/>
        </w:rPr>
        <w:t>One entrance may be considered as meeting more than one of the requirements in (a). Where feasible, accessible entrances shall be the entrances used by the majority of people visiting or working in the building.</w:t>
      </w:r>
    </w:p>
    <w:p w14:paraId="768F2AAC" w14:textId="77777777" w:rsidR="002D0E71" w:rsidRDefault="00000000">
      <w:pPr>
        <w:pStyle w:val="Normal38"/>
        <w:widowControl w:val="0"/>
        <w:spacing w:line="260" w:lineRule="atLeast"/>
        <w:jc w:val="both"/>
      </w:pPr>
      <w:r>
        <w:rPr>
          <w:rFonts w:ascii="Arial" w:eastAsia="Arial" w:hAnsi="Arial" w:cs="Arial"/>
          <w:color w:val="000000"/>
          <w:sz w:val="20"/>
        </w:rPr>
        <w:t>1991 Standard 4.1.3(8).</w:t>
      </w:r>
    </w:p>
    <w:p w14:paraId="6D650F0E" w14:textId="77777777" w:rsidR="002D0E71" w:rsidRDefault="00000000">
      <w:pPr>
        <w:pStyle w:val="Normal38"/>
        <w:widowControl w:val="0"/>
        <w:spacing w:before="200" w:line="260" w:lineRule="atLeast"/>
        <w:jc w:val="both"/>
      </w:pPr>
      <w:bookmarkStart w:id="5427" w:name="Bookmark_para_72_1"/>
      <w:bookmarkStart w:id="5428" w:name="Bookmark_I5D7DD502D6MVN0030000400"/>
      <w:bookmarkEnd w:id="5427"/>
      <w:bookmarkEnd w:id="5428"/>
      <w:r>
        <w:rPr>
          <w:rFonts w:ascii="Arial" w:eastAsia="Arial" w:hAnsi="Arial" w:cs="Arial"/>
          <w:color w:val="000000"/>
          <w:sz w:val="20"/>
        </w:rPr>
        <w:t xml:space="preserve">The district court held that, despite the fact that at least 50% of Hollister's public entrances are accessible, the store violated 1991 Standard 4.1.3(8)(a) because it was "obvious" that a majority of people enter through the inaccessible porch. </w:t>
      </w:r>
      <w:bookmarkStart w:id="5429" w:name="Bookmark_I5D7DD502D6MVN0020000400"/>
      <w:bookmarkEnd w:id="5429"/>
      <w:r>
        <w:rPr>
          <w:rFonts w:ascii="Arial" w:eastAsia="Arial" w:hAnsi="Arial" w:cs="Arial"/>
          <w:color w:val="000000"/>
          <w:sz w:val="20"/>
          <w:u w:val="single"/>
        </w:rPr>
        <w:t>Abercrombie &amp; Fitch Co</w:t>
      </w:r>
      <w:r>
        <w:rPr>
          <w:rFonts w:ascii="Arial" w:eastAsia="Arial" w:hAnsi="Arial" w:cs="Arial"/>
          <w:color w:val="000000"/>
          <w:sz w:val="20"/>
        </w:rPr>
        <w:t xml:space="preserve">., 835 F. Supp. 2d at 1082; </w:t>
      </w:r>
      <w:r>
        <w:rPr>
          <w:rFonts w:ascii="Arial" w:eastAsia="Arial" w:hAnsi="Arial" w:cs="Arial"/>
          <w:color w:val="000000"/>
          <w:sz w:val="20"/>
          <w:u w:val="single"/>
        </w:rPr>
        <w:t xml:space="preserve">see also </w:t>
      </w:r>
      <w:bookmarkStart w:id="5430" w:name="Bookmark_I5D7DD502D6MVN0040000400"/>
      <w:bookmarkEnd w:id="5430"/>
      <w:r>
        <w:rPr>
          <w:rFonts w:ascii="Arial" w:eastAsia="Arial" w:hAnsi="Arial" w:cs="Arial"/>
          <w:color w:val="000000"/>
          <w:sz w:val="20"/>
          <w:u w:val="single"/>
        </w:rPr>
        <w:t>Abercrombie &amp; Fitch Co</w:t>
      </w:r>
      <w:r>
        <w:rPr>
          <w:rFonts w:ascii="Arial" w:eastAsia="Arial" w:hAnsi="Arial" w:cs="Arial"/>
          <w:color w:val="000000"/>
          <w:sz w:val="20"/>
        </w:rPr>
        <w:t xml:space="preserve">., 957 F. Supp. 2d at 1279. Abercrombie raises two arguments: (1) that the 2010 Standards eliminated the "majority of people" requirement, thus releasing Abercrombie from this burden; and (2) even if this requirement is effective, the Plaintiffs offered no evidence of how many people enter Hollister stores through the center porch compared to the two side entrances. [**44]  </w:t>
      </w:r>
      <w:r>
        <w:rPr>
          <w:rFonts w:ascii="Arial" w:eastAsia="Arial" w:hAnsi="Arial" w:cs="Arial"/>
          <w:color w:val="000000"/>
          <w:sz w:val="20"/>
          <w:u w:val="single"/>
        </w:rPr>
        <w:t>Id</w:t>
      </w:r>
      <w:r>
        <w:rPr>
          <w:rFonts w:ascii="Arial" w:eastAsia="Arial" w:hAnsi="Arial" w:cs="Arial"/>
          <w:color w:val="000000"/>
          <w:sz w:val="20"/>
        </w:rPr>
        <w:t>. at 39. Abercrombie is correct on both points.</w:t>
      </w:r>
    </w:p>
    <w:p w14:paraId="58FF6E9E" w14:textId="77777777" w:rsidR="002D0E71" w:rsidRDefault="00000000">
      <w:pPr>
        <w:pStyle w:val="Normal38"/>
        <w:widowControl w:val="0"/>
        <w:spacing w:before="200" w:line="260" w:lineRule="atLeast"/>
        <w:jc w:val="both"/>
      </w:pPr>
      <w:bookmarkStart w:id="5431" w:name="Bookmark_para_73_1"/>
      <w:bookmarkEnd w:id="5431"/>
      <w:r>
        <w:rPr>
          <w:rFonts w:ascii="Arial" w:eastAsia="Arial" w:hAnsi="Arial" w:cs="Arial"/>
          <w:color w:val="000000"/>
          <w:sz w:val="20"/>
        </w:rPr>
        <w:t xml:space="preserve">As mentioned, </w:t>
      </w:r>
      <w:bookmarkStart w:id="5432" w:name="Bookmark_LNHNREFclscc28_0"/>
      <w:bookmarkEnd w:id="5432"/>
      <w:r>
        <w:rPr>
          <w:rFonts w:ascii="Arial" w:eastAsia="Arial" w:hAnsi="Arial" w:cs="Arial"/>
          <w:color w:val="000000"/>
          <w:sz w:val="20"/>
        </w:rPr>
        <w:t xml:space="preserve">the 1991 Standard required, among several other things, that "[a]t least 50% of all public entrances . . . must be accessible." 1991 Standard 4.1.3(8)(a)(i). In 2010, the DOJ simplified its entrance standards, providing that "at least 60 percent of all public entrances shall [be accessible]." 2010 Standard 206.4.1. The 2010 Standard omits any reference to the 1991 "majority of people" language. In other words, while the 1991 Standard regulated how many </w:t>
      </w:r>
      <w:r>
        <w:rPr>
          <w:rFonts w:ascii="Arial" w:eastAsia="Arial" w:hAnsi="Arial" w:cs="Arial"/>
          <w:color w:val="000000"/>
          <w:sz w:val="20"/>
          <w:u w:val="single"/>
        </w:rPr>
        <w:t>and</w:t>
      </w:r>
      <w:r>
        <w:rPr>
          <w:rFonts w:ascii="Arial" w:eastAsia="Arial" w:hAnsi="Arial" w:cs="Arial"/>
          <w:color w:val="000000"/>
          <w:sz w:val="20"/>
        </w:rPr>
        <w:t xml:space="preserve"> which entrances must be accessible (if feasible), the 2010 Standard simply regulates how  [*1224]  many entrances must be accessible. The Plaintiffs' only argument against this reading is that the DOJ intended the 2010 revision to have the "same result" as the 1991 Standard. Aplee. Br. 51 (quoting 28 C.F.R. pt. 36, app B, at 835). However, the "same result" envisioned was the overall level of accessibility, not any continued requirement about which entrances must be accessible. </w:t>
      </w:r>
      <w:r>
        <w:rPr>
          <w:rFonts w:ascii="Arial" w:eastAsia="Arial" w:hAnsi="Arial" w:cs="Arial"/>
          <w:color w:val="000000"/>
          <w:sz w:val="20"/>
          <w:u w:val="single"/>
        </w:rPr>
        <w:t>See</w:t>
      </w:r>
      <w:r>
        <w:rPr>
          <w:rFonts w:ascii="Arial" w:eastAsia="Arial" w:hAnsi="Arial" w:cs="Arial"/>
          <w:color w:val="000000"/>
          <w:sz w:val="20"/>
        </w:rPr>
        <w:t xml:space="preserve"> 28 C.F.R. pt. 36, app B, at 835. We thus agree with Abercrombie that, by abandoning the dual requirements of the 1991 Standard in favor of a straightforward percentage-of-entrances requirement, the 2010 Standard "reduce[d] the technical requirements" of the 1991 Standard. [**45]  </w:t>
      </w:r>
      <w:r>
        <w:rPr>
          <w:rFonts w:ascii="Arial" w:eastAsia="Arial" w:hAnsi="Arial" w:cs="Arial"/>
          <w:color w:val="000000"/>
          <w:sz w:val="20"/>
          <w:u w:val="single"/>
        </w:rPr>
        <w:t>See</w:t>
      </w:r>
      <w:r>
        <w:rPr>
          <w:rFonts w:ascii="Arial" w:eastAsia="Arial" w:hAnsi="Arial" w:cs="Arial"/>
          <w:color w:val="000000"/>
          <w:sz w:val="20"/>
        </w:rPr>
        <w:t xml:space="preserve"> 28 C.F.R. § 36.211(c). Therefore, Abercrombie need only comply with the simpler method of compliance—that a certain percentage of its public entrances be accessible.</w:t>
      </w:r>
      <w:r>
        <w:rPr>
          <w:rFonts w:ascii="Arial" w:eastAsia="Arial" w:hAnsi="Arial" w:cs="Arial"/>
          <w:vertAlign w:val="superscript"/>
        </w:rPr>
        <w:footnoteReference w:customMarkFollows="1" w:id="210"/>
        <w:t>8</w:t>
      </w:r>
      <w:r>
        <w:rPr>
          <w:rFonts w:ascii="Arial" w:eastAsia="Arial" w:hAnsi="Arial" w:cs="Arial"/>
          <w:color w:val="000000"/>
          <w:sz w:val="20"/>
        </w:rPr>
        <w:t xml:space="preserve"> </w:t>
      </w:r>
      <w:r>
        <w:rPr>
          <w:rFonts w:ascii="Arial" w:eastAsia="Arial" w:hAnsi="Arial" w:cs="Arial"/>
          <w:color w:val="000000"/>
          <w:sz w:val="20"/>
          <w:u w:val="single"/>
        </w:rPr>
        <w:t>See</w:t>
      </w:r>
      <w:r>
        <w:rPr>
          <w:rFonts w:ascii="Arial" w:eastAsia="Arial" w:hAnsi="Arial" w:cs="Arial"/>
          <w:color w:val="000000"/>
          <w:sz w:val="20"/>
        </w:rPr>
        <w:t xml:space="preserve"> 2010 Standard 206.4.1.</w:t>
      </w:r>
    </w:p>
    <w:p w14:paraId="5A4377D7" w14:textId="77777777" w:rsidR="002D0E71" w:rsidRDefault="00000000">
      <w:pPr>
        <w:pStyle w:val="Normal38"/>
        <w:widowControl w:val="0"/>
        <w:spacing w:before="200" w:line="260" w:lineRule="atLeast"/>
        <w:jc w:val="both"/>
      </w:pPr>
      <w:bookmarkStart w:id="5436" w:name="Bookmark_para_74_1"/>
      <w:bookmarkEnd w:id="5436"/>
      <w:r>
        <w:rPr>
          <w:rFonts w:ascii="Arial" w:eastAsia="Arial" w:hAnsi="Arial" w:cs="Arial"/>
          <w:color w:val="000000"/>
          <w:sz w:val="20"/>
        </w:rPr>
        <w:t>To be sure, the new method is simpler. Although the Plaintiffs sought summary judgment that the porch was used by a majority of people visiting or working in the store (and the district court viewed it as apparent), no evidence supports that proposition. We need not decide whether the porch designer's intentions or actual empirical evidence concerning porch use by visitors or employees would have been necessary to create a triable issue.</w:t>
      </w:r>
      <w:r>
        <w:rPr>
          <w:rFonts w:ascii="Arial" w:eastAsia="Arial" w:hAnsi="Arial" w:cs="Arial"/>
          <w:vertAlign w:val="superscript"/>
        </w:rPr>
        <w:footnoteReference w:customMarkFollows="1" w:id="211"/>
        <w:t>9</w:t>
      </w:r>
      <w:r>
        <w:rPr>
          <w:rFonts w:ascii="Arial" w:eastAsia="Arial" w:hAnsi="Arial" w:cs="Arial"/>
          <w:color w:val="000000"/>
          <w:sz w:val="20"/>
        </w:rPr>
        <w:t xml:space="preserve"> Given three side-by-side entrances, logic [**46]  alone will not suffice. The Plaintiffs assert that the porch was intended to be used by the majority of people. Aplee. Br. 50. Abercrombie maintains that it is just as likely that the majority of people prefer a more direct route (all entrances have the same terminus) rather than ascending and descending the porch. </w:t>
      </w:r>
      <w:r>
        <w:rPr>
          <w:rFonts w:ascii="Arial" w:eastAsia="Arial" w:hAnsi="Arial" w:cs="Arial"/>
          <w:color w:val="000000"/>
          <w:sz w:val="20"/>
          <w:u w:val="single"/>
        </w:rPr>
        <w:t>See</w:t>
      </w:r>
      <w:r>
        <w:rPr>
          <w:rFonts w:ascii="Arial" w:eastAsia="Arial" w:hAnsi="Arial" w:cs="Arial"/>
          <w:color w:val="000000"/>
          <w:sz w:val="20"/>
        </w:rPr>
        <w:t xml:space="preserve"> III Aplt. App. 728. It is an open question, and one which we do not resolve.</w:t>
      </w:r>
      <w:r>
        <w:rPr>
          <w:rFonts w:ascii="Arial" w:eastAsia="Arial" w:hAnsi="Arial" w:cs="Arial"/>
          <w:vertAlign w:val="superscript"/>
        </w:rPr>
        <w:footnoteReference w:customMarkFollows="1" w:id="212"/>
        <w:t>10</w:t>
      </w:r>
    </w:p>
    <w:p w14:paraId="69596824" w14:textId="77777777" w:rsidR="002D0E71" w:rsidRDefault="00000000">
      <w:pPr>
        <w:pStyle w:val="Normal38"/>
        <w:widowControl w:val="0"/>
        <w:spacing w:before="200" w:line="260" w:lineRule="atLeast"/>
        <w:jc w:val="both"/>
      </w:pPr>
      <w:bookmarkStart w:id="5441" w:name="Bookmark_para_75_1"/>
      <w:bookmarkEnd w:id="5441"/>
      <w:r>
        <w:rPr>
          <w:rFonts w:ascii="Arial" w:eastAsia="Arial" w:hAnsi="Arial" w:cs="Arial"/>
          <w:color w:val="000000"/>
          <w:sz w:val="20"/>
        </w:rPr>
        <w:t>Accordingly, we hold that each of the district court's grounds for awarding the Plaintiffs summary judgment are unsupportable. It was error to impose liability on the design of Hollister stores based on "overarching aims" of the ADA. It was also error to impose liability based on the holding that the porch as a "space" must be accessible. Finally, it was error to hold that the porch must be accessible because  [*1225]  it is the entrance used by a "majority of people."</w:t>
      </w:r>
    </w:p>
    <w:p w14:paraId="25FD22A4" w14:textId="77777777" w:rsidR="002D0E71" w:rsidRDefault="00000000">
      <w:pPr>
        <w:pStyle w:val="Normal38"/>
        <w:widowControl w:val="0"/>
        <w:spacing w:before="200" w:line="260" w:lineRule="atLeast"/>
        <w:jc w:val="both"/>
      </w:pPr>
      <w:bookmarkStart w:id="5442" w:name="Bookmark_para_76_1"/>
      <w:bookmarkEnd w:id="5442"/>
      <w:r>
        <w:rPr>
          <w:rFonts w:ascii="Arial" w:eastAsia="Arial" w:hAnsi="Arial" w:cs="Arial"/>
          <w:color w:val="000000"/>
          <w:sz w:val="20"/>
        </w:rPr>
        <w:t>We AFFIRM the district court's denial of Abercrombie's summary judgment motion. We AFFIRM the district court's certification of the class. However, we REVERSE the district court's partial grant, and later full grant of summary judgment to the Plaintiffs, and we VACATE the court's permanent injunction. We REMAND this case for proceedings consistent with this opinion. All pending motions are DENIED.</w:t>
      </w:r>
    </w:p>
    <w:p w14:paraId="7B26C730" w14:textId="77777777" w:rsidR="002D0E71" w:rsidRDefault="00000000">
      <w:pPr>
        <w:pStyle w:val="Normal38"/>
        <w:widowControl w:val="0"/>
        <w:spacing w:before="240" w:line="260" w:lineRule="atLeast"/>
      </w:pPr>
      <w:r>
        <w:br/>
      </w:r>
      <w:r>
        <w:rPr>
          <w:rFonts w:ascii="Arial" w:eastAsia="Arial" w:hAnsi="Arial" w:cs="Arial"/>
          <w:b/>
          <w:color w:val="000000"/>
          <w:sz w:val="20"/>
        </w:rPr>
        <w:t>ATTACHMENT 1</w:t>
      </w:r>
    </w:p>
    <w:p w14:paraId="19B485EF" w14:textId="143AACC9" w:rsidR="002D0E71" w:rsidRDefault="002939DF">
      <w:pPr>
        <w:pStyle w:val="Normal38"/>
        <w:widowControl w:val="0"/>
        <w:spacing w:before="200" w:line="260" w:lineRule="atLeast"/>
        <w:jc w:val="both"/>
      </w:pPr>
      <w:bookmarkStart w:id="5443" w:name="Bookmark_para_77_1"/>
      <w:bookmarkEnd w:id="5443"/>
      <w:r>
        <w:rPr>
          <w:noProof/>
        </w:rPr>
        <w:drawing>
          <wp:inline distT="0" distB="0" distL="0" distR="0" wp14:anchorId="26FB4B4C" wp14:editId="78D165C8">
            <wp:extent cx="3943350" cy="295656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3943350" cy="2956560"/>
                    </a:xfrm>
                    <a:prstGeom prst="rect">
                      <a:avLst/>
                    </a:prstGeom>
                    <a:noFill/>
                    <a:ln>
                      <a:noFill/>
                    </a:ln>
                  </pic:spPr>
                </pic:pic>
              </a:graphicData>
            </a:graphic>
          </wp:inline>
        </w:drawing>
      </w:r>
    </w:p>
    <w:p w14:paraId="3D82E14A" w14:textId="77777777" w:rsidR="002D0E71" w:rsidRDefault="00000000">
      <w:pPr>
        <w:pStyle w:val="Normal38"/>
        <w:widowControl w:val="0"/>
        <w:spacing w:before="240" w:line="260" w:lineRule="atLeast"/>
      </w:pPr>
      <w:r>
        <w:br/>
      </w:r>
      <w:r>
        <w:rPr>
          <w:rFonts w:ascii="Arial" w:eastAsia="Arial" w:hAnsi="Arial" w:cs="Arial"/>
          <w:b/>
          <w:color w:val="000000"/>
          <w:sz w:val="20"/>
        </w:rPr>
        <w:t>ATTACHMENT</w:t>
      </w:r>
      <w:r>
        <w:rPr>
          <w:rFonts w:ascii="Arial" w:eastAsia="Arial" w:hAnsi="Arial" w:cs="Arial"/>
          <w:color w:val="000000"/>
          <w:sz w:val="20"/>
        </w:rPr>
        <w:t> [**48] </w:t>
      </w:r>
      <w:r>
        <w:rPr>
          <w:rFonts w:ascii="Arial" w:eastAsia="Arial" w:hAnsi="Arial" w:cs="Arial"/>
          <w:b/>
          <w:color w:val="000000"/>
          <w:sz w:val="20"/>
        </w:rPr>
        <w:t xml:space="preserve"> 2</w:t>
      </w:r>
    </w:p>
    <w:p w14:paraId="6109A7F3" w14:textId="64CB0D36" w:rsidR="002D0E71" w:rsidRDefault="002939DF">
      <w:pPr>
        <w:pStyle w:val="Normal38"/>
        <w:widowControl w:val="0"/>
        <w:spacing w:before="200" w:line="260" w:lineRule="atLeast"/>
        <w:jc w:val="both"/>
      </w:pPr>
      <w:bookmarkStart w:id="5444" w:name="Bookmark_para_78_1"/>
      <w:bookmarkEnd w:id="5444"/>
      <w:r>
        <w:rPr>
          <w:noProof/>
        </w:rPr>
        <w:drawing>
          <wp:inline distT="0" distB="0" distL="0" distR="0" wp14:anchorId="11847077" wp14:editId="16B2CF65">
            <wp:extent cx="3931920" cy="288480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3931920" cy="2884805"/>
                    </a:xfrm>
                    <a:prstGeom prst="rect">
                      <a:avLst/>
                    </a:prstGeom>
                    <a:noFill/>
                    <a:ln>
                      <a:noFill/>
                    </a:ln>
                  </pic:spPr>
                </pic:pic>
              </a:graphicData>
            </a:graphic>
          </wp:inline>
        </w:drawing>
      </w:r>
    </w:p>
    <w:p w14:paraId="4A7D0DD6" w14:textId="77777777" w:rsidR="002D0E71" w:rsidRDefault="00000000">
      <w:pPr>
        <w:pStyle w:val="Normal38"/>
        <w:widowControl w:val="0"/>
        <w:spacing w:before="240" w:line="260" w:lineRule="atLeast"/>
      </w:pPr>
      <w:bookmarkStart w:id="5445" w:name="Concur_by_0"/>
      <w:bookmarkEnd w:id="5445"/>
      <w:r>
        <w:rPr>
          <w:rFonts w:ascii="Arial" w:eastAsia="Arial" w:hAnsi="Arial" w:cs="Arial"/>
          <w:b/>
          <w:color w:val="000000"/>
          <w:sz w:val="20"/>
        </w:rPr>
        <w:t>Concur by:</w:t>
      </w:r>
      <w:r>
        <w:rPr>
          <w:rFonts w:ascii="Arial" w:eastAsia="Arial" w:hAnsi="Arial" w:cs="Arial"/>
          <w:color w:val="000000"/>
          <w:sz w:val="20"/>
        </w:rPr>
        <w:t> McHUGH (In Part)</w:t>
      </w:r>
    </w:p>
    <w:p w14:paraId="3A88AE8C" w14:textId="77777777" w:rsidR="002D0E71" w:rsidRDefault="00000000">
      <w:pPr>
        <w:pStyle w:val="Normal38"/>
        <w:widowControl w:val="0"/>
        <w:spacing w:before="240" w:line="260" w:lineRule="atLeast"/>
      </w:pPr>
      <w:bookmarkStart w:id="5446" w:name="Dissent_by_0"/>
      <w:bookmarkEnd w:id="5446"/>
      <w:r>
        <w:rPr>
          <w:rFonts w:ascii="Arial" w:eastAsia="Arial" w:hAnsi="Arial" w:cs="Arial"/>
          <w:b/>
          <w:color w:val="000000"/>
          <w:sz w:val="20"/>
        </w:rPr>
        <w:t>Dissent by:</w:t>
      </w:r>
      <w:r>
        <w:rPr>
          <w:rFonts w:ascii="Arial" w:eastAsia="Arial" w:hAnsi="Arial" w:cs="Arial"/>
          <w:color w:val="000000"/>
          <w:sz w:val="20"/>
        </w:rPr>
        <w:t> McHUGH (In Part)</w:t>
      </w:r>
    </w:p>
    <w:p w14:paraId="289D089A" w14:textId="77777777" w:rsidR="002D0E71" w:rsidRDefault="00000000">
      <w:pPr>
        <w:pStyle w:val="Normal38"/>
        <w:keepNext/>
        <w:widowControl w:val="0"/>
        <w:spacing w:before="240" w:line="340" w:lineRule="atLeast"/>
      </w:pPr>
      <w:bookmarkStart w:id="5447" w:name="Dissent_0"/>
      <w:bookmarkEnd w:id="5447"/>
      <w:r>
        <w:rPr>
          <w:rFonts w:ascii="Arial" w:eastAsia="Arial" w:hAnsi="Arial" w:cs="Arial"/>
          <w:b/>
          <w:color w:val="000000"/>
          <w:sz w:val="28"/>
        </w:rPr>
        <w:t>Dissent</w:t>
      </w:r>
    </w:p>
    <w:p w14:paraId="2B5FCA52" w14:textId="6D3A0673" w:rsidR="002D0E71" w:rsidRDefault="002939DF">
      <w:pPr>
        <w:pStyle w:val="Normal38"/>
        <w:spacing w:line="60" w:lineRule="exact"/>
      </w:pPr>
      <w:r>
        <w:rPr>
          <w:noProof/>
        </w:rPr>
        <mc:AlternateContent>
          <mc:Choice Requires="wps">
            <w:drawing>
              <wp:anchor distT="0" distB="0" distL="114300" distR="114300" simplePos="0" relativeHeight="251739136" behindDoc="0" locked="0" layoutInCell="1" allowOverlap="1" wp14:anchorId="20DB2E25" wp14:editId="11D32B8A">
                <wp:simplePos x="0" y="0"/>
                <wp:positionH relativeFrom="column">
                  <wp:posOffset>0</wp:posOffset>
                </wp:positionH>
                <wp:positionV relativeFrom="paragraph">
                  <wp:posOffset>25400</wp:posOffset>
                </wp:positionV>
                <wp:extent cx="3187700" cy="0"/>
                <wp:effectExtent l="19050" t="15875" r="12700" b="12700"/>
                <wp:wrapTopAndBottom/>
                <wp:docPr id="207420635"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CDB448" id="Line 85"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4E1857B" w14:textId="77777777" w:rsidR="002D0E71" w:rsidRDefault="002D0E71">
      <w:pPr>
        <w:pStyle w:val="Normal38"/>
      </w:pPr>
    </w:p>
    <w:p w14:paraId="2ACA836C" w14:textId="77777777" w:rsidR="002D0E71" w:rsidRDefault="00000000">
      <w:pPr>
        <w:pStyle w:val="Normal38"/>
        <w:widowControl w:val="0"/>
        <w:spacing w:before="200" w:line="260" w:lineRule="atLeast"/>
        <w:jc w:val="both"/>
      </w:pPr>
      <w:bookmarkStart w:id="5448" w:name="Bookmark_para_79_1"/>
      <w:bookmarkEnd w:id="5448"/>
      <w:r>
        <w:rPr>
          <w:rFonts w:ascii="Arial" w:eastAsia="Arial" w:hAnsi="Arial" w:cs="Arial"/>
          <w:b/>
          <w:color w:val="000000"/>
          <w:sz w:val="20"/>
        </w:rPr>
        <w:t>McHUGH</w:t>
      </w:r>
      <w:r>
        <w:rPr>
          <w:rFonts w:ascii="Arial" w:eastAsia="Arial" w:hAnsi="Arial" w:cs="Arial"/>
          <w:color w:val="000000"/>
          <w:sz w:val="20"/>
        </w:rPr>
        <w:t>, Circuit Judge, concurring in part and dissenting in part:</w:t>
      </w:r>
    </w:p>
    <w:p w14:paraId="36208181" w14:textId="77777777" w:rsidR="002D0E71" w:rsidRDefault="00000000">
      <w:pPr>
        <w:pStyle w:val="Normal38"/>
        <w:widowControl w:val="0"/>
        <w:spacing w:before="200" w:line="260" w:lineRule="atLeast"/>
        <w:jc w:val="both"/>
      </w:pPr>
      <w:bookmarkStart w:id="5449" w:name="Bookmark_para_80_1"/>
      <w:bookmarkEnd w:id="5449"/>
      <w:r>
        <w:rPr>
          <w:rFonts w:ascii="Arial" w:eastAsia="Arial" w:hAnsi="Arial" w:cs="Arial"/>
          <w:color w:val="000000"/>
          <w:sz w:val="20"/>
        </w:rPr>
        <w:t>I concur in the majority's sound analysis and ultimate conclusion that Ms. Farrar has standing under Article III. However, I respectfully dissent from the majority's conclusion regarding numerosity. As a result, I would hold that the district court abused its discretion in certifying the class. I also respectfully dissent from the court's conclusion that Abercrombie did not violate Title III of the ADA. I would therefore affirm the injunction as it relates to the Park Meadows store but reverse the class certification order and vacate the injunction as it relates to other Hollister stores.</w:t>
      </w:r>
    </w:p>
    <w:p w14:paraId="1814FF58" w14:textId="77777777" w:rsidR="002D0E71" w:rsidRDefault="00000000">
      <w:pPr>
        <w:pStyle w:val="Normal38"/>
        <w:widowControl w:val="0"/>
        <w:spacing w:before="120" w:line="260" w:lineRule="atLeast"/>
      </w:pPr>
      <w:r>
        <w:rPr>
          <w:rFonts w:ascii="Arial" w:eastAsia="Arial" w:hAnsi="Arial" w:cs="Arial"/>
          <w:color w:val="000000"/>
          <w:sz w:val="20"/>
        </w:rPr>
        <w:t xml:space="preserve">I. </w:t>
      </w:r>
      <w:r>
        <w:rPr>
          <w:rFonts w:ascii="Arial" w:eastAsia="Arial" w:hAnsi="Arial" w:cs="Arial"/>
          <w:color w:val="000000"/>
          <w:sz w:val="20"/>
          <w:u w:val="single"/>
        </w:rPr>
        <w:t>Class Certification</w:t>
      </w:r>
    </w:p>
    <w:p w14:paraId="78947F66" w14:textId="77777777" w:rsidR="002D0E71" w:rsidRDefault="00000000">
      <w:pPr>
        <w:pStyle w:val="Normal38"/>
        <w:widowControl w:val="0"/>
        <w:spacing w:before="200" w:line="260" w:lineRule="atLeast"/>
        <w:jc w:val="both"/>
      </w:pPr>
      <w:bookmarkStart w:id="5450" w:name="Bookmark_para_81_1"/>
      <w:bookmarkEnd w:id="5450"/>
      <w:r>
        <w:rPr>
          <w:rFonts w:ascii="Arial" w:eastAsia="Arial" w:hAnsi="Arial" w:cs="Arial"/>
          <w:color w:val="000000"/>
          <w:sz w:val="20"/>
        </w:rPr>
        <w:t>I agree with most of the majority's thoughtful analysis on class certification, including the relationship of standing to class representation. But I part ways on the issue of numerosity. I would hold that at this point in the litigation, the Plaintiffs were required to present more evidence to meet their burden of establishing the numerosity requirement of Rule 23(a) of the Federal Rules of Civil Procedure, with respect to the class as defined.</w:t>
      </w:r>
    </w:p>
    <w:p w14:paraId="73E8613D" w14:textId="77777777" w:rsidR="002D0E71" w:rsidRDefault="00000000">
      <w:pPr>
        <w:pStyle w:val="Normal38"/>
        <w:widowControl w:val="0"/>
        <w:spacing w:before="200" w:line="260" w:lineRule="atLeast"/>
        <w:jc w:val="both"/>
      </w:pPr>
      <w:bookmarkStart w:id="5451" w:name="Bookmark_para_82_1"/>
      <w:bookmarkStart w:id="5452" w:name="Bookmark_I48TWVXMCGG0003XDXH00298"/>
      <w:bookmarkStart w:id="5453" w:name="Bookmark_I5D7DD7X2SF82R0010000400"/>
      <w:bookmarkEnd w:id="5451"/>
      <w:bookmarkEnd w:id="5452"/>
      <w:bookmarkEnd w:id="5453"/>
      <w:r>
        <w:rPr>
          <w:rFonts w:ascii="Arial" w:eastAsia="Arial" w:hAnsi="Arial" w:cs="Arial"/>
          <w:color w:val="000000"/>
          <w:sz w:val="20"/>
        </w:rPr>
        <w:t xml:space="preserve">In my view, the Plaintiffs have failed to establish facts from which a reasonable inference [**49]  can be drawn as to the number of members of the defined class. Rule 23(a)(1) requires that a class be "so numerous that joinder of all members is impracticable." While impracticability is not "a question of numbers," </w:t>
      </w:r>
      <w:bookmarkStart w:id="5454" w:name="Bookmark_I5D7DD5K2D6N530050000400"/>
      <w:bookmarkEnd w:id="5454"/>
      <w:r>
        <w:rPr>
          <w:rFonts w:ascii="Arial" w:eastAsia="Arial" w:hAnsi="Arial" w:cs="Arial"/>
          <w:color w:val="000000"/>
          <w:sz w:val="20"/>
          <w:u w:val="single"/>
        </w:rPr>
        <w:t>Horn v. Associated Wholesale Grocers, Inc</w:t>
      </w:r>
      <w:r>
        <w:rPr>
          <w:rFonts w:ascii="Arial" w:eastAsia="Arial" w:hAnsi="Arial" w:cs="Arial"/>
          <w:color w:val="000000"/>
          <w:sz w:val="20"/>
        </w:rPr>
        <w:t xml:space="preserve">., 555 F.2d 270, 275 (10th Cir. 1977), that is not to say that numbers are irrelevant. Indeed, the text of Rule 23(a)(1) indicates that the impracticability of joinder must be due to the class being numerous. </w:t>
      </w:r>
      <w:r>
        <w:rPr>
          <w:rFonts w:ascii="Arial" w:eastAsia="Arial" w:hAnsi="Arial" w:cs="Arial"/>
          <w:color w:val="000000"/>
          <w:sz w:val="20"/>
          <w:u w:val="single"/>
        </w:rPr>
        <w:t>See</w:t>
      </w:r>
      <w:r>
        <w:rPr>
          <w:rFonts w:ascii="Arial" w:eastAsia="Arial" w:hAnsi="Arial" w:cs="Arial"/>
          <w:color w:val="000000"/>
          <w:sz w:val="20"/>
        </w:rPr>
        <w:t xml:space="preserve"> Fed. R. Civ. P. 23(a)(1). </w:t>
      </w:r>
      <w:bookmarkStart w:id="5455" w:name="Bookmark_I48TWVXMJKB0003XDXH00299"/>
      <w:bookmarkStart w:id="5456" w:name="Bookmark_I5D7DD7X2SF82R0030000400"/>
      <w:bookmarkEnd w:id="5455"/>
      <w:bookmarkEnd w:id="5456"/>
      <w:r>
        <w:rPr>
          <w:rFonts w:ascii="Arial" w:eastAsia="Arial" w:hAnsi="Arial" w:cs="Arial"/>
          <w:color w:val="000000"/>
          <w:sz w:val="20"/>
        </w:rPr>
        <w:t xml:space="preserve">As the majority notes, impracticability turns on "[a] variety of factors," such as "the nature of the action, the size of the individual claims, and the location of the members of the class or the property that is the subject matter of the dispute." </w:t>
      </w:r>
      <w:r>
        <w:rPr>
          <w:rFonts w:ascii="Arial" w:eastAsia="Arial" w:hAnsi="Arial" w:cs="Arial"/>
          <w:color w:val="000000"/>
          <w:sz w:val="20"/>
          <w:u w:val="single"/>
        </w:rPr>
        <w:t>See</w:t>
      </w:r>
      <w:r>
        <w:rPr>
          <w:rFonts w:ascii="Arial" w:eastAsia="Arial" w:hAnsi="Arial" w:cs="Arial"/>
          <w:color w:val="000000"/>
          <w:sz w:val="20"/>
        </w:rPr>
        <w:t xml:space="preserve"> 7A Charles Alan Wright, Arthur R. Miller &amp; Mary Kay Kane, Federal Practice and Procedure § 1762, at 206-07 (3d ed. 2005) (footnote omitted). But "[t]he most obvious consideration is the size of the class itself." </w:t>
      </w:r>
      <w:r>
        <w:rPr>
          <w:rFonts w:ascii="Arial" w:eastAsia="Arial" w:hAnsi="Arial" w:cs="Arial"/>
          <w:color w:val="000000"/>
          <w:sz w:val="20"/>
          <w:u w:val="single"/>
        </w:rPr>
        <w:t>Id</w:t>
      </w:r>
      <w:r>
        <w:rPr>
          <w:rFonts w:ascii="Arial" w:eastAsia="Arial" w:hAnsi="Arial" w:cs="Arial"/>
          <w:color w:val="000000"/>
          <w:sz w:val="20"/>
        </w:rPr>
        <w:t xml:space="preserve">. at 177. Thus, a proper numerosity analysis should consider how the size of the class affects the practicability of joinder given "the particular circumstances of the case." </w:t>
      </w:r>
      <w:r>
        <w:rPr>
          <w:rFonts w:ascii="Arial" w:eastAsia="Arial" w:hAnsi="Arial" w:cs="Arial"/>
          <w:color w:val="000000"/>
          <w:sz w:val="20"/>
          <w:u w:val="single"/>
        </w:rPr>
        <w:t xml:space="preserve">See </w:t>
      </w:r>
      <w:bookmarkStart w:id="5457" w:name="Bookmark_I5D7DD7X2SF82R0020000400"/>
      <w:bookmarkEnd w:id="5457"/>
      <w:r>
        <w:rPr>
          <w:rFonts w:ascii="Arial" w:eastAsia="Arial" w:hAnsi="Arial" w:cs="Arial"/>
          <w:color w:val="000000"/>
          <w:sz w:val="20"/>
          <w:u w:val="single"/>
        </w:rPr>
        <w:t>Rex v. Owens ex rel. State of Okl</w:t>
      </w:r>
      <w:r>
        <w:rPr>
          <w:rFonts w:ascii="Arial" w:eastAsia="Arial" w:hAnsi="Arial" w:cs="Arial"/>
          <w:color w:val="000000"/>
          <w:sz w:val="20"/>
        </w:rPr>
        <w:t>., 585 F.2d 432, 436 (10th Cir. 1978).</w:t>
      </w:r>
    </w:p>
    <w:p w14:paraId="34E764A9" w14:textId="77777777" w:rsidR="002D0E71" w:rsidRDefault="00000000">
      <w:pPr>
        <w:pStyle w:val="Normal38"/>
        <w:widowControl w:val="0"/>
        <w:spacing w:before="200" w:line="260" w:lineRule="atLeast"/>
        <w:jc w:val="both"/>
      </w:pPr>
      <w:bookmarkStart w:id="5458" w:name="Bookmark_para_83_1"/>
      <w:bookmarkStart w:id="5459" w:name="Bookmark_I48TWVXMRP60003XDXH0029B"/>
      <w:bookmarkStart w:id="5460" w:name="Bookmark_I48TWVXMXT20003XDXH0029C"/>
      <w:bookmarkStart w:id="5461" w:name="Bookmark_I5D7DD7X2SF82R0050000400"/>
      <w:bookmarkStart w:id="5462" w:name="Bookmark_I48TWVXN3WX0003XDXH0029D"/>
      <w:bookmarkStart w:id="5463" w:name="Bookmark_I5D7DD882D6N430040000400"/>
      <w:bookmarkEnd w:id="5458"/>
      <w:bookmarkEnd w:id="5459"/>
      <w:bookmarkEnd w:id="5460"/>
      <w:bookmarkEnd w:id="5461"/>
      <w:bookmarkEnd w:id="5462"/>
      <w:bookmarkEnd w:id="5463"/>
      <w:r>
        <w:rPr>
          <w:rFonts w:ascii="Arial" w:eastAsia="Arial" w:hAnsi="Arial" w:cs="Arial"/>
          <w:color w:val="000000"/>
          <w:sz w:val="20"/>
        </w:rPr>
        <w:t xml:space="preserve">In applying this rule, the Tenth Circuit has rejected any "arbitrary limit," </w:t>
      </w:r>
      <w:bookmarkStart w:id="5464" w:name="Bookmark_I5D7DD7X2SF82R0040000400"/>
      <w:bookmarkEnd w:id="5464"/>
      <w:r>
        <w:rPr>
          <w:rFonts w:ascii="Arial" w:eastAsia="Arial" w:hAnsi="Arial" w:cs="Arial"/>
          <w:color w:val="000000"/>
          <w:sz w:val="20"/>
          <w:u w:val="single"/>
        </w:rPr>
        <w:t>Horn</w:t>
      </w:r>
      <w:r>
        <w:rPr>
          <w:rFonts w:ascii="Arial" w:eastAsia="Arial" w:hAnsi="Arial" w:cs="Arial"/>
          <w:color w:val="000000"/>
          <w:sz w:val="20"/>
        </w:rPr>
        <w:t xml:space="preserve">, 555 F.2d at 275, "set formula," </w:t>
      </w:r>
      <w:bookmarkStart w:id="5465" w:name="Bookmark_I5D7DD882D6N430010000400"/>
      <w:bookmarkEnd w:id="5465"/>
      <w:r>
        <w:rPr>
          <w:rFonts w:ascii="Arial" w:eastAsia="Arial" w:hAnsi="Arial" w:cs="Arial"/>
          <w:color w:val="000000"/>
          <w:sz w:val="20"/>
          <w:u w:val="single"/>
        </w:rPr>
        <w:t>Rex</w:t>
      </w:r>
      <w:r>
        <w:rPr>
          <w:rFonts w:ascii="Arial" w:eastAsia="Arial" w:hAnsi="Arial" w:cs="Arial"/>
          <w:color w:val="000000"/>
          <w:sz w:val="20"/>
        </w:rPr>
        <w:t xml:space="preserve">, 585 F.2d at 436, or presumptive numerical threshold. </w:t>
      </w:r>
      <w:bookmarkStart w:id="5466" w:name="Bookmark_I48TWVXN7R20003XDXH0029F"/>
      <w:bookmarkStart w:id="5467" w:name="Bookmark_I5D7DD8M28T4270010000400"/>
      <w:bookmarkStart w:id="5468" w:name="Bookmark_I5D7DD882D6N430030000400"/>
      <w:bookmarkEnd w:id="5466"/>
      <w:bookmarkEnd w:id="5467"/>
      <w:bookmarkEnd w:id="5468"/>
      <w:r>
        <w:rPr>
          <w:rFonts w:ascii="Arial" w:eastAsia="Arial" w:hAnsi="Arial" w:cs="Arial"/>
          <w:color w:val="000000"/>
          <w:sz w:val="20"/>
          <w:u w:val="single"/>
        </w:rPr>
        <w:t>Trevizo v. Adams</w:t>
      </w:r>
      <w:r>
        <w:rPr>
          <w:rFonts w:ascii="Arial" w:eastAsia="Arial" w:hAnsi="Arial" w:cs="Arial"/>
          <w:color w:val="000000"/>
          <w:sz w:val="20"/>
        </w:rPr>
        <w:t xml:space="preserve">, 455 F.3d 1155, 1162 (10th Cir. 2006). And proof of "absolute numbers" is unnecessary, at least in the context [**50]  of injunctive or declaratory relief. </w:t>
      </w:r>
      <w:bookmarkStart w:id="5469" w:name="Bookmark_I5D7DD8M28T4270010000400_2"/>
      <w:bookmarkStart w:id="5470" w:name="Bookmark_I5D7DD882D6N430050000400"/>
      <w:bookmarkEnd w:id="5469"/>
      <w:bookmarkEnd w:id="5470"/>
      <w:r>
        <w:rPr>
          <w:rFonts w:ascii="Arial" w:eastAsia="Arial" w:hAnsi="Arial" w:cs="Arial"/>
          <w:color w:val="000000"/>
          <w:sz w:val="20"/>
          <w:u w:val="single"/>
        </w:rPr>
        <w:t>Horn</w:t>
      </w:r>
      <w:r>
        <w:rPr>
          <w:rFonts w:ascii="Arial" w:eastAsia="Arial" w:hAnsi="Arial" w:cs="Arial"/>
          <w:color w:val="000000"/>
          <w:sz w:val="20"/>
        </w:rPr>
        <w:t xml:space="preserve">, 555 F.2d at 276; </w:t>
      </w:r>
      <w:r>
        <w:rPr>
          <w:rFonts w:ascii="Arial" w:eastAsia="Arial" w:hAnsi="Arial" w:cs="Arial"/>
          <w:color w:val="000000"/>
          <w:sz w:val="20"/>
          <w:u w:val="single"/>
        </w:rPr>
        <w:t>see also</w:t>
      </w:r>
      <w:r>
        <w:rPr>
          <w:rFonts w:ascii="Arial" w:eastAsia="Arial" w:hAnsi="Arial" w:cs="Arial"/>
          <w:color w:val="000000"/>
          <w:sz w:val="20"/>
        </w:rPr>
        <w:t xml:space="preserve"> 7A Wright &amp; Miller, </w:t>
      </w:r>
      <w:r>
        <w:rPr>
          <w:rFonts w:ascii="Arial" w:eastAsia="Arial" w:hAnsi="Arial" w:cs="Arial"/>
          <w:color w:val="000000"/>
          <w:sz w:val="20"/>
          <w:u w:val="single"/>
        </w:rPr>
        <w:t>supra</w:t>
      </w:r>
      <w:r>
        <w:rPr>
          <w:rFonts w:ascii="Arial" w:eastAsia="Arial" w:hAnsi="Arial" w:cs="Arial"/>
          <w:color w:val="000000"/>
          <w:sz w:val="20"/>
        </w:rPr>
        <w:t>, § 1762, at 177-84.</w:t>
      </w:r>
    </w:p>
    <w:p w14:paraId="2C0D78D8" w14:textId="77777777" w:rsidR="002D0E71" w:rsidRDefault="00000000">
      <w:pPr>
        <w:pStyle w:val="Normal38"/>
        <w:widowControl w:val="0"/>
        <w:spacing w:before="200" w:line="260" w:lineRule="atLeast"/>
        <w:jc w:val="both"/>
      </w:pPr>
      <w:bookmarkStart w:id="5471" w:name="Bookmark_para_84_0"/>
      <w:bookmarkStart w:id="5472" w:name="Bookmark_I48TWVXNKXS0003XDXH0029H"/>
      <w:bookmarkStart w:id="5473" w:name="Bookmark_I5D7DD8M28T4270030000400"/>
      <w:bookmarkEnd w:id="5471"/>
      <w:bookmarkEnd w:id="5472"/>
      <w:bookmarkEnd w:id="5473"/>
      <w:r>
        <w:rPr>
          <w:rFonts w:ascii="Arial" w:eastAsia="Arial" w:hAnsi="Arial" w:cs="Arial"/>
          <w:color w:val="000000"/>
          <w:sz w:val="20"/>
        </w:rPr>
        <w:t xml:space="preserve">But this caution against a formulaic, rigid approach to impracticability does not excuse the party seeking certification from providing evidence as to the size of the particular class that has been defined. [*1226]  </w:t>
      </w:r>
      <w:bookmarkStart w:id="5474" w:name="Bookmark_I48TWVXNT1M0003XDXH0029J"/>
      <w:bookmarkStart w:id="5475" w:name="Bookmark_I48TWVXP57B0003XDXH0029M"/>
      <w:bookmarkStart w:id="5476" w:name="Bookmark_I5D7DD8M28T4270050000400"/>
      <w:bookmarkEnd w:id="5474"/>
      <w:bookmarkEnd w:id="5475"/>
      <w:bookmarkEnd w:id="5476"/>
      <w:r>
        <w:rPr>
          <w:rFonts w:ascii="Arial" w:eastAsia="Arial" w:hAnsi="Arial" w:cs="Arial"/>
          <w:color w:val="000000"/>
          <w:sz w:val="20"/>
        </w:rPr>
        <w:t xml:space="preserve">Nor does it excuse the district court from considering the impact of the size of the class on other factors in the case as it undertakes its "'rigorous analysis'" of the practicability of joinder. </w:t>
      </w:r>
      <w:r>
        <w:rPr>
          <w:rFonts w:ascii="Arial" w:eastAsia="Arial" w:hAnsi="Arial" w:cs="Arial"/>
          <w:color w:val="000000"/>
          <w:sz w:val="20"/>
          <w:u w:val="single"/>
        </w:rPr>
        <w:t xml:space="preserve">See </w:t>
      </w:r>
      <w:bookmarkStart w:id="5477" w:name="Bookmark_I5D7DD8M28T4270020000400"/>
      <w:bookmarkEnd w:id="5477"/>
      <w:r>
        <w:rPr>
          <w:rFonts w:ascii="Arial" w:eastAsia="Arial" w:hAnsi="Arial" w:cs="Arial"/>
          <w:color w:val="000000"/>
          <w:sz w:val="20"/>
          <w:u w:val="single"/>
        </w:rPr>
        <w:t>Wal-Mart Stores, Inc. v. Dukes</w:t>
      </w:r>
      <w:r>
        <w:rPr>
          <w:rFonts w:ascii="Arial" w:eastAsia="Arial" w:hAnsi="Arial" w:cs="Arial"/>
          <w:color w:val="000000"/>
          <w:sz w:val="20"/>
        </w:rPr>
        <w:t xml:space="preserve">, </w:t>
      </w:r>
      <w:r>
        <w:rPr>
          <w:rFonts w:ascii="Arial" w:eastAsia="Arial" w:hAnsi="Arial" w:cs="Arial"/>
          <w:color w:val="000000"/>
          <w:sz w:val="20"/>
          <w:u w:val="single"/>
        </w:rPr>
        <w:t>   </w:t>
      </w:r>
      <w:r>
        <w:rPr>
          <w:rFonts w:ascii="Arial" w:eastAsia="Arial" w:hAnsi="Arial" w:cs="Arial"/>
          <w:color w:val="000000"/>
          <w:sz w:val="20"/>
        </w:rPr>
        <w:t xml:space="preserve"> U.S. </w:t>
      </w:r>
      <w:r>
        <w:rPr>
          <w:rFonts w:ascii="Arial" w:eastAsia="Arial" w:hAnsi="Arial" w:cs="Arial"/>
          <w:color w:val="000000"/>
          <w:sz w:val="20"/>
          <w:u w:val="single"/>
        </w:rPr>
        <w:t>   </w:t>
      </w:r>
      <w:r>
        <w:rPr>
          <w:rFonts w:ascii="Arial" w:eastAsia="Arial" w:hAnsi="Arial" w:cs="Arial"/>
          <w:color w:val="000000"/>
          <w:sz w:val="20"/>
        </w:rPr>
        <w:t xml:space="preserve">, 131 S. Ct. 2541, 2551, 180 L. Ed. 2d 374 (2011). </w:t>
      </w:r>
      <w:bookmarkStart w:id="5478" w:name="Bookmark_I5D7DD8M28T4270050000400_2"/>
      <w:bookmarkStart w:id="5479" w:name="Bookmark_I48TWVXPG5B0003XDXH0029P"/>
      <w:bookmarkStart w:id="5480" w:name="Bookmark_I48TWVXPVC20003XDXH0029S"/>
      <w:bookmarkStart w:id="5481" w:name="Bookmark_I5D7DD8T2HM5PT0040000400"/>
      <w:bookmarkEnd w:id="5478"/>
      <w:bookmarkEnd w:id="5479"/>
      <w:bookmarkEnd w:id="5480"/>
      <w:bookmarkEnd w:id="5481"/>
      <w:r>
        <w:rPr>
          <w:rFonts w:ascii="Arial" w:eastAsia="Arial" w:hAnsi="Arial" w:cs="Arial"/>
          <w:color w:val="000000"/>
          <w:sz w:val="20"/>
        </w:rPr>
        <w:t xml:space="preserve">The requirements of Rule 23(a) are "stringent guidelines," </w:t>
      </w:r>
      <w:bookmarkStart w:id="5482" w:name="Bookmark_I5D7DD8M28T4270040000400"/>
      <w:bookmarkEnd w:id="5482"/>
      <w:r>
        <w:rPr>
          <w:rFonts w:ascii="Arial" w:eastAsia="Arial" w:hAnsi="Arial" w:cs="Arial"/>
          <w:color w:val="000000"/>
          <w:sz w:val="20"/>
          <w:u w:val="single"/>
        </w:rPr>
        <w:t>Rex</w:t>
      </w:r>
      <w:r>
        <w:rPr>
          <w:rFonts w:ascii="Arial" w:eastAsia="Arial" w:hAnsi="Arial" w:cs="Arial"/>
          <w:color w:val="000000"/>
          <w:sz w:val="20"/>
        </w:rPr>
        <w:t xml:space="preserve">, 585 F.2d at 435, and "actual, not presumed, conformance with Rule 23(a) remains . . . indispensable." </w:t>
      </w:r>
      <w:bookmarkStart w:id="5483" w:name="Bookmark_I5D7DD8T2HM5PT0010000400"/>
      <w:bookmarkEnd w:id="5483"/>
      <w:r>
        <w:rPr>
          <w:rFonts w:ascii="Arial" w:eastAsia="Arial" w:hAnsi="Arial" w:cs="Arial"/>
          <w:color w:val="000000"/>
          <w:sz w:val="20"/>
          <w:u w:val="single"/>
        </w:rPr>
        <w:t>General Tel. Co. of Sw. v. Falcon</w:t>
      </w:r>
      <w:r>
        <w:rPr>
          <w:rFonts w:ascii="Arial" w:eastAsia="Arial" w:hAnsi="Arial" w:cs="Arial"/>
          <w:color w:val="000000"/>
          <w:sz w:val="20"/>
        </w:rPr>
        <w:t xml:space="preserve">, 457 U.S. 147, 160, 102 S. Ct. 2364, 72 L. Ed. 2d 740 (1982). </w:t>
      </w:r>
      <w:bookmarkStart w:id="5484" w:name="Bookmark_I848GR7NJHR00002SHR005Y1"/>
      <w:bookmarkStart w:id="5485" w:name="Bookmark_I848GR7NPY600002SHR005Y3"/>
      <w:bookmarkStart w:id="5486" w:name="Bookmark_I5D7DD8T2HM5PT0040000400_2"/>
      <w:bookmarkStart w:id="5487" w:name="Bookmark_I48TWVXR5920003XDXH0029V"/>
      <w:bookmarkStart w:id="5488" w:name="Bookmark_I5D7DD9C2D6NR60030000400"/>
      <w:bookmarkEnd w:id="5484"/>
      <w:bookmarkEnd w:id="5485"/>
      <w:bookmarkEnd w:id="5486"/>
      <w:bookmarkEnd w:id="5487"/>
      <w:bookmarkEnd w:id="5488"/>
      <w:r>
        <w:rPr>
          <w:rFonts w:ascii="Arial" w:eastAsia="Arial" w:hAnsi="Arial" w:cs="Arial"/>
          <w:color w:val="000000"/>
          <w:sz w:val="20"/>
        </w:rPr>
        <w:t xml:space="preserve">The </w:t>
      </w:r>
      <w:r>
        <w:rPr>
          <w:rFonts w:ascii="Arial" w:eastAsia="Arial" w:hAnsi="Arial" w:cs="Arial"/>
          <w:color w:val="000000"/>
          <w:sz w:val="20"/>
          <w:u w:val="single"/>
        </w:rPr>
        <w:t>composition</w:t>
      </w:r>
      <w:r>
        <w:rPr>
          <w:rFonts w:ascii="Arial" w:eastAsia="Arial" w:hAnsi="Arial" w:cs="Arial"/>
          <w:color w:val="000000"/>
          <w:sz w:val="20"/>
        </w:rPr>
        <w:t xml:space="preserve"> of a class need not be readily ascertainable in a suit for injunctive or declaratory relief. </w:t>
      </w:r>
      <w:bookmarkStart w:id="5489" w:name="Bookmark_I5D7DD8T2HM5PT0030000400"/>
      <w:bookmarkEnd w:id="5489"/>
      <w:r>
        <w:rPr>
          <w:rFonts w:ascii="Arial" w:eastAsia="Arial" w:hAnsi="Arial" w:cs="Arial"/>
          <w:color w:val="000000"/>
          <w:sz w:val="20"/>
          <w:u w:val="single"/>
        </w:rPr>
        <w:t>Shook v. El Paso Cnty</w:t>
      </w:r>
      <w:r>
        <w:rPr>
          <w:rFonts w:ascii="Arial" w:eastAsia="Arial" w:hAnsi="Arial" w:cs="Arial"/>
          <w:color w:val="000000"/>
          <w:sz w:val="20"/>
        </w:rPr>
        <w:t xml:space="preserve">., 386 F.3d 963, 972 (10th Cir. 2004); </w:t>
      </w:r>
      <w:bookmarkStart w:id="5490" w:name="Bookmark_I5D7DD8T2HM5PT0050000400"/>
      <w:bookmarkEnd w:id="5490"/>
      <w:r>
        <w:rPr>
          <w:rFonts w:ascii="Arial" w:eastAsia="Arial" w:hAnsi="Arial" w:cs="Arial"/>
          <w:color w:val="000000"/>
          <w:sz w:val="20"/>
          <w:u w:val="single"/>
        </w:rPr>
        <w:t>Horn</w:t>
      </w:r>
      <w:r>
        <w:rPr>
          <w:rFonts w:ascii="Arial" w:eastAsia="Arial" w:hAnsi="Arial" w:cs="Arial"/>
          <w:color w:val="000000"/>
          <w:sz w:val="20"/>
        </w:rPr>
        <w:t xml:space="preserve">, 555 F.2d at 276 ("[W]here . . . the class is composed of a substantial number, no great need is present to identify each and every one."). </w:t>
      </w:r>
      <w:bookmarkStart w:id="5491" w:name="Bookmark_I5D7DD9C2D6NR60030000400_2"/>
      <w:bookmarkEnd w:id="5491"/>
      <w:r>
        <w:rPr>
          <w:rFonts w:ascii="Arial" w:eastAsia="Arial" w:hAnsi="Arial" w:cs="Arial"/>
          <w:color w:val="000000"/>
          <w:sz w:val="20"/>
        </w:rPr>
        <w:t xml:space="preserve">But even for injunctive and declaratory relief, the party seeking certification must produce "some evidence of established, ascertainable </w:t>
      </w:r>
      <w:r>
        <w:rPr>
          <w:rFonts w:ascii="Arial" w:eastAsia="Arial" w:hAnsi="Arial" w:cs="Arial"/>
          <w:color w:val="000000"/>
          <w:sz w:val="20"/>
          <w:u w:val="single"/>
        </w:rPr>
        <w:t>numbers</w:t>
      </w:r>
      <w:r>
        <w:rPr>
          <w:rFonts w:ascii="Arial" w:eastAsia="Arial" w:hAnsi="Arial" w:cs="Arial"/>
          <w:color w:val="000000"/>
          <w:sz w:val="20"/>
        </w:rPr>
        <w:t xml:space="preserve"> constituting the class" "or otherwise establish by reasonable estimate the number of class members who may be involved" "in order to satisfy even the most liberal interpretation of the numerosity requirement." </w:t>
      </w:r>
      <w:bookmarkStart w:id="5492" w:name="Bookmark_I5D7DD9C2D6NR60020000400"/>
      <w:bookmarkEnd w:id="5492"/>
      <w:r>
        <w:rPr>
          <w:rFonts w:ascii="Arial" w:eastAsia="Arial" w:hAnsi="Arial" w:cs="Arial"/>
          <w:color w:val="000000"/>
          <w:sz w:val="20"/>
          <w:u w:val="single"/>
        </w:rPr>
        <w:t>Rex</w:t>
      </w:r>
      <w:r>
        <w:rPr>
          <w:rFonts w:ascii="Arial" w:eastAsia="Arial" w:hAnsi="Arial" w:cs="Arial"/>
          <w:color w:val="000000"/>
          <w:sz w:val="20"/>
        </w:rPr>
        <w:t>, 585 F.2d at 436 (emphasis added); [**51]  William B. Rubenstein, Newberg on Class Actions § 3:13 (5th ed.) ("[A] good-faith estimate of the class size is sufficient when the precise number of class members is not readily ascertainable.").</w:t>
      </w:r>
    </w:p>
    <w:p w14:paraId="1BE1BAF5" w14:textId="77777777" w:rsidR="002D0E71" w:rsidRDefault="00000000">
      <w:pPr>
        <w:pStyle w:val="Normal38"/>
        <w:widowControl w:val="0"/>
        <w:spacing w:before="200" w:line="260" w:lineRule="atLeast"/>
        <w:jc w:val="both"/>
      </w:pPr>
      <w:bookmarkStart w:id="5493" w:name="Bookmark_para_85_0"/>
      <w:bookmarkStart w:id="5494" w:name="Bookmark_I48TWVY2GSG0003XDXH002CM"/>
      <w:bookmarkStart w:id="5495" w:name="Bookmark_I5D7DD9C2D6NR60050000400"/>
      <w:bookmarkEnd w:id="5493"/>
      <w:bookmarkEnd w:id="5494"/>
      <w:bookmarkEnd w:id="5495"/>
      <w:r>
        <w:rPr>
          <w:rFonts w:ascii="Arial" w:eastAsia="Arial" w:hAnsi="Arial" w:cs="Arial"/>
          <w:color w:val="000000"/>
          <w:sz w:val="20"/>
        </w:rPr>
        <w:t xml:space="preserve">In the present case, the class is: people with disabilities who use wheelchairs and who have faced discrimination because of the presence of a raised porch at any Hollister store in the two years prior to the filing of the complaint in this case. </w:t>
      </w:r>
      <w:r>
        <w:rPr>
          <w:rFonts w:ascii="Arial" w:eastAsia="Arial" w:hAnsi="Arial" w:cs="Arial"/>
          <w:color w:val="000000"/>
          <w:sz w:val="20"/>
          <w:u w:val="single"/>
        </w:rPr>
        <w:t xml:space="preserve">See </w:t>
      </w:r>
      <w:bookmarkStart w:id="5496" w:name="Bookmark_I5D7DD9C2D6NR60040000400"/>
      <w:bookmarkEnd w:id="5496"/>
      <w:r>
        <w:rPr>
          <w:rFonts w:ascii="Arial" w:eastAsia="Arial" w:hAnsi="Arial" w:cs="Arial"/>
          <w:color w:val="000000"/>
          <w:sz w:val="20"/>
          <w:u w:val="single"/>
        </w:rPr>
        <w:t>Colo. Cross-Disability Coal. v. Abercrombie &amp; Fitch Co</w:t>
      </w:r>
      <w:r>
        <w:rPr>
          <w:rFonts w:ascii="Arial" w:eastAsia="Arial" w:hAnsi="Arial" w:cs="Arial"/>
          <w:color w:val="000000"/>
          <w:sz w:val="20"/>
        </w:rPr>
        <w:t xml:space="preserve">., No. 09-CV-02757-WYD-KMT, 2012 U.S. Dist. LEXIS 55680, 2012 WL 1378531, at *1 (D. Colo. Apr. 20, 2012) (defining the class at hand). </w:t>
      </w:r>
      <w:bookmarkStart w:id="5497" w:name="Bookmark_I48TWVXRHGS0003XDXH0029X"/>
      <w:bookmarkStart w:id="5498" w:name="Bookmark_I5D7DD9S2HM67P0020000400"/>
      <w:bookmarkEnd w:id="5497"/>
      <w:bookmarkEnd w:id="5498"/>
      <w:r>
        <w:rPr>
          <w:rFonts w:ascii="Arial" w:eastAsia="Arial" w:hAnsi="Arial" w:cs="Arial"/>
          <w:color w:val="000000"/>
          <w:sz w:val="20"/>
        </w:rPr>
        <w:t xml:space="preserve">Although the remedy requested in this case is injunctive relief, it is brought on behalf of a relatively narrow group of class members. Only those persons using wheelchairs who suffered past discrimination as a result of the raised porches, and only the subset of that group who were deterred by the raised porches within the two years immediately preceding the filing of the complaint in this action. </w:t>
      </w:r>
      <w:bookmarkStart w:id="5499" w:name="Bookmark_I5D7DD9S2HM67P0020000400_2"/>
      <w:bookmarkEnd w:id="5499"/>
      <w:r>
        <w:rPr>
          <w:rFonts w:ascii="Arial" w:eastAsia="Arial" w:hAnsi="Arial" w:cs="Arial"/>
          <w:color w:val="000000"/>
          <w:sz w:val="20"/>
        </w:rPr>
        <w:t>In my view, the Plaintiffs have not offered any evidence from which even a reasonable estimate of the number of members of this class can be made.</w:t>
      </w:r>
      <w:r>
        <w:rPr>
          <w:rFonts w:ascii="Arial" w:eastAsia="Arial" w:hAnsi="Arial" w:cs="Arial"/>
          <w:vertAlign w:val="superscript"/>
        </w:rPr>
        <w:footnoteReference w:customMarkFollows="1" w:id="213"/>
        <w:t>1</w:t>
      </w:r>
    </w:p>
    <w:p w14:paraId="3DCDFD3B" w14:textId="77777777" w:rsidR="002D0E71" w:rsidRDefault="00000000">
      <w:pPr>
        <w:pStyle w:val="Normal38"/>
        <w:widowControl w:val="0"/>
        <w:spacing w:before="200" w:line="260" w:lineRule="atLeast"/>
        <w:jc w:val="both"/>
      </w:pPr>
      <w:bookmarkStart w:id="5502" w:name="Bookmark_para_86_0"/>
      <w:bookmarkEnd w:id="5502"/>
      <w:r>
        <w:rPr>
          <w:rFonts w:ascii="Arial" w:eastAsia="Arial" w:hAnsi="Arial" w:cs="Arial"/>
          <w:color w:val="000000"/>
          <w:sz w:val="20"/>
        </w:rPr>
        <w:t>Furthermore, requiring some evidence of class size is consistent with the Supreme Court's characterization of the burden Rule 23(a) places on the proponent of a class:</w:t>
      </w:r>
    </w:p>
    <w:p w14:paraId="22788B10" w14:textId="77777777" w:rsidR="002D0E71" w:rsidRDefault="00000000">
      <w:pPr>
        <w:pStyle w:val="Normal38"/>
        <w:widowControl w:val="0"/>
        <w:spacing w:before="200" w:line="260" w:lineRule="atLeast"/>
        <w:ind w:left="400"/>
        <w:jc w:val="both"/>
      </w:pPr>
      <w:bookmarkStart w:id="5503" w:name="Bookmark_para_87_0"/>
      <w:bookmarkStart w:id="5504" w:name="Bookmark_I48TWVXRY060003XDXH002B0"/>
      <w:bookmarkStart w:id="5505" w:name="Bookmark_I48TWVXS7X60003XDXH002B2"/>
      <w:bookmarkStart w:id="5506" w:name="Bookmark_I5D7DD9S2HM67P0040000400"/>
      <w:bookmarkEnd w:id="5503"/>
      <w:bookmarkEnd w:id="5504"/>
      <w:bookmarkEnd w:id="5505"/>
      <w:bookmarkEnd w:id="5506"/>
      <w:r>
        <w:rPr>
          <w:rFonts w:ascii="Arial" w:eastAsia="Arial" w:hAnsi="Arial" w:cs="Arial"/>
          <w:color w:val="000000"/>
          <w:sz w:val="20"/>
        </w:rPr>
        <w:t xml:space="preserve">Rule 23 does not set forth a mere pleading standard. A party seeking class certification must affirmatively demonstrate his compliance with the Rule—that is, he must be prepared to prove that there are </w:t>
      </w:r>
      <w:r>
        <w:rPr>
          <w:rFonts w:ascii="Arial" w:eastAsia="Arial" w:hAnsi="Arial" w:cs="Arial"/>
          <w:color w:val="000000"/>
          <w:sz w:val="20"/>
          <w:u w:val="single"/>
        </w:rPr>
        <w:t>in fact</w:t>
      </w:r>
      <w:r>
        <w:rPr>
          <w:rFonts w:ascii="Arial" w:eastAsia="Arial" w:hAnsi="Arial" w:cs="Arial"/>
          <w:color w:val="000000"/>
          <w:sz w:val="20"/>
        </w:rPr>
        <w:t xml:space="preserve"> sufficiently numerous parties, common questions of law or fact, etc.</w:t>
      </w:r>
    </w:p>
    <w:p w14:paraId="057BBB5C" w14:textId="77777777" w:rsidR="002D0E71" w:rsidRDefault="00000000">
      <w:pPr>
        <w:pStyle w:val="Normal38"/>
        <w:widowControl w:val="0"/>
        <w:spacing w:before="200" w:line="260" w:lineRule="atLeast"/>
        <w:jc w:val="both"/>
      </w:pPr>
      <w:bookmarkStart w:id="5507" w:name="Bookmark_I5D7DD9S2HM67P0040000400_2"/>
      <w:bookmarkStart w:id="5508" w:name="Bookmark_I5D7DD9S2HM67P0030000400"/>
      <w:bookmarkEnd w:id="5507"/>
      <w:bookmarkEnd w:id="5508"/>
      <w:r>
        <w:rPr>
          <w:rFonts w:ascii="Arial" w:eastAsia="Arial" w:hAnsi="Arial" w:cs="Arial"/>
          <w:color w:val="000000"/>
          <w:sz w:val="20"/>
          <w:u w:val="single"/>
        </w:rPr>
        <w:t>Wal-Mart Stores</w:t>
      </w:r>
      <w:r>
        <w:rPr>
          <w:rFonts w:ascii="Arial" w:eastAsia="Arial" w:hAnsi="Arial" w:cs="Arial"/>
          <w:color w:val="000000"/>
          <w:sz w:val="20"/>
        </w:rPr>
        <w:t xml:space="preserve">, 131 S. Ct. at 2551 (emphasis in original); </w:t>
      </w:r>
      <w:r>
        <w:rPr>
          <w:rFonts w:ascii="Arial" w:eastAsia="Arial" w:hAnsi="Arial" w:cs="Arial"/>
          <w:color w:val="000000"/>
          <w:sz w:val="20"/>
          <w:u w:val="single"/>
        </w:rPr>
        <w:t xml:space="preserve">see also </w:t>
      </w:r>
      <w:bookmarkStart w:id="5509" w:name="Bookmark_I5D7DD9S2HM67P0050000400"/>
      <w:bookmarkEnd w:id="5509"/>
      <w:r>
        <w:rPr>
          <w:rFonts w:ascii="Arial" w:eastAsia="Arial" w:hAnsi="Arial" w:cs="Arial"/>
          <w:color w:val="000000"/>
          <w:sz w:val="20"/>
          <w:u w:val="single"/>
        </w:rPr>
        <w:t>Trevizo</w:t>
      </w:r>
      <w:r>
        <w:rPr>
          <w:rFonts w:ascii="Arial" w:eastAsia="Arial" w:hAnsi="Arial" w:cs="Arial"/>
          <w:color w:val="000000"/>
          <w:sz w:val="20"/>
        </w:rPr>
        <w:t xml:space="preserve">, 455 F.3d at 1162 (referring to the burden as "a strict burden of proof" (internal quotation marks omitted)). </w:t>
      </w:r>
      <w:bookmarkStart w:id="5510" w:name="Bookmark_I48TWVXSM3X0003XDXH002B4"/>
      <w:bookmarkStart w:id="5511" w:name="Bookmark_I5D7DDBJ2SF8000030000400"/>
      <w:bookmarkEnd w:id="5510"/>
      <w:bookmarkEnd w:id="5511"/>
      <w:r>
        <w:rPr>
          <w:rFonts w:ascii="Arial" w:eastAsia="Arial" w:hAnsi="Arial" w:cs="Arial"/>
          <w:color w:val="000000"/>
          <w:sz w:val="20"/>
        </w:rPr>
        <w:t xml:space="preserve">Thus, "mere speculation as to the number of parties involved is not sufficient to satisfy Rule 23(a)(1)." 7A Wright &amp; Miller, </w:t>
      </w:r>
      <w:r>
        <w:rPr>
          <w:rFonts w:ascii="Arial" w:eastAsia="Arial" w:hAnsi="Arial" w:cs="Arial"/>
          <w:color w:val="000000"/>
          <w:sz w:val="20"/>
          <w:u w:val="single"/>
        </w:rPr>
        <w:t>supra</w:t>
      </w:r>
      <w:r>
        <w:rPr>
          <w:rFonts w:ascii="Arial" w:eastAsia="Arial" w:hAnsi="Arial" w:cs="Arial"/>
          <w:color w:val="000000"/>
          <w:sz w:val="20"/>
        </w:rPr>
        <w:t xml:space="preserve">, § 1762, at 181-84; </w:t>
      </w:r>
      <w:r>
        <w:rPr>
          <w:rFonts w:ascii="Arial" w:eastAsia="Arial" w:hAnsi="Arial" w:cs="Arial"/>
          <w:color w:val="000000"/>
          <w:sz w:val="20"/>
          <w:u w:val="single"/>
        </w:rPr>
        <w:t>accord</w:t>
      </w:r>
      <w:r>
        <w:rPr>
          <w:rFonts w:ascii="Arial" w:eastAsia="Arial" w:hAnsi="Arial" w:cs="Arial"/>
          <w:color w:val="000000"/>
          <w:sz w:val="20"/>
        </w:rPr>
        <w:t xml:space="preserve"> Rubenstein, </w:t>
      </w:r>
      <w:r>
        <w:rPr>
          <w:rFonts w:ascii="Arial" w:eastAsia="Arial" w:hAnsi="Arial" w:cs="Arial"/>
          <w:color w:val="000000"/>
          <w:sz w:val="20"/>
          <w:u w:val="single"/>
        </w:rPr>
        <w:t>supra</w:t>
      </w:r>
      <w:r>
        <w:rPr>
          <w:rFonts w:ascii="Arial" w:eastAsia="Arial" w:hAnsi="Arial" w:cs="Arial"/>
          <w:color w:val="000000"/>
          <w:sz w:val="20"/>
        </w:rPr>
        <w:t xml:space="preserve">, § 3:13. Rather  [*1227]  than proceeding based on such speculation, we have required in other contexts that when facts are established by inferences drawn by the finder of fact, such inferences must be based on [**53]  evidence. </w:t>
      </w:r>
      <w:bookmarkStart w:id="5512" w:name="Bookmark_I5D7DDBJ2SF8000020000400"/>
      <w:bookmarkEnd w:id="5512"/>
      <w:r>
        <w:rPr>
          <w:rFonts w:ascii="Arial" w:eastAsia="Arial" w:hAnsi="Arial" w:cs="Arial"/>
          <w:color w:val="000000"/>
          <w:sz w:val="20"/>
          <w:u w:val="single"/>
        </w:rPr>
        <w:t>Sunward Corp. v. Dun &amp; Bradstreet, Inc</w:t>
      </w:r>
      <w:r>
        <w:rPr>
          <w:rFonts w:ascii="Arial" w:eastAsia="Arial" w:hAnsi="Arial" w:cs="Arial"/>
          <w:color w:val="000000"/>
          <w:sz w:val="20"/>
        </w:rPr>
        <w:t xml:space="preserve">., 811 F.2d 511, 521-22 (10th Cir. 1987). Therefore, "a plaintiff must show enough evidence of the class's size to enable the court to make commonsense assumptions regarding the number of putative class members." Rubenstein, </w:t>
      </w:r>
      <w:r>
        <w:rPr>
          <w:rFonts w:ascii="Arial" w:eastAsia="Arial" w:hAnsi="Arial" w:cs="Arial"/>
          <w:color w:val="000000"/>
          <w:sz w:val="20"/>
          <w:u w:val="single"/>
        </w:rPr>
        <w:t>supra</w:t>
      </w:r>
      <w:r>
        <w:rPr>
          <w:rFonts w:ascii="Arial" w:eastAsia="Arial" w:hAnsi="Arial" w:cs="Arial"/>
          <w:color w:val="000000"/>
          <w:sz w:val="20"/>
        </w:rPr>
        <w:t>, § 3:13.</w:t>
      </w:r>
      <w:r>
        <w:rPr>
          <w:rFonts w:ascii="Arial" w:eastAsia="Arial" w:hAnsi="Arial" w:cs="Arial"/>
          <w:vertAlign w:val="superscript"/>
        </w:rPr>
        <w:footnoteReference w:customMarkFollows="1" w:id="214"/>
        <w:t>2</w:t>
      </w:r>
    </w:p>
    <w:p w14:paraId="76CF6407" w14:textId="77777777" w:rsidR="002D0E71" w:rsidRDefault="00000000">
      <w:pPr>
        <w:pStyle w:val="Normal38"/>
        <w:widowControl w:val="0"/>
        <w:spacing w:before="200" w:line="260" w:lineRule="atLeast"/>
        <w:jc w:val="both"/>
      </w:pPr>
      <w:bookmarkStart w:id="5536" w:name="Bookmark_para_88_0"/>
      <w:bookmarkEnd w:id="5536"/>
      <w:r>
        <w:rPr>
          <w:rFonts w:ascii="Arial" w:eastAsia="Arial" w:hAnsi="Arial" w:cs="Arial"/>
          <w:color w:val="000000"/>
          <w:sz w:val="20"/>
        </w:rPr>
        <w:t xml:space="preserve">Here, I would conclude that the Plaintiffs did not provide the district [**54]  court with enough to make commonsense assumptions about the size of the defined class. The majority finds numerosity to be established because "porches were present at nearly 250 Hollister stores in over 40 states," "CCDC submitted declarations from five of its members who averred that they shop at malls where Hollister stores are located," and "there are millions of Americans with disabilities." Maj. Op. 19. The first fact is relevant to "the location of the . . . subject matter of the dispute." 7A Wright &amp; Miller, </w:t>
      </w:r>
      <w:r>
        <w:rPr>
          <w:rFonts w:ascii="Arial" w:eastAsia="Arial" w:hAnsi="Arial" w:cs="Arial"/>
          <w:color w:val="000000"/>
          <w:sz w:val="20"/>
          <w:u w:val="single"/>
        </w:rPr>
        <w:t>supra</w:t>
      </w:r>
      <w:r>
        <w:rPr>
          <w:rFonts w:ascii="Arial" w:eastAsia="Arial" w:hAnsi="Arial" w:cs="Arial"/>
          <w:color w:val="000000"/>
          <w:sz w:val="20"/>
        </w:rPr>
        <w:t xml:space="preserve">, § 1762, at 206-07. This fact certainly pertains to the issue of impracticability, but by itself it does nothing to establish the size or even the existence of a class. The second fact—declarations submitted by five CCDC members—is problematic in establishing the size of a class because each of these five members was a named party to the present litigation, presented to the district court as proposed class representatives. I Aplt. App. 148, 158. "[I]f there are no members of the class other than the named representatives, then Rule 23(a)(1) obviously has not been satisfied." 7A Wright &amp; Miller, </w:t>
      </w:r>
      <w:r>
        <w:rPr>
          <w:rFonts w:ascii="Arial" w:eastAsia="Arial" w:hAnsi="Arial" w:cs="Arial"/>
          <w:color w:val="000000"/>
          <w:sz w:val="20"/>
          <w:u w:val="single"/>
        </w:rPr>
        <w:t>supra</w:t>
      </w:r>
      <w:r>
        <w:rPr>
          <w:rFonts w:ascii="Arial" w:eastAsia="Arial" w:hAnsi="Arial" w:cs="Arial"/>
          <w:color w:val="000000"/>
          <w:sz w:val="20"/>
        </w:rPr>
        <w:t>, § 1762, at 171-72. Although four of the five CCDC members withdrew from the litigation, the declarations do little by themselves to provide [**55]  a reasonable estimate of the size of the class.</w:t>
      </w:r>
      <w:r>
        <w:rPr>
          <w:rFonts w:ascii="Arial" w:eastAsia="Arial" w:hAnsi="Arial" w:cs="Arial"/>
          <w:vertAlign w:val="superscript"/>
        </w:rPr>
        <w:footnoteReference w:customMarkFollows="1" w:id="215"/>
        <w:t>3</w:t>
      </w:r>
      <w:r>
        <w:rPr>
          <w:rFonts w:ascii="Arial" w:eastAsia="Arial" w:hAnsi="Arial" w:cs="Arial"/>
          <w:color w:val="000000"/>
          <w:sz w:val="20"/>
        </w:rPr>
        <w:t xml:space="preserve"> I would reach the same conclusion even if the record evidence is supplemented on appeal by public census data, of which the Plaintiffs ask us to take judicial notice.</w:t>
      </w:r>
    </w:p>
    <w:p w14:paraId="0D3D55CF" w14:textId="77777777" w:rsidR="002D0E71" w:rsidRDefault="00000000">
      <w:pPr>
        <w:pStyle w:val="Normal38"/>
        <w:widowControl w:val="0"/>
        <w:spacing w:before="200" w:line="260" w:lineRule="atLeast"/>
        <w:jc w:val="both"/>
      </w:pPr>
      <w:bookmarkStart w:id="5538" w:name="Bookmark_para_89_0"/>
      <w:bookmarkEnd w:id="5538"/>
      <w:r>
        <w:rPr>
          <w:rFonts w:ascii="Arial" w:eastAsia="Arial" w:hAnsi="Arial" w:cs="Arial"/>
          <w:color w:val="000000"/>
          <w:sz w:val="20"/>
        </w:rPr>
        <w:t xml:space="preserve">In my view, the relevant numerosity inquiry here is whether reasonable inferences can be drawn from the five declarations in combination with the census data to provide a reasonable estimate of the size of the class. Relying on the census data, the Plaintiffs note that in 2010, "approximately 1.5 percent of the population or 3.6 million people nationwide used wheelchairs for mobility," and that the  [*1228]  percentage of people who use wheelchairs in each state is similar according to the most recent data. Aplee. </w:t>
      </w:r>
      <w:bookmarkStart w:id="5539" w:name="Bookmark_I48TWVY2NWB0003XDXH002CN"/>
      <w:bookmarkStart w:id="5540" w:name="Bookmark_I5D7DDCY28T4H30010000400"/>
      <w:bookmarkEnd w:id="5539"/>
      <w:bookmarkEnd w:id="5540"/>
      <w:r>
        <w:rPr>
          <w:rFonts w:ascii="Arial" w:eastAsia="Arial" w:hAnsi="Arial" w:cs="Arial"/>
          <w:color w:val="000000"/>
          <w:sz w:val="20"/>
        </w:rPr>
        <w:t xml:space="preserve">Br. 39-40. Even if I were to delve deeper into the census data than the Plaintiffs have done in their briefing to this court and estimate the number of people who use wheelchairs in states that have Hollister stores with porches, that number does not provide a reasonable estimate of the number of persons who use wheelchairs and who have faced discrimination [**56]  because of the presence of a raised porch at any Hollister store during the relevant two-year period. </w:t>
      </w:r>
      <w:r>
        <w:rPr>
          <w:rFonts w:ascii="Arial" w:eastAsia="Arial" w:hAnsi="Arial" w:cs="Arial"/>
          <w:color w:val="000000"/>
          <w:sz w:val="20"/>
          <w:u w:val="single"/>
        </w:rPr>
        <w:t xml:space="preserve">See </w:t>
      </w:r>
      <w:bookmarkStart w:id="5541" w:name="Bookmark_I5D7DDC72D6NF90050000400"/>
      <w:bookmarkEnd w:id="5541"/>
      <w:r>
        <w:rPr>
          <w:rFonts w:ascii="Arial" w:eastAsia="Arial" w:hAnsi="Arial" w:cs="Arial"/>
          <w:color w:val="000000"/>
          <w:sz w:val="20"/>
          <w:u w:val="single"/>
        </w:rPr>
        <w:t>Colo. Cross-Disability Coal</w:t>
      </w:r>
      <w:r>
        <w:rPr>
          <w:rFonts w:ascii="Arial" w:eastAsia="Arial" w:hAnsi="Arial" w:cs="Arial"/>
          <w:color w:val="000000"/>
          <w:sz w:val="20"/>
        </w:rPr>
        <w:t>., No. 09-CV-02757-WYD-KMT, 2012 U.S. Dist. LEXIS 55680, 2012 WL 1378531, at *1.</w:t>
      </w:r>
      <w:r>
        <w:rPr>
          <w:rFonts w:ascii="Arial" w:eastAsia="Arial" w:hAnsi="Arial" w:cs="Arial"/>
          <w:vertAlign w:val="superscript"/>
        </w:rPr>
        <w:footnoteReference w:customMarkFollows="1" w:id="216"/>
        <w:t>4</w:t>
      </w:r>
      <w:r>
        <w:rPr>
          <w:rFonts w:ascii="Arial" w:eastAsia="Arial" w:hAnsi="Arial" w:cs="Arial"/>
          <w:color w:val="000000"/>
          <w:sz w:val="20"/>
        </w:rPr>
        <w:t xml:space="preserve"> Simply put, nothing about the raw numbers provides a basis for estimating how many people who use wheelchairs were actually discriminated against at a Hollister store during the identified two years due to its raised porches. Furthermore, that number cannot be extrapolated because Plaintiffs have provided no evidence that the five CCDC members are indicative of people who use wheelchairs in Colorado and the other states that have Hollister stores with porches. Indeed, in its memorandum in opposition to the motion to certify, Abercrombie pointed to deposition testimony suggesting that at least two of the five CCDC members were sent to Hollister stores to test for compliance. II Aplt. App. 492. Where these CCDC members were recruited to visit Hollister stores, they provide little help in extrapolating the possible number of people who use wheelchairs and who have shopped at Hollister stores in other states.</w:t>
      </w:r>
      <w:r>
        <w:rPr>
          <w:rFonts w:ascii="Arial" w:eastAsia="Arial" w:hAnsi="Arial" w:cs="Arial"/>
          <w:vertAlign w:val="superscript"/>
        </w:rPr>
        <w:footnoteReference w:customMarkFollows="1" w:id="217"/>
        <w:t>5</w:t>
      </w:r>
    </w:p>
    <w:p w14:paraId="0511A405" w14:textId="77777777" w:rsidR="002D0E71" w:rsidRDefault="00000000">
      <w:pPr>
        <w:pStyle w:val="Normal38"/>
        <w:widowControl w:val="0"/>
        <w:spacing w:before="200" w:line="260" w:lineRule="atLeast"/>
        <w:jc w:val="both"/>
      </w:pPr>
      <w:bookmarkStart w:id="5551" w:name="Bookmark_para_90_0"/>
      <w:bookmarkStart w:id="5552" w:name="Bookmark_I48TWVXWWYB0003XDXH002BP"/>
      <w:bookmarkStart w:id="5553" w:name="Bookmark_I5D7DDDG2HM61S0020000400"/>
      <w:bookmarkEnd w:id="5551"/>
      <w:bookmarkEnd w:id="5552"/>
      <w:bookmarkEnd w:id="5553"/>
      <w:r>
        <w:rPr>
          <w:rFonts w:ascii="Arial" w:eastAsia="Arial" w:hAnsi="Arial" w:cs="Arial"/>
          <w:color w:val="000000"/>
          <w:sz w:val="20"/>
        </w:rPr>
        <w:t xml:space="preserve">Admittedly, we grant the district court "wide latitude" in making the numerosity determination. </w:t>
      </w:r>
      <w:bookmarkStart w:id="5554" w:name="Bookmark_I48TWVXX3260003XDXH002BR"/>
      <w:bookmarkStart w:id="5555" w:name="Bookmark_I5D7DDDG2HM61S0040000400"/>
      <w:bookmarkStart w:id="5556" w:name="Bookmark_I5D7DDDG2HM61S0010000400"/>
      <w:bookmarkEnd w:id="5554"/>
      <w:bookmarkEnd w:id="5555"/>
      <w:bookmarkEnd w:id="5556"/>
      <w:r>
        <w:rPr>
          <w:rFonts w:ascii="Arial" w:eastAsia="Arial" w:hAnsi="Arial" w:cs="Arial"/>
          <w:color w:val="000000"/>
          <w:sz w:val="20"/>
          <w:u w:val="single"/>
        </w:rPr>
        <w:t>Trevizo</w:t>
      </w:r>
      <w:r>
        <w:rPr>
          <w:rFonts w:ascii="Arial" w:eastAsia="Arial" w:hAnsi="Arial" w:cs="Arial"/>
          <w:color w:val="000000"/>
          <w:sz w:val="20"/>
        </w:rPr>
        <w:t xml:space="preserve">, 455 F.3d at 1162. But we do so "because it is . . . a fact-specific inquiry," </w:t>
      </w:r>
      <w:r>
        <w:rPr>
          <w:rFonts w:ascii="Arial" w:eastAsia="Arial" w:hAnsi="Arial" w:cs="Arial"/>
          <w:color w:val="000000"/>
          <w:sz w:val="20"/>
          <w:u w:val="single"/>
        </w:rPr>
        <w:t>id</w:t>
      </w:r>
      <w:r>
        <w:rPr>
          <w:rFonts w:ascii="Arial" w:eastAsia="Arial" w:hAnsi="Arial" w:cs="Arial"/>
          <w:color w:val="000000"/>
          <w:sz w:val="20"/>
        </w:rPr>
        <w:t xml:space="preserve">., and therefore implicates the district court's discretion to make rational inferences from that evidence. </w:t>
      </w:r>
      <w:bookmarkStart w:id="5557" w:name="Bookmark_I5D7DDDG2HM61S0040000400_2"/>
      <w:bookmarkStart w:id="5558" w:name="Bookmark_I48TWVXXD060003XDXH002BT"/>
      <w:bookmarkStart w:id="5559" w:name="Bookmark_I48TWVXXS5X0003XDXH002BW"/>
      <w:bookmarkStart w:id="5560" w:name="Bookmark_I5D7DDF22HM65T0010000400"/>
      <w:bookmarkStart w:id="5561" w:name="Bookmark_I5D7DDDG2HM61S0030000400"/>
      <w:bookmarkEnd w:id="5557"/>
      <w:bookmarkEnd w:id="5558"/>
      <w:bookmarkEnd w:id="5559"/>
      <w:bookmarkEnd w:id="5560"/>
      <w:bookmarkEnd w:id="5561"/>
      <w:r>
        <w:rPr>
          <w:rFonts w:ascii="Arial" w:eastAsia="Arial" w:hAnsi="Arial" w:cs="Arial"/>
          <w:color w:val="000000"/>
          <w:sz w:val="20"/>
          <w:u w:val="single"/>
        </w:rPr>
        <w:t>Vallario v. Vandehey</w:t>
      </w:r>
      <w:r>
        <w:rPr>
          <w:rFonts w:ascii="Arial" w:eastAsia="Arial" w:hAnsi="Arial" w:cs="Arial"/>
          <w:color w:val="000000"/>
          <w:sz w:val="20"/>
        </w:rPr>
        <w:t xml:space="preserve">, 554 F.3d 1259, 1264 (10th Cir. 2009). </w:t>
      </w:r>
      <w:bookmarkStart w:id="5562" w:name="Bookmark_I5D7DDF22HM65T0010000400_2"/>
      <w:bookmarkEnd w:id="5562"/>
      <w:r>
        <w:rPr>
          <w:rFonts w:ascii="Arial" w:eastAsia="Arial" w:hAnsi="Arial" w:cs="Arial"/>
          <w:color w:val="000000"/>
          <w:sz w:val="20"/>
        </w:rPr>
        <w:t xml:space="preserve">But such inferences must be based on evidence. </w:t>
      </w:r>
      <w:bookmarkStart w:id="5563" w:name="Bookmark_I48TWVXY4CM0003XDXH002BY"/>
      <w:bookmarkStart w:id="5564" w:name="Bookmark_I5D7DDF22HM65T0050000400"/>
      <w:bookmarkEnd w:id="5563"/>
      <w:bookmarkEnd w:id="5564"/>
      <w:r>
        <w:rPr>
          <w:rFonts w:ascii="Arial" w:eastAsia="Arial" w:hAnsi="Arial" w:cs="Arial"/>
          <w:color w:val="000000"/>
          <w:sz w:val="20"/>
          <w:u w:val="single"/>
        </w:rPr>
        <w:t xml:space="preserve">See </w:t>
      </w:r>
      <w:bookmarkStart w:id="5565" w:name="Bookmark_I5D7DDDG2HM61S0050000400"/>
      <w:bookmarkEnd w:id="5565"/>
      <w:r>
        <w:rPr>
          <w:rFonts w:ascii="Arial" w:eastAsia="Arial" w:hAnsi="Arial" w:cs="Arial"/>
          <w:color w:val="000000"/>
          <w:sz w:val="20"/>
          <w:u w:val="single"/>
        </w:rPr>
        <w:t>Sunward Corp</w:t>
      </w:r>
      <w:r>
        <w:rPr>
          <w:rFonts w:ascii="Arial" w:eastAsia="Arial" w:hAnsi="Arial" w:cs="Arial"/>
          <w:color w:val="000000"/>
          <w:sz w:val="20"/>
        </w:rPr>
        <w:t xml:space="preserve">., 811 F.2d at 521-22; </w:t>
      </w:r>
      <w:r>
        <w:rPr>
          <w:rFonts w:ascii="Arial" w:eastAsia="Arial" w:hAnsi="Arial" w:cs="Arial"/>
          <w:color w:val="000000"/>
          <w:sz w:val="20"/>
          <w:u w:val="single"/>
        </w:rPr>
        <w:t xml:space="preserve">cf. </w:t>
      </w:r>
      <w:bookmarkStart w:id="5566" w:name="Bookmark_I5D7DDF22HM65T0020000400"/>
      <w:bookmarkEnd w:id="5566"/>
      <w:r>
        <w:rPr>
          <w:rFonts w:ascii="Arial" w:eastAsia="Arial" w:hAnsi="Arial" w:cs="Arial"/>
          <w:color w:val="000000"/>
          <w:sz w:val="20"/>
          <w:u w:val="single"/>
        </w:rPr>
        <w:t>Rex</w:t>
      </w:r>
      <w:r>
        <w:rPr>
          <w:rFonts w:ascii="Arial" w:eastAsia="Arial" w:hAnsi="Arial" w:cs="Arial"/>
          <w:color w:val="000000"/>
          <w:sz w:val="20"/>
        </w:rPr>
        <w:t xml:space="preserve">, 585 F.2d at 436 (stating that party seeking certification must produce "some evidence"). </w:t>
      </w:r>
      <w:bookmarkStart w:id="5567" w:name="Bookmark_I5D7DDF22HM65T0050000400_2"/>
      <w:bookmarkEnd w:id="5567"/>
      <w:r>
        <w:rPr>
          <w:rFonts w:ascii="Arial" w:eastAsia="Arial" w:hAnsi="Arial" w:cs="Arial"/>
          <w:color w:val="000000"/>
          <w:sz w:val="20"/>
        </w:rPr>
        <w:t xml:space="preserve">Here, the Plaintiffs did not provide any evidence of established, ascertainable numbers or otherwise establish [**58]  by reasonable estimate the number of persons using wheelchairs who have been discriminated against by the presence of Hollister's raised porches within the relevant two-year period. </w:t>
      </w:r>
      <w:r>
        <w:rPr>
          <w:rFonts w:ascii="Arial" w:eastAsia="Arial" w:hAnsi="Arial" w:cs="Arial"/>
          <w:color w:val="000000"/>
          <w:sz w:val="20"/>
          <w:u w:val="single"/>
        </w:rPr>
        <w:t xml:space="preserve">See </w:t>
      </w:r>
      <w:bookmarkStart w:id="5568" w:name="Bookmark_I5D7DDF22HM65T0040000400"/>
      <w:bookmarkEnd w:id="5568"/>
      <w:r>
        <w:rPr>
          <w:rFonts w:ascii="Arial" w:eastAsia="Arial" w:hAnsi="Arial" w:cs="Arial"/>
          <w:color w:val="000000"/>
          <w:sz w:val="20"/>
          <w:u w:val="single"/>
        </w:rPr>
        <w:t>Rex</w:t>
      </w:r>
      <w:r>
        <w:rPr>
          <w:rFonts w:ascii="Arial" w:eastAsia="Arial" w:hAnsi="Arial" w:cs="Arial"/>
          <w:color w:val="000000"/>
          <w:sz w:val="20"/>
        </w:rPr>
        <w:t>, 585 F.2d at 436 (concluding that the district court did not abuse its discretion in refusing to certify a class seeking injunctive and declaratory relief when the plaintiff presented no evidence of the size of the class).</w:t>
      </w:r>
    </w:p>
    <w:p w14:paraId="10CE01AD" w14:textId="77777777" w:rsidR="002D0E71" w:rsidRDefault="00000000">
      <w:pPr>
        <w:pStyle w:val="Normal38"/>
        <w:widowControl w:val="0"/>
        <w:spacing w:before="200" w:line="260" w:lineRule="atLeast"/>
        <w:jc w:val="both"/>
      </w:pPr>
      <w:bookmarkStart w:id="5569" w:name="Bookmark_para_91_0"/>
      <w:bookmarkEnd w:id="5569"/>
      <w:r>
        <w:rPr>
          <w:rFonts w:ascii="Arial" w:eastAsia="Arial" w:hAnsi="Arial" w:cs="Arial"/>
          <w:color w:val="000000"/>
          <w:sz w:val="20"/>
        </w:rPr>
        <w:t xml:space="preserve">Instead, the Plaintiffs proved a class size of anywhere from five members to 3.6 million members, which does not constitute a reasonable estimate. </w:t>
      </w:r>
      <w:bookmarkStart w:id="5570" w:name="Bookmark_I48TWVXYGKB0003XDXH002C1"/>
      <w:bookmarkStart w:id="5571" w:name="Bookmark_I5D7DDF62N1PVW0020000400"/>
      <w:bookmarkEnd w:id="5570"/>
      <w:bookmarkEnd w:id="5571"/>
      <w:r>
        <w:rPr>
          <w:rFonts w:ascii="Arial" w:eastAsia="Arial" w:hAnsi="Arial" w:cs="Arial"/>
          <w:color w:val="000000"/>
          <w:sz w:val="20"/>
        </w:rPr>
        <w:t xml:space="preserve">While commonsense assumptions and reasonable inferences can help narrow that range, the Plaintiffs failed to provide any evidence from which a reasonable estimate of the  [*1229]  number of class members may be deduced. </w:t>
      </w:r>
      <w:bookmarkStart w:id="5572" w:name="Bookmark_I48TWVXYMDG0003XDXH002C2"/>
      <w:bookmarkStart w:id="5573" w:name="Bookmark_I5D7DDF62N1PVW0040000400"/>
      <w:bookmarkEnd w:id="5572"/>
      <w:bookmarkEnd w:id="5573"/>
      <w:r>
        <w:rPr>
          <w:rFonts w:ascii="Arial" w:eastAsia="Arial" w:hAnsi="Arial" w:cs="Arial"/>
          <w:color w:val="000000"/>
          <w:sz w:val="20"/>
        </w:rPr>
        <w:t xml:space="preserve">This does not meet the admittedly low threshold required for certification of a class seeking injunctive relief. To hold otherwise would eviscerate the numerosity requirement in Rule 23(a) and run contrary to the Supreme Court's admonition that the proponent of a class must "affirmatively demonstrate his compliance with the Rule." </w:t>
      </w:r>
      <w:r>
        <w:rPr>
          <w:rFonts w:ascii="Arial" w:eastAsia="Arial" w:hAnsi="Arial" w:cs="Arial"/>
          <w:color w:val="000000"/>
          <w:sz w:val="20"/>
          <w:u w:val="single"/>
        </w:rPr>
        <w:t xml:space="preserve">See </w:t>
      </w:r>
      <w:bookmarkStart w:id="5574" w:name="Bookmark_I5D7DDF62N1PVW0010000400"/>
      <w:bookmarkEnd w:id="5574"/>
      <w:r>
        <w:rPr>
          <w:rFonts w:ascii="Arial" w:eastAsia="Arial" w:hAnsi="Arial" w:cs="Arial"/>
          <w:color w:val="000000"/>
          <w:sz w:val="20"/>
          <w:u w:val="single"/>
        </w:rPr>
        <w:t>Wal-Mart Stores</w:t>
      </w:r>
      <w:r>
        <w:rPr>
          <w:rFonts w:ascii="Arial" w:eastAsia="Arial" w:hAnsi="Arial" w:cs="Arial"/>
          <w:color w:val="000000"/>
          <w:sz w:val="20"/>
        </w:rPr>
        <w:t xml:space="preserve">, 131 S. Ct. at 2551. </w:t>
      </w:r>
      <w:bookmarkStart w:id="5575" w:name="Bookmark_I5D7DDF62N1PVW0040000400_2"/>
      <w:bookmarkEnd w:id="5575"/>
      <w:r>
        <w:rPr>
          <w:rFonts w:ascii="Arial" w:eastAsia="Arial" w:hAnsi="Arial" w:cs="Arial"/>
          <w:color w:val="000000"/>
          <w:sz w:val="20"/>
        </w:rPr>
        <w:t xml:space="preserve">As a result, I would hold the district court's ruling amounted to a "[m]aterial misapplication of the Rule 23 factors." </w:t>
      </w:r>
      <w:r>
        <w:rPr>
          <w:rFonts w:ascii="Arial" w:eastAsia="Arial" w:hAnsi="Arial" w:cs="Arial"/>
          <w:color w:val="000000"/>
          <w:sz w:val="20"/>
          <w:u w:val="single"/>
        </w:rPr>
        <w:t xml:space="preserve">See </w:t>
      </w:r>
      <w:bookmarkStart w:id="5576" w:name="Bookmark_I5D7DDF62N1PVW0030000400"/>
      <w:bookmarkEnd w:id="5576"/>
      <w:r>
        <w:rPr>
          <w:rFonts w:ascii="Arial" w:eastAsia="Arial" w:hAnsi="Arial" w:cs="Arial"/>
          <w:color w:val="000000"/>
          <w:sz w:val="20"/>
          <w:u w:val="single"/>
        </w:rPr>
        <w:t>Wallace B. Roderick Revocable Living Trust v. XTO Energy, Inc</w:t>
      </w:r>
      <w:r>
        <w:rPr>
          <w:rFonts w:ascii="Arial" w:eastAsia="Arial" w:hAnsi="Arial" w:cs="Arial"/>
          <w:color w:val="000000"/>
          <w:sz w:val="20"/>
        </w:rPr>
        <w:t>., 725 F.3d 1213, 1217 (10th Cir. 2013) (concluding that [**59]  the district court abused its discretion by, among other things, relaxing the burden of proof under Rule 23(a)). I would therefore reverse the certification order.</w:t>
      </w:r>
    </w:p>
    <w:p w14:paraId="4A23039E" w14:textId="77777777" w:rsidR="002D0E71" w:rsidRDefault="00000000">
      <w:pPr>
        <w:pStyle w:val="Normal38"/>
        <w:widowControl w:val="0"/>
        <w:spacing w:before="120" w:line="260" w:lineRule="atLeast"/>
      </w:pPr>
      <w:r>
        <w:rPr>
          <w:rFonts w:ascii="Arial" w:eastAsia="Arial" w:hAnsi="Arial" w:cs="Arial"/>
          <w:color w:val="000000"/>
          <w:sz w:val="20"/>
        </w:rPr>
        <w:t xml:space="preserve">II. </w:t>
      </w:r>
      <w:r>
        <w:rPr>
          <w:rFonts w:ascii="Arial" w:eastAsia="Arial" w:hAnsi="Arial" w:cs="Arial"/>
          <w:color w:val="000000"/>
          <w:sz w:val="20"/>
          <w:u w:val="single"/>
        </w:rPr>
        <w:t>ADA Violation</w:t>
      </w:r>
    </w:p>
    <w:p w14:paraId="3C4E9FF6" w14:textId="77777777" w:rsidR="002D0E71" w:rsidRDefault="00000000">
      <w:pPr>
        <w:pStyle w:val="Normal38"/>
        <w:widowControl w:val="0"/>
        <w:spacing w:before="200" w:line="260" w:lineRule="atLeast"/>
        <w:jc w:val="both"/>
      </w:pPr>
      <w:bookmarkStart w:id="5577" w:name="Bookmark_para_92_0"/>
      <w:bookmarkEnd w:id="5577"/>
      <w:r>
        <w:rPr>
          <w:rFonts w:ascii="Arial" w:eastAsia="Arial" w:hAnsi="Arial" w:cs="Arial"/>
          <w:color w:val="000000"/>
          <w:sz w:val="20"/>
        </w:rPr>
        <w:t>Because I would reverse the certification order, I address the merits of the case only as it relates to the Park Meadows store. Unlike the majority, I would hold that Abercrombie violated Title III of the ADA in two respects. First, I would conclude that the porch is a space that is required to be accessible and thus violates the ADA by not being connected to an accessible route. Second, I would conclude that Abercrombie's use of the porch violates the ADA by denying customers who use wheelchairs the opportunity to participate and instead providing them a separate, unequal, non-integrated benefit.</w:t>
      </w:r>
    </w:p>
    <w:p w14:paraId="2F5B78DC" w14:textId="77777777" w:rsidR="002D0E71" w:rsidRDefault="00000000">
      <w:pPr>
        <w:pStyle w:val="Normal38"/>
        <w:widowControl w:val="0"/>
        <w:spacing w:before="200" w:line="260" w:lineRule="atLeast"/>
        <w:jc w:val="both"/>
      </w:pPr>
      <w:bookmarkStart w:id="5578" w:name="Bookmark_para_93_0"/>
      <w:bookmarkStart w:id="5579" w:name="Bookmark_I48TWVY00M60003XDXH002C4"/>
      <w:bookmarkStart w:id="5580" w:name="Bookmark_I5D7DDFD2N1PY30010000400"/>
      <w:bookmarkStart w:id="5581" w:name="Bookmark_I48TWVY05R20003XDXH002C5"/>
      <w:bookmarkStart w:id="5582" w:name="Bookmark_I5D7DDFD2N1PY30030000400"/>
      <w:bookmarkEnd w:id="5578"/>
      <w:bookmarkEnd w:id="5579"/>
      <w:bookmarkEnd w:id="5580"/>
      <w:bookmarkEnd w:id="5581"/>
      <w:bookmarkEnd w:id="5582"/>
      <w:r>
        <w:rPr>
          <w:rFonts w:ascii="Arial" w:eastAsia="Arial" w:hAnsi="Arial" w:cs="Arial"/>
          <w:color w:val="000000"/>
          <w:sz w:val="20"/>
        </w:rPr>
        <w:t xml:space="preserve">"Congress enacted the ADA in 1990 to remedy widespread discrimination against disabled individuals." </w:t>
      </w:r>
      <w:bookmarkStart w:id="5583" w:name="Bookmark_I5D7DDF62N1PVW0050000400"/>
      <w:bookmarkEnd w:id="5583"/>
      <w:r>
        <w:rPr>
          <w:rFonts w:ascii="Arial" w:eastAsia="Arial" w:hAnsi="Arial" w:cs="Arial"/>
          <w:color w:val="000000"/>
          <w:sz w:val="20"/>
          <w:u w:val="single"/>
        </w:rPr>
        <w:t>PGA Tour, Inc. v. Martin</w:t>
      </w:r>
      <w:r>
        <w:rPr>
          <w:rFonts w:ascii="Arial" w:eastAsia="Arial" w:hAnsi="Arial" w:cs="Arial"/>
          <w:color w:val="000000"/>
          <w:sz w:val="20"/>
        </w:rPr>
        <w:t xml:space="preserve">, 532 U.S. 661, 674, 121 S. Ct. 1879, 149 L. Ed. 2d 904 (2001). </w:t>
      </w:r>
      <w:bookmarkStart w:id="5584" w:name="Bookmark_I48TWVY0BTX0003XDXH002C6"/>
      <w:bookmarkStart w:id="5585" w:name="Bookmark_I5D7DDFD2N1PY30050000400"/>
      <w:bookmarkEnd w:id="5584"/>
      <w:bookmarkEnd w:id="5585"/>
      <w:r>
        <w:rPr>
          <w:rFonts w:ascii="Arial" w:eastAsia="Arial" w:hAnsi="Arial" w:cs="Arial"/>
          <w:color w:val="000000"/>
          <w:sz w:val="20"/>
        </w:rPr>
        <w:t xml:space="preserve">"In studying the need for such legislation, Congress found that 'historically, society has tended to isolate and segregate individuals with disabilities, and, despite some improvements, such forms of discrimination against individuals with disabilities continue to be a serious and pervasive social problem.'" </w:t>
      </w:r>
      <w:bookmarkStart w:id="5586" w:name="Bookmark_I5D7DDFD2N1PY30020000400"/>
      <w:bookmarkEnd w:id="5586"/>
      <w:r>
        <w:rPr>
          <w:rFonts w:ascii="Arial" w:eastAsia="Arial" w:hAnsi="Arial" w:cs="Arial"/>
          <w:color w:val="000000"/>
          <w:sz w:val="20"/>
          <w:u w:val="single"/>
        </w:rPr>
        <w:t>Id</w:t>
      </w:r>
      <w:r>
        <w:rPr>
          <w:rFonts w:ascii="Arial" w:eastAsia="Arial" w:hAnsi="Arial" w:cs="Arial"/>
          <w:color w:val="000000"/>
          <w:sz w:val="20"/>
        </w:rPr>
        <w:t xml:space="preserve">. at 674-75 (quoting 42 U.S.C. § 12101(a)(2)). [**60]  Congress also found that "individuals with disabilities continually encounter various forms of discrimination, including . . . the discriminatory effects of architectural . . . barriers." 42 U.S.C. § 12101(a)(5). </w:t>
      </w:r>
      <w:bookmarkStart w:id="5587" w:name="Bookmark_I5D7DDFD2N1PY30050000400_2"/>
      <w:bookmarkEnd w:id="5587"/>
      <w:r>
        <w:rPr>
          <w:rFonts w:ascii="Arial" w:eastAsia="Arial" w:hAnsi="Arial" w:cs="Arial"/>
          <w:color w:val="000000"/>
          <w:sz w:val="20"/>
        </w:rPr>
        <w:t xml:space="preserve">"After thoroughly investigating the problem, Congress concluded that there was a compelling need for a clear and comprehensive national mandate to eliminate discrimination against disabled individuals, and to integrate them into the economic and social mainstream of American life." </w:t>
      </w:r>
      <w:bookmarkStart w:id="5588" w:name="Bookmark_I5D7DDFD2N1PY30040000400"/>
      <w:bookmarkEnd w:id="5588"/>
      <w:r>
        <w:rPr>
          <w:rFonts w:ascii="Arial" w:eastAsia="Arial" w:hAnsi="Arial" w:cs="Arial"/>
          <w:color w:val="000000"/>
          <w:sz w:val="20"/>
          <w:u w:val="single"/>
        </w:rPr>
        <w:t>PGA Tour</w:t>
      </w:r>
      <w:r>
        <w:rPr>
          <w:rFonts w:ascii="Arial" w:eastAsia="Arial" w:hAnsi="Arial" w:cs="Arial"/>
          <w:color w:val="000000"/>
          <w:sz w:val="20"/>
        </w:rPr>
        <w:t xml:space="preserve">, 532 U.S. at 675 (internal quotation marks omitted). "In the ADA, Congress provided that broad mandate." </w:t>
      </w:r>
      <w:r>
        <w:rPr>
          <w:rFonts w:ascii="Arial" w:eastAsia="Arial" w:hAnsi="Arial" w:cs="Arial"/>
          <w:color w:val="000000"/>
          <w:sz w:val="20"/>
          <w:u w:val="single"/>
        </w:rPr>
        <w:t>Id</w:t>
      </w:r>
      <w:r>
        <w:rPr>
          <w:rFonts w:ascii="Arial" w:eastAsia="Arial" w:hAnsi="Arial" w:cs="Arial"/>
          <w:color w:val="000000"/>
          <w:sz w:val="20"/>
        </w:rPr>
        <w:t>. Twelve years after Congress passed the ADA, Abercrombie opened a store in the Park Meadows Mall designed with a distinctive area open to the public but accessible only to ambulatory persons, thereby relegating patrons who use wheelchairs to nonintegrated, second-class areas. I believe the ADA and the regulations promulgated under it prohibit this conduct.</w:t>
      </w:r>
    </w:p>
    <w:p w14:paraId="63385740" w14:textId="77777777" w:rsidR="002D0E71" w:rsidRDefault="00000000">
      <w:pPr>
        <w:pStyle w:val="Normal38"/>
        <w:widowControl w:val="0"/>
        <w:spacing w:before="120" w:line="260" w:lineRule="atLeast"/>
      </w:pPr>
      <w:r>
        <w:rPr>
          <w:rFonts w:ascii="Arial" w:eastAsia="Arial" w:hAnsi="Arial" w:cs="Arial"/>
          <w:color w:val="000000"/>
          <w:sz w:val="20"/>
        </w:rPr>
        <w:t xml:space="preserve">A. </w:t>
      </w:r>
      <w:r>
        <w:rPr>
          <w:rFonts w:ascii="Arial" w:eastAsia="Arial" w:hAnsi="Arial" w:cs="Arial"/>
          <w:color w:val="000000"/>
          <w:sz w:val="20"/>
          <w:u w:val="single"/>
        </w:rPr>
        <w:t>Spaces, Entrances, &amp; Routes</w:t>
      </w:r>
    </w:p>
    <w:p w14:paraId="03782F76" w14:textId="77777777" w:rsidR="002D0E71" w:rsidRDefault="00000000">
      <w:pPr>
        <w:pStyle w:val="Normal38"/>
        <w:widowControl w:val="0"/>
        <w:spacing w:before="200" w:line="260" w:lineRule="atLeast"/>
        <w:jc w:val="both"/>
      </w:pPr>
      <w:bookmarkStart w:id="5589" w:name="Bookmark_para_94_0"/>
      <w:bookmarkEnd w:id="5589"/>
      <w:r>
        <w:rPr>
          <w:rFonts w:ascii="Arial" w:eastAsia="Arial" w:hAnsi="Arial" w:cs="Arial"/>
          <w:color w:val="000000"/>
          <w:sz w:val="20"/>
        </w:rPr>
        <w:t>My disagreement with the majority is simple. As the majority reads the guidelines, spaces in a newly constructed facility need not be accessible unless a specific standard directly requires as much. As I read the guidelines, all spaces in a newly [**61]  constructed facility must be accessible unless specifically exempted. Both the 1991 and 2010 Design Standards require all non-exempted spaces to be connected by an accessible route. Accessible routes cannot have stairs. I would conclude that the porch at issue here is a non-exempt space that is not on an accessible route and that Abercrombie has therefore violated  [*1230]  the ADA by designing and constructing a non-compliant facility.</w:t>
      </w:r>
    </w:p>
    <w:p w14:paraId="34C162FD" w14:textId="77777777" w:rsidR="002D0E71" w:rsidRDefault="00000000">
      <w:pPr>
        <w:pStyle w:val="Normal38"/>
        <w:widowControl w:val="0"/>
        <w:spacing w:before="120" w:line="260" w:lineRule="atLeast"/>
      </w:pPr>
      <w:r>
        <w:rPr>
          <w:rFonts w:ascii="Arial" w:eastAsia="Arial" w:hAnsi="Arial" w:cs="Arial"/>
          <w:color w:val="000000"/>
          <w:sz w:val="20"/>
        </w:rPr>
        <w:t xml:space="preserve">a. </w:t>
      </w:r>
      <w:r>
        <w:rPr>
          <w:rFonts w:ascii="Arial" w:eastAsia="Arial" w:hAnsi="Arial" w:cs="Arial"/>
          <w:color w:val="000000"/>
          <w:sz w:val="20"/>
          <w:u w:val="single"/>
        </w:rPr>
        <w:t>All spaces are required to comply with the regulations unless otherwise exempted</w:t>
      </w:r>
      <w:r>
        <w:rPr>
          <w:rFonts w:ascii="Arial" w:eastAsia="Arial" w:hAnsi="Arial" w:cs="Arial"/>
          <w:color w:val="000000"/>
          <w:sz w:val="20"/>
        </w:rPr>
        <w:t>.</w:t>
      </w:r>
    </w:p>
    <w:p w14:paraId="79FF4252" w14:textId="77777777" w:rsidR="002D0E71" w:rsidRDefault="00000000">
      <w:pPr>
        <w:pStyle w:val="Normal38"/>
        <w:widowControl w:val="0"/>
        <w:spacing w:before="200" w:line="260" w:lineRule="atLeast"/>
        <w:jc w:val="both"/>
      </w:pPr>
      <w:bookmarkStart w:id="5590" w:name="Bookmark_para_95_0"/>
      <w:bookmarkEnd w:id="5590"/>
      <w:r>
        <w:rPr>
          <w:rFonts w:ascii="Arial" w:eastAsia="Arial" w:hAnsi="Arial" w:cs="Arial"/>
          <w:color w:val="000000"/>
          <w:sz w:val="20"/>
        </w:rPr>
        <w:t>The 1991 Design Standards begin with the general requirement that all non-exempt areas must comply with the guidelines:</w:t>
      </w:r>
    </w:p>
    <w:p w14:paraId="50A04FC1" w14:textId="77777777" w:rsidR="002D0E71" w:rsidRDefault="00000000">
      <w:pPr>
        <w:pStyle w:val="Normal38"/>
        <w:widowControl w:val="0"/>
        <w:spacing w:line="260" w:lineRule="atLeast"/>
        <w:ind w:left="400"/>
        <w:jc w:val="both"/>
      </w:pPr>
      <w:bookmarkStart w:id="5591" w:name="Bookmark_para_96_0"/>
      <w:bookmarkEnd w:id="5591"/>
      <w:r>
        <w:rPr>
          <w:rFonts w:ascii="Arial" w:eastAsia="Arial" w:hAnsi="Arial" w:cs="Arial"/>
          <w:color w:val="000000"/>
          <w:sz w:val="20"/>
        </w:rPr>
        <w:t>All areas of newly designed or newly constructed buildings and facilities required to be accessible by 4.1.2 and 4.1.3 and altered portions of existing buildings and facilities required to be accessible by 4.1.6 shall comply with these guidelines, 4.1 through 4.35, unless otherwise provided in this section or as modified in a special application section.</w:t>
      </w:r>
    </w:p>
    <w:p w14:paraId="312084A4" w14:textId="77777777" w:rsidR="002D0E71" w:rsidRDefault="00000000">
      <w:pPr>
        <w:pStyle w:val="Normal38"/>
        <w:widowControl w:val="0"/>
        <w:spacing w:before="200" w:line="260" w:lineRule="atLeast"/>
        <w:jc w:val="both"/>
      </w:pPr>
      <w:r>
        <w:rPr>
          <w:rFonts w:ascii="Arial" w:eastAsia="Arial" w:hAnsi="Arial" w:cs="Arial"/>
          <w:color w:val="000000"/>
          <w:sz w:val="20"/>
        </w:rPr>
        <w:t xml:space="preserve">1991 Standard 4.1.1(1); </w:t>
      </w:r>
      <w:r>
        <w:rPr>
          <w:rFonts w:ascii="Arial" w:eastAsia="Arial" w:hAnsi="Arial" w:cs="Arial"/>
          <w:color w:val="000000"/>
          <w:sz w:val="20"/>
          <w:u w:val="single"/>
        </w:rPr>
        <w:t>accord</w:t>
      </w:r>
      <w:r>
        <w:rPr>
          <w:rFonts w:ascii="Arial" w:eastAsia="Arial" w:hAnsi="Arial" w:cs="Arial"/>
          <w:color w:val="000000"/>
          <w:sz w:val="20"/>
        </w:rPr>
        <w:t xml:space="preserve"> 2010 Standards 201.1, 203.1. The phrase "required to be accessible by 4.1.2 and 4.1.3" could be read as modifying either "All areas" or "newly designed or newly constructed buildings [**62]  and facilities." If read to modify "All areas," as the majority does, the rule reads as follows:</w:t>
      </w:r>
    </w:p>
    <w:p w14:paraId="478D6623" w14:textId="77777777" w:rsidR="002D0E71" w:rsidRDefault="00000000">
      <w:pPr>
        <w:pStyle w:val="Normal38"/>
        <w:widowControl w:val="0"/>
        <w:spacing w:line="260" w:lineRule="atLeast"/>
        <w:ind w:left="400"/>
        <w:jc w:val="both"/>
      </w:pPr>
      <w:bookmarkStart w:id="5592" w:name="Bookmark_para_97_0"/>
      <w:bookmarkEnd w:id="5592"/>
      <w:r>
        <w:rPr>
          <w:rFonts w:ascii="Arial" w:eastAsia="Arial" w:hAnsi="Arial" w:cs="Arial"/>
          <w:color w:val="000000"/>
          <w:sz w:val="20"/>
        </w:rPr>
        <w:t>All areas . . . required to be accessible by 4.1.2 and 4.1.3 and . . . 4.1.6 shall comply with these guidelines, 4.1 through 4.35, unless otherwise provided in this section or as modified in a special application section.</w:t>
      </w:r>
    </w:p>
    <w:p w14:paraId="16942F66" w14:textId="77777777" w:rsidR="002D0E71" w:rsidRDefault="00000000">
      <w:pPr>
        <w:pStyle w:val="Normal38"/>
        <w:widowControl w:val="0"/>
        <w:spacing w:before="200" w:line="260" w:lineRule="atLeast"/>
        <w:jc w:val="both"/>
      </w:pPr>
      <w:r>
        <w:rPr>
          <w:rFonts w:ascii="Arial" w:eastAsia="Arial" w:hAnsi="Arial" w:cs="Arial"/>
          <w:color w:val="000000"/>
          <w:sz w:val="20"/>
        </w:rPr>
        <w:t xml:space="preserve">1991 Standard 4.1.1(1). As the majority notes, the Design Standards define "accessible" as "[d]escrib[ing] a site, building, facility, or portion thereof that complies with these guidelines." </w:t>
      </w:r>
      <w:r>
        <w:rPr>
          <w:rFonts w:ascii="Arial" w:eastAsia="Arial" w:hAnsi="Arial" w:cs="Arial"/>
          <w:color w:val="000000"/>
          <w:sz w:val="20"/>
          <w:u w:val="single"/>
        </w:rPr>
        <w:t>Id</w:t>
      </w:r>
      <w:r>
        <w:rPr>
          <w:rFonts w:ascii="Arial" w:eastAsia="Arial" w:hAnsi="Arial" w:cs="Arial"/>
          <w:color w:val="000000"/>
          <w:sz w:val="20"/>
        </w:rPr>
        <w:t xml:space="preserve">. 3.5; </w:t>
      </w:r>
      <w:r>
        <w:rPr>
          <w:rFonts w:ascii="Arial" w:eastAsia="Arial" w:hAnsi="Arial" w:cs="Arial"/>
          <w:color w:val="000000"/>
          <w:sz w:val="20"/>
          <w:u w:val="single"/>
        </w:rPr>
        <w:t>accord</w:t>
      </w:r>
      <w:r>
        <w:rPr>
          <w:rFonts w:ascii="Arial" w:eastAsia="Arial" w:hAnsi="Arial" w:cs="Arial"/>
          <w:color w:val="000000"/>
          <w:sz w:val="20"/>
        </w:rPr>
        <w:t xml:space="preserve"> 2010 Standard 106.5. The majority correctly states that nothing in standards 4.1.2, 4.1.3, and presumably 4.1.6 expressly requires all spaces to comply with the guidelines. Unlike the majority, I am convinced that overarching requirement is present in standard 4.1.1(1) itself.</w:t>
      </w:r>
    </w:p>
    <w:p w14:paraId="4DEB17FF" w14:textId="77777777" w:rsidR="002D0E71" w:rsidRDefault="00000000">
      <w:pPr>
        <w:pStyle w:val="Normal38"/>
        <w:widowControl w:val="0"/>
        <w:spacing w:before="200" w:line="260" w:lineRule="atLeast"/>
        <w:jc w:val="both"/>
      </w:pPr>
      <w:bookmarkStart w:id="5593" w:name="Bookmark_para_98_0"/>
      <w:bookmarkEnd w:id="5593"/>
      <w:r>
        <w:rPr>
          <w:rFonts w:ascii="Arial" w:eastAsia="Arial" w:hAnsi="Arial" w:cs="Arial"/>
          <w:color w:val="000000"/>
          <w:sz w:val="20"/>
        </w:rPr>
        <w:t>When the phrase in section 4.1.1(1), "required to be accessible by 4.1.2 and 4.1.3," is read to modify "newly designed or newly constructed buildings and facilities," the meaning becomes clear:</w:t>
      </w:r>
    </w:p>
    <w:p w14:paraId="4F047777" w14:textId="77777777" w:rsidR="002D0E71" w:rsidRDefault="00000000">
      <w:pPr>
        <w:pStyle w:val="Normal38"/>
        <w:widowControl w:val="0"/>
        <w:spacing w:line="260" w:lineRule="atLeast"/>
        <w:ind w:left="400"/>
        <w:jc w:val="both"/>
      </w:pPr>
      <w:bookmarkStart w:id="5594" w:name="Bookmark_para_99_0"/>
      <w:bookmarkEnd w:id="5594"/>
      <w:r>
        <w:rPr>
          <w:rFonts w:ascii="Arial" w:eastAsia="Arial" w:hAnsi="Arial" w:cs="Arial"/>
          <w:color w:val="000000"/>
          <w:sz w:val="20"/>
        </w:rPr>
        <w:t>All areas of newly designed or newly constructed buildings and facilities . . . shall comply with these guidelines, 4.1 through 4.35, unless otherwise provided in this section or as modified in a special application section.</w:t>
      </w:r>
    </w:p>
    <w:p w14:paraId="7967E44C" w14:textId="77777777" w:rsidR="002D0E71" w:rsidRDefault="00000000">
      <w:pPr>
        <w:pStyle w:val="Normal38"/>
        <w:widowControl w:val="0"/>
        <w:spacing w:before="200" w:line="260" w:lineRule="atLeast"/>
        <w:jc w:val="both"/>
      </w:pPr>
      <w:r>
        <w:rPr>
          <w:rFonts w:ascii="Arial" w:eastAsia="Arial" w:hAnsi="Arial" w:cs="Arial"/>
          <w:color w:val="000000"/>
          <w:sz w:val="20"/>
          <w:u w:val="single"/>
        </w:rPr>
        <w:t>Id</w:t>
      </w:r>
      <w:r>
        <w:rPr>
          <w:rFonts w:ascii="Arial" w:eastAsia="Arial" w:hAnsi="Arial" w:cs="Arial"/>
          <w:color w:val="000000"/>
          <w:sz w:val="20"/>
        </w:rPr>
        <w:t>. Under [**63]  this reading, if a new building is subject to the requirements of 4.1.2 or 4.1.3, then all areas of that building must also comply with the guidelines, unless otherwise provided.</w:t>
      </w:r>
      <w:r>
        <w:rPr>
          <w:rFonts w:ascii="Arial" w:eastAsia="Arial" w:hAnsi="Arial" w:cs="Arial"/>
          <w:vertAlign w:val="superscript"/>
        </w:rPr>
        <w:footnoteReference w:customMarkFollows="1" w:id="218"/>
        <w:t>6</w:t>
      </w:r>
      <w:r>
        <w:rPr>
          <w:rFonts w:ascii="Arial" w:eastAsia="Arial" w:hAnsi="Arial" w:cs="Arial"/>
          <w:color w:val="000000"/>
          <w:sz w:val="20"/>
        </w:rPr>
        <w:t xml:space="preserve"> The propriety of this reading—that all areas must comply unless exempted—is reinforced by the explicit statement in standard 4.1.1 that certain "non-occupiable spaces . . . frequented only by service personnel for repair purposes" are not required to comply with the guidelines. 1991 Standard 4.1.1(5)(b)(ii). If spaces were never required to comply with the guidelines in the first instance, there would be no reason to exempt certain types of spaces.</w:t>
      </w:r>
    </w:p>
    <w:p w14:paraId="21AE302C" w14:textId="77777777" w:rsidR="002D0E71" w:rsidRDefault="00000000">
      <w:pPr>
        <w:pStyle w:val="Normal38"/>
        <w:widowControl w:val="0"/>
        <w:spacing w:before="200" w:line="260" w:lineRule="atLeast"/>
        <w:jc w:val="both"/>
      </w:pPr>
      <w:bookmarkStart w:id="5596" w:name="Bookmark_para_100_0"/>
      <w:bookmarkEnd w:id="5596"/>
      <w:r>
        <w:rPr>
          <w:rFonts w:ascii="Arial" w:eastAsia="Arial" w:hAnsi="Arial" w:cs="Arial"/>
          <w:color w:val="000000"/>
          <w:sz w:val="20"/>
        </w:rPr>
        <w:t>This reading is also reinforced by the clarification of this provision in the 2010 Design Standards and its elaboration on the list of exceptions. The 2010 standards remove [**64]  the confusing language and state, "</w:t>
      </w:r>
      <w:r>
        <w:rPr>
          <w:rFonts w:ascii="Arial" w:eastAsia="Arial" w:hAnsi="Arial" w:cs="Arial"/>
          <w:color w:val="000000"/>
          <w:sz w:val="20"/>
          <w:u w:val="single"/>
        </w:rPr>
        <w:t>All areas</w:t>
      </w:r>
      <w:r>
        <w:rPr>
          <w:rFonts w:ascii="Arial" w:eastAsia="Arial" w:hAnsi="Arial" w:cs="Arial"/>
          <w:color w:val="000000"/>
          <w:sz w:val="20"/>
        </w:rPr>
        <w:t xml:space="preserve"> of newly designed and newly constructed buildings and facilities and altered portions of existing buildings and facilities </w:t>
      </w:r>
      <w:r>
        <w:rPr>
          <w:rFonts w:ascii="Arial" w:eastAsia="Arial" w:hAnsi="Arial" w:cs="Arial"/>
          <w:color w:val="000000"/>
          <w:sz w:val="20"/>
          <w:u w:val="single"/>
        </w:rPr>
        <w:t>shall comply with these requirements</w:t>
      </w:r>
      <w:r>
        <w:rPr>
          <w:rFonts w:ascii="Arial" w:eastAsia="Arial" w:hAnsi="Arial" w:cs="Arial"/>
          <w:color w:val="000000"/>
          <w:sz w:val="20"/>
        </w:rPr>
        <w:t>." 2010 Standard 201.1 (emphasis  [*1231]  added). Thus, the 2010 Design Standards leave no doubt that all areas of newly constructed buildings must comply.</w:t>
      </w:r>
      <w:r>
        <w:rPr>
          <w:rFonts w:ascii="Arial" w:eastAsia="Arial" w:hAnsi="Arial" w:cs="Arial"/>
          <w:vertAlign w:val="superscript"/>
        </w:rPr>
        <w:footnoteReference w:customMarkFollows="1" w:id="219"/>
        <w:t>7</w:t>
      </w:r>
      <w:r>
        <w:rPr>
          <w:rFonts w:ascii="Arial" w:eastAsia="Arial" w:hAnsi="Arial" w:cs="Arial"/>
          <w:color w:val="000000"/>
          <w:sz w:val="20"/>
        </w:rPr>
        <w:t xml:space="preserve"> The new standards further state, "Sites, buildings, facilities, and elements are exempt from these requirements </w:t>
      </w:r>
      <w:r>
        <w:rPr>
          <w:rFonts w:ascii="Arial" w:eastAsia="Arial" w:hAnsi="Arial" w:cs="Arial"/>
          <w:color w:val="000000"/>
          <w:sz w:val="20"/>
          <w:u w:val="single"/>
        </w:rPr>
        <w:t>to the extent specified by 203</w:t>
      </w:r>
      <w:r>
        <w:rPr>
          <w:rFonts w:ascii="Arial" w:eastAsia="Arial" w:hAnsi="Arial" w:cs="Arial"/>
          <w:color w:val="000000"/>
          <w:sz w:val="20"/>
        </w:rPr>
        <w:t xml:space="preserve">." </w:t>
      </w:r>
      <w:r>
        <w:rPr>
          <w:rFonts w:ascii="Arial" w:eastAsia="Arial" w:hAnsi="Arial" w:cs="Arial"/>
          <w:color w:val="000000"/>
          <w:sz w:val="20"/>
          <w:u w:val="single"/>
        </w:rPr>
        <w:t>Id</w:t>
      </w:r>
      <w:r>
        <w:rPr>
          <w:rFonts w:ascii="Arial" w:eastAsia="Arial" w:hAnsi="Arial" w:cs="Arial"/>
          <w:color w:val="000000"/>
          <w:sz w:val="20"/>
        </w:rPr>
        <w:t xml:space="preserve">. 203.1 (emphasis added). Although standard 203.1 does not list "spaces" generally as exempt, the enumerated list of exceptions includes several areas specifically identified as "spaces," such as "limited access spaces" and "machinery spaces." </w:t>
      </w:r>
      <w:r>
        <w:rPr>
          <w:rFonts w:ascii="Arial" w:eastAsia="Arial" w:hAnsi="Arial" w:cs="Arial"/>
          <w:color w:val="000000"/>
          <w:sz w:val="20"/>
          <w:u w:val="single"/>
        </w:rPr>
        <w:t>See, e.g</w:t>
      </w:r>
      <w:r>
        <w:rPr>
          <w:rFonts w:ascii="Arial" w:eastAsia="Arial" w:hAnsi="Arial" w:cs="Arial"/>
          <w:color w:val="000000"/>
          <w:sz w:val="20"/>
        </w:rPr>
        <w:t>., 2010 Standards 203.4, 203.5. Again, the exemption of certain types of spaces supports a reading in which all spaces are otherwise subject to the guidelines.</w:t>
      </w:r>
    </w:p>
    <w:p w14:paraId="327AC580" w14:textId="77777777" w:rsidR="002D0E71" w:rsidRDefault="00000000">
      <w:pPr>
        <w:pStyle w:val="Normal38"/>
        <w:widowControl w:val="0"/>
        <w:spacing w:before="200" w:line="260" w:lineRule="atLeast"/>
        <w:jc w:val="both"/>
      </w:pPr>
      <w:bookmarkStart w:id="5598" w:name="Bookmark_para_101_0"/>
      <w:bookmarkEnd w:id="5598"/>
      <w:r>
        <w:rPr>
          <w:rFonts w:ascii="Arial" w:eastAsia="Arial" w:hAnsi="Arial" w:cs="Arial"/>
          <w:color w:val="000000"/>
          <w:sz w:val="20"/>
        </w:rPr>
        <w:t xml:space="preserve">I am convinced this interpretation is the correct reading of the 1991 standards. </w:t>
      </w:r>
      <w:bookmarkStart w:id="5599" w:name="Bookmark_I48TWVY0R1M0003XDXH002C8"/>
      <w:bookmarkStart w:id="5600" w:name="Bookmark_I48TWVY0X4G0003XDXH002C9"/>
      <w:bookmarkStart w:id="5601" w:name="Bookmark_I5D7DDFJ2D6N490020000400"/>
      <w:bookmarkEnd w:id="5599"/>
      <w:bookmarkEnd w:id="5600"/>
      <w:bookmarkEnd w:id="5601"/>
      <w:r>
        <w:rPr>
          <w:rFonts w:ascii="Arial" w:eastAsia="Arial" w:hAnsi="Arial" w:cs="Arial"/>
          <w:color w:val="000000"/>
          <w:sz w:val="20"/>
        </w:rPr>
        <w:t xml:space="preserve">But at the very least, standard 4.1.1(1) is ambiguous. When a regulation is ambiguous, we must defer to the agency's interpretation of its own regulations, even in an amicus brief. </w:t>
      </w:r>
      <w:bookmarkStart w:id="5602" w:name="Bookmark_I48TWVY11YM0003XDXH002CB"/>
      <w:bookmarkStart w:id="5603" w:name="Bookmark_I5D7DDFM2D6N5J0010000400"/>
      <w:bookmarkStart w:id="5604" w:name="Bookmark_I5D7DDFJ2D6N490010000400"/>
      <w:bookmarkEnd w:id="5602"/>
      <w:bookmarkEnd w:id="5603"/>
      <w:bookmarkEnd w:id="5604"/>
      <w:r>
        <w:rPr>
          <w:rFonts w:ascii="Arial" w:eastAsia="Arial" w:hAnsi="Arial" w:cs="Arial"/>
          <w:color w:val="000000"/>
          <w:sz w:val="20"/>
          <w:u w:val="single"/>
        </w:rPr>
        <w:t>Auer v. Robbins</w:t>
      </w:r>
      <w:r>
        <w:rPr>
          <w:rFonts w:ascii="Arial" w:eastAsia="Arial" w:hAnsi="Arial" w:cs="Arial"/>
          <w:color w:val="000000"/>
          <w:sz w:val="20"/>
        </w:rPr>
        <w:t xml:space="preserve">, 519 U.S. 452, 462, 117 S. Ct. 905, 137 L. Ed. 2d 79 (1997); </w:t>
      </w:r>
      <w:r>
        <w:rPr>
          <w:rFonts w:ascii="Arial" w:eastAsia="Arial" w:hAnsi="Arial" w:cs="Arial"/>
          <w:color w:val="000000"/>
          <w:sz w:val="20"/>
          <w:u w:val="single"/>
        </w:rPr>
        <w:t xml:space="preserve">see also </w:t>
      </w:r>
      <w:bookmarkStart w:id="5605" w:name="Bookmark_I5D7DDFJ2D6N490030000400"/>
      <w:bookmarkEnd w:id="5605"/>
      <w:r>
        <w:rPr>
          <w:rFonts w:ascii="Arial" w:eastAsia="Arial" w:hAnsi="Arial" w:cs="Arial"/>
          <w:color w:val="000000"/>
          <w:sz w:val="20"/>
          <w:u w:val="single"/>
        </w:rPr>
        <w:t>Christensen v. Harris Cnty</w:t>
      </w:r>
      <w:r>
        <w:rPr>
          <w:rFonts w:ascii="Arial" w:eastAsia="Arial" w:hAnsi="Arial" w:cs="Arial"/>
          <w:color w:val="000000"/>
          <w:sz w:val="20"/>
        </w:rPr>
        <w:t xml:space="preserve">., 529 U.S. 576, 588, 120 S. Ct. 1655, 146 L. Ed. 2d 621 (2000). </w:t>
      </w:r>
      <w:bookmarkStart w:id="5606" w:name="Bookmark_I5D7DDFM2D6N5J0010000400_2"/>
      <w:bookmarkEnd w:id="5606"/>
      <w:r>
        <w:rPr>
          <w:rFonts w:ascii="Arial" w:eastAsia="Arial" w:hAnsi="Arial" w:cs="Arial"/>
          <w:color w:val="000000"/>
          <w:sz w:val="20"/>
        </w:rPr>
        <w:t xml:space="preserve">Ambiguity exists when "[n]o statute or regulation squarely addresses" the issue. </w:t>
      </w:r>
      <w:r>
        <w:rPr>
          <w:rFonts w:ascii="Arial" w:eastAsia="Arial" w:hAnsi="Arial" w:cs="Arial"/>
          <w:color w:val="000000"/>
          <w:sz w:val="20"/>
          <w:u w:val="single"/>
        </w:rPr>
        <w:t xml:space="preserve">See </w:t>
      </w:r>
      <w:bookmarkStart w:id="5607" w:name="Bookmark_I5D7DDFJ2D6N490050000400"/>
      <w:bookmarkEnd w:id="5607"/>
      <w:r>
        <w:rPr>
          <w:rFonts w:ascii="Arial" w:eastAsia="Arial" w:hAnsi="Arial" w:cs="Arial"/>
          <w:color w:val="000000"/>
          <w:sz w:val="20"/>
          <w:u w:val="single"/>
        </w:rPr>
        <w:t>Talk Am., Inc. v. Michigan Bell Tel. Co</w:t>
      </w:r>
      <w:r>
        <w:rPr>
          <w:rFonts w:ascii="Arial" w:eastAsia="Arial" w:hAnsi="Arial" w:cs="Arial"/>
          <w:color w:val="000000"/>
          <w:sz w:val="20"/>
        </w:rPr>
        <w:t xml:space="preserve">., </w:t>
      </w:r>
      <w:r>
        <w:rPr>
          <w:rFonts w:ascii="Arial" w:eastAsia="Arial" w:hAnsi="Arial" w:cs="Arial"/>
          <w:color w:val="000000"/>
          <w:sz w:val="20"/>
          <w:u w:val="single"/>
        </w:rPr>
        <w:t>   </w:t>
      </w:r>
      <w:r>
        <w:rPr>
          <w:rFonts w:ascii="Arial" w:eastAsia="Arial" w:hAnsi="Arial" w:cs="Arial"/>
          <w:color w:val="000000"/>
          <w:sz w:val="20"/>
        </w:rPr>
        <w:t xml:space="preserve"> U.S. </w:t>
      </w:r>
      <w:r>
        <w:rPr>
          <w:rFonts w:ascii="Arial" w:eastAsia="Arial" w:hAnsi="Arial" w:cs="Arial"/>
          <w:color w:val="000000"/>
          <w:sz w:val="20"/>
          <w:u w:val="single"/>
        </w:rPr>
        <w:t>   </w:t>
      </w:r>
      <w:r>
        <w:rPr>
          <w:rFonts w:ascii="Arial" w:eastAsia="Arial" w:hAnsi="Arial" w:cs="Arial"/>
          <w:color w:val="000000"/>
          <w:sz w:val="20"/>
        </w:rPr>
        <w:t>, 131 S. Ct. 2254, 2260-61, 180 L. Ed. 2d 96 (2011). Therefore, I would defer to the Department of Justice's interpretation of the Design Standards: all non-exempt areas must comply with the guidelines.</w:t>
      </w:r>
    </w:p>
    <w:p w14:paraId="2AF79E36" w14:textId="77777777" w:rsidR="002D0E71" w:rsidRDefault="00000000">
      <w:pPr>
        <w:pStyle w:val="Normal38"/>
        <w:widowControl w:val="0"/>
        <w:spacing w:before="200" w:line="260" w:lineRule="atLeast"/>
        <w:jc w:val="both"/>
      </w:pPr>
      <w:bookmarkStart w:id="5608" w:name="Bookmark_para_102_0"/>
      <w:bookmarkEnd w:id="5608"/>
      <w:r>
        <w:rPr>
          <w:rFonts w:ascii="Arial" w:eastAsia="Arial" w:hAnsi="Arial" w:cs="Arial"/>
          <w:color w:val="000000"/>
          <w:sz w:val="20"/>
        </w:rPr>
        <w:t xml:space="preserve">If all "areas" must comply, a "space" must comply. This is because the Design Standards define "space" as a "definable </w:t>
      </w:r>
      <w:r>
        <w:rPr>
          <w:rFonts w:ascii="Arial" w:eastAsia="Arial" w:hAnsi="Arial" w:cs="Arial"/>
          <w:color w:val="000000"/>
          <w:sz w:val="20"/>
          <w:u w:val="single"/>
        </w:rPr>
        <w:t>area</w:t>
      </w:r>
      <w:r>
        <w:rPr>
          <w:rFonts w:ascii="Arial" w:eastAsia="Arial" w:hAnsi="Arial" w:cs="Arial"/>
          <w:color w:val="000000"/>
          <w:sz w:val="20"/>
        </w:rPr>
        <w:t xml:space="preserve">." 1991 Standard 3.5 (emphasis added). Thus, when the Design Standards state that all "areas" must comply with the guidelines unless exempted, I would conclude this requires all non-exempt "spaces" to comply. I do not share the majority's concern about "the expansive definition of 'space'" in the Design Standards. </w:t>
      </w:r>
      <w:bookmarkStart w:id="5609" w:name="Bookmark_I48TWVY1D5B0003XDXH002CD"/>
      <w:bookmarkStart w:id="5610" w:name="Bookmark_I5D7DDFM2D6N5J0030000400"/>
      <w:bookmarkEnd w:id="5609"/>
      <w:bookmarkEnd w:id="5610"/>
      <w:r>
        <w:rPr>
          <w:rFonts w:ascii="Arial" w:eastAsia="Arial" w:hAnsi="Arial" w:cs="Arial"/>
          <w:color w:val="000000"/>
          <w:sz w:val="20"/>
        </w:rPr>
        <w:t xml:space="preserve">Maj. Op. 34. Although "definable area" could be read expansively, the enumerated list of spaces places a limit on that definition. "[T]he commonsense canon of </w:t>
      </w:r>
      <w:r>
        <w:rPr>
          <w:rFonts w:ascii="Arial" w:eastAsia="Arial" w:hAnsi="Arial" w:cs="Arial"/>
          <w:color w:val="000000"/>
          <w:sz w:val="20"/>
          <w:u w:val="single"/>
        </w:rPr>
        <w:t>noscitur a sociis</w:t>
      </w:r>
      <w:r>
        <w:rPr>
          <w:rFonts w:ascii="Arial" w:eastAsia="Arial" w:hAnsi="Arial" w:cs="Arial"/>
          <w:color w:val="000000"/>
          <w:sz w:val="20"/>
        </w:rPr>
        <w:t xml:space="preserve"> . . . counsels that a word is [**66]  given more precise content by the neighboring words with which it is associated." </w:t>
      </w:r>
      <w:bookmarkStart w:id="5611" w:name="Bookmark_I5D7DDFM2D6N5J0020000400"/>
      <w:bookmarkEnd w:id="5611"/>
      <w:r>
        <w:rPr>
          <w:rFonts w:ascii="Arial" w:eastAsia="Arial" w:hAnsi="Arial" w:cs="Arial"/>
          <w:color w:val="000000"/>
          <w:sz w:val="20"/>
          <w:u w:val="single"/>
        </w:rPr>
        <w:t>Freeman v. Quicken Loans, Inc</w:t>
      </w:r>
      <w:r>
        <w:rPr>
          <w:rFonts w:ascii="Arial" w:eastAsia="Arial" w:hAnsi="Arial" w:cs="Arial"/>
          <w:color w:val="000000"/>
          <w:sz w:val="20"/>
        </w:rPr>
        <w:t xml:space="preserve">., </w:t>
      </w:r>
      <w:r>
        <w:rPr>
          <w:rFonts w:ascii="Arial" w:eastAsia="Arial" w:hAnsi="Arial" w:cs="Arial"/>
          <w:color w:val="000000"/>
          <w:sz w:val="20"/>
          <w:u w:val="single"/>
        </w:rPr>
        <w:t>   </w:t>
      </w:r>
      <w:r>
        <w:rPr>
          <w:rFonts w:ascii="Arial" w:eastAsia="Arial" w:hAnsi="Arial" w:cs="Arial"/>
          <w:color w:val="000000"/>
          <w:sz w:val="20"/>
        </w:rPr>
        <w:t xml:space="preserve"> U.S. </w:t>
      </w:r>
      <w:r>
        <w:rPr>
          <w:rFonts w:ascii="Arial" w:eastAsia="Arial" w:hAnsi="Arial" w:cs="Arial"/>
          <w:color w:val="000000"/>
          <w:sz w:val="20"/>
          <w:u w:val="single"/>
        </w:rPr>
        <w:t>   </w:t>
      </w:r>
      <w:r>
        <w:rPr>
          <w:rFonts w:ascii="Arial" w:eastAsia="Arial" w:hAnsi="Arial" w:cs="Arial"/>
          <w:color w:val="000000"/>
          <w:sz w:val="20"/>
        </w:rPr>
        <w:t xml:space="preserve">, 132 S. Ct. 2034, 2042, 182 L. Ed. 2d 955 (2012). Thus, a "space" must not only be a definable area, but it must be a definable area in the same manner as a "room, toilet room, hall, assembly area, entrance, storage room, alcove, courtyard, or lobby." </w:t>
      </w:r>
      <w:r>
        <w:rPr>
          <w:rFonts w:ascii="Arial" w:eastAsia="Arial" w:hAnsi="Arial" w:cs="Arial"/>
          <w:color w:val="000000"/>
          <w:sz w:val="20"/>
          <w:u w:val="single"/>
        </w:rPr>
        <w:t>See</w:t>
      </w:r>
      <w:r>
        <w:rPr>
          <w:rFonts w:ascii="Arial" w:eastAsia="Arial" w:hAnsi="Arial" w:cs="Arial"/>
          <w:color w:val="000000"/>
          <w:sz w:val="20"/>
        </w:rPr>
        <w:t xml:space="preserve"> 1991 Standard 3.5; </w:t>
      </w:r>
      <w:r>
        <w:rPr>
          <w:rFonts w:ascii="Arial" w:eastAsia="Arial" w:hAnsi="Arial" w:cs="Arial"/>
          <w:color w:val="000000"/>
          <w:sz w:val="20"/>
          <w:u w:val="single"/>
        </w:rPr>
        <w:t>accord</w:t>
      </w:r>
      <w:r>
        <w:rPr>
          <w:rFonts w:ascii="Arial" w:eastAsia="Arial" w:hAnsi="Arial" w:cs="Arial"/>
          <w:color w:val="000000"/>
          <w:sz w:val="20"/>
        </w:rPr>
        <w:t xml:space="preserve"> 2010 Standard 106.5.</w:t>
      </w:r>
    </w:p>
    <w:p w14:paraId="787D47DE" w14:textId="77777777" w:rsidR="002D0E71" w:rsidRDefault="00000000">
      <w:pPr>
        <w:pStyle w:val="Normal38"/>
        <w:widowControl w:val="0"/>
        <w:spacing w:before="200" w:line="260" w:lineRule="atLeast"/>
        <w:jc w:val="both"/>
      </w:pPr>
      <w:bookmarkStart w:id="5612" w:name="Bookmark_para_103_0"/>
      <w:bookmarkEnd w:id="5612"/>
      <w:r>
        <w:rPr>
          <w:rFonts w:ascii="Arial" w:eastAsia="Arial" w:hAnsi="Arial" w:cs="Arial"/>
          <w:color w:val="000000"/>
          <w:sz w:val="20"/>
        </w:rPr>
        <w:t xml:space="preserve">The raised porch at issue is a "space." Indeed, the majority concludes that the porch is an entrance, separate from the two entrances flanking the porch. </w:t>
      </w:r>
      <w:r>
        <w:rPr>
          <w:rFonts w:ascii="Arial" w:eastAsia="Arial" w:hAnsi="Arial" w:cs="Arial"/>
          <w:color w:val="000000"/>
          <w:sz w:val="20"/>
          <w:u w:val="single"/>
        </w:rPr>
        <w:t>See</w:t>
      </w:r>
      <w:r>
        <w:rPr>
          <w:rFonts w:ascii="Arial" w:eastAsia="Arial" w:hAnsi="Arial" w:cs="Arial"/>
          <w:color w:val="000000"/>
          <w:sz w:val="20"/>
        </w:rPr>
        <w:t xml:space="preserve"> Maj. Op. 37-38; </w:t>
      </w:r>
      <w:r>
        <w:rPr>
          <w:rFonts w:ascii="Arial" w:eastAsia="Arial" w:hAnsi="Arial" w:cs="Arial"/>
          <w:color w:val="000000"/>
          <w:sz w:val="20"/>
          <w:u w:val="single"/>
        </w:rPr>
        <w:t>see also</w:t>
      </w:r>
      <w:r>
        <w:rPr>
          <w:rFonts w:ascii="Arial" w:eastAsia="Arial" w:hAnsi="Arial" w:cs="Arial"/>
          <w:color w:val="000000"/>
          <w:sz w:val="20"/>
        </w:rPr>
        <w:t xml:space="preserve"> 1991 Standard 3.5 (defining entrance); </w:t>
      </w:r>
      <w:r>
        <w:rPr>
          <w:rFonts w:ascii="Arial" w:eastAsia="Arial" w:hAnsi="Arial" w:cs="Arial"/>
          <w:color w:val="000000"/>
          <w:sz w:val="20"/>
          <w:u w:val="single"/>
        </w:rPr>
        <w:t>accord</w:t>
      </w:r>
      <w:r>
        <w:rPr>
          <w:rFonts w:ascii="Arial" w:eastAsia="Arial" w:hAnsi="Arial" w:cs="Arial"/>
          <w:color w:val="000000"/>
          <w:sz w:val="20"/>
        </w:rPr>
        <w:t xml:space="preserve"> 2010 Standard 106.5 (same). As an "entrance," the porch would expressly fall within the definition of a "space." But as discussed more fully below, I would conclude that the porch is not just an entrance. It is also an area that is definable in the same sense as a room or lobby. </w:t>
      </w:r>
      <w:r>
        <w:rPr>
          <w:rFonts w:ascii="Arial" w:eastAsia="Arial" w:hAnsi="Arial" w:cs="Arial"/>
          <w:color w:val="000000"/>
          <w:sz w:val="20"/>
          <w:u w:val="single"/>
        </w:rPr>
        <w:t>See</w:t>
      </w:r>
      <w:r>
        <w:rPr>
          <w:rFonts w:ascii="Arial" w:eastAsia="Arial" w:hAnsi="Arial" w:cs="Arial"/>
          <w:color w:val="000000"/>
          <w:sz w:val="20"/>
        </w:rPr>
        <w:t xml:space="preserve"> 1991 Standard 3.5; 2010 Standard 106.5. However, I agree with the majority that concluding the porch is a space does not end the inquiry. We must next determine whether the space is exempt from compliance with the guidelines. I would conclude that it is not. The porch is a non-exempt space that  [*1232]  is required to be connected to an accessible route. As [**67]  described below, it was not connected to an accessible route and, therefore, does not meet either the 1991 or 2010 Design Standards.</w:t>
      </w:r>
    </w:p>
    <w:p w14:paraId="793B1013" w14:textId="77777777" w:rsidR="002D0E71" w:rsidRDefault="00000000">
      <w:pPr>
        <w:pStyle w:val="Normal38"/>
        <w:widowControl w:val="0"/>
        <w:spacing w:before="120" w:line="260" w:lineRule="atLeast"/>
      </w:pPr>
      <w:r>
        <w:rPr>
          <w:rFonts w:ascii="Arial" w:eastAsia="Arial" w:hAnsi="Arial" w:cs="Arial"/>
          <w:color w:val="000000"/>
          <w:sz w:val="20"/>
        </w:rPr>
        <w:t xml:space="preserve">b. </w:t>
      </w:r>
      <w:r>
        <w:rPr>
          <w:rFonts w:ascii="Arial" w:eastAsia="Arial" w:hAnsi="Arial" w:cs="Arial"/>
          <w:color w:val="000000"/>
          <w:sz w:val="20"/>
          <w:u w:val="single"/>
        </w:rPr>
        <w:t>The porch does not comply with the ADA under the 1991 Design Standards</w:t>
      </w:r>
      <w:r>
        <w:rPr>
          <w:rFonts w:ascii="Arial" w:eastAsia="Arial" w:hAnsi="Arial" w:cs="Arial"/>
          <w:color w:val="000000"/>
          <w:sz w:val="20"/>
        </w:rPr>
        <w:t>.</w:t>
      </w:r>
    </w:p>
    <w:p w14:paraId="69E48FA0" w14:textId="77777777" w:rsidR="002D0E71" w:rsidRDefault="00000000">
      <w:pPr>
        <w:pStyle w:val="Normal38"/>
        <w:widowControl w:val="0"/>
        <w:spacing w:before="200" w:line="260" w:lineRule="atLeast"/>
        <w:jc w:val="both"/>
      </w:pPr>
      <w:bookmarkStart w:id="5613" w:name="Bookmark_para_104_0"/>
      <w:bookmarkEnd w:id="5613"/>
      <w:r>
        <w:rPr>
          <w:rFonts w:ascii="Arial" w:eastAsia="Arial" w:hAnsi="Arial" w:cs="Arial"/>
          <w:color w:val="000000"/>
          <w:sz w:val="20"/>
        </w:rPr>
        <w:t>To determine whether a space complies with the Design Standards, I would look first to any general exceptions. I would then look to the specific requirements for the type of space involved to determine what compliance entails and whether the specific standards contain any relevant exceptions.</w:t>
      </w:r>
    </w:p>
    <w:p w14:paraId="0066EE88" w14:textId="77777777" w:rsidR="002D0E71" w:rsidRDefault="00000000">
      <w:pPr>
        <w:pStyle w:val="Normal38"/>
        <w:widowControl w:val="0"/>
        <w:spacing w:before="200" w:line="260" w:lineRule="atLeast"/>
        <w:jc w:val="both"/>
      </w:pPr>
      <w:bookmarkStart w:id="5614" w:name="Bookmark_para_105_0"/>
      <w:bookmarkEnd w:id="5614"/>
      <w:r>
        <w:rPr>
          <w:rFonts w:ascii="Arial" w:eastAsia="Arial" w:hAnsi="Arial" w:cs="Arial"/>
          <w:color w:val="000000"/>
          <w:sz w:val="20"/>
        </w:rPr>
        <w:t>Under the 1991 Design Standards, section 4.1.1 provides a list of spaces and other areas that are exempt from the guidelines:</w:t>
      </w:r>
    </w:p>
    <w:p w14:paraId="07D97F1F" w14:textId="77777777" w:rsidR="002D0E71" w:rsidRDefault="00000000">
      <w:pPr>
        <w:pStyle w:val="Normal38"/>
        <w:widowControl w:val="0"/>
        <w:spacing w:line="260" w:lineRule="atLeast"/>
        <w:ind w:left="400"/>
        <w:jc w:val="both"/>
      </w:pPr>
      <w:bookmarkStart w:id="5615" w:name="Bookmark_para_106_0"/>
      <w:bookmarkEnd w:id="5615"/>
      <w:r>
        <w:rPr>
          <w:rFonts w:ascii="Arial" w:eastAsia="Arial" w:hAnsi="Arial" w:cs="Arial"/>
          <w:color w:val="000000"/>
          <w:sz w:val="20"/>
        </w:rPr>
        <w:t>Accessibility is not required to (I) observation galleries used primarily for security purposes; or (ii) in non-occupiable spaces accessed only by ladders, catwalks, crawl spaces, very narrow passageways, or freight (non-passenger) elevators, and frequented only by service personnel for repair purposes; such spaces include, but are not limited to, elevator pits, elevator penthouses, piping or equipment catwalks.</w:t>
      </w:r>
    </w:p>
    <w:p w14:paraId="3DEE8614" w14:textId="77777777" w:rsidR="002D0E71" w:rsidRDefault="00000000">
      <w:pPr>
        <w:pStyle w:val="Normal38"/>
        <w:widowControl w:val="0"/>
        <w:spacing w:before="200" w:line="260" w:lineRule="atLeast"/>
        <w:jc w:val="both"/>
      </w:pPr>
      <w:r>
        <w:rPr>
          <w:rFonts w:ascii="Arial" w:eastAsia="Arial" w:hAnsi="Arial" w:cs="Arial"/>
          <w:color w:val="000000"/>
          <w:sz w:val="20"/>
        </w:rPr>
        <w:t>1991 Standard 4.1.1(5)(b).</w:t>
      </w:r>
      <w:r>
        <w:rPr>
          <w:rFonts w:ascii="Arial" w:eastAsia="Arial" w:hAnsi="Arial" w:cs="Arial"/>
          <w:vertAlign w:val="superscript"/>
        </w:rPr>
        <w:footnoteReference w:customMarkFollows="1" w:id="220"/>
        <w:t>8</w:t>
      </w:r>
      <w:r>
        <w:rPr>
          <w:rFonts w:ascii="Arial" w:eastAsia="Arial" w:hAnsi="Arial" w:cs="Arial"/>
          <w:color w:val="000000"/>
          <w:sz w:val="20"/>
        </w:rPr>
        <w:t xml:space="preserve"> In the present case, deposition testimony, photographic evidence, and architectural drawings all establish that the porch is neither an observation [**68]  gallery used primarily for security purposes nor a non-occupiable space accessed only by ladders, etc., and frequented only by service personnel for repair purposes. Thus, this general exception does not exempt the porch from the requirement that it comply with the regulations and Abercrombie does not argue otherwise.</w:t>
      </w:r>
    </w:p>
    <w:p w14:paraId="029A8FDE" w14:textId="77777777" w:rsidR="002D0E71" w:rsidRDefault="00000000">
      <w:pPr>
        <w:pStyle w:val="Normal38"/>
        <w:widowControl w:val="0"/>
        <w:spacing w:before="200" w:line="260" w:lineRule="atLeast"/>
        <w:jc w:val="both"/>
      </w:pPr>
      <w:bookmarkStart w:id="5617" w:name="Bookmark_para_107_0"/>
      <w:bookmarkEnd w:id="5617"/>
      <w:r>
        <w:rPr>
          <w:rFonts w:ascii="Arial" w:eastAsia="Arial" w:hAnsi="Arial" w:cs="Arial"/>
          <w:color w:val="000000"/>
          <w:sz w:val="20"/>
        </w:rPr>
        <w:t xml:space="preserve">Nor, in my view, is the porch exempt as an entrance under the 1991 Design Standards. The 1991 Design Standards state, "At least 50% of all public entrances . . . must be accessible." </w:t>
      </w:r>
      <w:r>
        <w:rPr>
          <w:rFonts w:ascii="Arial" w:eastAsia="Arial" w:hAnsi="Arial" w:cs="Arial"/>
          <w:color w:val="000000"/>
          <w:sz w:val="20"/>
          <w:u w:val="single"/>
        </w:rPr>
        <w:t>Id</w:t>
      </w:r>
      <w:r>
        <w:rPr>
          <w:rFonts w:ascii="Arial" w:eastAsia="Arial" w:hAnsi="Arial" w:cs="Arial"/>
          <w:color w:val="000000"/>
          <w:sz w:val="20"/>
        </w:rPr>
        <w:t xml:space="preserve">. 4.1.3(8)(a)(i). The negative inference of standard 4.1.3(8) is that half of all public entrances need not comply with the guidelines. However, the standard further provides, "Where feasible, accessible entrances shall be the entrances used by the majority of people visiting or working in the building." </w:t>
      </w:r>
      <w:r>
        <w:rPr>
          <w:rFonts w:ascii="Arial" w:eastAsia="Arial" w:hAnsi="Arial" w:cs="Arial"/>
          <w:color w:val="000000"/>
          <w:sz w:val="20"/>
          <w:u w:val="single"/>
        </w:rPr>
        <w:t>Id</w:t>
      </w:r>
      <w:r>
        <w:rPr>
          <w:rFonts w:ascii="Arial" w:eastAsia="Arial" w:hAnsi="Arial" w:cs="Arial"/>
          <w:color w:val="000000"/>
          <w:sz w:val="20"/>
        </w:rPr>
        <w:t>. 4.1.3(8)(a).</w:t>
      </w:r>
    </w:p>
    <w:p w14:paraId="7E8DDD55" w14:textId="77777777" w:rsidR="002D0E71" w:rsidRDefault="00000000">
      <w:pPr>
        <w:pStyle w:val="Normal38"/>
        <w:widowControl w:val="0"/>
        <w:spacing w:before="200" w:line="260" w:lineRule="atLeast"/>
        <w:jc w:val="both"/>
      </w:pPr>
      <w:bookmarkStart w:id="5618" w:name="Bookmark_para_108_0"/>
      <w:bookmarkEnd w:id="5618"/>
      <w:r>
        <w:rPr>
          <w:rFonts w:ascii="Arial" w:eastAsia="Arial" w:hAnsi="Arial" w:cs="Arial"/>
          <w:color w:val="000000"/>
          <w:sz w:val="20"/>
        </w:rPr>
        <w:t>The majority concludes that no evidence was presented from which the district court could infer that the porch was used by a majority of people visiting or working in the Park Meadows Hollister. [**69]  I disagree. Unlike the lack of evidence supporting the district court's inference as to class size, the record contains deposition testimony, declarations, photographic evidence, and architectural drawings that all support a reasonable inference that a majority of people use the porch entrance at the Park Meadows Hollister. The four CCDC members who are no longer named parties in this litigation submitted declarations stating that the side entrances were difficult to find and "looked like shutters . . . indistinguishable from the rest of the shutters on the exterior of the store." I Aplt. App. 118, 121, 123-24, 126-27. The side entrances have since been modified to make them more visible. III Aplt. App. 734-36. But Ms. Farrar did not see the two side entrances at the Park Meadows Hollister after the modifications took place, id.; II Aplt. App. 462, 657, though  [*1233]  she admittedly did not continue to look for accessible entrances after being deterred by the porch, II Aplt. App. 462, 657-59.</w:t>
      </w:r>
    </w:p>
    <w:p w14:paraId="23711419" w14:textId="77777777" w:rsidR="002D0E71" w:rsidRDefault="00000000">
      <w:pPr>
        <w:pStyle w:val="Normal38"/>
        <w:widowControl w:val="0"/>
        <w:spacing w:before="200" w:line="260" w:lineRule="atLeast"/>
        <w:jc w:val="both"/>
      </w:pPr>
      <w:bookmarkStart w:id="5619" w:name="Bookmark_para_109_0"/>
      <w:bookmarkEnd w:id="5619"/>
      <w:r>
        <w:rPr>
          <w:rFonts w:ascii="Arial" w:eastAsia="Arial" w:hAnsi="Arial" w:cs="Arial"/>
          <w:color w:val="000000"/>
          <w:sz w:val="20"/>
        </w:rPr>
        <w:t>The inference that the porch was the entrance used by the majority of visitors is also supported by Abercrombie's own actions. Indeed, it was not until after this litigation began that Abercrombie directed [**70]  store managers to unlock the side entrances when opening the store. III Aplt. App. 734. And Abercrombie representatives declared that the porch was designed to draw customers into the store. III Aplt. App. 732-33. Tellingly, Abercrombie submitted a declaration stating that roping off the porch entrance "would be confusing to customers" and would cause "immense and unquantifiable loss in sales and revenue." III Aplt. App. 1071.</w:t>
      </w:r>
    </w:p>
    <w:p w14:paraId="441CC432" w14:textId="77777777" w:rsidR="002D0E71" w:rsidRDefault="00000000">
      <w:pPr>
        <w:pStyle w:val="Normal38"/>
        <w:widowControl w:val="0"/>
        <w:spacing w:before="200" w:line="260" w:lineRule="atLeast"/>
        <w:jc w:val="both"/>
      </w:pPr>
      <w:bookmarkStart w:id="5620" w:name="Bookmark_para_110_0"/>
      <w:bookmarkEnd w:id="5620"/>
      <w:r>
        <w:rPr>
          <w:rFonts w:ascii="Arial" w:eastAsia="Arial" w:hAnsi="Arial" w:cs="Arial"/>
          <w:color w:val="000000"/>
          <w:sz w:val="20"/>
        </w:rPr>
        <w:t>In my view, this evidence combined with the photographs and architectural drawings illustrate that the porch is the focal point of the storefront, with trees, decorations, upholstered chairs, mannequins displaying merchandise, and a large marketing image on the back wall. I Aplt. App. 298-302; Aplee. Br. 7. Furthermore, the photographs of the Park Meadows Hollister storefront depict a large pillar blocking one's view of the side entrance into the "Bettys" section of the store.</w:t>
      </w:r>
      <w:r>
        <w:rPr>
          <w:rFonts w:ascii="Arial" w:eastAsia="Arial" w:hAnsi="Arial" w:cs="Arial"/>
          <w:vertAlign w:val="superscript"/>
        </w:rPr>
        <w:footnoteReference w:customMarkFollows="1" w:id="221"/>
        <w:t>9</w:t>
      </w:r>
      <w:r>
        <w:rPr>
          <w:rFonts w:ascii="Arial" w:eastAsia="Arial" w:hAnsi="Arial" w:cs="Arial"/>
          <w:color w:val="000000"/>
          <w:sz w:val="20"/>
        </w:rPr>
        <w:t xml:space="preserve"> I Aplt. App. 298-302. I would hold that it is a small and imminently reasonable step to infer from this evidence that a majority of people use the porch to enter the Park Meadows Hollister. And because Abercrombie has identified no contrary evidence to support a </w:t>
      </w:r>
      <w:r>
        <w:rPr>
          <w:rFonts w:ascii="Arial" w:eastAsia="Arial" w:hAnsi="Arial" w:cs="Arial"/>
          <w:color w:val="000000"/>
          <w:sz w:val="20"/>
          <w:u w:val="single"/>
        </w:rPr>
        <w:t>reasonable</w:t>
      </w:r>
      <w:r>
        <w:rPr>
          <w:rFonts w:ascii="Arial" w:eastAsia="Arial" w:hAnsi="Arial" w:cs="Arial"/>
          <w:color w:val="000000"/>
          <w:sz w:val="20"/>
        </w:rPr>
        <w:t xml:space="preserve"> inference that [**71]  a majority of people do not use the porch to enter the store, no genuine dispute of material fact exists on this point.</w:t>
      </w:r>
      <w:r>
        <w:rPr>
          <w:rFonts w:ascii="Arial" w:eastAsia="Arial" w:hAnsi="Arial" w:cs="Arial"/>
          <w:vertAlign w:val="superscript"/>
        </w:rPr>
        <w:footnoteReference w:customMarkFollows="1" w:id="222"/>
        <w:t>10</w:t>
      </w:r>
    </w:p>
    <w:p w14:paraId="1E9F8616" w14:textId="77777777" w:rsidR="002D0E71" w:rsidRDefault="00000000">
      <w:pPr>
        <w:pStyle w:val="Normal38"/>
        <w:widowControl w:val="0"/>
        <w:spacing w:before="200" w:line="260" w:lineRule="atLeast"/>
        <w:jc w:val="both"/>
      </w:pPr>
      <w:bookmarkStart w:id="5623" w:name="Bookmark_para_111_0"/>
      <w:bookmarkEnd w:id="5623"/>
      <w:r>
        <w:rPr>
          <w:rFonts w:ascii="Arial" w:eastAsia="Arial" w:hAnsi="Arial" w:cs="Arial"/>
          <w:color w:val="000000"/>
          <w:sz w:val="20"/>
        </w:rPr>
        <w:t>Because a majority of people use the porch entrance, the porch entrance was required to be "accessible." 1991 Standard 4.1.3(8)(a). As an "accessible entrance," the porch was required to be on an "accessible route":</w:t>
      </w:r>
    </w:p>
    <w:p w14:paraId="68E7BE40" w14:textId="77777777" w:rsidR="002D0E71" w:rsidRDefault="00000000">
      <w:pPr>
        <w:pStyle w:val="Normal38"/>
        <w:widowControl w:val="0"/>
        <w:spacing w:line="260" w:lineRule="atLeast"/>
        <w:ind w:left="400"/>
        <w:jc w:val="both"/>
      </w:pPr>
      <w:bookmarkStart w:id="5624" w:name="Bookmark_para_112_0"/>
      <w:bookmarkEnd w:id="5624"/>
      <w:r>
        <w:rPr>
          <w:rFonts w:ascii="Arial" w:eastAsia="Arial" w:hAnsi="Arial" w:cs="Arial"/>
          <w:color w:val="000000"/>
          <w:sz w:val="20"/>
        </w:rPr>
        <w:t>Entrances required to be accessible by 4.1 shall be part of an accessible route complying with 4.3. . . . They shall also be connected by an accessible route to all accessible spaces or elements within the building or facility.</w:t>
      </w:r>
    </w:p>
    <w:p w14:paraId="1D7A894D" w14:textId="77777777" w:rsidR="002D0E71" w:rsidRDefault="00000000">
      <w:pPr>
        <w:pStyle w:val="Normal38"/>
        <w:widowControl w:val="0"/>
        <w:spacing w:before="200" w:line="260" w:lineRule="atLeast"/>
        <w:jc w:val="both"/>
      </w:pPr>
      <w:r>
        <w:rPr>
          <w:rFonts w:ascii="Arial" w:eastAsia="Arial" w:hAnsi="Arial" w:cs="Arial"/>
          <w:color w:val="000000"/>
          <w:sz w:val="20"/>
          <w:u w:val="single"/>
        </w:rPr>
        <w:t>Id</w:t>
      </w:r>
      <w:r>
        <w:rPr>
          <w:rFonts w:ascii="Arial" w:eastAsia="Arial" w:hAnsi="Arial" w:cs="Arial"/>
          <w:color w:val="000000"/>
          <w:sz w:val="20"/>
        </w:rPr>
        <w:t xml:space="preserve">. 4.14.1; </w:t>
      </w:r>
      <w:r>
        <w:rPr>
          <w:rFonts w:ascii="Arial" w:eastAsia="Arial" w:hAnsi="Arial" w:cs="Arial"/>
          <w:color w:val="000000"/>
          <w:sz w:val="20"/>
          <w:u w:val="single"/>
        </w:rPr>
        <w:t>see also id</w:t>
      </w:r>
      <w:r>
        <w:rPr>
          <w:rFonts w:ascii="Arial" w:eastAsia="Arial" w:hAnsi="Arial" w:cs="Arial"/>
          <w:color w:val="000000"/>
          <w:sz w:val="20"/>
        </w:rPr>
        <w:t xml:space="preserve">. 4.1.3(1) ("At least one accessible route complying with 4.3 shall connect accessible building or facility entrances with all accessible spaces and elements within the building or facility."); </w:t>
      </w:r>
      <w:r>
        <w:rPr>
          <w:rFonts w:ascii="Arial" w:eastAsia="Arial" w:hAnsi="Arial" w:cs="Arial"/>
          <w:color w:val="000000"/>
          <w:sz w:val="20"/>
          <w:u w:val="single"/>
        </w:rPr>
        <w:t>id</w:t>
      </w:r>
      <w:r>
        <w:rPr>
          <w:rFonts w:ascii="Arial" w:eastAsia="Arial" w:hAnsi="Arial" w:cs="Arial"/>
          <w:color w:val="000000"/>
          <w:sz w:val="20"/>
        </w:rPr>
        <w:t xml:space="preserve">. 4.3.2(2) ("At least one accessible route shall connect accessible buildings, facilities, elements, and spaces that [**72]  are on the same site."); </w:t>
      </w:r>
      <w:r>
        <w:rPr>
          <w:rFonts w:ascii="Arial" w:eastAsia="Arial" w:hAnsi="Arial" w:cs="Arial"/>
          <w:color w:val="000000"/>
          <w:sz w:val="20"/>
          <w:u w:val="single"/>
        </w:rPr>
        <w:t>id</w:t>
      </w:r>
      <w:r>
        <w:rPr>
          <w:rFonts w:ascii="Arial" w:eastAsia="Arial" w:hAnsi="Arial" w:cs="Arial"/>
          <w:color w:val="000000"/>
          <w:sz w:val="20"/>
        </w:rPr>
        <w:t xml:space="preserve">. 4.3.2(3) ("At least one accessible route shall connect accessible building or facility entrances with all accessible spaces and elements and with all accessible dwelling units within the building or facility."). An "accessible route" is a "continuous unobstructed path connecting all accessible elements and spaces of a building or facility" that "may include corridors, floors, ramps, elevators, lifts, and clear floor space at fixtures." </w:t>
      </w:r>
      <w:r>
        <w:rPr>
          <w:rFonts w:ascii="Arial" w:eastAsia="Arial" w:hAnsi="Arial" w:cs="Arial"/>
          <w:color w:val="000000"/>
          <w:sz w:val="20"/>
          <w:u w:val="single"/>
        </w:rPr>
        <w:t>Id</w:t>
      </w:r>
      <w:r>
        <w:rPr>
          <w:rFonts w:ascii="Arial" w:eastAsia="Arial" w:hAnsi="Arial" w:cs="Arial"/>
          <w:color w:val="000000"/>
          <w:sz w:val="20"/>
        </w:rPr>
        <w:t xml:space="preserve">. 3.5. Of particular relevance here, "[a]n accessible route does not include </w:t>
      </w:r>
      <w:r>
        <w:rPr>
          <w:rFonts w:ascii="Arial" w:eastAsia="Arial" w:hAnsi="Arial" w:cs="Arial"/>
          <w:color w:val="000000"/>
          <w:sz w:val="20"/>
          <w:u w:val="single"/>
        </w:rPr>
        <w:t>stairs, steps</w:t>
      </w:r>
      <w:r>
        <w:rPr>
          <w:rFonts w:ascii="Arial" w:eastAsia="Arial" w:hAnsi="Arial" w:cs="Arial"/>
          <w:color w:val="000000"/>
          <w:sz w:val="20"/>
        </w:rPr>
        <w:t xml:space="preserve">, or escalators." </w:t>
      </w:r>
      <w:r>
        <w:rPr>
          <w:rFonts w:ascii="Arial" w:eastAsia="Arial" w:hAnsi="Arial" w:cs="Arial"/>
          <w:color w:val="000000"/>
          <w:sz w:val="20"/>
          <w:u w:val="single"/>
        </w:rPr>
        <w:t>Id</w:t>
      </w:r>
      <w:r>
        <w:rPr>
          <w:rFonts w:ascii="Arial" w:eastAsia="Arial" w:hAnsi="Arial" w:cs="Arial"/>
          <w:color w:val="000000"/>
          <w:sz w:val="20"/>
        </w:rPr>
        <w:t>. 4.3.8 (emphases added). Because it was accessible only by stairs, the porch was not connected to an accessible route. Therefore, it violates the 1991 Design Standards.</w:t>
      </w:r>
    </w:p>
    <w:p w14:paraId="00F1FF9B" w14:textId="77777777" w:rsidR="002D0E71" w:rsidRDefault="00000000">
      <w:pPr>
        <w:pStyle w:val="Normal38"/>
        <w:widowControl w:val="0"/>
        <w:spacing w:before="200" w:line="260" w:lineRule="atLeast"/>
        <w:jc w:val="both"/>
      </w:pPr>
      <w:bookmarkStart w:id="5625" w:name="Bookmark_para_113_0"/>
      <w:bookmarkEnd w:id="5625"/>
      <w:r>
        <w:rPr>
          <w:rFonts w:ascii="Arial" w:eastAsia="Arial" w:hAnsi="Arial" w:cs="Arial"/>
          <w:color w:val="000000"/>
          <w:sz w:val="20"/>
        </w:rPr>
        <w:t xml:space="preserve">The porch also violates the 1991 Design Standards as a space in other respects. The majority concludes that because the  [*1234]  porch is an entrance, the porch need only comply with guidelines relating to entrances. But as I indicated above, the porch is not just an entrance. Abercrombie submitted declarations and deposition testimony to the district court characterizing the porch as a "display area." </w:t>
      </w:r>
      <w:r>
        <w:rPr>
          <w:rFonts w:ascii="Arial" w:eastAsia="Arial" w:hAnsi="Arial" w:cs="Arial"/>
          <w:color w:val="000000"/>
          <w:sz w:val="20"/>
          <w:u w:val="single"/>
        </w:rPr>
        <w:t>See</w:t>
      </w:r>
      <w:r>
        <w:rPr>
          <w:rFonts w:ascii="Arial" w:eastAsia="Arial" w:hAnsi="Arial" w:cs="Arial"/>
          <w:color w:val="000000"/>
          <w:sz w:val="20"/>
        </w:rPr>
        <w:t xml:space="preserve"> III Aplt. App. 738, 968, 971-72. One Abercrombie official [**73]  explained, "It's not really an entrance, it's more of a display area." III Aplt. App. 968. Another stated that the porch is "used as a visual display analogous to a store window in another retail store." III Aplt. App. 971-72; </w:t>
      </w:r>
      <w:r>
        <w:rPr>
          <w:rFonts w:ascii="Arial" w:eastAsia="Arial" w:hAnsi="Arial" w:cs="Arial"/>
          <w:color w:val="000000"/>
          <w:sz w:val="20"/>
          <w:u w:val="single"/>
        </w:rPr>
        <w:t>see also id</w:t>
      </w:r>
      <w:r>
        <w:rPr>
          <w:rFonts w:ascii="Arial" w:eastAsia="Arial" w:hAnsi="Arial" w:cs="Arial"/>
          <w:color w:val="000000"/>
          <w:sz w:val="20"/>
        </w:rPr>
        <w:t xml:space="preserve">. at 738. The record also establishes that the porch is a definable area much like a room or lobby, III Aplt. App. 908-09, which functions as a customer lounge and as a distinct marketing space, designed to draw customers into the store and strengthen the Hollister brand and image. </w:t>
      </w:r>
      <w:r>
        <w:rPr>
          <w:rFonts w:ascii="Arial" w:eastAsia="Arial" w:hAnsi="Arial" w:cs="Arial"/>
          <w:color w:val="000000"/>
          <w:sz w:val="20"/>
          <w:u w:val="single"/>
        </w:rPr>
        <w:t>Id</w:t>
      </w:r>
      <w:r>
        <w:rPr>
          <w:rFonts w:ascii="Arial" w:eastAsia="Arial" w:hAnsi="Arial" w:cs="Arial"/>
          <w:color w:val="000000"/>
          <w:sz w:val="20"/>
        </w:rPr>
        <w:t>. at 732-33.</w:t>
      </w:r>
    </w:p>
    <w:p w14:paraId="5EE78C5D" w14:textId="77777777" w:rsidR="002D0E71" w:rsidRDefault="00000000">
      <w:pPr>
        <w:pStyle w:val="Normal38"/>
        <w:widowControl w:val="0"/>
        <w:spacing w:before="200" w:line="260" w:lineRule="atLeast"/>
        <w:jc w:val="both"/>
      </w:pPr>
      <w:bookmarkStart w:id="5626" w:name="Bookmark_para_114_0"/>
      <w:bookmarkStart w:id="5627" w:name="Bookmark_I48TWVY1K860003XDXH002CF"/>
      <w:bookmarkStart w:id="5628" w:name="Bookmark_I5D7DDFM2D6N5J0050000400"/>
      <w:bookmarkStart w:id="5629" w:name="Bookmark_I48TWVY1SC20003XDXH002CG"/>
      <w:bookmarkStart w:id="5630" w:name="Bookmark_I5D7DDG12HM6H90020000400"/>
      <w:bookmarkEnd w:id="5626"/>
      <w:bookmarkEnd w:id="5627"/>
      <w:bookmarkEnd w:id="5628"/>
      <w:bookmarkEnd w:id="5629"/>
      <w:bookmarkEnd w:id="5630"/>
      <w:r>
        <w:rPr>
          <w:rFonts w:ascii="Arial" w:eastAsia="Arial" w:hAnsi="Arial" w:cs="Arial"/>
          <w:color w:val="000000"/>
          <w:sz w:val="20"/>
        </w:rPr>
        <w:t xml:space="preserve">Where a space has multiple uses, each portion of the space must comply with the requirements applicable to that use. </w:t>
      </w:r>
      <w:r>
        <w:rPr>
          <w:rFonts w:ascii="Arial" w:eastAsia="Arial" w:hAnsi="Arial" w:cs="Arial"/>
          <w:color w:val="000000"/>
          <w:sz w:val="20"/>
          <w:u w:val="single"/>
        </w:rPr>
        <w:t xml:space="preserve">See </w:t>
      </w:r>
      <w:bookmarkStart w:id="5631" w:name="Bookmark_I5D7DDFM2D6N5J0040000400"/>
      <w:bookmarkEnd w:id="5631"/>
      <w:r>
        <w:rPr>
          <w:rFonts w:ascii="Arial" w:eastAsia="Arial" w:hAnsi="Arial" w:cs="Arial"/>
          <w:color w:val="000000"/>
          <w:sz w:val="20"/>
          <w:u w:val="single"/>
        </w:rPr>
        <w:t>Caruso v. Blockbuster-Sony Music Entm't Ctr. at the Waterfront</w:t>
      </w:r>
      <w:r>
        <w:rPr>
          <w:rFonts w:ascii="Arial" w:eastAsia="Arial" w:hAnsi="Arial" w:cs="Arial"/>
          <w:color w:val="000000"/>
          <w:sz w:val="20"/>
        </w:rPr>
        <w:t xml:space="preserve">, 193 F.3d 730, 737-38 (3d Cir. 1999) (Alito, J.) (holding that an assembly area was required to be on an accessible route because all "accessible spaces" are required to be on an accessible route, "regardless of whether or not the facility [was] also required to meet the more specific DOJ Standards concerning fixed seating plans" for assembly areas); </w:t>
      </w:r>
      <w:r>
        <w:rPr>
          <w:rFonts w:ascii="Arial" w:eastAsia="Arial" w:hAnsi="Arial" w:cs="Arial"/>
          <w:color w:val="000000"/>
          <w:sz w:val="20"/>
          <w:u w:val="single"/>
        </w:rPr>
        <w:t>cf</w:t>
      </w:r>
      <w:r>
        <w:rPr>
          <w:rFonts w:ascii="Arial" w:eastAsia="Arial" w:hAnsi="Arial" w:cs="Arial"/>
          <w:color w:val="000000"/>
          <w:sz w:val="20"/>
        </w:rPr>
        <w:t>. 1991 Standard 4.1.1(2) ("When a building or facility contains more than one use covered by a special application section, each portion shall comply with the requirements for that use.");</w:t>
      </w:r>
      <w:r>
        <w:rPr>
          <w:rFonts w:ascii="Arial" w:eastAsia="Arial" w:hAnsi="Arial" w:cs="Arial"/>
          <w:vertAlign w:val="superscript"/>
        </w:rPr>
        <w:footnoteReference w:customMarkFollows="1" w:id="223"/>
        <w:t>11</w:t>
      </w:r>
      <w:r>
        <w:rPr>
          <w:rFonts w:ascii="Arial" w:eastAsia="Arial" w:hAnsi="Arial" w:cs="Arial"/>
          <w:color w:val="000000"/>
          <w:sz w:val="20"/>
        </w:rPr>
        <w:t xml:space="preserve"> </w:t>
      </w:r>
      <w:bookmarkStart w:id="5633" w:name="Bookmark_I5D7DDG12HM6H90010000400"/>
      <w:bookmarkEnd w:id="5633"/>
      <w:r>
        <w:rPr>
          <w:rFonts w:ascii="Arial" w:eastAsia="Arial" w:hAnsi="Arial" w:cs="Arial"/>
          <w:color w:val="000000"/>
          <w:sz w:val="20"/>
          <w:u w:val="single"/>
        </w:rPr>
        <w:t>Talk Am</w:t>
      </w:r>
      <w:r>
        <w:rPr>
          <w:rFonts w:ascii="Arial" w:eastAsia="Arial" w:hAnsi="Arial" w:cs="Arial"/>
          <w:color w:val="000000"/>
          <w:sz w:val="20"/>
        </w:rPr>
        <w:t>., 131 S. Ct. at 2265 &amp; n.6 (stating under a different regulatory scheme that when [**74]  telephone wires and cables can be used for different functions, "regulatory treatment can vary depending on [their] use").</w:t>
      </w:r>
    </w:p>
    <w:p w14:paraId="7400A852" w14:textId="77777777" w:rsidR="002D0E71" w:rsidRDefault="00000000">
      <w:pPr>
        <w:pStyle w:val="Normal38"/>
        <w:widowControl w:val="0"/>
        <w:spacing w:before="200" w:line="260" w:lineRule="atLeast"/>
        <w:jc w:val="both"/>
      </w:pPr>
      <w:bookmarkStart w:id="5634" w:name="Bookmark_para_115_0"/>
      <w:bookmarkEnd w:id="5634"/>
      <w:r>
        <w:rPr>
          <w:rFonts w:ascii="Arial" w:eastAsia="Arial" w:hAnsi="Arial" w:cs="Arial"/>
          <w:color w:val="000000"/>
          <w:sz w:val="20"/>
        </w:rPr>
        <w:t xml:space="preserve">The 1991 Design Standards do not have any provisions directed specifically at display areas or customer lounges. But in each of these ways, the porch is a space—i.e, a definable area in the same manner as a room or lobby. As with non-exempt entrances, all non-exempt spaces are required to be on an accessible route. 1991 Standard 4.1.2(2) ("At least one accessible route complying with 4.3 shall connect accessible buildings, accessible facilities, accessible elements, and accessible spaces that are on the same site."); </w:t>
      </w:r>
      <w:r>
        <w:rPr>
          <w:rFonts w:ascii="Arial" w:eastAsia="Arial" w:hAnsi="Arial" w:cs="Arial"/>
          <w:color w:val="000000"/>
          <w:sz w:val="20"/>
          <w:u w:val="single"/>
        </w:rPr>
        <w:t>id</w:t>
      </w:r>
      <w:r>
        <w:rPr>
          <w:rFonts w:ascii="Arial" w:eastAsia="Arial" w:hAnsi="Arial" w:cs="Arial"/>
          <w:color w:val="000000"/>
          <w:sz w:val="20"/>
        </w:rPr>
        <w:t xml:space="preserve">. 4.1.3(1) ("At least one accessible route complying with 4.3 shall connect accessible building or facility entrances with all accessible spaces and elements within the building or facility."); </w:t>
      </w:r>
      <w:r>
        <w:rPr>
          <w:rFonts w:ascii="Arial" w:eastAsia="Arial" w:hAnsi="Arial" w:cs="Arial"/>
          <w:color w:val="000000"/>
          <w:sz w:val="20"/>
          <w:u w:val="single"/>
        </w:rPr>
        <w:t>id.</w:t>
      </w:r>
      <w:r>
        <w:rPr>
          <w:rFonts w:ascii="Arial" w:eastAsia="Arial" w:hAnsi="Arial" w:cs="Arial"/>
          <w:color w:val="000000"/>
          <w:sz w:val="20"/>
        </w:rPr>
        <w:t> [**75]  4.3.2(3) ("At least one accessible route shall connect accessible building or facility entrances with all accessible spaces and elements and with all accessible dwelling units within the building or facility.").</w:t>
      </w:r>
    </w:p>
    <w:p w14:paraId="5846439B" w14:textId="77777777" w:rsidR="002D0E71" w:rsidRDefault="00000000">
      <w:pPr>
        <w:pStyle w:val="Normal38"/>
        <w:widowControl w:val="0"/>
        <w:spacing w:before="200" w:line="260" w:lineRule="atLeast"/>
        <w:jc w:val="both"/>
      </w:pPr>
      <w:bookmarkStart w:id="5635" w:name="Bookmark_para_116_0"/>
      <w:bookmarkEnd w:id="5635"/>
      <w:r>
        <w:rPr>
          <w:rFonts w:ascii="Arial" w:eastAsia="Arial" w:hAnsi="Arial" w:cs="Arial"/>
          <w:color w:val="000000"/>
          <w:sz w:val="20"/>
        </w:rPr>
        <w:t xml:space="preserve">Having determined that the porch is a space that functions as a display area and customer lounge, and, therefore, is generally covered by the guidelines, I next consider whether it falls within an exception. Some display areas may qualify as a "space" while also being exempted by the exceptions for employee work areas. Standard 4.1.1(3) places limits on the requirements for "[a]reas that are used only as work areas." </w:t>
      </w:r>
      <w:r>
        <w:rPr>
          <w:rFonts w:ascii="Arial" w:eastAsia="Arial" w:hAnsi="Arial" w:cs="Arial"/>
          <w:color w:val="000000"/>
          <w:sz w:val="20"/>
          <w:u w:val="single"/>
        </w:rPr>
        <w:t>Id</w:t>
      </w:r>
      <w:r>
        <w:rPr>
          <w:rFonts w:ascii="Arial" w:eastAsia="Arial" w:hAnsi="Arial" w:cs="Arial"/>
          <w:color w:val="000000"/>
          <w:sz w:val="20"/>
        </w:rPr>
        <w:t xml:space="preserve">. 4.1.1(3). But the porch does not qualify as an exempt work area because it is open to customers, </w:t>
      </w:r>
      <w:r>
        <w:rPr>
          <w:rFonts w:ascii="Arial" w:eastAsia="Arial" w:hAnsi="Arial" w:cs="Arial"/>
          <w:color w:val="000000"/>
          <w:sz w:val="20"/>
          <w:u w:val="single"/>
        </w:rPr>
        <w:t>see id</w:t>
      </w:r>
      <w:r>
        <w:rPr>
          <w:rFonts w:ascii="Arial" w:eastAsia="Arial" w:hAnsi="Arial" w:cs="Arial"/>
          <w:color w:val="000000"/>
          <w:sz w:val="20"/>
        </w:rPr>
        <w:t>., and I am aware of no other exception  [*1235]  that would exempt this space from compliance with the Design Standards.</w:t>
      </w:r>
    </w:p>
    <w:p w14:paraId="1A9C67DA" w14:textId="77777777" w:rsidR="002D0E71" w:rsidRDefault="00000000">
      <w:pPr>
        <w:pStyle w:val="Normal38"/>
        <w:widowControl w:val="0"/>
        <w:spacing w:before="200" w:line="260" w:lineRule="atLeast"/>
        <w:jc w:val="both"/>
      </w:pPr>
      <w:bookmarkStart w:id="5636" w:name="Bookmark_para_117_0"/>
      <w:bookmarkEnd w:id="5636"/>
      <w:r>
        <w:rPr>
          <w:rFonts w:ascii="Arial" w:eastAsia="Arial" w:hAnsi="Arial" w:cs="Arial"/>
          <w:color w:val="000000"/>
          <w:sz w:val="20"/>
        </w:rPr>
        <w:t>In summary, the Design Standards contain an overarching requirement that all areas—including spaces—must comply with the guidelines. In turn, the guidelines require that all non-exempt spaces be on an accessible route. Unlike the majority, I would conclude that the porch is a non-exempt entrance which must comply with the 1991 Design Standards. But even [**76]  if the majority is correct that the standards governing entrances exempt the porch from the accessible route provisions as an entrance, the accessible route provisions are equally applicable to the porch as a definable area like a room or lobby, which is used as a display area and customer lounge. Thus, I would hold that the porch does not comply with the 1991 Design Standards because it is not on an accessible route.</w:t>
      </w:r>
    </w:p>
    <w:p w14:paraId="7D48E82A" w14:textId="77777777" w:rsidR="002D0E71" w:rsidRDefault="00000000">
      <w:pPr>
        <w:pStyle w:val="Normal38"/>
        <w:widowControl w:val="0"/>
        <w:spacing w:before="200" w:line="260" w:lineRule="atLeast"/>
        <w:jc w:val="both"/>
      </w:pPr>
      <w:bookmarkStart w:id="5637" w:name="Bookmark_para_118_0"/>
      <w:bookmarkEnd w:id="5637"/>
      <w:r>
        <w:rPr>
          <w:rFonts w:ascii="Arial" w:eastAsia="Arial" w:hAnsi="Arial" w:cs="Arial"/>
          <w:color w:val="000000"/>
          <w:sz w:val="20"/>
        </w:rPr>
        <w:t>As the majority explains, any injunctive relief based on the violation of the 1991 standards would require compliance with the 2010 Design Standards. If those newer standards exempt the porch from being on an accessible route, then, as the majority notes, Abercrombie effectively will be deemed to be in compliance. I am convinced that the 2010 Design Standards also require the porch to be on an accessible route as a display area and customer lounge. Thus, even if the porch is an exempt entrance under the 2010 Design Standards, it must be on an accessible route.</w:t>
      </w:r>
    </w:p>
    <w:p w14:paraId="70FF8885" w14:textId="77777777" w:rsidR="002D0E71" w:rsidRDefault="00000000">
      <w:pPr>
        <w:pStyle w:val="Normal38"/>
        <w:widowControl w:val="0"/>
        <w:spacing w:before="120" w:line="260" w:lineRule="atLeast"/>
      </w:pPr>
      <w:r>
        <w:rPr>
          <w:rFonts w:ascii="Arial" w:eastAsia="Arial" w:hAnsi="Arial" w:cs="Arial"/>
          <w:color w:val="000000"/>
          <w:sz w:val="20"/>
        </w:rPr>
        <w:t xml:space="preserve">c. </w:t>
      </w:r>
      <w:r>
        <w:rPr>
          <w:rFonts w:ascii="Arial" w:eastAsia="Arial" w:hAnsi="Arial" w:cs="Arial"/>
          <w:color w:val="000000"/>
          <w:sz w:val="20"/>
          <w:u w:val="single"/>
        </w:rPr>
        <w:t>To be brought into compliance with the 2010 Design Standards, the porch must be on an accessible route</w:t>
      </w:r>
      <w:r>
        <w:rPr>
          <w:rFonts w:ascii="Arial" w:eastAsia="Arial" w:hAnsi="Arial" w:cs="Arial"/>
          <w:color w:val="000000"/>
          <w:sz w:val="20"/>
        </w:rPr>
        <w:t>.</w:t>
      </w:r>
    </w:p>
    <w:p w14:paraId="16253A80" w14:textId="77777777" w:rsidR="002D0E71" w:rsidRDefault="00000000">
      <w:pPr>
        <w:pStyle w:val="Normal38"/>
        <w:widowControl w:val="0"/>
        <w:spacing w:before="200" w:line="260" w:lineRule="atLeast"/>
        <w:jc w:val="both"/>
      </w:pPr>
      <w:bookmarkStart w:id="5638" w:name="Bookmark_para_119_0"/>
      <w:bookmarkEnd w:id="5638"/>
      <w:r>
        <w:rPr>
          <w:rFonts w:ascii="Arial" w:eastAsia="Arial" w:hAnsi="Arial" w:cs="Arial"/>
          <w:color w:val="000000"/>
          <w:sz w:val="20"/>
        </w:rPr>
        <w:t>I agree with the majority that because the majority-use requirement was removed from the 2010 Design Standards, [**77]  the standards governing entrances no longer require the porch, as an entrance, to be on an accessible route. But the standards governing spaces used for purposes other than entrances have not changed. Therefore, I would hold that the porch must be on an accessible route to be brought into compliance with the 2010 Design Standards.</w:t>
      </w:r>
    </w:p>
    <w:p w14:paraId="2D41EE6F" w14:textId="77777777" w:rsidR="002D0E71" w:rsidRDefault="00000000">
      <w:pPr>
        <w:pStyle w:val="Normal38"/>
        <w:widowControl w:val="0"/>
        <w:spacing w:before="200" w:line="260" w:lineRule="atLeast"/>
        <w:jc w:val="both"/>
      </w:pPr>
      <w:bookmarkStart w:id="5639" w:name="Bookmark_para_120_0"/>
      <w:bookmarkEnd w:id="5639"/>
      <w:r>
        <w:rPr>
          <w:rFonts w:ascii="Arial" w:eastAsia="Arial" w:hAnsi="Arial" w:cs="Arial"/>
          <w:color w:val="000000"/>
          <w:sz w:val="20"/>
        </w:rPr>
        <w:t xml:space="preserve">As a definable area similar to a room or lobby, the porch is a space and is not exempt under any general exceptions. The 2010 Design Standards expanded and elaborated upon the list of exceptions contained in the 1991 Design Standards. Exceptions addressing spaces in the 2010 Design Standards include "[a]reas raised primarily for purposes of security, life safety, or fire safety," 2010 Standard 203.3; "[s]paces accessed only by ladders, catwalks, crawl spaces, or very narrow passageways," </w:t>
      </w:r>
      <w:r>
        <w:rPr>
          <w:rFonts w:ascii="Arial" w:eastAsia="Arial" w:hAnsi="Arial" w:cs="Arial"/>
          <w:color w:val="000000"/>
          <w:sz w:val="20"/>
          <w:u w:val="single"/>
        </w:rPr>
        <w:t>id</w:t>
      </w:r>
      <w:r>
        <w:rPr>
          <w:rFonts w:ascii="Arial" w:eastAsia="Arial" w:hAnsi="Arial" w:cs="Arial"/>
          <w:color w:val="000000"/>
          <w:sz w:val="20"/>
        </w:rPr>
        <w:t xml:space="preserve">. 203.4; "[s]paces frequented only by service personnel for maintenance, repair, or occasional monitoring of equipment," </w:t>
      </w:r>
      <w:r>
        <w:rPr>
          <w:rFonts w:ascii="Arial" w:eastAsia="Arial" w:hAnsi="Arial" w:cs="Arial"/>
          <w:color w:val="000000"/>
          <w:sz w:val="20"/>
          <w:u w:val="single"/>
        </w:rPr>
        <w:t>id</w:t>
      </w:r>
      <w:r>
        <w:rPr>
          <w:rFonts w:ascii="Arial" w:eastAsia="Arial" w:hAnsi="Arial" w:cs="Arial"/>
          <w:color w:val="000000"/>
          <w:sz w:val="20"/>
        </w:rPr>
        <w:t xml:space="preserve">. 203.5; and certain employee work areas. </w:t>
      </w:r>
      <w:r>
        <w:rPr>
          <w:rFonts w:ascii="Arial" w:eastAsia="Arial" w:hAnsi="Arial" w:cs="Arial"/>
          <w:color w:val="000000"/>
          <w:sz w:val="20"/>
          <w:u w:val="single"/>
        </w:rPr>
        <w:t>Id</w:t>
      </w:r>
      <w:r>
        <w:rPr>
          <w:rFonts w:ascii="Arial" w:eastAsia="Arial" w:hAnsi="Arial" w:cs="Arial"/>
          <w:color w:val="000000"/>
          <w:sz w:val="20"/>
        </w:rPr>
        <w:t xml:space="preserve">. 203.9. All such spaces "shall not be required to comply with these requirements </w:t>
      </w:r>
      <w:r>
        <w:rPr>
          <w:rFonts w:ascii="Arial" w:eastAsia="Arial" w:hAnsi="Arial" w:cs="Arial"/>
          <w:color w:val="000000"/>
          <w:sz w:val="20"/>
          <w:u w:val="single"/>
        </w:rPr>
        <w:t>or to be on an accessible route</w:t>
      </w:r>
      <w:r>
        <w:rPr>
          <w:rFonts w:ascii="Arial" w:eastAsia="Arial" w:hAnsi="Arial" w:cs="Arial"/>
          <w:color w:val="000000"/>
          <w:sz w:val="20"/>
        </w:rPr>
        <w:t xml:space="preserve">." </w:t>
      </w:r>
      <w:r>
        <w:rPr>
          <w:rFonts w:ascii="Arial" w:eastAsia="Arial" w:hAnsi="Arial" w:cs="Arial"/>
          <w:color w:val="000000"/>
          <w:sz w:val="20"/>
          <w:u w:val="single"/>
        </w:rPr>
        <w:t>Id</w:t>
      </w:r>
      <w:r>
        <w:rPr>
          <w:rFonts w:ascii="Arial" w:eastAsia="Arial" w:hAnsi="Arial" w:cs="Arial"/>
          <w:color w:val="000000"/>
          <w:sz w:val="20"/>
        </w:rPr>
        <w:t>. 203 (emphasis added). The porch, which is used as a display area and customer lounge, does not fall into any of these [**78]  general exceptions.</w:t>
      </w:r>
    </w:p>
    <w:p w14:paraId="5564D910" w14:textId="77777777" w:rsidR="002D0E71" w:rsidRDefault="00000000">
      <w:pPr>
        <w:pStyle w:val="Normal38"/>
        <w:widowControl w:val="0"/>
        <w:spacing w:before="200" w:line="260" w:lineRule="atLeast"/>
        <w:jc w:val="both"/>
      </w:pPr>
      <w:bookmarkStart w:id="5640" w:name="Bookmark_para_121_0"/>
      <w:bookmarkEnd w:id="5640"/>
      <w:r>
        <w:rPr>
          <w:rFonts w:ascii="Arial" w:eastAsia="Arial" w:hAnsi="Arial" w:cs="Arial"/>
          <w:color w:val="000000"/>
          <w:sz w:val="20"/>
        </w:rPr>
        <w:t xml:space="preserve">Nor does any more specific exception exempt the porch from complying with the accessible route requirement in this context. Because the area qualifies as a "space," as discussed above, it is required to be on an accessible route unless exempted by some other provision. </w:t>
      </w:r>
      <w:r>
        <w:rPr>
          <w:rFonts w:ascii="Arial" w:eastAsia="Arial" w:hAnsi="Arial" w:cs="Arial"/>
          <w:color w:val="000000"/>
          <w:sz w:val="20"/>
          <w:u w:val="single"/>
        </w:rPr>
        <w:t>See id</w:t>
      </w:r>
      <w:r>
        <w:rPr>
          <w:rFonts w:ascii="Arial" w:eastAsia="Arial" w:hAnsi="Arial" w:cs="Arial"/>
          <w:color w:val="000000"/>
          <w:sz w:val="20"/>
        </w:rPr>
        <w:t xml:space="preserve">. 201.1, 203.1, 206.2.2, 206.2.4. As with the 1991 Design Standards, a space may be exempt as an employee work area, see </w:t>
      </w:r>
      <w:r>
        <w:rPr>
          <w:rFonts w:ascii="Arial" w:eastAsia="Arial" w:hAnsi="Arial" w:cs="Arial"/>
          <w:color w:val="000000"/>
          <w:sz w:val="20"/>
          <w:u w:val="single"/>
        </w:rPr>
        <w:t>id</w:t>
      </w:r>
      <w:r>
        <w:rPr>
          <w:rFonts w:ascii="Arial" w:eastAsia="Arial" w:hAnsi="Arial" w:cs="Arial"/>
          <w:color w:val="000000"/>
          <w:sz w:val="20"/>
        </w:rPr>
        <w:t xml:space="preserve">. 203.9, but the 2010 Design Standards define an "employee work area" as "[a]ll or any portion of a space used only by employees and used only for work." </w:t>
      </w:r>
      <w:r>
        <w:rPr>
          <w:rFonts w:ascii="Arial" w:eastAsia="Arial" w:hAnsi="Arial" w:cs="Arial"/>
          <w:color w:val="000000"/>
          <w:sz w:val="20"/>
          <w:u w:val="single"/>
        </w:rPr>
        <w:t>Id</w:t>
      </w:r>
      <w:r>
        <w:rPr>
          <w:rFonts w:ascii="Arial" w:eastAsia="Arial" w:hAnsi="Arial" w:cs="Arial"/>
          <w:color w:val="000000"/>
          <w:sz w:val="20"/>
        </w:rPr>
        <w:t xml:space="preserve">. 106.5. The porch  [*1236]  is not exempted because it is open to customers and is not used only for employee work. Thus, I would hold that the porch is a non-exempt space and must be on an accessible route. </w:t>
      </w:r>
      <w:r>
        <w:rPr>
          <w:rFonts w:ascii="Arial" w:eastAsia="Arial" w:hAnsi="Arial" w:cs="Arial"/>
          <w:color w:val="000000"/>
          <w:sz w:val="20"/>
          <w:u w:val="single"/>
        </w:rPr>
        <w:t>Id</w:t>
      </w:r>
      <w:r>
        <w:rPr>
          <w:rFonts w:ascii="Arial" w:eastAsia="Arial" w:hAnsi="Arial" w:cs="Arial"/>
          <w:color w:val="000000"/>
          <w:sz w:val="20"/>
        </w:rPr>
        <w:t>. 206.2.2, 206.2.4.</w:t>
      </w:r>
    </w:p>
    <w:p w14:paraId="18E81242" w14:textId="77777777" w:rsidR="002D0E71" w:rsidRDefault="00000000">
      <w:pPr>
        <w:pStyle w:val="Normal38"/>
        <w:widowControl w:val="0"/>
        <w:spacing w:before="200" w:line="260" w:lineRule="atLeast"/>
        <w:jc w:val="both"/>
      </w:pPr>
      <w:bookmarkStart w:id="5641" w:name="Bookmark_para_122_0"/>
      <w:bookmarkStart w:id="5642" w:name="Bookmark_I48TWVY1YFX0003XDXH002CH"/>
      <w:bookmarkStart w:id="5643" w:name="Bookmark_I5D7DDG12HM6H90040000400"/>
      <w:bookmarkStart w:id="5644" w:name="Bookmark_I48TWVY24JS0003XDXH002CJ"/>
      <w:bookmarkStart w:id="5645" w:name="Bookmark_I5D7DDGN2D6NH30010000400"/>
      <w:bookmarkEnd w:id="5641"/>
      <w:bookmarkEnd w:id="5642"/>
      <w:bookmarkEnd w:id="5643"/>
      <w:bookmarkEnd w:id="5644"/>
      <w:bookmarkEnd w:id="5645"/>
      <w:r>
        <w:rPr>
          <w:rFonts w:ascii="Arial" w:eastAsia="Arial" w:hAnsi="Arial" w:cs="Arial"/>
          <w:color w:val="000000"/>
          <w:sz w:val="20"/>
        </w:rPr>
        <w:t xml:space="preserve">To the extent there is any ambiguity in what the regulations require, placing the porch on an accessible route is "consistent with the ADA's purpose of enabling people with disabilities to share equally in the benefits provided by a public accommodation." </w:t>
      </w:r>
      <w:bookmarkStart w:id="5646" w:name="Bookmark_I5D7DDG12HM6H90030000400"/>
      <w:bookmarkEnd w:id="5646"/>
      <w:r>
        <w:rPr>
          <w:rFonts w:ascii="Arial" w:eastAsia="Arial" w:hAnsi="Arial" w:cs="Arial"/>
          <w:color w:val="000000"/>
          <w:sz w:val="20"/>
          <w:u w:val="single"/>
        </w:rPr>
        <w:t>Caruso</w:t>
      </w:r>
      <w:r>
        <w:rPr>
          <w:rFonts w:ascii="Arial" w:eastAsia="Arial" w:hAnsi="Arial" w:cs="Arial"/>
          <w:color w:val="000000"/>
          <w:sz w:val="20"/>
        </w:rPr>
        <w:t xml:space="preserve">, 193 F.3d at 733. It is also consistent with the interpretation advanced by the Department of Justice, which is entitled to deference. </w:t>
      </w:r>
      <w:bookmarkStart w:id="5647" w:name="Bookmark_I5D7DDG12HM6H90050000400"/>
      <w:bookmarkEnd w:id="5647"/>
      <w:r>
        <w:rPr>
          <w:rFonts w:ascii="Arial" w:eastAsia="Arial" w:hAnsi="Arial" w:cs="Arial"/>
          <w:color w:val="000000"/>
          <w:sz w:val="20"/>
          <w:u w:val="single"/>
        </w:rPr>
        <w:t>Auer</w:t>
      </w:r>
      <w:r>
        <w:rPr>
          <w:rFonts w:ascii="Arial" w:eastAsia="Arial" w:hAnsi="Arial" w:cs="Arial"/>
          <w:color w:val="000000"/>
          <w:sz w:val="20"/>
        </w:rPr>
        <w:t>, 519 U.S. at 462.</w:t>
      </w:r>
    </w:p>
    <w:p w14:paraId="1A11207B" w14:textId="77777777" w:rsidR="002D0E71" w:rsidRDefault="00000000">
      <w:pPr>
        <w:pStyle w:val="Normal38"/>
        <w:widowControl w:val="0"/>
        <w:spacing w:before="200" w:line="260" w:lineRule="atLeast"/>
        <w:jc w:val="both"/>
      </w:pPr>
      <w:bookmarkStart w:id="5648" w:name="Bookmark_para_123_0"/>
      <w:bookmarkEnd w:id="5648"/>
      <w:r>
        <w:rPr>
          <w:rFonts w:ascii="Arial" w:eastAsia="Arial" w:hAnsi="Arial" w:cs="Arial"/>
          <w:color w:val="000000"/>
          <w:sz w:val="20"/>
        </w:rPr>
        <w:t xml:space="preserve">Thus, as with the 1991 Design Standards, [**79]  even if the provisions governing entrances in the 2010 Design Standards exempt the porch from complying with the accessible route provisions as an entrance, the accessible route provisions apply to the porch as a display area and customer lounge. </w:t>
      </w:r>
      <w:r>
        <w:rPr>
          <w:rFonts w:ascii="Arial" w:eastAsia="Arial" w:hAnsi="Arial" w:cs="Arial"/>
          <w:color w:val="000000"/>
          <w:sz w:val="20"/>
          <w:u w:val="single"/>
        </w:rPr>
        <w:t>See</w:t>
      </w:r>
      <w:r>
        <w:rPr>
          <w:rFonts w:ascii="Arial" w:eastAsia="Arial" w:hAnsi="Arial" w:cs="Arial"/>
          <w:color w:val="000000"/>
          <w:sz w:val="20"/>
        </w:rPr>
        <w:t xml:space="preserve"> 2010 Standard 201.2 ("Where a site, building, facility, room, or space contains more than one use, each portion shall comply with the applicable requirements for that use."). While the doors at the end of the porch are exempt and thus need not be on an accessible route, the porch itself must be connected to at least one accessible route. More simply, although Abercrombie may design its stores to provide access to the interior of the store through the side doors, it cannot deprive the wheelchair-using public from complete access to the distinct space that is the porch.</w:t>
      </w:r>
    </w:p>
    <w:p w14:paraId="1E17D27F" w14:textId="77777777" w:rsidR="002D0E71" w:rsidRDefault="00000000">
      <w:pPr>
        <w:pStyle w:val="Normal38"/>
        <w:widowControl w:val="0"/>
        <w:spacing w:before="120" w:line="260" w:lineRule="atLeast"/>
      </w:pPr>
      <w:r>
        <w:rPr>
          <w:rFonts w:ascii="Arial" w:eastAsia="Arial" w:hAnsi="Arial" w:cs="Arial"/>
          <w:color w:val="000000"/>
          <w:sz w:val="20"/>
        </w:rPr>
        <w:t xml:space="preserve">B. </w:t>
      </w:r>
      <w:r>
        <w:rPr>
          <w:rFonts w:ascii="Arial" w:eastAsia="Arial" w:hAnsi="Arial" w:cs="Arial"/>
          <w:color w:val="000000"/>
          <w:sz w:val="20"/>
          <w:u w:val="single"/>
        </w:rPr>
        <w:t>Denial of Participation, Separate &amp; Unequal Benefit &amp; Integration</w:t>
      </w:r>
    </w:p>
    <w:p w14:paraId="12F31460" w14:textId="77777777" w:rsidR="002D0E71" w:rsidRDefault="00000000">
      <w:pPr>
        <w:pStyle w:val="Normal38"/>
        <w:widowControl w:val="0"/>
        <w:spacing w:before="200" w:line="260" w:lineRule="atLeast"/>
        <w:jc w:val="both"/>
      </w:pPr>
      <w:bookmarkStart w:id="5649" w:name="Bookmark_para_124_0"/>
      <w:bookmarkEnd w:id="5649"/>
      <w:r>
        <w:rPr>
          <w:rFonts w:ascii="Arial" w:eastAsia="Arial" w:hAnsi="Arial" w:cs="Arial"/>
          <w:color w:val="000000"/>
          <w:sz w:val="20"/>
        </w:rPr>
        <w:t>I agree with the majority that we must look to the Design Standards to determine whether a defendant has discriminated in the design, construction, or alteration of a facility, but that discrimination in the use of a facility is controlled by other regulatory and statutory provisions.</w:t>
      </w:r>
      <w:r>
        <w:rPr>
          <w:rFonts w:ascii="Arial" w:eastAsia="Arial" w:hAnsi="Arial" w:cs="Arial"/>
          <w:vertAlign w:val="superscript"/>
        </w:rPr>
        <w:footnoteReference w:customMarkFollows="1" w:id="224"/>
        <w:t>12</w:t>
      </w:r>
      <w:r>
        <w:rPr>
          <w:rFonts w:ascii="Arial" w:eastAsia="Arial" w:hAnsi="Arial" w:cs="Arial"/>
          <w:color w:val="000000"/>
          <w:sz w:val="20"/>
        </w:rPr>
        <w:t xml:space="preserve"> But nothing prohibits [**80]  the Plaintiffs from arguing—as they have both below and on appeal—that Abercrombie has discriminated both in terms of design and use of the facility. Abercrombie uses the space as a distinct branding tool, display area, and customer lounge that is not accessible to people who use wheelchairs. I would hold that this use qualifies as "discrimination" within the meaning of Title III of the ADA.</w:t>
      </w:r>
    </w:p>
    <w:p w14:paraId="1261703C" w14:textId="77777777" w:rsidR="002D0E71" w:rsidRDefault="00000000">
      <w:pPr>
        <w:pStyle w:val="Normal38"/>
        <w:widowControl w:val="0"/>
        <w:spacing w:before="200" w:line="260" w:lineRule="atLeast"/>
        <w:jc w:val="both"/>
      </w:pPr>
      <w:bookmarkStart w:id="5651" w:name="Bookmark_para_125_0"/>
      <w:bookmarkEnd w:id="5651"/>
      <w:r>
        <w:rPr>
          <w:rFonts w:ascii="Arial" w:eastAsia="Arial" w:hAnsi="Arial" w:cs="Arial"/>
          <w:color w:val="000000"/>
          <w:sz w:val="20"/>
        </w:rPr>
        <w:t xml:space="preserve">Title III of the ADA contains a list of general activities that it defines as discrimination: the denial of an opportunity to participate, 42 U.S.C. §§ 12182(b)(1)(A)(i), 12182(b)(1)(C); the provision of an unequal benefit, </w:t>
      </w:r>
      <w:r>
        <w:rPr>
          <w:rFonts w:ascii="Arial" w:eastAsia="Arial" w:hAnsi="Arial" w:cs="Arial"/>
          <w:color w:val="000000"/>
          <w:sz w:val="20"/>
          <w:u w:val="single"/>
        </w:rPr>
        <w:t>id</w:t>
      </w:r>
      <w:r>
        <w:rPr>
          <w:rFonts w:ascii="Arial" w:eastAsia="Arial" w:hAnsi="Arial" w:cs="Arial"/>
          <w:color w:val="000000"/>
          <w:sz w:val="20"/>
        </w:rPr>
        <w:t xml:space="preserve">. § 12182(b)(1)(A)(ii); and the provision of a separate benefit, unless doing so is necessary to provide a benefit that is as effective as that provided to others. </w:t>
      </w:r>
      <w:r>
        <w:rPr>
          <w:rFonts w:ascii="Arial" w:eastAsia="Arial" w:hAnsi="Arial" w:cs="Arial"/>
          <w:color w:val="000000"/>
          <w:sz w:val="20"/>
          <w:u w:val="single"/>
        </w:rPr>
        <w:t>Id</w:t>
      </w:r>
      <w:r>
        <w:rPr>
          <w:rFonts w:ascii="Arial" w:eastAsia="Arial" w:hAnsi="Arial" w:cs="Arial"/>
          <w:color w:val="000000"/>
          <w:sz w:val="20"/>
        </w:rPr>
        <w:t>. § 12182(b)(1)(A)(iii).</w:t>
      </w:r>
      <w:r>
        <w:rPr>
          <w:rFonts w:ascii="Arial" w:eastAsia="Arial" w:hAnsi="Arial" w:cs="Arial"/>
          <w:vertAlign w:val="superscript"/>
        </w:rPr>
        <w:footnoteReference w:customMarkFollows="1" w:id="225"/>
        <w:t>13</w:t>
      </w:r>
      <w:r>
        <w:rPr>
          <w:rFonts w:ascii="Arial" w:eastAsia="Arial" w:hAnsi="Arial" w:cs="Arial"/>
          <w:color w:val="000000"/>
          <w:sz w:val="20"/>
        </w:rPr>
        <w:t xml:space="preserve"> Furthermore, [**81]  the statute requires benefits provided to people with disabilities to be afforded in the most integrated setting appropriate to the needs of the individual. </w:t>
      </w:r>
      <w:r>
        <w:rPr>
          <w:rFonts w:ascii="Arial" w:eastAsia="Arial" w:hAnsi="Arial" w:cs="Arial"/>
          <w:color w:val="000000"/>
          <w:sz w:val="20"/>
          <w:u w:val="single"/>
        </w:rPr>
        <w:t>Id</w:t>
      </w:r>
      <w:r>
        <w:rPr>
          <w:rFonts w:ascii="Arial" w:eastAsia="Arial" w:hAnsi="Arial" w:cs="Arial"/>
          <w:color w:val="000000"/>
          <w:sz w:val="20"/>
        </w:rPr>
        <w:t>. § 12182(b)(1)(B).</w:t>
      </w:r>
    </w:p>
    <w:p w14:paraId="3F1B5A9B" w14:textId="77777777" w:rsidR="002D0E71" w:rsidRDefault="00000000">
      <w:pPr>
        <w:pStyle w:val="Normal38"/>
        <w:widowControl w:val="0"/>
        <w:spacing w:before="200" w:line="260" w:lineRule="atLeast"/>
        <w:jc w:val="both"/>
      </w:pPr>
      <w:bookmarkStart w:id="5653" w:name="Bookmark_para_126_0"/>
      <w:bookmarkEnd w:id="5653"/>
      <w:r>
        <w:rPr>
          <w:rFonts w:ascii="Arial" w:eastAsia="Arial" w:hAnsi="Arial" w:cs="Arial"/>
          <w:color w:val="000000"/>
          <w:sz w:val="20"/>
        </w:rPr>
        <w:t xml:space="preserve"> [*1237]  I would hold that Abercrombie's use of the porch violates each of these provisions. As the preceding discussion indicates, I disagree with the majority's conclusion that "Abercrombie does not 'use' the porch at all." Maj. Op. 27. Abercrombie uses the space as an entrance, customer lounge, and display area, decorated in a fashion calculated to draw customers into the store and strengthen the Hollister brand and image. During the litigation, Abercrombie made much of the fact that the porch was intended as a visual display only, and that the "visual sensory experience of the porch is the same for able-bodied customers and customers who use mobility devices." III Aplt. App. 738, 940-41, 972; </w:t>
      </w:r>
      <w:r>
        <w:rPr>
          <w:rFonts w:ascii="Arial" w:eastAsia="Arial" w:hAnsi="Arial" w:cs="Arial"/>
          <w:color w:val="000000"/>
          <w:sz w:val="20"/>
          <w:u w:val="single"/>
        </w:rPr>
        <w:t>see also</w:t>
      </w:r>
      <w:r>
        <w:rPr>
          <w:rFonts w:ascii="Arial" w:eastAsia="Arial" w:hAnsi="Arial" w:cs="Arial"/>
          <w:color w:val="000000"/>
          <w:sz w:val="20"/>
        </w:rPr>
        <w:t xml:space="preserve"> Aplt. Br. 45-46. Yet when presented with the option of bringing the porch into compliance by closing it off to all customers, Abercrombie submitted [**82]  a declaration stating that this was the "worst, and least acceptable" of the options presented by the district court because it would "be extremely detrimental to the Company's carefully crafted branding efforts" and would "cause permanent damage to the Hollister brand." III Aplt. App. 1071. Abercrombie's response belies its assertion that the use of the porch as a customer lounge, branding tool, and display area provides merely a visual sensory experience that all customers can enjoy equally, even without access to the porch.</w:t>
      </w:r>
    </w:p>
    <w:p w14:paraId="176FB79D" w14:textId="77777777" w:rsidR="002D0E71" w:rsidRDefault="00000000">
      <w:pPr>
        <w:pStyle w:val="Normal38"/>
        <w:widowControl w:val="0"/>
        <w:spacing w:before="200" w:line="260" w:lineRule="atLeast"/>
        <w:jc w:val="both"/>
      </w:pPr>
      <w:bookmarkStart w:id="5654" w:name="Bookmark_para_127_0"/>
      <w:bookmarkEnd w:id="5654"/>
      <w:r>
        <w:rPr>
          <w:rFonts w:ascii="Arial" w:eastAsia="Arial" w:hAnsi="Arial" w:cs="Arial"/>
          <w:color w:val="000000"/>
          <w:sz w:val="20"/>
        </w:rPr>
        <w:t>By placing trees, decorations, upholstered chairs, mannequins displaying merchandise, and a large marketing image on the back wall of the porch entrance, Abercrombie has provided a "facility, privilege, advantage, or accommodation" to some of its customers while denying some customers the opportunity to participate on the basis of their disability. 42 U.S.C. § 12182(b)(1)(A)(i).</w:t>
      </w:r>
      <w:r>
        <w:rPr>
          <w:rFonts w:ascii="Arial" w:eastAsia="Arial" w:hAnsi="Arial" w:cs="Arial"/>
          <w:vertAlign w:val="superscript"/>
        </w:rPr>
        <w:footnoteReference w:customMarkFollows="1" w:id="226"/>
        <w:t>14</w:t>
      </w:r>
      <w:r>
        <w:rPr>
          <w:rFonts w:ascii="Arial" w:eastAsia="Arial" w:hAnsi="Arial" w:cs="Arial"/>
          <w:color w:val="000000"/>
          <w:sz w:val="20"/>
        </w:rPr>
        <w:t xml:space="preserve"> The effect is to create a benefit for some customers that is denied to others on the basis of disability. By requiring customers who are unable to use stairs to enter the store through entrances that are not adorned or used even remotely like the porch entrance, Abercrombie has afforded a "facility . . . or accommodation [**83]  that is not equal to that afforded to other individuals," </w:t>
      </w:r>
      <w:r>
        <w:rPr>
          <w:rFonts w:ascii="Arial" w:eastAsia="Arial" w:hAnsi="Arial" w:cs="Arial"/>
          <w:color w:val="000000"/>
          <w:sz w:val="20"/>
          <w:u w:val="single"/>
        </w:rPr>
        <w:t>id</w:t>
      </w:r>
      <w:r>
        <w:rPr>
          <w:rFonts w:ascii="Arial" w:eastAsia="Arial" w:hAnsi="Arial" w:cs="Arial"/>
          <w:color w:val="000000"/>
          <w:sz w:val="20"/>
        </w:rPr>
        <w:t>. § 12182(b)(1)(A)(ii),</w:t>
      </w:r>
      <w:r>
        <w:rPr>
          <w:rFonts w:ascii="Arial" w:eastAsia="Arial" w:hAnsi="Arial" w:cs="Arial"/>
          <w:vertAlign w:val="superscript"/>
        </w:rPr>
        <w:footnoteReference w:customMarkFollows="1" w:id="227"/>
        <w:t>15</w:t>
      </w:r>
      <w:r>
        <w:rPr>
          <w:rFonts w:ascii="Arial" w:eastAsia="Arial" w:hAnsi="Arial" w:cs="Arial"/>
          <w:color w:val="000000"/>
          <w:sz w:val="20"/>
        </w:rPr>
        <w:t xml:space="preserve"> and that is "different or separate from that provided to other individuals." </w:t>
      </w:r>
      <w:r>
        <w:rPr>
          <w:rFonts w:ascii="Arial" w:eastAsia="Arial" w:hAnsi="Arial" w:cs="Arial"/>
          <w:color w:val="000000"/>
          <w:sz w:val="20"/>
          <w:u w:val="single"/>
        </w:rPr>
        <w:t>Id</w:t>
      </w:r>
      <w:r>
        <w:rPr>
          <w:rFonts w:ascii="Arial" w:eastAsia="Arial" w:hAnsi="Arial" w:cs="Arial"/>
          <w:color w:val="000000"/>
          <w:sz w:val="20"/>
        </w:rPr>
        <w:t>. § 12182(b)(1)(A)(iii).</w:t>
      </w:r>
      <w:r>
        <w:rPr>
          <w:rFonts w:ascii="Arial" w:eastAsia="Arial" w:hAnsi="Arial" w:cs="Arial"/>
          <w:vertAlign w:val="superscript"/>
        </w:rPr>
        <w:footnoteReference w:customMarkFollows="1" w:id="228"/>
        <w:t>16</w:t>
      </w:r>
      <w:r>
        <w:rPr>
          <w:rFonts w:ascii="Arial" w:eastAsia="Arial" w:hAnsi="Arial" w:cs="Arial"/>
          <w:color w:val="000000"/>
          <w:sz w:val="20"/>
        </w:rPr>
        <w:t xml:space="preserve"> Finally, Abercrombie's use of this exclusive entrance as a customer lounge, branding tool, and display area, combined with Abercrombie's provision of segregated, inferior accessible entrances, violates the ADA's mandate to provide facilities and accommodations "in the most integrated setting appropriate to the needs of the  [*1238]  individual." </w:t>
      </w:r>
      <w:r>
        <w:rPr>
          <w:rFonts w:ascii="Arial" w:eastAsia="Arial" w:hAnsi="Arial" w:cs="Arial"/>
          <w:color w:val="000000"/>
          <w:sz w:val="20"/>
          <w:u w:val="single"/>
        </w:rPr>
        <w:t>Id</w:t>
      </w:r>
      <w:r>
        <w:rPr>
          <w:rFonts w:ascii="Arial" w:eastAsia="Arial" w:hAnsi="Arial" w:cs="Arial"/>
          <w:color w:val="000000"/>
          <w:sz w:val="20"/>
        </w:rPr>
        <w:t>. § 12182(b)(1)(B).</w:t>
      </w:r>
      <w:r>
        <w:rPr>
          <w:rFonts w:ascii="Arial" w:eastAsia="Arial" w:hAnsi="Arial" w:cs="Arial"/>
          <w:vertAlign w:val="superscript"/>
        </w:rPr>
        <w:footnoteReference w:customMarkFollows="1" w:id="229"/>
        <w:t>17</w:t>
      </w:r>
      <w:r>
        <w:rPr>
          <w:rFonts w:ascii="Arial" w:eastAsia="Arial" w:hAnsi="Arial" w:cs="Arial"/>
          <w:color w:val="000000"/>
          <w:sz w:val="20"/>
        </w:rPr>
        <w:t xml:space="preserve"> The integration mandate "prohibit[s] exclusion and segregation of individuals with disabilities." 28 C.F.R. § 36, App. C, at 901 (agency guidance on Title III's integration mandate). By excluding customers who use wheelchairs from the porch and requiring them to use the unadorned, inferior side entrances, Abercrombie effectively "relegates persons with disabilities to the status of second-class citizens." </w:t>
      </w:r>
      <w:r>
        <w:rPr>
          <w:rFonts w:ascii="Arial" w:eastAsia="Arial" w:hAnsi="Arial" w:cs="Arial"/>
          <w:color w:val="000000"/>
          <w:sz w:val="20"/>
          <w:u w:val="single"/>
        </w:rPr>
        <w:t>See id</w:t>
      </w:r>
      <w:r>
        <w:rPr>
          <w:rFonts w:ascii="Arial" w:eastAsia="Arial" w:hAnsi="Arial" w:cs="Arial"/>
          <w:color w:val="000000"/>
          <w:sz w:val="20"/>
        </w:rPr>
        <w:t>. Thus, Abercrombie's use of the porch violates Title III of the ADA.</w:t>
      </w:r>
      <w:r>
        <w:rPr>
          <w:rFonts w:ascii="Arial" w:eastAsia="Arial" w:hAnsi="Arial" w:cs="Arial"/>
          <w:vertAlign w:val="superscript"/>
        </w:rPr>
        <w:footnoteReference w:customMarkFollows="1" w:id="230"/>
        <w:t>18</w:t>
      </w:r>
    </w:p>
    <w:p w14:paraId="33E3CA91" w14:textId="77777777" w:rsidR="002D0E71" w:rsidRDefault="00000000">
      <w:pPr>
        <w:pStyle w:val="Normal38"/>
        <w:widowControl w:val="0"/>
        <w:spacing w:before="200" w:line="260" w:lineRule="atLeast"/>
        <w:jc w:val="both"/>
      </w:pPr>
      <w:bookmarkStart w:id="5660" w:name="Bookmark_para_128_0"/>
      <w:bookmarkStart w:id="5661" w:name="Bookmark_I48TWVY29NM0003XDXH002CK"/>
      <w:bookmarkStart w:id="5662" w:name="Bookmark_I5D7DDGN2D6NH30030000400"/>
      <w:bookmarkEnd w:id="5660"/>
      <w:bookmarkEnd w:id="5661"/>
      <w:bookmarkEnd w:id="5662"/>
      <w:r>
        <w:rPr>
          <w:rFonts w:ascii="Arial" w:eastAsia="Arial" w:hAnsi="Arial" w:cs="Arial"/>
          <w:color w:val="000000"/>
          <w:sz w:val="20"/>
        </w:rPr>
        <w:t xml:space="preserve">My conclusion that Abercrombie is in violation of the general provisions of the ADA reinforces my conclusion that Abercrombie violated the Design Standards by not connecting the porch to an accessible route. The specific prohibitions in the ADA must be read in light of the general prohibitions. </w:t>
      </w:r>
      <w:r>
        <w:rPr>
          <w:rFonts w:ascii="Arial" w:eastAsia="Arial" w:hAnsi="Arial" w:cs="Arial"/>
          <w:color w:val="000000"/>
          <w:sz w:val="20"/>
          <w:u w:val="single"/>
        </w:rPr>
        <w:t xml:space="preserve">See </w:t>
      </w:r>
      <w:bookmarkStart w:id="5663" w:name="Bookmark_I5D7DDGN2D6NH30020000400"/>
      <w:bookmarkEnd w:id="5663"/>
      <w:r>
        <w:rPr>
          <w:rFonts w:ascii="Arial" w:eastAsia="Arial" w:hAnsi="Arial" w:cs="Arial"/>
          <w:color w:val="000000"/>
          <w:sz w:val="20"/>
          <w:u w:val="single"/>
        </w:rPr>
        <w:t>Caruso</w:t>
      </w:r>
      <w:r>
        <w:rPr>
          <w:rFonts w:ascii="Arial" w:eastAsia="Arial" w:hAnsi="Arial" w:cs="Arial"/>
          <w:color w:val="000000"/>
          <w:sz w:val="20"/>
        </w:rPr>
        <w:t>, 193 F.3d at 739-40. The general prohibitions make clear that the purpose of the ADA is inclusion of people with disabilities. The porch at the Park Meadows Hollister sends a message of exclusion. Construing the Design Standards in a way that allows that result would undermine the stated purpose of Title III of the ADA.</w:t>
      </w:r>
    </w:p>
    <w:p w14:paraId="44DEEFEC" w14:textId="77777777" w:rsidR="002D0E71" w:rsidRDefault="00000000">
      <w:pPr>
        <w:pStyle w:val="Normal38"/>
        <w:widowControl w:val="0"/>
        <w:spacing w:before="200" w:line="260" w:lineRule="atLeast"/>
        <w:jc w:val="both"/>
      </w:pPr>
      <w:bookmarkStart w:id="5664" w:name="Bookmark_para_129_0"/>
      <w:bookmarkEnd w:id="5664"/>
      <w:r>
        <w:rPr>
          <w:rFonts w:ascii="Arial" w:eastAsia="Arial" w:hAnsi="Arial" w:cs="Arial"/>
          <w:color w:val="000000"/>
          <w:sz w:val="20"/>
        </w:rPr>
        <w:t>In light of the foregoing, [**86]  I would affirm the district court's entry of summary judgment in favor of the Plaintiffs, and its entry of an injunction relating to the Park Meadows store.</w:t>
      </w:r>
      <w:r>
        <w:rPr>
          <w:rFonts w:ascii="Arial" w:eastAsia="Arial" w:hAnsi="Arial" w:cs="Arial"/>
          <w:vertAlign w:val="superscript"/>
        </w:rPr>
        <w:footnoteReference w:customMarkFollows="1" w:id="231"/>
        <w:t>19</w:t>
      </w:r>
    </w:p>
    <w:p w14:paraId="37A70302" w14:textId="77777777" w:rsidR="002D0E71" w:rsidRDefault="002D0E71">
      <w:pPr>
        <w:pStyle w:val="Normal38"/>
      </w:pPr>
    </w:p>
    <w:p w14:paraId="1D2B2823" w14:textId="024C8A61" w:rsidR="002D0E71" w:rsidRDefault="00000000">
      <w:pPr>
        <w:pStyle w:val="Normal38"/>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40160" behindDoc="0" locked="0" layoutInCell="1" allowOverlap="1" wp14:anchorId="1385FBAA" wp14:editId="1C97B020">
                <wp:simplePos x="0" y="0"/>
                <wp:positionH relativeFrom="column">
                  <wp:posOffset>0</wp:posOffset>
                </wp:positionH>
                <wp:positionV relativeFrom="paragraph">
                  <wp:posOffset>127000</wp:posOffset>
                </wp:positionV>
                <wp:extent cx="6502400" cy="0"/>
                <wp:effectExtent l="9525" t="12700" r="12700" b="6350"/>
                <wp:wrapNone/>
                <wp:docPr id="1880077347"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43B91" id="Line 86"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BAF9A56" w14:textId="77777777" w:rsidR="002D0E71" w:rsidRDefault="002D0E71">
      <w:pPr>
        <w:pStyle w:val="Normal39"/>
        <w:sectPr w:rsidR="002D0E71">
          <w:headerReference w:type="even" r:id="rId245"/>
          <w:headerReference w:type="default" r:id="rId246"/>
          <w:footerReference w:type="even" r:id="rId247"/>
          <w:footerReference w:type="default" r:id="rId248"/>
          <w:headerReference w:type="first" r:id="rId249"/>
          <w:footerReference w:type="first" r:id="rId250"/>
          <w:pgSz w:w="12240" w:h="15840"/>
          <w:pgMar w:top="840" w:right="1000" w:bottom="840" w:left="1000" w:header="400" w:footer="400" w:gutter="0"/>
          <w:cols w:space="720"/>
          <w:titlePg/>
        </w:sectPr>
      </w:pPr>
    </w:p>
    <w:p w14:paraId="3AC0A3FE" w14:textId="77777777" w:rsidR="002D0E71" w:rsidRDefault="002D0E71">
      <w:pPr>
        <w:pStyle w:val="Normal39"/>
      </w:pPr>
    </w:p>
    <w:p w14:paraId="0B601D72" w14:textId="77777777" w:rsidR="002D0E71" w:rsidRDefault="00000000">
      <w:pPr>
        <w:pStyle w:val="Heading138"/>
        <w:keepNext w:val="0"/>
        <w:widowControl w:val="0"/>
        <w:spacing w:after="200" w:line="340" w:lineRule="atLeast"/>
        <w:jc w:val="center"/>
      </w:pPr>
      <w:r>
        <w:rPr>
          <w:rFonts w:eastAsia="Arial"/>
          <w:color w:val="000000"/>
          <w:sz w:val="28"/>
        </w:rPr>
        <w:t>De Boise v. Taser Int'l, Inc.</w:t>
      </w:r>
    </w:p>
    <w:p w14:paraId="01564D8C" w14:textId="77777777" w:rsidR="002D0E71" w:rsidRDefault="00000000">
      <w:pPr>
        <w:pStyle w:val="Normal39"/>
        <w:widowControl w:val="0"/>
        <w:spacing w:before="120" w:line="260" w:lineRule="atLeast"/>
        <w:jc w:val="center"/>
      </w:pPr>
      <w:r>
        <w:rPr>
          <w:rFonts w:ascii="Arial" w:eastAsia="Arial" w:hAnsi="Arial" w:cs="Arial"/>
          <w:color w:val="000000"/>
          <w:sz w:val="20"/>
        </w:rPr>
        <w:t>United States Court of Appeals for the Eighth Circuit</w:t>
      </w:r>
    </w:p>
    <w:p w14:paraId="66E9B100" w14:textId="77777777" w:rsidR="002D0E71" w:rsidRDefault="00000000">
      <w:pPr>
        <w:pStyle w:val="Normal39"/>
        <w:widowControl w:val="0"/>
        <w:spacing w:before="120" w:line="260" w:lineRule="atLeast"/>
        <w:jc w:val="center"/>
      </w:pPr>
      <w:r>
        <w:rPr>
          <w:rFonts w:ascii="Arial" w:eastAsia="Arial" w:hAnsi="Arial" w:cs="Arial"/>
          <w:color w:val="000000"/>
          <w:sz w:val="20"/>
        </w:rPr>
        <w:t>April 17, 2014, Submitted; July 28, 2014, Filed</w:t>
      </w:r>
    </w:p>
    <w:p w14:paraId="2E382F3C" w14:textId="77777777" w:rsidR="002D0E71" w:rsidRDefault="00000000">
      <w:pPr>
        <w:pStyle w:val="Normal39"/>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13-2742</w:t>
      </w:r>
    </w:p>
    <w:p w14:paraId="3C78D4C2" w14:textId="77777777" w:rsidR="002D0E71" w:rsidRDefault="002D0E71">
      <w:pPr>
        <w:pStyle w:val="Normal39"/>
        <w:widowControl w:val="0"/>
        <w:spacing w:line="240" w:lineRule="atLeast"/>
        <w:jc w:val="both"/>
      </w:pPr>
      <w:bookmarkStart w:id="5666" w:name="Bookmark_40"/>
      <w:bookmarkEnd w:id="5666"/>
    </w:p>
    <w:p w14:paraId="0286E6A7" w14:textId="77777777" w:rsidR="002D0E71" w:rsidRDefault="00000000">
      <w:pPr>
        <w:pStyle w:val="Normal39"/>
        <w:widowControl w:val="0"/>
        <w:spacing w:before="200" w:line="240" w:lineRule="atLeast"/>
      </w:pPr>
      <w:bookmarkStart w:id="5667" w:name="Reporter_38"/>
      <w:bookmarkEnd w:id="5667"/>
      <w:r>
        <w:rPr>
          <w:rFonts w:ascii="Arial" w:eastAsia="Arial" w:hAnsi="Arial" w:cs="Arial"/>
          <w:b/>
          <w:color w:val="000000"/>
          <w:sz w:val="18"/>
        </w:rPr>
        <w:t>Reporter</w:t>
      </w:r>
    </w:p>
    <w:p w14:paraId="0C4B55C9" w14:textId="77777777" w:rsidR="002D0E71" w:rsidRDefault="00000000">
      <w:pPr>
        <w:pStyle w:val="Normal39"/>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760 F.3d 892 *; 2014 U.S. App. LEXIS 14276 **; 2014 WL 3704042</w:t>
      </w:r>
    </w:p>
    <w:p w14:paraId="4126AD94" w14:textId="77777777" w:rsidR="002D0E71" w:rsidRDefault="00000000">
      <w:pPr>
        <w:pStyle w:val="Normal39"/>
        <w:widowControl w:val="0"/>
        <w:spacing w:before="120" w:line="260" w:lineRule="atLeast"/>
      </w:pPr>
      <w:r>
        <w:rPr>
          <w:rFonts w:ascii="Arial" w:eastAsia="Arial" w:hAnsi="Arial" w:cs="Arial"/>
          <w:color w:val="000000"/>
          <w:sz w:val="20"/>
        </w:rPr>
        <w:t>Eugene Carl De Boise, Sr.; T.E.R., a minor child by his next friend, Anneliese Hubbard; A.N.D., a minor child by her next friend Sheena Marie Perry, Plaintiffs - Appellants v. Taser International, Inc., Defendant, St. Louis County, Missouri; Bret Lively, Police Officer, in his individual capacity; Joseph Percich, Police Officer, in his individual capacity, Defendants - Appellees</w:t>
      </w:r>
    </w:p>
    <w:p w14:paraId="03DDE206" w14:textId="77777777" w:rsidR="002D0E71" w:rsidRDefault="00000000">
      <w:pPr>
        <w:pStyle w:val="Normal39"/>
        <w:widowControl w:val="0"/>
        <w:spacing w:before="240" w:line="260" w:lineRule="atLeast"/>
      </w:pPr>
      <w:bookmarkStart w:id="5668" w:name="Subsequent_History_14"/>
      <w:bookmarkEnd w:id="5668"/>
      <w:r>
        <w:rPr>
          <w:rFonts w:ascii="Arial" w:eastAsia="Arial" w:hAnsi="Arial" w:cs="Arial"/>
          <w:b/>
          <w:color w:val="000000"/>
          <w:sz w:val="20"/>
        </w:rPr>
        <w:t>Subsequent History:</w:t>
      </w:r>
      <w:r>
        <w:rPr>
          <w:rFonts w:ascii="Arial" w:eastAsia="Arial" w:hAnsi="Arial" w:cs="Arial"/>
          <w:color w:val="000000"/>
          <w:sz w:val="20"/>
        </w:rPr>
        <w:t> Rehearing denied by, Rehearing, en banc, denied by De Boise v. TASER Int'l, Inc., 2014 U.S. App. LEXIS 19652 (8th Cir. Mo., Oct. 10, 2014)</w:t>
      </w:r>
    </w:p>
    <w:p w14:paraId="7234AD82" w14:textId="77777777" w:rsidR="002D0E71" w:rsidRDefault="00000000">
      <w:pPr>
        <w:pStyle w:val="Normal39"/>
        <w:widowControl w:val="0"/>
        <w:spacing w:before="120" w:line="260" w:lineRule="atLeast"/>
      </w:pPr>
      <w:r>
        <w:rPr>
          <w:rFonts w:ascii="Arial" w:eastAsia="Arial" w:hAnsi="Arial" w:cs="Arial"/>
          <w:color w:val="000000"/>
          <w:sz w:val="20"/>
        </w:rPr>
        <w:t>US Supreme Court certiorari denied by De Boise v. St. Louis Cnty., 135 S. Ct. 2348, 192 L. Ed. 2d 143, 2015 U.S. LEXIS 3428 (U.S., 2015)</w:t>
      </w:r>
    </w:p>
    <w:p w14:paraId="69F1504E" w14:textId="77777777" w:rsidR="002D0E71" w:rsidRDefault="00000000">
      <w:pPr>
        <w:pStyle w:val="Normal39"/>
        <w:widowControl w:val="0"/>
        <w:spacing w:before="240" w:line="260" w:lineRule="atLeast"/>
        <w:jc w:val="both"/>
      </w:pPr>
      <w:bookmarkStart w:id="5669" w:name="Prior_History_37"/>
      <w:bookmarkEnd w:id="5669"/>
      <w:r>
        <w:rPr>
          <w:rFonts w:ascii="Arial" w:eastAsia="Arial" w:hAnsi="Arial" w:cs="Arial"/>
          <w:b/>
          <w:color w:val="000000"/>
          <w:sz w:val="20"/>
        </w:rPr>
        <w:t>Prior History:</w:t>
      </w:r>
      <w:r>
        <w:rPr>
          <w:rFonts w:ascii="Arial" w:eastAsia="Arial" w:hAnsi="Arial" w:cs="Arial"/>
          <w:color w:val="000000"/>
          <w:sz w:val="20"/>
        </w:rPr>
        <w:t>  [**1] </w:t>
      </w:r>
      <w:bookmarkStart w:id="5670" w:name="Bookmark_para_1_38"/>
      <w:bookmarkEnd w:id="5670"/>
      <w:r>
        <w:rPr>
          <w:rFonts w:ascii="Arial" w:eastAsia="Arial" w:hAnsi="Arial" w:cs="Arial"/>
          <w:color w:val="000000"/>
          <w:sz w:val="20"/>
        </w:rPr>
        <w:t>Appeal from United States District Court for the Eastern District of Missouri - St. Louis.</w:t>
      </w:r>
    </w:p>
    <w:p w14:paraId="69A2B8BE" w14:textId="77777777" w:rsidR="002D0E71" w:rsidRDefault="00000000">
      <w:pPr>
        <w:pStyle w:val="Normal39"/>
        <w:widowControl w:val="0"/>
        <w:spacing w:before="120" w:line="260" w:lineRule="atLeast"/>
      </w:pPr>
      <w:r>
        <w:rPr>
          <w:rFonts w:ascii="Arial" w:eastAsia="Arial" w:hAnsi="Arial" w:cs="Arial"/>
          <w:color w:val="000000"/>
          <w:sz w:val="20"/>
        </w:rPr>
        <w:t>Deboise v. Taser Int'l, 2013 U.S. Dist. LEXIS 94586 (E.D. Mo., July 8, 2013)</w:t>
      </w:r>
    </w:p>
    <w:p w14:paraId="22964D42" w14:textId="77777777" w:rsidR="002D0E71" w:rsidRDefault="00000000">
      <w:pPr>
        <w:pStyle w:val="Normal39"/>
        <w:widowControl w:val="0"/>
        <w:spacing w:before="240" w:line="260" w:lineRule="atLeast"/>
      </w:pPr>
      <w:bookmarkStart w:id="5671" w:name="Counsel_38"/>
      <w:bookmarkEnd w:id="5671"/>
      <w:r>
        <w:rPr>
          <w:rFonts w:ascii="Arial" w:eastAsia="Arial" w:hAnsi="Arial" w:cs="Arial"/>
          <w:b/>
          <w:color w:val="000000"/>
          <w:sz w:val="20"/>
        </w:rPr>
        <w:t>Counsel:</w:t>
      </w:r>
      <w:r>
        <w:rPr>
          <w:rFonts w:ascii="Arial" w:eastAsia="Arial" w:hAnsi="Arial" w:cs="Arial"/>
          <w:color w:val="000000"/>
          <w:sz w:val="20"/>
        </w:rPr>
        <w:t> For Eugene Carl De Boise, Sr., T.E.R., a minor child by his next friend, Anneliese Hubbard, A.N.D., a minor child by her next friend Sheena Marie Perry, Plaintiffs - Appellants: John Christopher Burton, LAW OFFICES OF JOHN BURTON, Pasadena, CA; Peter Timothy Cathcart, MAGANA &amp; CATHCARD, Los Angeles, CA; W. Bevis Schock, Saint Louis, MO; Peter M. Williamson, WILLIAMSON LAW FIRM, Pasadena, CA.</w:t>
      </w:r>
    </w:p>
    <w:p w14:paraId="7B1E9698" w14:textId="77777777" w:rsidR="002D0E71" w:rsidRDefault="00000000">
      <w:pPr>
        <w:pStyle w:val="Normal39"/>
        <w:widowControl w:val="0"/>
        <w:spacing w:before="120" w:line="260" w:lineRule="atLeast"/>
      </w:pPr>
      <w:r>
        <w:rPr>
          <w:rFonts w:ascii="Arial" w:eastAsia="Arial" w:hAnsi="Arial" w:cs="Arial"/>
          <w:color w:val="000000"/>
          <w:sz w:val="20"/>
        </w:rPr>
        <w:t>For St. Louis County, Missouri, Bret Lively, Police Officer, in his individual capacity, Joseph Percich, Police Officer, in his individual capacity, Defendants - Appellees: Carl W. Becker, Lorena Victoria Merklin von Kaenel, Michael A. Shuman, ST. LOUIS COUNTY COUNSELOR'S OFFICE, Saint Louis, MO; Michael Edward Hughes, Saint Louis, MO.</w:t>
      </w:r>
    </w:p>
    <w:p w14:paraId="5F843935" w14:textId="77777777" w:rsidR="002D0E71" w:rsidRDefault="00000000">
      <w:pPr>
        <w:pStyle w:val="Normal39"/>
        <w:widowControl w:val="0"/>
        <w:spacing w:before="240" w:line="260" w:lineRule="atLeast"/>
      </w:pPr>
      <w:bookmarkStart w:id="5672" w:name="Judges_38"/>
      <w:bookmarkEnd w:id="5672"/>
      <w:r>
        <w:rPr>
          <w:rFonts w:ascii="Arial" w:eastAsia="Arial" w:hAnsi="Arial" w:cs="Arial"/>
          <w:b/>
          <w:color w:val="000000"/>
          <w:sz w:val="20"/>
        </w:rPr>
        <w:t>Judges:</w:t>
      </w:r>
      <w:r>
        <w:rPr>
          <w:rFonts w:ascii="Arial" w:eastAsia="Arial" w:hAnsi="Arial" w:cs="Arial"/>
          <w:color w:val="000000"/>
          <w:sz w:val="20"/>
        </w:rPr>
        <w:t> Before WOLLMAN, BYE, and SHEPHERD, Circuit Judges. BYE, Circuit Judge, dissenting.</w:t>
      </w:r>
    </w:p>
    <w:p w14:paraId="6E9386FC" w14:textId="77777777" w:rsidR="002D0E71" w:rsidRDefault="00000000">
      <w:pPr>
        <w:pStyle w:val="Normal39"/>
        <w:widowControl w:val="0"/>
        <w:spacing w:before="240" w:line="260" w:lineRule="atLeast"/>
      </w:pPr>
      <w:bookmarkStart w:id="5673" w:name="Opinion_by_27"/>
      <w:bookmarkEnd w:id="5673"/>
      <w:r>
        <w:rPr>
          <w:rFonts w:ascii="Arial" w:eastAsia="Arial" w:hAnsi="Arial" w:cs="Arial"/>
          <w:b/>
          <w:color w:val="000000"/>
          <w:sz w:val="20"/>
        </w:rPr>
        <w:t>Opinion by:</w:t>
      </w:r>
      <w:r>
        <w:rPr>
          <w:rFonts w:ascii="Arial" w:eastAsia="Arial" w:hAnsi="Arial" w:cs="Arial"/>
          <w:color w:val="000000"/>
          <w:sz w:val="20"/>
        </w:rPr>
        <w:t> SHEPHERD</w:t>
      </w:r>
    </w:p>
    <w:p w14:paraId="2CAE5E7E" w14:textId="77777777" w:rsidR="002D0E71" w:rsidRDefault="00000000">
      <w:pPr>
        <w:pStyle w:val="Normal39"/>
        <w:keepNext/>
        <w:widowControl w:val="0"/>
        <w:spacing w:before="240" w:line="340" w:lineRule="atLeast"/>
      </w:pPr>
      <w:bookmarkStart w:id="5674" w:name="Opinion_38"/>
      <w:bookmarkEnd w:id="5674"/>
      <w:r>
        <w:rPr>
          <w:rFonts w:ascii="Arial" w:eastAsia="Arial" w:hAnsi="Arial" w:cs="Arial"/>
          <w:b/>
          <w:color w:val="000000"/>
          <w:sz w:val="28"/>
        </w:rPr>
        <w:t>Opinion</w:t>
      </w:r>
    </w:p>
    <w:p w14:paraId="386BE5CF" w14:textId="5A92E03A" w:rsidR="002D0E71" w:rsidRDefault="002939DF">
      <w:pPr>
        <w:pStyle w:val="Normal39"/>
        <w:spacing w:line="60" w:lineRule="exact"/>
      </w:pPr>
      <w:r>
        <w:rPr>
          <w:noProof/>
        </w:rPr>
        <mc:AlternateContent>
          <mc:Choice Requires="wps">
            <w:drawing>
              <wp:anchor distT="0" distB="0" distL="114300" distR="114300" simplePos="0" relativeHeight="251741184" behindDoc="0" locked="0" layoutInCell="1" allowOverlap="1" wp14:anchorId="16146168" wp14:editId="6B1D354E">
                <wp:simplePos x="0" y="0"/>
                <wp:positionH relativeFrom="column">
                  <wp:posOffset>0</wp:posOffset>
                </wp:positionH>
                <wp:positionV relativeFrom="paragraph">
                  <wp:posOffset>25400</wp:posOffset>
                </wp:positionV>
                <wp:extent cx="3187700" cy="0"/>
                <wp:effectExtent l="19050" t="15875" r="12700" b="12700"/>
                <wp:wrapTopAndBottom/>
                <wp:docPr id="1574344878"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2F2C6F" id="Line 87"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E5C0E78" w14:textId="77777777" w:rsidR="002D0E71" w:rsidRDefault="002D0E71">
      <w:pPr>
        <w:pStyle w:val="Normal39"/>
      </w:pPr>
    </w:p>
    <w:p w14:paraId="4CA3C405" w14:textId="77777777" w:rsidR="002D0E71" w:rsidRDefault="00000000">
      <w:pPr>
        <w:pStyle w:val="Normal39"/>
        <w:widowControl w:val="0"/>
        <w:spacing w:before="200" w:line="260" w:lineRule="atLeast"/>
        <w:jc w:val="both"/>
      </w:pPr>
      <w:bookmarkStart w:id="5675" w:name="Bookmark_para_2_38"/>
      <w:bookmarkEnd w:id="5675"/>
      <w:r>
        <w:rPr>
          <w:rFonts w:ascii="Arial" w:eastAsia="Arial" w:hAnsi="Arial" w:cs="Arial"/>
          <w:color w:val="000000"/>
          <w:sz w:val="20"/>
        </w:rPr>
        <w:t> [*894]  SHEPHERD, Circuit Judge.</w:t>
      </w:r>
    </w:p>
    <w:p w14:paraId="41A3D706" w14:textId="77777777" w:rsidR="002D0E71" w:rsidRDefault="00000000">
      <w:pPr>
        <w:pStyle w:val="Normal39"/>
        <w:widowControl w:val="0"/>
        <w:spacing w:before="200" w:line="260" w:lineRule="atLeast"/>
        <w:jc w:val="both"/>
      </w:pPr>
      <w:bookmarkStart w:id="5676" w:name="Bookmark_para_3_38"/>
      <w:bookmarkEnd w:id="5676"/>
      <w:r>
        <w:rPr>
          <w:rFonts w:ascii="Arial" w:eastAsia="Arial" w:hAnsi="Arial" w:cs="Arial"/>
          <w:color w:val="000000"/>
          <w:sz w:val="20"/>
        </w:rPr>
        <w:t>Appellants, the father and minor children of the deceased Samuel De Boise, brought a 42 U.S.C. § 1983 action against Officers Bret Lively and Joseph Percich of the St. Louis County Police Department and a claim under the Americans with Disabilities Act (ADA) against  [**2] St. Louis County, Missouri.</w:t>
      </w:r>
      <w:r>
        <w:rPr>
          <w:rFonts w:ascii="Arial" w:eastAsia="Arial" w:hAnsi="Arial" w:cs="Arial"/>
          <w:vertAlign w:val="superscript"/>
        </w:rPr>
        <w:footnoteReference w:customMarkFollows="1" w:id="232"/>
        <w:t>1</w:t>
      </w:r>
      <w:r>
        <w:rPr>
          <w:rFonts w:ascii="Arial" w:eastAsia="Arial" w:hAnsi="Arial" w:cs="Arial"/>
          <w:color w:val="000000"/>
          <w:sz w:val="20"/>
        </w:rPr>
        <w:t xml:space="preserve"> Officers Lively and Percich moved for summary judgment on the basis of qualified immunity, and St. Louis County moved for summary judgment, claiming no ADA violation occurred due to exigent and unexpected circumstances. The district court</w:t>
      </w:r>
      <w:r>
        <w:rPr>
          <w:rFonts w:ascii="Arial" w:eastAsia="Arial" w:hAnsi="Arial" w:cs="Arial"/>
          <w:vertAlign w:val="superscript"/>
        </w:rPr>
        <w:footnoteReference w:customMarkFollows="1" w:id="233"/>
        <w:t>2</w:t>
      </w:r>
      <w:r>
        <w:rPr>
          <w:rFonts w:ascii="Arial" w:eastAsia="Arial" w:hAnsi="Arial" w:cs="Arial"/>
          <w:color w:val="000000"/>
          <w:sz w:val="20"/>
        </w:rPr>
        <w:t xml:space="preserve"> granted both motions, and we affirm.</w:t>
      </w:r>
    </w:p>
    <w:p w14:paraId="457CC78A" w14:textId="77777777" w:rsidR="002D0E71" w:rsidRDefault="00000000">
      <w:pPr>
        <w:pStyle w:val="Normal39"/>
        <w:widowControl w:val="0"/>
        <w:spacing w:before="120" w:line="260" w:lineRule="atLeast"/>
      </w:pPr>
      <w:r>
        <w:rPr>
          <w:rFonts w:ascii="Arial" w:eastAsia="Arial" w:hAnsi="Arial" w:cs="Arial"/>
          <w:color w:val="000000"/>
          <w:sz w:val="20"/>
        </w:rPr>
        <w:t>I.</w:t>
      </w:r>
    </w:p>
    <w:p w14:paraId="5EFFC21D" w14:textId="77777777" w:rsidR="002D0E71" w:rsidRDefault="00000000">
      <w:pPr>
        <w:pStyle w:val="Normal39"/>
        <w:widowControl w:val="0"/>
        <w:spacing w:before="200" w:line="260" w:lineRule="atLeast"/>
        <w:jc w:val="both"/>
      </w:pPr>
      <w:bookmarkStart w:id="5679" w:name="Bookmark_para_4_38"/>
      <w:bookmarkEnd w:id="5679"/>
      <w:r>
        <w:rPr>
          <w:rFonts w:ascii="Arial" w:eastAsia="Arial" w:hAnsi="Arial" w:cs="Arial"/>
          <w:color w:val="000000"/>
          <w:sz w:val="20"/>
        </w:rPr>
        <w:t>De Boise suffered from schizophrenia, which caused him to experience serious psychotic episodes. On the evening of July 7, 2008, De Boise became delusional and left his home naked. The next morning, neighbors reported seeing De Boise roaming the neighborhood, beating houses with a stick, and claiming to be God. That night, De Boise returned home still naked and delusional. He continued to claim he was God, demanded that his mother worship him, and held her head down to the floor. Eventually, De Boise headed to the back of the home, and his mother left the house and called 911 from a neighbor's  [**3] phone. The St. Louis Police department dispatched officers describing the call as a "violent OBS," meaning that the subject was emotionally disturbed, acted violently, or used physical force against people or property.</w:t>
      </w:r>
    </w:p>
    <w:p w14:paraId="14C6A93B" w14:textId="77777777" w:rsidR="002D0E71" w:rsidRDefault="00000000">
      <w:pPr>
        <w:pStyle w:val="Normal39"/>
        <w:widowControl w:val="0"/>
        <w:spacing w:before="200" w:line="260" w:lineRule="atLeast"/>
        <w:jc w:val="both"/>
      </w:pPr>
      <w:bookmarkStart w:id="5680" w:name="Bookmark_para_5_38"/>
      <w:bookmarkEnd w:id="5680"/>
      <w:r>
        <w:rPr>
          <w:rFonts w:ascii="Arial" w:eastAsia="Arial" w:hAnsi="Arial" w:cs="Arial"/>
          <w:color w:val="000000"/>
          <w:sz w:val="20"/>
        </w:rPr>
        <w:t>Officer Arthur Williams arrived on the scene first, and De Boise's mother immediately informed him of her son's behavior and physical aggression toward her.</w:t>
      </w:r>
      <w:r>
        <w:rPr>
          <w:rFonts w:ascii="Arial" w:eastAsia="Arial" w:hAnsi="Arial" w:cs="Arial"/>
          <w:vertAlign w:val="superscript"/>
        </w:rPr>
        <w:footnoteReference w:customMarkFollows="1" w:id="234"/>
        <w:t>3</w:t>
      </w:r>
      <w:r>
        <w:rPr>
          <w:rFonts w:ascii="Arial" w:eastAsia="Arial" w:hAnsi="Arial" w:cs="Arial"/>
          <w:color w:val="000000"/>
          <w:sz w:val="20"/>
        </w:rPr>
        <w:t xml:space="preserve"> Officer Williams heard a noise coming from the house and then observed De Boise exiting the home naked and claiming to be  [*895]  God. De Boise suddenly re-entered the house, tearing down the screen door upon his entry. Additional officers were called to the scene along with an ambulance unit.</w:t>
      </w:r>
    </w:p>
    <w:p w14:paraId="2456F5FB" w14:textId="77777777" w:rsidR="002D0E71" w:rsidRDefault="00000000">
      <w:pPr>
        <w:pStyle w:val="Normal39"/>
        <w:widowControl w:val="0"/>
        <w:spacing w:before="200" w:line="260" w:lineRule="atLeast"/>
        <w:jc w:val="both"/>
      </w:pPr>
      <w:bookmarkStart w:id="5682" w:name="Bookmark_para_6_38"/>
      <w:bookmarkEnd w:id="5682"/>
      <w:r>
        <w:rPr>
          <w:rFonts w:ascii="Arial" w:eastAsia="Arial" w:hAnsi="Arial" w:cs="Arial"/>
          <w:color w:val="000000"/>
          <w:sz w:val="20"/>
        </w:rPr>
        <w:t>While De Boise was still in the home, five more officers arrived on the scene: Officers Joseph Percich, Bret Lively, Mike Kaemmerer, Jacob Maechling, and Chris Money. De Boise's mother informed the officers that she had a firearm in the house and that De Boise was schizophrenic. Officer Percich heard extremely  [**4] loud noises coming from the home, including screaming, glass breaking, and heavy furniture being thrown. De Boise then exited the house still naked and referring to himself as God. Officer Percich took command of the scene and aimed his taser gun at De Boise as he exited the home. Officer Maechling instructed De Boise to walk out on the grass and lie face down on the ground. De Boise complied. Officer Percich holstered his taser and began to approach De Boise to handcuff him. De Boise immediately jumped to his feet, clenching his fist, and glaring in Officer Percich's direction. Officer Maechling continued to instruct De Boise to lie on the grass, but De Boise did not comply. Believing that De Boise posed a threat to the officers, Officer Percich instructed De Boise several times to lie down. When De Boise refused, Officer Percich yelled out "taser, taser, taser" and fired his Taser Model X-26 ECD in barb mode. The darts penetrated De Boise's chest and the taser delivered a five-second electrical shock. De Boise immediately fell to the ground on his back with his arms and fists clenched to his chest.</w:t>
      </w:r>
    </w:p>
    <w:p w14:paraId="372764D8" w14:textId="77777777" w:rsidR="002D0E71" w:rsidRDefault="00000000">
      <w:pPr>
        <w:pStyle w:val="Normal39"/>
        <w:widowControl w:val="0"/>
        <w:spacing w:before="200" w:line="260" w:lineRule="atLeast"/>
        <w:jc w:val="both"/>
      </w:pPr>
      <w:bookmarkStart w:id="5683" w:name="Bookmark_para_7_37"/>
      <w:bookmarkEnd w:id="5683"/>
      <w:r>
        <w:rPr>
          <w:rFonts w:ascii="Arial" w:eastAsia="Arial" w:hAnsi="Arial" w:cs="Arial"/>
          <w:color w:val="000000"/>
          <w:sz w:val="20"/>
        </w:rPr>
        <w:t>When an X-26 Taser trigger is pulled, two darts with wires attached are deployed toward  [**5] the target. Once the darts make contact, an electrical circuit is completed and the device automatically cycles five seconds of electrical current, immobilizing the subject. J.A. 440.</w:t>
      </w:r>
    </w:p>
    <w:p w14:paraId="7D5470F5" w14:textId="77777777" w:rsidR="002D0E71" w:rsidRDefault="00000000">
      <w:pPr>
        <w:pStyle w:val="Normal39"/>
        <w:widowControl w:val="0"/>
        <w:spacing w:before="200" w:line="260" w:lineRule="atLeast"/>
        <w:jc w:val="both"/>
      </w:pPr>
      <w:bookmarkStart w:id="5684" w:name="Bookmark_para_8_37"/>
      <w:bookmarkEnd w:id="5684"/>
      <w:r>
        <w:rPr>
          <w:rFonts w:ascii="Arial" w:eastAsia="Arial" w:hAnsi="Arial" w:cs="Arial"/>
          <w:color w:val="000000"/>
          <w:sz w:val="20"/>
        </w:rPr>
        <w:t>After the first taser discharge, De Boise continued to struggle and ignore the officers' demands to remain on the ground, and Officer Percich followed with a second five-second cycle.</w:t>
      </w:r>
      <w:r>
        <w:rPr>
          <w:rFonts w:ascii="Arial" w:eastAsia="Arial" w:hAnsi="Arial" w:cs="Arial"/>
          <w:vertAlign w:val="superscript"/>
        </w:rPr>
        <w:footnoteReference w:customMarkFollows="1" w:id="235"/>
        <w:t>4</w:t>
      </w:r>
      <w:r>
        <w:rPr>
          <w:rFonts w:ascii="Arial" w:eastAsia="Arial" w:hAnsi="Arial" w:cs="Arial"/>
          <w:color w:val="000000"/>
          <w:sz w:val="20"/>
        </w:rPr>
        <w:t xml:space="preserve"> After the first two cycles, Officer Percich did not believe the officers could safely handcuff De Boise due to the position of his hands and taser wires carrying the electrical charge. De Boise stood up again despite the demands, and Officer Percich applied a third cycle, causing De Boise to fall to the ground face down. Officers Percich and Money approached to handcuff De Boise when De Boise rose to his knees and swung his arms around. Officer Percich then applied a fourth taser cycle and De Boise fell to the ground with the wires tangled around his legs. De Boise attempted to rise again, and Officer Percich delivered two more taser cycles, the last of which appeared to be ineffective. De Boise arose to his feet and walked toward the officers, and Officer Lively fired his taser, subjecting De Boise to another five-second  [**6] cycle. De Boise fell to the ground but rose to his feet again, this time assuming a stance as if he were getting ready to charge or attempt to run.</w:t>
      </w:r>
    </w:p>
    <w:p w14:paraId="2B7E5394" w14:textId="77777777" w:rsidR="002D0E71" w:rsidRDefault="00000000">
      <w:pPr>
        <w:pStyle w:val="Normal39"/>
        <w:widowControl w:val="0"/>
        <w:spacing w:before="200" w:line="260" w:lineRule="atLeast"/>
        <w:jc w:val="both"/>
      </w:pPr>
      <w:bookmarkStart w:id="5686" w:name="Bookmark_para_9_37"/>
      <w:bookmarkEnd w:id="5686"/>
      <w:r>
        <w:rPr>
          <w:rFonts w:ascii="Arial" w:eastAsia="Arial" w:hAnsi="Arial" w:cs="Arial"/>
          <w:color w:val="000000"/>
          <w:sz w:val="20"/>
        </w:rPr>
        <w:t>Officer Lively delivered another taser cycle, after which Officers Percich and Money attempted to handcuff De Boise. De Boise kicked at the officers, and Officer Lively took the cartridge out of his taser and applied the taser on De Boise's leg twice, this time in drive stun mode.</w:t>
      </w:r>
      <w:r>
        <w:rPr>
          <w:rFonts w:ascii="Arial" w:eastAsia="Arial" w:hAnsi="Arial" w:cs="Arial"/>
          <w:vertAlign w:val="superscript"/>
        </w:rPr>
        <w:footnoteReference w:customMarkFollows="1" w:id="236"/>
        <w:t>5</w:t>
      </w:r>
      <w:r>
        <w:rPr>
          <w:rFonts w:ascii="Arial" w:eastAsia="Arial" w:hAnsi="Arial" w:cs="Arial"/>
          <w:color w:val="000000"/>
          <w:sz w:val="20"/>
        </w:rPr>
        <w:t xml:space="preserve"> Officers  [*896]  Percich and Money were then able to hold De Boise's arms and shoulders to the ground while the paramedic and EMT injected De Boise with a sedative. While being transferred to a gurney, De Boise went into cardiac arrest. Attempts to revive De Boise were unsuccessful, and he was pronounced dead upon his arrival at the hospital.</w:t>
      </w:r>
    </w:p>
    <w:p w14:paraId="28590FE3" w14:textId="77777777" w:rsidR="002D0E71" w:rsidRDefault="00000000">
      <w:pPr>
        <w:pStyle w:val="Normal39"/>
        <w:widowControl w:val="0"/>
        <w:spacing w:before="200" w:line="260" w:lineRule="atLeast"/>
        <w:jc w:val="both"/>
      </w:pPr>
      <w:bookmarkStart w:id="5688" w:name="Bookmark_para_10_36"/>
      <w:bookmarkEnd w:id="5688"/>
      <w:r>
        <w:rPr>
          <w:rFonts w:ascii="Arial" w:eastAsia="Arial" w:hAnsi="Arial" w:cs="Arial"/>
          <w:color w:val="000000"/>
          <w:sz w:val="20"/>
        </w:rPr>
        <w:t>Appellants filed suit, alleging excessive force against Officers Lively  [**7] and Percich under 42 U.S.C. § 1983 and violations of the ADA against St. Louis County. Officers Percich and Lively moved for summary judgment on the excessive-force claim based on qualified immunity. St. Louis County also moved for summary judgment on the ADA violation claim. The district court granted the officers' motion, finding the use of force objectively reasonable in light of the fact that De Boise repeatedly failed to comply with the officers' commands to submit and continued to actively resist arrest. The court found it undisputed that De Boise continued to get up despite the officers' instructions to lie down, walked toward the officers, and kicked and flailed his arms when the officers attempted to arrest him. The court further determined that even if the officers' actions amounted to excessive force in violation De Boise's Fourth Amendment rights, the law at the time of the incident would not have placed a reasonable officer on notice that multiple tasings under the circumstances violated a clearly established right.</w:t>
      </w:r>
    </w:p>
    <w:p w14:paraId="7BC33700" w14:textId="77777777" w:rsidR="002D0E71" w:rsidRDefault="00000000">
      <w:pPr>
        <w:pStyle w:val="Normal39"/>
        <w:widowControl w:val="0"/>
        <w:spacing w:before="200" w:line="260" w:lineRule="atLeast"/>
        <w:jc w:val="both"/>
      </w:pPr>
      <w:bookmarkStart w:id="5689" w:name="Bookmark_para_11_36"/>
      <w:bookmarkEnd w:id="5689"/>
      <w:r>
        <w:rPr>
          <w:rFonts w:ascii="Arial" w:eastAsia="Arial" w:hAnsi="Arial" w:cs="Arial"/>
          <w:color w:val="000000"/>
          <w:sz w:val="20"/>
        </w:rPr>
        <w:t>The district court also granted St. Louis County's motion for summary judgment, finding that no violation of the ADA occurred because the officers were faced  [**8] with unexpected and exigent circumstances to which no reasonable accommodations could be made until after the scene was safely secured. This appeal followed.</w:t>
      </w:r>
    </w:p>
    <w:p w14:paraId="0B21FC68" w14:textId="77777777" w:rsidR="002D0E71" w:rsidRDefault="00000000">
      <w:pPr>
        <w:pStyle w:val="Normal39"/>
        <w:widowControl w:val="0"/>
        <w:spacing w:before="120" w:line="260" w:lineRule="atLeast"/>
      </w:pPr>
      <w:r>
        <w:rPr>
          <w:rFonts w:ascii="Arial" w:eastAsia="Arial" w:hAnsi="Arial" w:cs="Arial"/>
          <w:color w:val="000000"/>
          <w:sz w:val="20"/>
        </w:rPr>
        <w:t>II.</w:t>
      </w:r>
    </w:p>
    <w:p w14:paraId="31DCC992" w14:textId="77777777" w:rsidR="002D0E71" w:rsidRDefault="00000000">
      <w:pPr>
        <w:pStyle w:val="Normal39"/>
        <w:widowControl w:val="0"/>
        <w:spacing w:before="200" w:line="260" w:lineRule="atLeast"/>
        <w:jc w:val="both"/>
      </w:pPr>
      <w:bookmarkStart w:id="5690" w:name="Bookmark_para_12_35"/>
      <w:bookmarkStart w:id="5691" w:name="Bookmark_I34V71DK301000G4WGW005KH"/>
      <w:bookmarkStart w:id="5692" w:name="Bookmark_I5D0FTWK2HM65X0020000400"/>
      <w:bookmarkStart w:id="5693" w:name="Bookmark_I5D0FTWK2HM65X0040000400"/>
      <w:bookmarkStart w:id="5694" w:name="Bookmark_LNHNREFclscc1_33"/>
      <w:bookmarkEnd w:id="5690"/>
      <w:bookmarkEnd w:id="5691"/>
      <w:bookmarkEnd w:id="5692"/>
      <w:bookmarkEnd w:id="5693"/>
      <w:bookmarkEnd w:id="5694"/>
      <w:r>
        <w:rPr>
          <w:rFonts w:ascii="Arial" w:eastAsia="Arial" w:hAnsi="Arial" w:cs="Arial"/>
          <w:color w:val="000000"/>
          <w:sz w:val="20"/>
        </w:rPr>
        <w:t xml:space="preserve">"Qualified immunity shields government officials from liability in a § 1983 action unless the official's conduct violates a clearly established constitutional or statutory right of which a reasonable person would have known." </w:t>
      </w:r>
      <w:bookmarkStart w:id="5695" w:name="Bookmark_I5D0FTWK2HM65X0010000400"/>
      <w:bookmarkEnd w:id="5695"/>
      <w:r>
        <w:rPr>
          <w:rFonts w:ascii="Arial" w:eastAsia="Arial" w:hAnsi="Arial" w:cs="Arial"/>
          <w:color w:val="000000"/>
          <w:sz w:val="20"/>
          <w:u w:val="single"/>
        </w:rPr>
        <w:t>Brown v. City of Golden Valley</w:t>
      </w:r>
      <w:r>
        <w:rPr>
          <w:rFonts w:ascii="Arial" w:eastAsia="Arial" w:hAnsi="Arial" w:cs="Arial"/>
          <w:color w:val="000000"/>
          <w:sz w:val="20"/>
        </w:rPr>
        <w:t xml:space="preserve">, 574 F.3d 491, 495 (8th Cir. 2009). </w:t>
      </w:r>
      <w:bookmarkStart w:id="5696" w:name="Bookmark_LNHNREFclscc2_33"/>
      <w:bookmarkEnd w:id="5696"/>
      <w:r>
        <w:rPr>
          <w:rFonts w:ascii="Arial" w:eastAsia="Arial" w:hAnsi="Arial" w:cs="Arial"/>
          <w:color w:val="000000"/>
          <w:sz w:val="20"/>
        </w:rPr>
        <w:t xml:space="preserve">We review a district court's order granting summary judgment de novo, viewing the facts in a light most favorable to the nonmoving party and giving the nonmoving party the benefit of all reasonable inferences. </w:t>
      </w:r>
      <w:bookmarkStart w:id="5697" w:name="Bookmark_I5D0FTWK2HM65X0030000400"/>
      <w:bookmarkEnd w:id="5697"/>
      <w:r>
        <w:rPr>
          <w:rFonts w:ascii="Arial" w:eastAsia="Arial" w:hAnsi="Arial" w:cs="Arial"/>
          <w:color w:val="000000"/>
          <w:sz w:val="20"/>
          <w:u w:val="single"/>
        </w:rPr>
        <w:t>Carpenter v. Gage</w:t>
      </w:r>
      <w:r>
        <w:rPr>
          <w:rFonts w:ascii="Arial" w:eastAsia="Arial" w:hAnsi="Arial" w:cs="Arial"/>
          <w:color w:val="000000"/>
          <w:sz w:val="20"/>
        </w:rPr>
        <w:t xml:space="preserve">, 686 F.3d 644, 648 (8th Cir. 2012), </w:t>
      </w:r>
      <w:r>
        <w:rPr>
          <w:rFonts w:ascii="Arial" w:eastAsia="Arial" w:hAnsi="Arial" w:cs="Arial"/>
          <w:color w:val="000000"/>
          <w:sz w:val="20"/>
          <w:u w:val="single"/>
        </w:rPr>
        <w:t>cert. denied</w:t>
      </w:r>
      <w:r>
        <w:rPr>
          <w:rFonts w:ascii="Arial" w:eastAsia="Arial" w:hAnsi="Arial" w:cs="Arial"/>
          <w:color w:val="000000"/>
          <w:sz w:val="20"/>
        </w:rPr>
        <w:t>, 133 S. Ct. 955, 184 L. Ed. 2d 728 (2013).</w:t>
      </w:r>
    </w:p>
    <w:p w14:paraId="7E2DAAD2" w14:textId="77777777" w:rsidR="002D0E71" w:rsidRDefault="00000000">
      <w:pPr>
        <w:pStyle w:val="Normal39"/>
        <w:widowControl w:val="0"/>
        <w:spacing w:before="200" w:line="260" w:lineRule="atLeast"/>
        <w:jc w:val="both"/>
      </w:pPr>
      <w:bookmarkStart w:id="5698" w:name="Bookmark_para_13_35"/>
      <w:bookmarkStart w:id="5699" w:name="Bookmark_I34V71DK82W000G4WGW005KJ"/>
      <w:bookmarkStart w:id="5700" w:name="Bookmark_I5D0FTWK2N1RT70010000400"/>
      <w:bookmarkStart w:id="5701" w:name="Bookmark_I5D0FTWK2N1RT70030000400"/>
      <w:bookmarkStart w:id="5702" w:name="Bookmark_LNHNREFclscc3_32"/>
      <w:bookmarkEnd w:id="5698"/>
      <w:bookmarkEnd w:id="5699"/>
      <w:bookmarkEnd w:id="5700"/>
      <w:bookmarkEnd w:id="5701"/>
      <w:bookmarkEnd w:id="5702"/>
      <w:r>
        <w:rPr>
          <w:rFonts w:ascii="Arial" w:eastAsia="Arial" w:hAnsi="Arial" w:cs="Arial"/>
          <w:color w:val="000000"/>
          <w:sz w:val="20"/>
        </w:rPr>
        <w:t xml:space="preserve">To determine the question of qualified immunity, we engage in the following two-part inquiry: "(1) whether the facts shown by the plaintiff make out a violation of a constitutional or statutory right, and (2) whether that right was clearly established at the time of the defendant's alleged misconduct." </w:t>
      </w:r>
      <w:bookmarkStart w:id="5703" w:name="Bookmark_I5D0FTWK2HM65X0050000400"/>
      <w:bookmarkEnd w:id="5703"/>
      <w:r>
        <w:rPr>
          <w:rFonts w:ascii="Arial" w:eastAsia="Arial" w:hAnsi="Arial" w:cs="Arial"/>
          <w:color w:val="000000"/>
          <w:sz w:val="20"/>
          <w:u w:val="single"/>
        </w:rPr>
        <w:t>Brown</w:t>
      </w:r>
      <w:r>
        <w:rPr>
          <w:rFonts w:ascii="Arial" w:eastAsia="Arial" w:hAnsi="Arial" w:cs="Arial"/>
          <w:color w:val="000000"/>
          <w:sz w:val="20"/>
        </w:rPr>
        <w:t xml:space="preserve">, 574 F.3d at 496. Courts have discretion to decide which part of the inquiry to address first. </w:t>
      </w:r>
      <w:bookmarkStart w:id="5704" w:name="Bookmark_I5D0FTWK2N1RT70020000400"/>
      <w:bookmarkEnd w:id="5704"/>
      <w:r>
        <w:rPr>
          <w:rFonts w:ascii="Arial" w:eastAsia="Arial" w:hAnsi="Arial" w:cs="Arial"/>
          <w:color w:val="000000"/>
          <w:sz w:val="20"/>
          <w:u w:val="single"/>
        </w:rPr>
        <w:t>Pearson v. Callahan</w:t>
      </w:r>
      <w:r>
        <w:rPr>
          <w:rFonts w:ascii="Arial" w:eastAsia="Arial" w:hAnsi="Arial" w:cs="Arial"/>
          <w:color w:val="000000"/>
          <w:sz w:val="20"/>
        </w:rPr>
        <w:t xml:space="preserve">, 555 U.S. 223, 236, 129 S. Ct. 808, 172 L. Ed. 2d 565 (2009).  [**9] Here, we begin with second inquiry. Though the outcome of this encounter was tragic, and </w:t>
      </w:r>
      <w:bookmarkStart w:id="5705" w:name="Bookmark_LNHNREFclscc4_32"/>
      <w:bookmarkEnd w:id="5705"/>
      <w:r>
        <w:rPr>
          <w:rFonts w:ascii="Arial" w:eastAsia="Arial" w:hAnsi="Arial" w:cs="Arial"/>
          <w:color w:val="000000"/>
          <w:sz w:val="20"/>
        </w:rPr>
        <w:t>even if the reasonableness of the officers' actions was questionable, Appellants cannot defeat the officers' defense of qualified immunity unless they are able to show that a reasonable officer would have been on notice that the officers' conduct violated a clearly established right.</w:t>
      </w:r>
    </w:p>
    <w:p w14:paraId="38FF30C0" w14:textId="77777777" w:rsidR="002D0E71" w:rsidRDefault="00000000">
      <w:pPr>
        <w:pStyle w:val="Normal39"/>
        <w:widowControl w:val="0"/>
        <w:spacing w:before="200" w:line="260" w:lineRule="atLeast"/>
        <w:jc w:val="both"/>
      </w:pPr>
      <w:bookmarkStart w:id="5706" w:name="Bookmark_para_14_34"/>
      <w:bookmarkStart w:id="5707" w:name="Bookmark_I5D0FTWK2N1RT70050000400"/>
      <w:bookmarkStart w:id="5708" w:name="Bookmark_I34V71DKF5R000G4WGW005KK"/>
      <w:bookmarkStart w:id="5709" w:name="Bookmark_I34V71DKM8K000G4WGW005KM"/>
      <w:bookmarkStart w:id="5710" w:name="Bookmark_I5D0FTWK2SF8F80020000400"/>
      <w:bookmarkStart w:id="5711" w:name="Bookmark_LNHNREFclscc5_32"/>
      <w:bookmarkEnd w:id="5706"/>
      <w:bookmarkEnd w:id="5707"/>
      <w:bookmarkEnd w:id="5708"/>
      <w:bookmarkEnd w:id="5709"/>
      <w:bookmarkEnd w:id="5710"/>
      <w:bookmarkEnd w:id="5711"/>
      <w:r>
        <w:rPr>
          <w:rFonts w:ascii="Arial" w:eastAsia="Arial" w:hAnsi="Arial" w:cs="Arial"/>
          <w:color w:val="000000"/>
          <w:sz w:val="20"/>
        </w:rPr>
        <w:t xml:space="preserve">"When determining whether an action was a clearly established constitutional violation, we look to the state of the law at the time of the incident," </w:t>
      </w:r>
      <w:bookmarkStart w:id="5712" w:name="Bookmark_I5D0FTWK2N1RT70040000400"/>
      <w:bookmarkEnd w:id="5712"/>
      <w:r>
        <w:rPr>
          <w:rFonts w:ascii="Arial" w:eastAsia="Arial" w:hAnsi="Arial" w:cs="Arial"/>
          <w:color w:val="000000"/>
          <w:sz w:val="20"/>
          <w:u w:val="single"/>
        </w:rPr>
        <w:t>Shekleton v. Eichenberger</w:t>
      </w:r>
      <w:r>
        <w:rPr>
          <w:rFonts w:ascii="Arial" w:eastAsia="Arial" w:hAnsi="Arial" w:cs="Arial"/>
          <w:color w:val="000000"/>
          <w:sz w:val="20"/>
        </w:rPr>
        <w:t xml:space="preserve">, 677 F.3d 361, 366 (8th Cir. 2012); the relevant time here being July 8, 2008. </w:t>
      </w:r>
      <w:bookmarkStart w:id="5713" w:name="Bookmark_I5D0FTWK2D6N6M0010000400"/>
      <w:bookmarkEnd w:id="5713"/>
      <w:r>
        <w:rPr>
          <w:rFonts w:ascii="Arial" w:eastAsia="Arial" w:hAnsi="Arial" w:cs="Arial"/>
          <w:color w:val="000000"/>
          <w:sz w:val="20"/>
        </w:rPr>
        <w:t xml:space="preserve">The pertinent inquiry is "'whether it would be clear to a reasonable  [*897]  officer that his conduct was unlawful in the situation he confronted.'" </w:t>
      </w:r>
      <w:bookmarkStart w:id="5714" w:name="Bookmark_I5D0FTWK2SF8F80010000400"/>
      <w:bookmarkEnd w:id="5714"/>
      <w:r>
        <w:rPr>
          <w:rFonts w:ascii="Arial" w:eastAsia="Arial" w:hAnsi="Arial" w:cs="Arial"/>
          <w:color w:val="000000"/>
          <w:sz w:val="20"/>
          <w:u w:val="single"/>
        </w:rPr>
        <w:t>Id</w:t>
      </w:r>
      <w:r>
        <w:rPr>
          <w:rFonts w:ascii="Arial" w:eastAsia="Arial" w:hAnsi="Arial" w:cs="Arial"/>
          <w:color w:val="000000"/>
          <w:sz w:val="20"/>
        </w:rPr>
        <w:t xml:space="preserve">. at 367 (quoting </w:t>
      </w:r>
      <w:bookmarkStart w:id="5715" w:name="Bookmark_I5D0FTWK2SF8F80030000400"/>
      <w:bookmarkEnd w:id="5715"/>
      <w:r>
        <w:rPr>
          <w:rFonts w:ascii="Arial" w:eastAsia="Arial" w:hAnsi="Arial" w:cs="Arial"/>
          <w:color w:val="000000"/>
          <w:sz w:val="20"/>
          <w:u w:val="single"/>
        </w:rPr>
        <w:t>Saucier v. Katz</w:t>
      </w:r>
      <w:r>
        <w:rPr>
          <w:rFonts w:ascii="Arial" w:eastAsia="Arial" w:hAnsi="Arial" w:cs="Arial"/>
          <w:color w:val="000000"/>
          <w:sz w:val="20"/>
        </w:rPr>
        <w:t xml:space="preserve">, 533 U.S. 194, 202, 121 S. Ct. 2151, 150 L. Ed. 2d 272 (2001)). Particularly, the contours of De Boise's right to be free from excessive force must be so sufficiently clear that a reasonable officer would know that the multiple tasings under the circumstances were a violation of that right. </w:t>
      </w:r>
      <w:bookmarkStart w:id="5716" w:name="Bookmark_I5D0FTWK2D6N6M0010000400_2"/>
      <w:bookmarkEnd w:id="5716"/>
      <w:r>
        <w:rPr>
          <w:rFonts w:ascii="Arial" w:eastAsia="Arial" w:hAnsi="Arial" w:cs="Arial"/>
          <w:color w:val="000000"/>
          <w:sz w:val="20"/>
          <w:u w:val="single"/>
        </w:rPr>
        <w:t xml:space="preserve">See </w:t>
      </w:r>
      <w:bookmarkStart w:id="5717" w:name="Bookmark_I5D0FTWK2SF8F80050000400"/>
      <w:bookmarkEnd w:id="5717"/>
      <w:r>
        <w:rPr>
          <w:rFonts w:ascii="Arial" w:eastAsia="Arial" w:hAnsi="Arial" w:cs="Arial"/>
          <w:color w:val="000000"/>
          <w:sz w:val="20"/>
          <w:u w:val="single"/>
        </w:rPr>
        <w:t>Roberts v. City of Omaha</w:t>
      </w:r>
      <w:r>
        <w:rPr>
          <w:rFonts w:ascii="Arial" w:eastAsia="Arial" w:hAnsi="Arial" w:cs="Arial"/>
          <w:color w:val="000000"/>
          <w:sz w:val="20"/>
        </w:rPr>
        <w:t>, 723 F.3d 966, 972 (8th Cir. 2013).</w:t>
      </w:r>
    </w:p>
    <w:p w14:paraId="30FE1655" w14:textId="77777777" w:rsidR="002D0E71" w:rsidRDefault="00000000">
      <w:pPr>
        <w:pStyle w:val="Normal39"/>
        <w:widowControl w:val="0"/>
        <w:spacing w:before="200" w:line="260" w:lineRule="atLeast"/>
        <w:jc w:val="both"/>
      </w:pPr>
      <w:bookmarkStart w:id="5718" w:name="Bookmark_para_15_33"/>
      <w:bookmarkStart w:id="5719" w:name="Bookmark_I34V71DKTCF000G4WGW005KN"/>
      <w:bookmarkStart w:id="5720" w:name="Bookmark_I5D0FTWK2D6N6M0030000400"/>
      <w:bookmarkStart w:id="5721" w:name="Bookmark_I5D0FTWK2D6N6M0050000400"/>
      <w:bookmarkStart w:id="5722" w:name="Bookmark_LNHNREFclscc6_31"/>
      <w:bookmarkEnd w:id="5718"/>
      <w:bookmarkEnd w:id="5719"/>
      <w:bookmarkEnd w:id="5720"/>
      <w:bookmarkEnd w:id="5721"/>
      <w:bookmarkEnd w:id="5722"/>
      <w:r>
        <w:rPr>
          <w:rFonts w:ascii="Arial" w:eastAsia="Arial" w:hAnsi="Arial" w:cs="Arial"/>
          <w:color w:val="000000"/>
          <w:sz w:val="20"/>
        </w:rPr>
        <w:t xml:space="preserve">Although we have determined that non-violent, non-fleeing subjects have a clearly  [**10] established right to be free from the use of tasers, </w:t>
      </w:r>
      <w:r>
        <w:rPr>
          <w:rFonts w:ascii="Arial" w:eastAsia="Arial" w:hAnsi="Arial" w:cs="Arial"/>
          <w:color w:val="000000"/>
          <w:sz w:val="20"/>
          <w:u w:val="single"/>
        </w:rPr>
        <w:t xml:space="preserve">see </w:t>
      </w:r>
      <w:bookmarkStart w:id="5723" w:name="Bookmark_I5D0FTWK2D6N6M0020000400"/>
      <w:bookmarkEnd w:id="5723"/>
      <w:r>
        <w:rPr>
          <w:rFonts w:ascii="Arial" w:eastAsia="Arial" w:hAnsi="Arial" w:cs="Arial"/>
          <w:color w:val="000000"/>
          <w:sz w:val="20"/>
          <w:u w:val="single"/>
        </w:rPr>
        <w:t>Brown</w:t>
      </w:r>
      <w:r>
        <w:rPr>
          <w:rFonts w:ascii="Arial" w:eastAsia="Arial" w:hAnsi="Arial" w:cs="Arial"/>
          <w:color w:val="000000"/>
          <w:sz w:val="20"/>
        </w:rPr>
        <w:t xml:space="preserve">, 574 F.3d at 499-500, we have yet to determine whether a violent subject, acting aggressively toward officers, has a clearly established right to be free from multiple tasings. </w:t>
      </w:r>
      <w:bookmarkStart w:id="5724" w:name="Bookmark_I5D0FTWX2HM66B0020000400"/>
      <w:bookmarkEnd w:id="5724"/>
      <w:r>
        <w:rPr>
          <w:rFonts w:ascii="Arial" w:eastAsia="Arial" w:hAnsi="Arial" w:cs="Arial"/>
          <w:color w:val="000000"/>
          <w:sz w:val="20"/>
          <w:u w:val="single"/>
        </w:rPr>
        <w:t xml:space="preserve">See </w:t>
      </w:r>
      <w:bookmarkStart w:id="5725" w:name="Bookmark_I5D0FTWK2D6N6M0040000400"/>
      <w:bookmarkEnd w:id="5725"/>
      <w:r>
        <w:rPr>
          <w:rFonts w:ascii="Arial" w:eastAsia="Arial" w:hAnsi="Arial" w:cs="Arial"/>
          <w:color w:val="000000"/>
          <w:sz w:val="20"/>
          <w:u w:val="single"/>
        </w:rPr>
        <w:t>Clark v. Ware</w:t>
      </w:r>
      <w:r>
        <w:rPr>
          <w:rFonts w:ascii="Arial" w:eastAsia="Arial" w:hAnsi="Arial" w:cs="Arial"/>
          <w:color w:val="000000"/>
          <w:sz w:val="20"/>
        </w:rPr>
        <w:t xml:space="preserve">, 873 F. Supp. 2d 1117, 1123 (E.D. Mo. 2012) (holding that the court could not determine as a matter of law that the repeated use of a taser on a subject that was physically resisting the police violated a clearly established right as of November 2009). </w:t>
      </w:r>
      <w:bookmarkStart w:id="5726" w:name="Bookmark_I5D0FTWX2HM66B0040000400"/>
      <w:bookmarkEnd w:id="5726"/>
      <w:r>
        <w:rPr>
          <w:rFonts w:ascii="Arial" w:eastAsia="Arial" w:hAnsi="Arial" w:cs="Arial"/>
          <w:color w:val="000000"/>
          <w:sz w:val="20"/>
        </w:rPr>
        <w:t xml:space="preserve">Indeed, in 2008, case law related to the use of tasers was still developing. </w:t>
      </w:r>
      <w:bookmarkStart w:id="5727" w:name="Bookmark_I5D0FTWX2HM66B0040000400_2"/>
      <w:bookmarkStart w:id="5728" w:name="Bookmark_I5D0FTWX2HM66B0020000400_2"/>
      <w:bookmarkEnd w:id="5727"/>
      <w:bookmarkEnd w:id="5728"/>
      <w:r>
        <w:rPr>
          <w:rFonts w:ascii="Arial" w:eastAsia="Arial" w:hAnsi="Arial" w:cs="Arial"/>
          <w:color w:val="000000"/>
          <w:sz w:val="20"/>
          <w:u w:val="single"/>
        </w:rPr>
        <w:t xml:space="preserve">See </w:t>
      </w:r>
      <w:bookmarkStart w:id="5729" w:name="Bookmark_I5D0FTWX2HM66B0010000400"/>
      <w:bookmarkEnd w:id="5729"/>
      <w:r>
        <w:rPr>
          <w:rFonts w:ascii="Arial" w:eastAsia="Arial" w:hAnsi="Arial" w:cs="Arial"/>
          <w:color w:val="000000"/>
          <w:sz w:val="20"/>
          <w:u w:val="single"/>
        </w:rPr>
        <w:t>McKenney v. Harrison</w:t>
      </w:r>
      <w:r>
        <w:rPr>
          <w:rFonts w:ascii="Arial" w:eastAsia="Arial" w:hAnsi="Arial" w:cs="Arial"/>
          <w:color w:val="000000"/>
          <w:sz w:val="20"/>
        </w:rPr>
        <w:t xml:space="preserve">, 635 F. 3d 354, 361-62 (8th Cir. 2011) (Murphy, J. concurring). And, Appellants point to no previous case that could be said to have clearly established the unconstitutionality of the officers' actions here. Accordingly, the state of the law would not have placed "an officer on notice that he must limit the use of his taser in certain circumstances, even though the subject continues to struggle and resist." </w:t>
      </w:r>
      <w:bookmarkStart w:id="5730" w:name="Bookmark_I5D0FTWX2HM66B0030000400"/>
      <w:bookmarkEnd w:id="5730"/>
      <w:r>
        <w:rPr>
          <w:rFonts w:ascii="Arial" w:eastAsia="Arial" w:hAnsi="Arial" w:cs="Arial"/>
          <w:color w:val="000000"/>
          <w:sz w:val="20"/>
          <w:u w:val="single"/>
        </w:rPr>
        <w:t>Clark</w:t>
      </w:r>
      <w:r>
        <w:rPr>
          <w:rFonts w:ascii="Arial" w:eastAsia="Arial" w:hAnsi="Arial" w:cs="Arial"/>
          <w:color w:val="000000"/>
          <w:sz w:val="20"/>
        </w:rPr>
        <w:t>, 873 F. Supp. 2d at 1122.</w:t>
      </w:r>
    </w:p>
    <w:p w14:paraId="1EAB99E4" w14:textId="77777777" w:rsidR="002D0E71" w:rsidRDefault="00000000">
      <w:pPr>
        <w:pStyle w:val="Normal39"/>
        <w:widowControl w:val="0"/>
        <w:spacing w:before="200" w:line="260" w:lineRule="atLeast"/>
        <w:jc w:val="both"/>
      </w:pPr>
      <w:bookmarkStart w:id="5731" w:name="Bookmark_para_16_32"/>
      <w:bookmarkStart w:id="5732" w:name="Bookmark_I5D0FTWX2D6N790010000400"/>
      <w:bookmarkStart w:id="5733" w:name="Bookmark_I5D0FTWX2D6N790030000400"/>
      <w:bookmarkEnd w:id="5731"/>
      <w:bookmarkEnd w:id="5732"/>
      <w:bookmarkEnd w:id="5733"/>
      <w:r>
        <w:rPr>
          <w:rFonts w:ascii="Arial" w:eastAsia="Arial" w:hAnsi="Arial" w:cs="Arial"/>
          <w:color w:val="000000"/>
          <w:sz w:val="20"/>
        </w:rPr>
        <w:t xml:space="preserve">Appellants are correct that </w:t>
      </w:r>
      <w:bookmarkStart w:id="5734" w:name="Bookmark_LNHNREFclscc7_30"/>
      <w:bookmarkEnd w:id="5734"/>
      <w:r>
        <w:rPr>
          <w:rFonts w:ascii="Arial" w:eastAsia="Arial" w:hAnsi="Arial" w:cs="Arial"/>
          <w:color w:val="000000"/>
          <w:sz w:val="20"/>
        </w:rPr>
        <w:t xml:space="preserve">the particular action in question need not have been previously held unlawful in order for a court to determine that  [**11] a government official has indeed violated a clearly established right. </w:t>
      </w:r>
      <w:bookmarkStart w:id="5735" w:name="Bookmark_I5D0FTWX2D6N790050000400"/>
      <w:bookmarkEnd w:id="5735"/>
      <w:r>
        <w:rPr>
          <w:rFonts w:ascii="Arial" w:eastAsia="Arial" w:hAnsi="Arial" w:cs="Arial"/>
          <w:color w:val="000000"/>
          <w:sz w:val="20"/>
          <w:u w:val="single"/>
        </w:rPr>
        <w:t xml:space="preserve">See </w:t>
      </w:r>
      <w:bookmarkStart w:id="5736" w:name="Bookmark_I5D0FTWX2HM66B0050000400"/>
      <w:bookmarkEnd w:id="5736"/>
      <w:r>
        <w:rPr>
          <w:rFonts w:ascii="Arial" w:eastAsia="Arial" w:hAnsi="Arial" w:cs="Arial"/>
          <w:color w:val="000000"/>
          <w:sz w:val="20"/>
          <w:u w:val="single"/>
        </w:rPr>
        <w:t>Hope v. Pelzer</w:t>
      </w:r>
      <w:r>
        <w:rPr>
          <w:rFonts w:ascii="Arial" w:eastAsia="Arial" w:hAnsi="Arial" w:cs="Arial"/>
          <w:color w:val="000000"/>
          <w:sz w:val="20"/>
        </w:rPr>
        <w:t xml:space="preserve">, 536 U.S. 730, 741, 122 S. Ct. 2508, 153 L. Ed. 2d 666 (2002) ("[A] general constitutional rule already identified in the decisional law may apply with obvious clarity to the specific conduct in question, even though the very action in question has [not] previously been held unlawful." (second alteration in original) (internal quotation marks omitted)). In support of their claim, Appellants rely on </w:t>
      </w:r>
      <w:bookmarkStart w:id="5737" w:name="Bookmark_I5D0FTWX2D6N790020000400"/>
      <w:bookmarkEnd w:id="5737"/>
      <w:r>
        <w:rPr>
          <w:rFonts w:ascii="Arial" w:eastAsia="Arial" w:hAnsi="Arial" w:cs="Arial"/>
          <w:color w:val="000000"/>
          <w:sz w:val="20"/>
          <w:u w:val="single"/>
        </w:rPr>
        <w:t>Oliver v. Fiorino</w:t>
      </w:r>
      <w:r>
        <w:rPr>
          <w:rFonts w:ascii="Arial" w:eastAsia="Arial" w:hAnsi="Arial" w:cs="Arial"/>
          <w:color w:val="000000"/>
          <w:sz w:val="20"/>
        </w:rPr>
        <w:t xml:space="preserve">, 586 F.3d 898 (11th Cir. 2009). </w:t>
      </w:r>
      <w:bookmarkStart w:id="5738" w:name="Bookmark_I5D0FTWX2D6N790050000400_2"/>
      <w:bookmarkStart w:id="5739" w:name="Bookmark_I5D0FTWX2SF8G10020000400"/>
      <w:bookmarkEnd w:id="5738"/>
      <w:bookmarkEnd w:id="5739"/>
      <w:r>
        <w:rPr>
          <w:rFonts w:ascii="Arial" w:eastAsia="Arial" w:hAnsi="Arial" w:cs="Arial"/>
          <w:color w:val="000000"/>
          <w:sz w:val="20"/>
        </w:rPr>
        <w:t xml:space="preserve">In </w:t>
      </w:r>
      <w:r>
        <w:rPr>
          <w:rFonts w:ascii="Arial" w:eastAsia="Arial" w:hAnsi="Arial" w:cs="Arial"/>
          <w:color w:val="000000"/>
          <w:sz w:val="20"/>
          <w:u w:val="single"/>
        </w:rPr>
        <w:t>Oliver</w:t>
      </w:r>
      <w:r>
        <w:rPr>
          <w:rFonts w:ascii="Arial" w:eastAsia="Arial" w:hAnsi="Arial" w:cs="Arial"/>
          <w:color w:val="000000"/>
          <w:sz w:val="20"/>
        </w:rPr>
        <w:t xml:space="preserve">, the Eleventh Circuit concluded that the multiple tasings of a mentally ill subject was excessive force and violated the subject's clearly established right. </w:t>
      </w:r>
      <w:bookmarkStart w:id="5740" w:name="Bookmark_I5D0FTWX2D6N790040000400"/>
      <w:bookmarkEnd w:id="5740"/>
      <w:r>
        <w:rPr>
          <w:rFonts w:ascii="Arial" w:eastAsia="Arial" w:hAnsi="Arial" w:cs="Arial"/>
          <w:color w:val="000000"/>
          <w:sz w:val="20"/>
        </w:rPr>
        <w:t xml:space="preserve">586 F.3d at 908. </w:t>
      </w:r>
      <w:bookmarkStart w:id="5741" w:name="Bookmark_I5D0FTWX2SF8G10020000400_2"/>
      <w:bookmarkEnd w:id="5741"/>
      <w:r>
        <w:rPr>
          <w:rFonts w:ascii="Arial" w:eastAsia="Arial" w:hAnsi="Arial" w:cs="Arial"/>
          <w:color w:val="000000"/>
          <w:sz w:val="20"/>
        </w:rPr>
        <w:t xml:space="preserve">Although the court acknowledged that there was no prior decision in which a court had determined such acts violated a clearly established right, the court, nonetheless, reasoned the right was clearly established because the subject was tased multiple times without warning, he was not suspected of any crime, did not act belligerent or aggressively, and had complied with most of the officers' commands. </w:t>
      </w:r>
      <w:bookmarkStart w:id="5742" w:name="Bookmark_I5D0FTWX2SF8G10040000400"/>
      <w:bookmarkStart w:id="5743" w:name="Bookmark_I5D0FTWX2SF8G10010000400"/>
      <w:bookmarkEnd w:id="5742"/>
      <w:bookmarkEnd w:id="5743"/>
      <w:r>
        <w:rPr>
          <w:rFonts w:ascii="Arial" w:eastAsia="Arial" w:hAnsi="Arial" w:cs="Arial"/>
          <w:color w:val="000000"/>
          <w:sz w:val="20"/>
          <w:u w:val="single"/>
        </w:rPr>
        <w:t>Id</w:t>
      </w:r>
      <w:r>
        <w:rPr>
          <w:rFonts w:ascii="Arial" w:eastAsia="Arial" w:hAnsi="Arial" w:cs="Arial"/>
          <w:color w:val="000000"/>
          <w:sz w:val="20"/>
        </w:rPr>
        <w:t xml:space="preserve">. at 907-08. </w:t>
      </w:r>
      <w:bookmarkStart w:id="5744" w:name="Bookmark_I5D0FTWX2SF8G10040000400_2"/>
      <w:bookmarkEnd w:id="5744"/>
      <w:r>
        <w:rPr>
          <w:rFonts w:ascii="Arial" w:eastAsia="Arial" w:hAnsi="Arial" w:cs="Arial"/>
          <w:color w:val="000000"/>
          <w:sz w:val="20"/>
        </w:rPr>
        <w:t xml:space="preserve">The court determined, based on the facts alone, no reasonable officer would have believed  [**12] that the repeated tasings were constitutionally permissible under the circumstances. </w:t>
      </w:r>
      <w:bookmarkStart w:id="5745" w:name="Bookmark_I5D0FTWX2SF8G10030000400"/>
      <w:bookmarkEnd w:id="5745"/>
      <w:r>
        <w:rPr>
          <w:rFonts w:ascii="Arial" w:eastAsia="Arial" w:hAnsi="Arial" w:cs="Arial"/>
          <w:color w:val="000000"/>
          <w:sz w:val="20"/>
          <w:u w:val="single"/>
        </w:rPr>
        <w:t>Id</w:t>
      </w:r>
      <w:r>
        <w:rPr>
          <w:rFonts w:ascii="Arial" w:eastAsia="Arial" w:hAnsi="Arial" w:cs="Arial"/>
          <w:color w:val="000000"/>
          <w:sz w:val="20"/>
        </w:rPr>
        <w:t>. at 908.</w:t>
      </w:r>
    </w:p>
    <w:p w14:paraId="383B7F98" w14:textId="77777777" w:rsidR="002D0E71" w:rsidRDefault="00000000">
      <w:pPr>
        <w:pStyle w:val="Normal39"/>
        <w:widowControl w:val="0"/>
        <w:spacing w:before="200" w:line="260" w:lineRule="atLeast"/>
        <w:jc w:val="both"/>
      </w:pPr>
      <w:bookmarkStart w:id="5746" w:name="Bookmark_para_17_31"/>
      <w:bookmarkStart w:id="5747" w:name="Bookmark_I34V71DP709000G4WGW005M4"/>
      <w:bookmarkStart w:id="5748" w:name="Bookmark_I5D0FTWX28T5160010000400"/>
      <w:bookmarkEnd w:id="5746"/>
      <w:bookmarkEnd w:id="5747"/>
      <w:bookmarkEnd w:id="5748"/>
      <w:r>
        <w:rPr>
          <w:rFonts w:ascii="Arial" w:eastAsia="Arial" w:hAnsi="Arial" w:cs="Arial"/>
          <w:color w:val="000000"/>
          <w:sz w:val="20"/>
        </w:rPr>
        <w:t xml:space="preserve">Although </w:t>
      </w:r>
      <w:bookmarkStart w:id="5749" w:name="Bookmark_I5D0FTWX2SF8G10050000400"/>
      <w:bookmarkEnd w:id="5749"/>
      <w:r>
        <w:rPr>
          <w:rFonts w:ascii="Arial" w:eastAsia="Arial" w:hAnsi="Arial" w:cs="Arial"/>
          <w:color w:val="000000"/>
          <w:sz w:val="20"/>
          <w:u w:val="single"/>
        </w:rPr>
        <w:t>Oliver</w:t>
      </w:r>
      <w:r>
        <w:rPr>
          <w:rFonts w:ascii="Arial" w:eastAsia="Arial" w:hAnsi="Arial" w:cs="Arial"/>
          <w:color w:val="000000"/>
          <w:sz w:val="20"/>
        </w:rPr>
        <w:t xml:space="preserve"> and the case before us both involve the tasing of an emotionally disturbed individual, the facts of the two cases are not sufficiently aligned. Similar to Oliver, De Boise suffered from a mental illness of which the officers were aware. However, unlike in </w:t>
      </w:r>
      <w:r>
        <w:rPr>
          <w:rFonts w:ascii="Arial" w:eastAsia="Arial" w:hAnsi="Arial" w:cs="Arial"/>
          <w:color w:val="000000"/>
          <w:sz w:val="20"/>
          <w:u w:val="single"/>
        </w:rPr>
        <w:t>Oliver</w:t>
      </w:r>
      <w:r>
        <w:rPr>
          <w:rFonts w:ascii="Arial" w:eastAsia="Arial" w:hAnsi="Arial" w:cs="Arial"/>
          <w:color w:val="000000"/>
          <w:sz w:val="20"/>
        </w:rPr>
        <w:t xml:space="preserve">, the officers in this case observed De Boise aggressively approaching one of the officers, his continued noncompliance with the officers' instructions to lie on the ground, and his violent and aggressive behavior, which included kicking and swinging his arms at the officers once they approached to subdue him. These important distinctions lead us to conclude that no reasonable officer, observing De Boise's behavior, would have understood the actions taken to be so disproportionate  [*898]  and unnecessary as to amount to a violation of De Boise's rights. Accordingly, </w:t>
      </w:r>
      <w:r>
        <w:rPr>
          <w:rFonts w:ascii="Arial" w:eastAsia="Arial" w:hAnsi="Arial" w:cs="Arial"/>
          <w:color w:val="000000"/>
          <w:sz w:val="20"/>
          <w:u w:val="single"/>
        </w:rPr>
        <w:t>Oliver</w:t>
      </w:r>
      <w:r>
        <w:rPr>
          <w:rFonts w:ascii="Arial" w:eastAsia="Arial" w:hAnsi="Arial" w:cs="Arial"/>
          <w:color w:val="000000"/>
          <w:sz w:val="20"/>
        </w:rPr>
        <w:t xml:space="preserve"> does not support the Appellants' argument that the right in this case was clearly established.</w:t>
      </w:r>
      <w:r>
        <w:rPr>
          <w:rFonts w:ascii="Arial" w:eastAsia="Arial" w:hAnsi="Arial" w:cs="Arial"/>
          <w:vertAlign w:val="superscript"/>
        </w:rPr>
        <w:footnoteReference w:customMarkFollows="1" w:id="237"/>
        <w:t>6</w:t>
      </w:r>
    </w:p>
    <w:p w14:paraId="5D9AB3CC" w14:textId="77777777" w:rsidR="002D0E71" w:rsidRDefault="00000000">
      <w:pPr>
        <w:pStyle w:val="Normal39"/>
        <w:widowControl w:val="0"/>
        <w:spacing w:before="200" w:line="260" w:lineRule="atLeast"/>
        <w:jc w:val="both"/>
      </w:pPr>
      <w:bookmarkStart w:id="5774" w:name="Bookmark_para_18_31"/>
      <w:bookmarkEnd w:id="5774"/>
      <w:r>
        <w:rPr>
          <w:rFonts w:ascii="Arial" w:eastAsia="Arial" w:hAnsi="Arial" w:cs="Arial"/>
          <w:color w:val="000000"/>
          <w:sz w:val="20"/>
        </w:rPr>
        <w:t>Appellants also claim that the officers' training placed them on notice that their actions violated a clearly established right. We disagree. Certainly, the officers training manual instructed that "[Emotionally disturbed persons] . . . may not comply with verbal commands following the TASER cycle" and were informed that "[e]ach cycle should be used as a 'window of opportunity' to attempt to establish control/cuff while the subject is affected by the TASER cycle." However, the training manual further instructed officers to "[m]ove in and control the subject while TASER device is cycling and the subject is incapacitated when it is reasonably safe to do so." Officer Percich testified that, due to the placement of De Boise's hands and the placement of the taser wires, it was not safe to handcuff De Boise after the initial tasings. We are not persuaded that a reasonable officer, having the same training, would be on notice that using his discretion to forgo the "window of opportunity" due to the unsafe conditions violated the subject's clearly established right. We, therefore, hold that even if Officers Percich's and Lively's repeated tasings of De Boise amounted to excessive  [**16] force in violation of De Boise's Fourth Amendment rights, such rights were not clearly established at the time of the incident.</w:t>
      </w:r>
    </w:p>
    <w:p w14:paraId="12F08130" w14:textId="77777777" w:rsidR="002D0E71" w:rsidRDefault="00000000">
      <w:pPr>
        <w:pStyle w:val="Normal39"/>
        <w:widowControl w:val="0"/>
        <w:spacing w:before="120" w:line="260" w:lineRule="atLeast"/>
      </w:pPr>
      <w:r>
        <w:rPr>
          <w:rFonts w:ascii="Arial" w:eastAsia="Arial" w:hAnsi="Arial" w:cs="Arial"/>
          <w:color w:val="000000"/>
          <w:sz w:val="20"/>
        </w:rPr>
        <w:t>III.</w:t>
      </w:r>
    </w:p>
    <w:p w14:paraId="2F98CD61" w14:textId="77777777" w:rsidR="002D0E71" w:rsidRDefault="00000000">
      <w:pPr>
        <w:pStyle w:val="Normal39"/>
        <w:widowControl w:val="0"/>
        <w:spacing w:before="200" w:line="260" w:lineRule="atLeast"/>
        <w:jc w:val="both"/>
      </w:pPr>
      <w:bookmarkStart w:id="5775" w:name="Bookmark_para_19_31"/>
      <w:bookmarkStart w:id="5776" w:name="Bookmark_I5D0FTX628T51X0040000400"/>
      <w:bookmarkStart w:id="5777" w:name="Bookmark_I5D0FTX62SF8GS0010000400"/>
      <w:bookmarkEnd w:id="5775"/>
      <w:bookmarkEnd w:id="5776"/>
      <w:bookmarkEnd w:id="5777"/>
      <w:r>
        <w:rPr>
          <w:rFonts w:ascii="Arial" w:eastAsia="Arial" w:hAnsi="Arial" w:cs="Arial"/>
          <w:color w:val="000000"/>
          <w:sz w:val="20"/>
        </w:rPr>
        <w:t xml:space="preserve">Next, the Appellants argue that because Officers Percich and Maechling had received Crisis Intervention Team training along with the Taser training, the  [*899]  officers' failure to utilize such training denied De Boise of reasonable accommodations in violation of the ADA. The ADA provides that </w:t>
      </w:r>
      <w:bookmarkStart w:id="5778" w:name="Bookmark_LNHNREFclscc10_28"/>
      <w:bookmarkEnd w:id="5778"/>
      <w:r>
        <w:rPr>
          <w:rFonts w:ascii="Arial" w:eastAsia="Arial" w:hAnsi="Arial" w:cs="Arial"/>
          <w:color w:val="000000"/>
          <w:sz w:val="20"/>
        </w:rPr>
        <w:t xml:space="preserve">"no qualified individual with a disability shall, by reason of such disability . . . be denied the benefits of the services, programs, or activities of a public entity, or be subjected to discrimination by any such entity." 42 U.S.C. § 12132. </w:t>
      </w:r>
      <w:bookmarkStart w:id="5779" w:name="Bookmark_I5D0FTX62SF8GS0050000400"/>
      <w:bookmarkStart w:id="5780" w:name="Bookmark_LNHNREFclscc11_21"/>
      <w:bookmarkEnd w:id="5779"/>
      <w:bookmarkEnd w:id="5780"/>
      <w:r>
        <w:rPr>
          <w:rFonts w:ascii="Arial" w:eastAsia="Arial" w:hAnsi="Arial" w:cs="Arial"/>
          <w:color w:val="000000"/>
          <w:sz w:val="20"/>
        </w:rPr>
        <w:t xml:space="preserve">To prevail on an ADA claim in this context, a plaintiff must demonstrate "that he is a qualified individual with a disability denied participation in, or the benefits of, the services, programs, or activities of a public entity because of his disability." </w:t>
      </w:r>
      <w:bookmarkStart w:id="5781" w:name="Bookmark_I5D0FTX628T51X0030000400"/>
      <w:bookmarkEnd w:id="5781"/>
      <w:r>
        <w:rPr>
          <w:rFonts w:ascii="Arial" w:eastAsia="Arial" w:hAnsi="Arial" w:cs="Arial"/>
          <w:color w:val="000000"/>
          <w:sz w:val="20"/>
          <w:u w:val="single"/>
        </w:rPr>
        <w:t>Gorman v. Bartch</w:t>
      </w:r>
      <w:r>
        <w:rPr>
          <w:rFonts w:ascii="Arial" w:eastAsia="Arial" w:hAnsi="Arial" w:cs="Arial"/>
          <w:color w:val="000000"/>
          <w:sz w:val="20"/>
        </w:rPr>
        <w:t xml:space="preserve">, 152 F.3d 907, 912 (8th Cir. 1998). We have said that inquiry into whether officers reasonably accommodated the individual is "highly fact-specific and varies depending on the circumstances of each case, including the exigent circumstances presented by criminal activity  [**17] and safety concerns" and that "we will not second guess [an officer's] judgments, where . . . an officer is presented with exigent or unexpected circumstances." </w:t>
      </w:r>
      <w:bookmarkStart w:id="5782" w:name="Bookmark_I5D0FTX628T51X0050000400"/>
      <w:bookmarkEnd w:id="5782"/>
      <w:r>
        <w:rPr>
          <w:rFonts w:ascii="Arial" w:eastAsia="Arial" w:hAnsi="Arial" w:cs="Arial"/>
          <w:color w:val="000000"/>
          <w:sz w:val="20"/>
          <w:u w:val="single"/>
        </w:rPr>
        <w:t>Bahl v. Cnty. of Ramsey</w:t>
      </w:r>
      <w:r>
        <w:rPr>
          <w:rFonts w:ascii="Arial" w:eastAsia="Arial" w:hAnsi="Arial" w:cs="Arial"/>
          <w:color w:val="000000"/>
          <w:sz w:val="20"/>
        </w:rPr>
        <w:t xml:space="preserve">, 695 F.3d 778, 784-85 (8th Cir. 2012); </w:t>
      </w:r>
      <w:r>
        <w:rPr>
          <w:rFonts w:ascii="Arial" w:eastAsia="Arial" w:hAnsi="Arial" w:cs="Arial"/>
          <w:color w:val="000000"/>
          <w:sz w:val="20"/>
          <w:u w:val="single"/>
        </w:rPr>
        <w:t xml:space="preserve">see also </w:t>
      </w:r>
      <w:bookmarkStart w:id="5783" w:name="Bookmark_I5D0FTX62SF8GS0020000400"/>
      <w:bookmarkEnd w:id="5783"/>
      <w:r>
        <w:rPr>
          <w:rFonts w:ascii="Arial" w:eastAsia="Arial" w:hAnsi="Arial" w:cs="Arial"/>
          <w:color w:val="000000"/>
          <w:sz w:val="20"/>
          <w:u w:val="single"/>
        </w:rPr>
        <w:t>Tucker v. Tennessee</w:t>
      </w:r>
      <w:r>
        <w:rPr>
          <w:rFonts w:ascii="Arial" w:eastAsia="Arial" w:hAnsi="Arial" w:cs="Arial"/>
          <w:color w:val="000000"/>
          <w:sz w:val="20"/>
        </w:rPr>
        <w:t>, 539 F.3d 526, 536 (6th Cir. 2009) (</w:t>
      </w:r>
      <w:bookmarkStart w:id="5784" w:name="Bookmark_LNHNREFclscc12_20"/>
      <w:bookmarkEnd w:id="5784"/>
      <w:r>
        <w:rPr>
          <w:rFonts w:ascii="Arial" w:eastAsia="Arial" w:hAnsi="Arial" w:cs="Arial"/>
          <w:color w:val="000000"/>
          <w:sz w:val="20"/>
        </w:rPr>
        <w:t xml:space="preserve">"[W]e rely on and expect law enforcement officers to respond fluidly to changing situations and individuals they encounter. </w:t>
      </w:r>
      <w:bookmarkStart w:id="5785" w:name="Bookmark_I5D0FTX62SF8GS0050000400_2"/>
      <w:bookmarkEnd w:id="5785"/>
      <w:r>
        <w:rPr>
          <w:rFonts w:ascii="Arial" w:eastAsia="Arial" w:hAnsi="Arial" w:cs="Arial"/>
          <w:color w:val="000000"/>
          <w:sz w:val="20"/>
        </w:rPr>
        <w:t xml:space="preserve">Imposing a stringent requirement under the ADA is inconsistent with that expectation, and impedes their ability to perform their duties."); </w:t>
      </w:r>
      <w:bookmarkStart w:id="5786" w:name="Bookmark_I5D0FTX62SF8GS0040000400"/>
      <w:bookmarkEnd w:id="5786"/>
      <w:r>
        <w:rPr>
          <w:rFonts w:ascii="Arial" w:eastAsia="Arial" w:hAnsi="Arial" w:cs="Arial"/>
          <w:color w:val="000000"/>
          <w:sz w:val="20"/>
          <w:u w:val="single"/>
        </w:rPr>
        <w:t>Hainze v. Richards</w:t>
      </w:r>
      <w:r>
        <w:rPr>
          <w:rFonts w:ascii="Arial" w:eastAsia="Arial" w:hAnsi="Arial" w:cs="Arial"/>
          <w:color w:val="000000"/>
          <w:sz w:val="20"/>
        </w:rPr>
        <w:t>, 207 F.3d 795, 801 (5th Cir. 2000) ("Title II does not apply to an officer's on-the-street responses to reported disturbances or other similar incidents, whether or not those calls involve subjects with mental disabilities, prior to the officer's securing the scene and ensuring that there is no threat to human life.").</w:t>
      </w:r>
    </w:p>
    <w:p w14:paraId="140BCBE5" w14:textId="77777777" w:rsidR="002D0E71" w:rsidRDefault="00000000">
      <w:pPr>
        <w:pStyle w:val="Normal39"/>
        <w:widowControl w:val="0"/>
        <w:spacing w:before="200" w:line="260" w:lineRule="atLeast"/>
        <w:jc w:val="both"/>
      </w:pPr>
      <w:bookmarkStart w:id="5787" w:name="Bookmark_para_20_29"/>
      <w:bookmarkStart w:id="5788" w:name="Bookmark_I34V71DM49F000G4WGW005KR"/>
      <w:bookmarkStart w:id="5789" w:name="Bookmark_I5D0FTX62N1RVS0020000400"/>
      <w:bookmarkStart w:id="5790" w:name="Bookmark_I5D0FTX62N1RVS0040000400"/>
      <w:bookmarkEnd w:id="5787"/>
      <w:bookmarkEnd w:id="5788"/>
      <w:bookmarkEnd w:id="5789"/>
      <w:bookmarkEnd w:id="5790"/>
      <w:r>
        <w:rPr>
          <w:rFonts w:ascii="Arial" w:eastAsia="Arial" w:hAnsi="Arial" w:cs="Arial"/>
          <w:color w:val="000000"/>
          <w:sz w:val="20"/>
        </w:rPr>
        <w:t xml:space="preserve">Important here, the officers received information that De Boise had assaulted his mother and observed De Boise's aggressive and irrational behavior and his continued non-compliance with their demands. </w:t>
      </w:r>
      <w:bookmarkStart w:id="5791" w:name="Bookmark_LNHNREFclscc13_17"/>
      <w:bookmarkEnd w:id="5791"/>
      <w:r>
        <w:rPr>
          <w:rFonts w:ascii="Arial" w:eastAsia="Arial" w:hAnsi="Arial" w:cs="Arial"/>
          <w:color w:val="000000"/>
          <w:sz w:val="20"/>
        </w:rPr>
        <w:t xml:space="preserve">Due to the unexpected and rapidly evolving circumstances, the officers were not required "to hesitate to consider  [**18] other possible actions in the course of making such split-second decisions." </w:t>
      </w:r>
      <w:bookmarkStart w:id="5792" w:name="Bookmark_I5D0FTX62N1RVS0010000400"/>
      <w:bookmarkEnd w:id="5792"/>
      <w:r>
        <w:rPr>
          <w:rFonts w:ascii="Arial" w:eastAsia="Arial" w:hAnsi="Arial" w:cs="Arial"/>
          <w:color w:val="000000"/>
          <w:sz w:val="20"/>
          <w:u w:val="single"/>
        </w:rPr>
        <w:t>Hainze</w:t>
      </w:r>
      <w:r>
        <w:rPr>
          <w:rFonts w:ascii="Arial" w:eastAsia="Arial" w:hAnsi="Arial" w:cs="Arial"/>
          <w:color w:val="000000"/>
          <w:sz w:val="20"/>
        </w:rPr>
        <w:t xml:space="preserve">, 207 F.3d at 801-02. Moreover, the "use of force" on De Boise was "not by reason of [De Boise's] disability, but because of [his] objectively verifiable misconduct." </w:t>
      </w:r>
      <w:bookmarkStart w:id="5793" w:name="Bookmark_I5D0FTX62N1RVS0030000400"/>
      <w:bookmarkEnd w:id="5793"/>
      <w:r>
        <w:rPr>
          <w:rFonts w:ascii="Arial" w:eastAsia="Arial" w:hAnsi="Arial" w:cs="Arial"/>
          <w:color w:val="000000"/>
          <w:sz w:val="20"/>
          <w:u w:val="single"/>
        </w:rPr>
        <w:t>Bates ex rel. Johns v. Chesterfield Cnty., Va</w:t>
      </w:r>
      <w:r>
        <w:rPr>
          <w:rFonts w:ascii="Arial" w:eastAsia="Arial" w:hAnsi="Arial" w:cs="Arial"/>
          <w:color w:val="000000"/>
          <w:sz w:val="20"/>
        </w:rPr>
        <w:t>., 216 F.3d 367, 373 (4th Cir. 2000). Accordingly, the facts before us do not contemplate any violation of the ADA.</w:t>
      </w:r>
    </w:p>
    <w:p w14:paraId="2399D8E0" w14:textId="77777777" w:rsidR="002D0E71" w:rsidRDefault="00000000">
      <w:pPr>
        <w:pStyle w:val="Normal39"/>
        <w:widowControl w:val="0"/>
        <w:spacing w:before="120" w:line="260" w:lineRule="atLeast"/>
      </w:pPr>
      <w:r>
        <w:rPr>
          <w:rFonts w:ascii="Arial" w:eastAsia="Arial" w:hAnsi="Arial" w:cs="Arial"/>
          <w:color w:val="000000"/>
          <w:sz w:val="20"/>
        </w:rPr>
        <w:t>IV.</w:t>
      </w:r>
    </w:p>
    <w:p w14:paraId="6021C431" w14:textId="77777777" w:rsidR="002D0E71" w:rsidRDefault="00000000">
      <w:pPr>
        <w:pStyle w:val="Normal39"/>
        <w:widowControl w:val="0"/>
        <w:spacing w:before="200" w:line="260" w:lineRule="atLeast"/>
        <w:jc w:val="both"/>
      </w:pPr>
      <w:bookmarkStart w:id="5794" w:name="Bookmark_para_21_28"/>
      <w:bookmarkEnd w:id="5794"/>
      <w:r>
        <w:rPr>
          <w:rFonts w:ascii="Arial" w:eastAsia="Arial" w:hAnsi="Arial" w:cs="Arial"/>
          <w:color w:val="000000"/>
          <w:sz w:val="20"/>
        </w:rPr>
        <w:t>Accordingly, we affirm the district court's grant of summary judgment to the individual officers and St. Louis County.</w:t>
      </w:r>
    </w:p>
    <w:p w14:paraId="0A707C32" w14:textId="77777777" w:rsidR="002D0E71" w:rsidRDefault="00000000">
      <w:pPr>
        <w:pStyle w:val="Normal39"/>
        <w:widowControl w:val="0"/>
        <w:spacing w:before="240" w:line="260" w:lineRule="atLeast"/>
      </w:pPr>
      <w:bookmarkStart w:id="5795" w:name="Dissent_by_1"/>
      <w:bookmarkEnd w:id="5795"/>
      <w:r>
        <w:rPr>
          <w:rFonts w:ascii="Arial" w:eastAsia="Arial" w:hAnsi="Arial" w:cs="Arial"/>
          <w:b/>
          <w:color w:val="000000"/>
          <w:sz w:val="20"/>
        </w:rPr>
        <w:t>Dissent by:</w:t>
      </w:r>
      <w:r>
        <w:rPr>
          <w:rFonts w:ascii="Arial" w:eastAsia="Arial" w:hAnsi="Arial" w:cs="Arial"/>
          <w:color w:val="000000"/>
          <w:sz w:val="20"/>
        </w:rPr>
        <w:t> BYE</w:t>
      </w:r>
    </w:p>
    <w:p w14:paraId="18594F53" w14:textId="77777777" w:rsidR="002D0E71" w:rsidRDefault="00000000">
      <w:pPr>
        <w:pStyle w:val="Normal39"/>
        <w:keepNext/>
        <w:widowControl w:val="0"/>
        <w:spacing w:before="240" w:line="340" w:lineRule="atLeast"/>
      </w:pPr>
      <w:bookmarkStart w:id="5796" w:name="Dissent_1"/>
      <w:bookmarkEnd w:id="5796"/>
      <w:r>
        <w:rPr>
          <w:rFonts w:ascii="Arial" w:eastAsia="Arial" w:hAnsi="Arial" w:cs="Arial"/>
          <w:b/>
          <w:color w:val="000000"/>
          <w:sz w:val="28"/>
        </w:rPr>
        <w:t>Dissent</w:t>
      </w:r>
    </w:p>
    <w:p w14:paraId="3544EFBB" w14:textId="32283391" w:rsidR="002D0E71" w:rsidRDefault="002939DF">
      <w:pPr>
        <w:pStyle w:val="Normal39"/>
        <w:spacing w:line="60" w:lineRule="exact"/>
      </w:pPr>
      <w:r>
        <w:rPr>
          <w:noProof/>
        </w:rPr>
        <mc:AlternateContent>
          <mc:Choice Requires="wps">
            <w:drawing>
              <wp:anchor distT="0" distB="0" distL="114300" distR="114300" simplePos="0" relativeHeight="251742208" behindDoc="0" locked="0" layoutInCell="1" allowOverlap="1" wp14:anchorId="26E9928C" wp14:editId="185C90B5">
                <wp:simplePos x="0" y="0"/>
                <wp:positionH relativeFrom="column">
                  <wp:posOffset>0</wp:posOffset>
                </wp:positionH>
                <wp:positionV relativeFrom="paragraph">
                  <wp:posOffset>25400</wp:posOffset>
                </wp:positionV>
                <wp:extent cx="3187700" cy="0"/>
                <wp:effectExtent l="19050" t="15875" r="12700" b="12700"/>
                <wp:wrapTopAndBottom/>
                <wp:docPr id="701820233"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F4B635" id="Line 88"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0ADA4D6" w14:textId="77777777" w:rsidR="002D0E71" w:rsidRDefault="002D0E71">
      <w:pPr>
        <w:pStyle w:val="Normal39"/>
      </w:pPr>
    </w:p>
    <w:p w14:paraId="10997FA9" w14:textId="77777777" w:rsidR="002D0E71" w:rsidRDefault="00000000">
      <w:pPr>
        <w:pStyle w:val="Normal39"/>
        <w:widowControl w:val="0"/>
        <w:spacing w:before="200" w:line="260" w:lineRule="atLeast"/>
        <w:jc w:val="both"/>
      </w:pPr>
      <w:bookmarkStart w:id="5797" w:name="Bookmark_para_22_28"/>
      <w:bookmarkEnd w:id="5797"/>
      <w:r>
        <w:rPr>
          <w:rFonts w:ascii="Arial" w:eastAsia="Arial" w:hAnsi="Arial" w:cs="Arial"/>
          <w:color w:val="000000"/>
          <w:sz w:val="20"/>
        </w:rPr>
        <w:t>BYE, Circuit Judge, dissenting.</w:t>
      </w:r>
    </w:p>
    <w:p w14:paraId="6BC328AB" w14:textId="77777777" w:rsidR="002D0E71" w:rsidRDefault="00000000">
      <w:pPr>
        <w:pStyle w:val="Normal39"/>
        <w:widowControl w:val="0"/>
        <w:spacing w:before="200" w:line="260" w:lineRule="atLeast"/>
        <w:jc w:val="both"/>
      </w:pPr>
      <w:bookmarkStart w:id="5798" w:name="Bookmark_para_23_27"/>
      <w:bookmarkEnd w:id="5798"/>
      <w:r>
        <w:rPr>
          <w:rFonts w:ascii="Arial" w:eastAsia="Arial" w:hAnsi="Arial" w:cs="Arial"/>
          <w:color w:val="000000"/>
          <w:sz w:val="20"/>
        </w:rPr>
        <w:t>I disagree the officers are entitled to qualified immunity for the tasing death of De Boise. Instead, I believe a jury should determine whether the officers violated De Boise's Fourth Amendment right to be free from excessive force by continuing to tase De Boise without attempting to handcuff him. I therefore respectfully dissent from Part II of the decision affirming the district court.</w:t>
      </w:r>
    </w:p>
    <w:p w14:paraId="38FC23C1" w14:textId="77777777" w:rsidR="002D0E71" w:rsidRDefault="00000000">
      <w:pPr>
        <w:pStyle w:val="Normal39"/>
        <w:widowControl w:val="0"/>
        <w:spacing w:before="200" w:line="260" w:lineRule="atLeast"/>
        <w:jc w:val="both"/>
      </w:pPr>
      <w:bookmarkStart w:id="5799" w:name="Bookmark_para_24_27"/>
      <w:bookmarkStart w:id="5800" w:name="Bookmark_I34V71DM9D9000G4WGW005KS"/>
      <w:bookmarkStart w:id="5801" w:name="Bookmark_I5D0FTX62D6N870010000400"/>
      <w:bookmarkEnd w:id="5799"/>
      <w:bookmarkEnd w:id="5800"/>
      <w:bookmarkEnd w:id="5801"/>
      <w:r>
        <w:rPr>
          <w:rFonts w:ascii="Arial" w:eastAsia="Arial" w:hAnsi="Arial" w:cs="Arial"/>
          <w:color w:val="000000"/>
          <w:sz w:val="20"/>
        </w:rPr>
        <w:t xml:space="preserve">The court analyzes only the second prong of the qualified immunity analysis. </w:t>
      </w:r>
      <w:r>
        <w:rPr>
          <w:rFonts w:ascii="Arial" w:eastAsia="Arial" w:hAnsi="Arial" w:cs="Arial"/>
          <w:color w:val="000000"/>
          <w:sz w:val="20"/>
          <w:u w:val="single"/>
        </w:rPr>
        <w:t xml:space="preserve">See </w:t>
      </w:r>
      <w:bookmarkStart w:id="5802" w:name="Bookmark_I5D0FTX62N1RVS0050000400"/>
      <w:bookmarkEnd w:id="5802"/>
      <w:r>
        <w:rPr>
          <w:rFonts w:ascii="Arial" w:eastAsia="Arial" w:hAnsi="Arial" w:cs="Arial"/>
          <w:color w:val="000000"/>
          <w:sz w:val="20"/>
          <w:u w:val="single"/>
        </w:rPr>
        <w:t>Fourte v. Faulkner Cnty., Ark</w:t>
      </w:r>
      <w:r>
        <w:rPr>
          <w:rFonts w:ascii="Arial" w:eastAsia="Arial" w:hAnsi="Arial" w:cs="Arial"/>
          <w:color w:val="000000"/>
          <w:sz w:val="20"/>
        </w:rPr>
        <w:t>., 746 F.3d 384, 387 (8th Cir. 2014) (noting two-part test for qualified immunity). The court concludes the state of the law in 2008 would  [**19] not have placed an officer on notice he must limit the use of his taser. I believe the law placed an officer on notice he could not continuously tase a suspect when safer alternatives were reasonably available to constrain De Boise in order to effectuate an arrest.</w:t>
      </w:r>
    </w:p>
    <w:p w14:paraId="3BF471DD" w14:textId="77777777" w:rsidR="002D0E71" w:rsidRDefault="00000000">
      <w:pPr>
        <w:pStyle w:val="Normal39"/>
        <w:widowControl w:val="0"/>
        <w:spacing w:before="200" w:line="260" w:lineRule="atLeast"/>
        <w:jc w:val="both"/>
      </w:pPr>
      <w:bookmarkStart w:id="5803" w:name="Bookmark_para_25_27"/>
      <w:bookmarkEnd w:id="5803"/>
      <w:r>
        <w:rPr>
          <w:rFonts w:ascii="Arial" w:eastAsia="Arial" w:hAnsi="Arial" w:cs="Arial"/>
          <w:color w:val="000000"/>
          <w:sz w:val="20"/>
        </w:rPr>
        <w:t>First, construing the facts in the light most favorable to De Boise, I would find a  [*900]  sufficient showing has been made to present to a jury whether the officers violated De Boise's constitutional rights by continuing to tase him until his eventual death. The use of a taser is not unlimited in scope when dealing with a suspect, even one who is actively resisting. De Boise disobeyed officers' orders and made some threatening moves. However, De Boise was not carrying a visible or concealed weapon, did not make advances at the officers, and was naked. A jury could conclude, with six armed officers at the scene, it was an unreasonable use of force to continuously tase De Boise rather than handcuff him during the time period De Boise was debilitated during and after each tase. Particularly because De Boise did not have shod feet or any other weapon, a jury could conclude the officers were unreasonable to not make further effort to  [**20] handcuff De Boise, even if he were swinging his arms or kicking his legs.</w:t>
      </w:r>
    </w:p>
    <w:p w14:paraId="2BC10174" w14:textId="77777777" w:rsidR="002D0E71" w:rsidRDefault="00000000">
      <w:pPr>
        <w:pStyle w:val="Normal39"/>
        <w:widowControl w:val="0"/>
        <w:spacing w:before="200" w:line="260" w:lineRule="atLeast"/>
        <w:jc w:val="both"/>
      </w:pPr>
      <w:bookmarkStart w:id="5804" w:name="Bookmark_para_26_26"/>
      <w:bookmarkStart w:id="5805" w:name="Bookmark_I34V71DMGH5000G4WGW005KT"/>
      <w:bookmarkStart w:id="5806" w:name="Bookmark_I5D0FTX62D6N870030000400"/>
      <w:bookmarkEnd w:id="5804"/>
      <w:bookmarkEnd w:id="5805"/>
      <w:bookmarkEnd w:id="5806"/>
      <w:r>
        <w:rPr>
          <w:rFonts w:ascii="Arial" w:eastAsia="Arial" w:hAnsi="Arial" w:cs="Arial"/>
          <w:color w:val="000000"/>
          <w:sz w:val="20"/>
        </w:rPr>
        <w:t xml:space="preserve">Second, I would find the officers were put on notice in 2008 that continuously tasing a suspect until his death was unlawful. </w:t>
      </w:r>
      <w:bookmarkStart w:id="5807" w:name="Bookmark_I34V71DMNM1000G4WGW003K7"/>
      <w:bookmarkStart w:id="5808" w:name="Bookmark_I34V71DN4C5000G4WGW005KX"/>
      <w:bookmarkStart w:id="5809" w:name="Bookmark_I5D0FTX62D6N870050000400"/>
      <w:bookmarkEnd w:id="5807"/>
      <w:bookmarkEnd w:id="5808"/>
      <w:bookmarkEnd w:id="5809"/>
      <w:r>
        <w:rPr>
          <w:rFonts w:ascii="Arial" w:eastAsia="Arial" w:hAnsi="Arial" w:cs="Arial"/>
          <w:color w:val="000000"/>
          <w:sz w:val="20"/>
        </w:rPr>
        <w:t xml:space="preserve">To determine whether an action was a clearly established constitutional violation, we look to the state of the law at the time of the incident, and the correct inquiry is whether it is clear to a reasonable officer that his conduct was unlawful. </w:t>
      </w:r>
      <w:bookmarkStart w:id="5810" w:name="Bookmark_I5D0FTX62D6N870020000400"/>
      <w:bookmarkEnd w:id="5810"/>
      <w:r>
        <w:rPr>
          <w:rFonts w:ascii="Arial" w:eastAsia="Arial" w:hAnsi="Arial" w:cs="Arial"/>
          <w:color w:val="000000"/>
          <w:sz w:val="20"/>
          <w:u w:val="single"/>
        </w:rPr>
        <w:t>Shekleton v. Eichenberger</w:t>
      </w:r>
      <w:r>
        <w:rPr>
          <w:rFonts w:ascii="Arial" w:eastAsia="Arial" w:hAnsi="Arial" w:cs="Arial"/>
          <w:color w:val="000000"/>
          <w:sz w:val="20"/>
        </w:rPr>
        <w:t xml:space="preserve">, 677 F.3d 361, 366-67 (8th Cir. 2012). </w:t>
      </w:r>
      <w:bookmarkStart w:id="5811" w:name="Bookmark_I833BYXV91T00002S12001RC"/>
      <w:bookmarkStart w:id="5812" w:name="Bookmark_I833BYXVD3400002S12001RF"/>
      <w:bookmarkStart w:id="5813" w:name="Bookmark_I5D0FTX62D6N870050000400_2"/>
      <w:bookmarkEnd w:id="5811"/>
      <w:bookmarkEnd w:id="5812"/>
      <w:bookmarkEnd w:id="5813"/>
      <w:r>
        <w:rPr>
          <w:rFonts w:ascii="Arial" w:eastAsia="Arial" w:hAnsi="Arial" w:cs="Arial"/>
          <w:color w:val="000000"/>
          <w:sz w:val="20"/>
        </w:rPr>
        <w:t xml:space="preserve">The test does not require "there be a case with materially or fundamentally similar facts," </w:t>
      </w:r>
      <w:bookmarkStart w:id="5814" w:name="Bookmark_I5D0FTX62D6N870040000400"/>
      <w:bookmarkEnd w:id="5814"/>
      <w:r>
        <w:rPr>
          <w:rFonts w:ascii="Arial" w:eastAsia="Arial" w:hAnsi="Arial" w:cs="Arial"/>
          <w:color w:val="000000"/>
          <w:sz w:val="20"/>
          <w:u w:val="single"/>
        </w:rPr>
        <w:t>Brown v. City of Golden Valley</w:t>
      </w:r>
      <w:r>
        <w:rPr>
          <w:rFonts w:ascii="Arial" w:eastAsia="Arial" w:hAnsi="Arial" w:cs="Arial"/>
          <w:color w:val="000000"/>
          <w:sz w:val="20"/>
        </w:rPr>
        <w:t xml:space="preserve">, 574 F.3d 491, 499 (8th Cir. 2009), but rather merely whether "'it would be clear to a reasonable officer that his conduct was unlawful in the situation he confronted.'" </w:t>
      </w:r>
      <w:r>
        <w:rPr>
          <w:rFonts w:ascii="Arial" w:eastAsia="Arial" w:hAnsi="Arial" w:cs="Arial"/>
          <w:color w:val="000000"/>
          <w:sz w:val="20"/>
          <w:u w:val="single"/>
        </w:rPr>
        <w:t>Id</w:t>
      </w:r>
      <w:r>
        <w:rPr>
          <w:rFonts w:ascii="Arial" w:eastAsia="Arial" w:hAnsi="Arial" w:cs="Arial"/>
          <w:color w:val="000000"/>
          <w:sz w:val="20"/>
        </w:rPr>
        <w:t xml:space="preserve">. (quoting </w:t>
      </w:r>
      <w:bookmarkStart w:id="5815" w:name="Bookmark_I5D0FTX628T5240010000400"/>
      <w:bookmarkEnd w:id="5815"/>
      <w:r>
        <w:rPr>
          <w:rFonts w:ascii="Arial" w:eastAsia="Arial" w:hAnsi="Arial" w:cs="Arial"/>
          <w:color w:val="000000"/>
          <w:sz w:val="20"/>
          <w:u w:val="single"/>
        </w:rPr>
        <w:t>Saucier v. Katz</w:t>
      </w:r>
      <w:r>
        <w:rPr>
          <w:rFonts w:ascii="Arial" w:eastAsia="Arial" w:hAnsi="Arial" w:cs="Arial"/>
          <w:color w:val="000000"/>
          <w:sz w:val="20"/>
        </w:rPr>
        <w:t>, 533 U.S. 194, 202, 121 S. Ct. 2151, 150 L. Ed. 2d 272 (2001)).</w:t>
      </w:r>
    </w:p>
    <w:p w14:paraId="266194A3" w14:textId="77777777" w:rsidR="002D0E71" w:rsidRDefault="00000000">
      <w:pPr>
        <w:pStyle w:val="Normal39"/>
        <w:widowControl w:val="0"/>
        <w:spacing w:before="200" w:line="260" w:lineRule="atLeast"/>
        <w:jc w:val="both"/>
      </w:pPr>
      <w:bookmarkStart w:id="5816" w:name="Bookmark_para_27_26"/>
      <w:bookmarkStart w:id="5817" w:name="Bookmark_I34V71DNGJW000G4WGW005M0"/>
      <w:bookmarkStart w:id="5818" w:name="Bookmark_I5D0FTX628T5240040000400"/>
      <w:bookmarkStart w:id="5819" w:name="Bookmark_I34V71DNNNR000G4WGW005M1"/>
      <w:bookmarkStart w:id="5820" w:name="Bookmark_I5D0FTX92HM6810010000400"/>
      <w:bookmarkEnd w:id="5816"/>
      <w:bookmarkEnd w:id="5817"/>
      <w:bookmarkEnd w:id="5818"/>
      <w:bookmarkEnd w:id="5819"/>
      <w:bookmarkEnd w:id="5820"/>
      <w:r>
        <w:rPr>
          <w:rFonts w:ascii="Arial" w:eastAsia="Arial" w:hAnsi="Arial" w:cs="Arial"/>
          <w:color w:val="000000"/>
          <w:sz w:val="20"/>
        </w:rPr>
        <w:t xml:space="preserve">"The right to be free from excessive force in the context of an arrest is clearly established under the Fourth Amendment's prohibition against unreasonable searches and seizures." </w:t>
      </w:r>
      <w:bookmarkStart w:id="5821" w:name="Bookmark_I5D0FTX628T5240030000400"/>
      <w:bookmarkEnd w:id="5821"/>
      <w:r>
        <w:rPr>
          <w:rFonts w:ascii="Arial" w:eastAsia="Arial" w:hAnsi="Arial" w:cs="Arial"/>
          <w:color w:val="000000"/>
          <w:sz w:val="20"/>
          <w:u w:val="single"/>
        </w:rPr>
        <w:t>Brown</w:t>
      </w:r>
      <w:r>
        <w:rPr>
          <w:rFonts w:ascii="Arial" w:eastAsia="Arial" w:hAnsi="Arial" w:cs="Arial"/>
          <w:color w:val="000000"/>
          <w:sz w:val="20"/>
        </w:rPr>
        <w:t xml:space="preserve">, 574 F.3d at 499. A reasonable officer would know only reasonable force can be used to effect an arrest. </w:t>
      </w:r>
      <w:bookmarkStart w:id="5822" w:name="Bookmark_I34V71DNVSK000G4WGW005M2"/>
      <w:bookmarkStart w:id="5823" w:name="Bookmark_I5D0FTX92HM6810030000400"/>
      <w:bookmarkEnd w:id="5822"/>
      <w:bookmarkEnd w:id="5823"/>
      <w:r>
        <w:rPr>
          <w:rFonts w:ascii="Arial" w:eastAsia="Arial" w:hAnsi="Arial" w:cs="Arial"/>
          <w:color w:val="000000"/>
          <w:sz w:val="20"/>
        </w:rPr>
        <w:t xml:space="preserve">Although tasing a suspect can be reasonable force  [**21] in certain circumstances, tasing rises to a "significant level of force." </w:t>
      </w:r>
      <w:bookmarkStart w:id="5824" w:name="Bookmark_I5D0FTX628T5240050000400"/>
      <w:bookmarkEnd w:id="5824"/>
      <w:r>
        <w:rPr>
          <w:rFonts w:ascii="Arial" w:eastAsia="Arial" w:hAnsi="Arial" w:cs="Arial"/>
          <w:color w:val="000000"/>
          <w:sz w:val="20"/>
          <w:u w:val="single"/>
        </w:rPr>
        <w:t>McKenney v. Harrison</w:t>
      </w:r>
      <w:r>
        <w:rPr>
          <w:rFonts w:ascii="Arial" w:eastAsia="Arial" w:hAnsi="Arial" w:cs="Arial"/>
          <w:color w:val="000000"/>
          <w:sz w:val="20"/>
        </w:rPr>
        <w:t xml:space="preserve">, 635 F.3d 354, 364 (8th Cir. 2011) (Murphy, J., concurring). </w:t>
      </w:r>
      <w:bookmarkStart w:id="5825" w:name="Bookmark_I5D0FTX92HM6810030000400_2"/>
      <w:bookmarkEnd w:id="5825"/>
      <w:r>
        <w:rPr>
          <w:rFonts w:ascii="Arial" w:eastAsia="Arial" w:hAnsi="Arial" w:cs="Arial"/>
          <w:color w:val="000000"/>
          <w:sz w:val="20"/>
        </w:rPr>
        <w:t xml:space="preserve">Even without a case decided on materially or fundamentally similar facts, a reasonable officer in 2008 would have known "the use of tasers requires sufficient justification for their use to be reasonable." </w:t>
      </w:r>
      <w:r>
        <w:rPr>
          <w:rFonts w:ascii="Arial" w:eastAsia="Arial" w:hAnsi="Arial" w:cs="Arial"/>
          <w:color w:val="000000"/>
          <w:sz w:val="20"/>
          <w:u w:val="single"/>
        </w:rPr>
        <w:t>Id</w:t>
      </w:r>
      <w:r>
        <w:rPr>
          <w:rFonts w:ascii="Arial" w:eastAsia="Arial" w:hAnsi="Arial" w:cs="Arial"/>
          <w:color w:val="000000"/>
          <w:sz w:val="20"/>
        </w:rPr>
        <w:t xml:space="preserve">. There are, and long have been, limits on officers tasing suspects. In </w:t>
      </w:r>
      <w:bookmarkStart w:id="5826" w:name="Bookmark_I5D0FTX92HM6810020000400"/>
      <w:bookmarkEnd w:id="5826"/>
      <w:r>
        <w:rPr>
          <w:rFonts w:ascii="Arial" w:eastAsia="Arial" w:hAnsi="Arial" w:cs="Arial"/>
          <w:color w:val="000000"/>
          <w:sz w:val="20"/>
          <w:u w:val="single"/>
        </w:rPr>
        <w:t>Hickey v. Reeder</w:t>
      </w:r>
      <w:r>
        <w:rPr>
          <w:rFonts w:ascii="Arial" w:eastAsia="Arial" w:hAnsi="Arial" w:cs="Arial"/>
          <w:color w:val="000000"/>
          <w:sz w:val="20"/>
        </w:rPr>
        <w:t xml:space="preserve">, 12 F.3d 754, 757 (8th Cir. 1993), we found an Eighth Amendment violation where a jailor applied a stun gun, and there were six or seven officers present, but the officers failed to "take advantage of [the inmate's] incapacitation to neutralize any perceived threat to their safety." We also noted, as relevant to the Eighth Amendment analysis, the officers failed to "remove, isolate, or restrain" the inmate. </w:t>
      </w:r>
      <w:r>
        <w:rPr>
          <w:rFonts w:ascii="Arial" w:eastAsia="Arial" w:hAnsi="Arial" w:cs="Arial"/>
          <w:color w:val="000000"/>
          <w:sz w:val="20"/>
          <w:u w:val="single"/>
        </w:rPr>
        <w:t>Id</w:t>
      </w:r>
      <w:r>
        <w:rPr>
          <w:rFonts w:ascii="Arial" w:eastAsia="Arial" w:hAnsi="Arial" w:cs="Arial"/>
          <w:color w:val="000000"/>
          <w:sz w:val="20"/>
        </w:rPr>
        <w:t>. In this case, the officers were on notice they should have attempted to handcuff De Boise as a safer alternative to tasing De Boise with fifty seconds of electrical shock in just over two minutes of time. It would be clear to a reasonable officer that failing to seize De Boise with reasonable force was unlawful.</w:t>
      </w:r>
    </w:p>
    <w:p w14:paraId="088FEE5C" w14:textId="77777777" w:rsidR="002D0E71" w:rsidRDefault="00000000">
      <w:pPr>
        <w:pStyle w:val="Normal39"/>
        <w:widowControl w:val="0"/>
        <w:spacing w:before="200" w:line="260" w:lineRule="atLeast"/>
        <w:jc w:val="both"/>
      </w:pPr>
      <w:bookmarkStart w:id="5827" w:name="Bookmark_para_28_23"/>
      <w:bookmarkEnd w:id="5827"/>
      <w:r>
        <w:rPr>
          <w:rFonts w:ascii="Arial" w:eastAsia="Arial" w:hAnsi="Arial" w:cs="Arial"/>
          <w:color w:val="000000"/>
          <w:sz w:val="20"/>
        </w:rPr>
        <w:t>Because the officers'  [**22] actions are not protected by qualified immunity, I would remand this case for trial where a jury can determine whether it was reasonable the officers continued to tase De Boise until his death and seemingly without taking the available opportunities to handcuff and restrain De Boise.</w:t>
      </w:r>
    </w:p>
    <w:p w14:paraId="14B7FB4B" w14:textId="77777777" w:rsidR="002D0E71" w:rsidRDefault="002D0E71">
      <w:pPr>
        <w:pStyle w:val="Normal39"/>
      </w:pPr>
    </w:p>
    <w:p w14:paraId="713024BD" w14:textId="2BC60F99" w:rsidR="002D0E71" w:rsidRDefault="00000000">
      <w:pPr>
        <w:pStyle w:val="Normal39"/>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43232" behindDoc="0" locked="0" layoutInCell="1" allowOverlap="1" wp14:anchorId="69A7CE70" wp14:editId="58E6DD56">
                <wp:simplePos x="0" y="0"/>
                <wp:positionH relativeFrom="column">
                  <wp:posOffset>0</wp:posOffset>
                </wp:positionH>
                <wp:positionV relativeFrom="paragraph">
                  <wp:posOffset>127000</wp:posOffset>
                </wp:positionV>
                <wp:extent cx="6502400" cy="0"/>
                <wp:effectExtent l="9525" t="12700" r="12700" b="6350"/>
                <wp:wrapNone/>
                <wp:docPr id="1472818973"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07BAFA" id="Line 89"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EFE6536" w14:textId="77777777" w:rsidR="002D0E71" w:rsidRDefault="002D0E71">
      <w:pPr>
        <w:pStyle w:val="Normal40"/>
        <w:sectPr w:rsidR="002D0E71">
          <w:headerReference w:type="even" r:id="rId251"/>
          <w:headerReference w:type="default" r:id="rId252"/>
          <w:footerReference w:type="even" r:id="rId253"/>
          <w:footerReference w:type="default" r:id="rId254"/>
          <w:headerReference w:type="first" r:id="rId255"/>
          <w:footerReference w:type="first" r:id="rId256"/>
          <w:pgSz w:w="12240" w:h="15840"/>
          <w:pgMar w:top="840" w:right="1000" w:bottom="840" w:left="1000" w:header="400" w:footer="400" w:gutter="0"/>
          <w:cols w:space="720"/>
          <w:titlePg/>
        </w:sectPr>
      </w:pPr>
    </w:p>
    <w:p w14:paraId="607DC0E0" w14:textId="77777777" w:rsidR="002D0E71" w:rsidRDefault="002D0E71">
      <w:pPr>
        <w:pStyle w:val="Normal40"/>
      </w:pPr>
    </w:p>
    <w:p w14:paraId="535D3FAB" w14:textId="77777777" w:rsidR="002D0E71" w:rsidRDefault="00000000">
      <w:pPr>
        <w:pStyle w:val="Heading139"/>
        <w:keepNext w:val="0"/>
        <w:widowControl w:val="0"/>
        <w:spacing w:after="200" w:line="340" w:lineRule="atLeast"/>
        <w:jc w:val="center"/>
      </w:pPr>
      <w:r>
        <w:rPr>
          <w:rFonts w:eastAsia="Arial"/>
          <w:color w:val="000000"/>
          <w:sz w:val="28"/>
        </w:rPr>
        <w:t>Cohen v. City of Culver City</w:t>
      </w:r>
    </w:p>
    <w:p w14:paraId="3B606B59" w14:textId="77777777" w:rsidR="002D0E71" w:rsidRDefault="00000000">
      <w:pPr>
        <w:pStyle w:val="Normal40"/>
        <w:widowControl w:val="0"/>
        <w:spacing w:before="120" w:line="260" w:lineRule="atLeast"/>
        <w:jc w:val="center"/>
      </w:pPr>
      <w:r>
        <w:rPr>
          <w:rFonts w:ascii="Arial" w:eastAsia="Arial" w:hAnsi="Arial" w:cs="Arial"/>
          <w:color w:val="000000"/>
          <w:sz w:val="20"/>
        </w:rPr>
        <w:t>United States Court of Appeals for the Ninth Circuit</w:t>
      </w:r>
    </w:p>
    <w:p w14:paraId="7D030234" w14:textId="77777777" w:rsidR="002D0E71" w:rsidRDefault="00000000">
      <w:pPr>
        <w:pStyle w:val="Normal40"/>
        <w:widowControl w:val="0"/>
        <w:spacing w:before="120" w:line="260" w:lineRule="atLeast"/>
        <w:jc w:val="center"/>
      </w:pPr>
      <w:r>
        <w:rPr>
          <w:rFonts w:ascii="Arial" w:eastAsia="Arial" w:hAnsi="Arial" w:cs="Arial"/>
          <w:color w:val="000000"/>
          <w:sz w:val="20"/>
        </w:rPr>
        <w:t>December 2, 2013, Argued and Submitted, Pasadena, California; June 6, 2014, Filed</w:t>
      </w:r>
    </w:p>
    <w:p w14:paraId="77789307" w14:textId="77777777" w:rsidR="002D0E71" w:rsidRDefault="00000000">
      <w:pPr>
        <w:pStyle w:val="Normal40"/>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13-55079</w:t>
      </w:r>
    </w:p>
    <w:p w14:paraId="67AD6369" w14:textId="77777777" w:rsidR="002D0E71" w:rsidRDefault="002D0E71">
      <w:pPr>
        <w:pStyle w:val="Normal40"/>
        <w:widowControl w:val="0"/>
        <w:spacing w:line="240" w:lineRule="atLeast"/>
        <w:jc w:val="both"/>
      </w:pPr>
      <w:bookmarkStart w:id="5828" w:name="Bookmark_41"/>
      <w:bookmarkEnd w:id="5828"/>
    </w:p>
    <w:p w14:paraId="01CB9455" w14:textId="77777777" w:rsidR="002D0E71" w:rsidRDefault="00000000">
      <w:pPr>
        <w:pStyle w:val="Normal40"/>
        <w:widowControl w:val="0"/>
        <w:spacing w:before="200" w:line="240" w:lineRule="atLeast"/>
      </w:pPr>
      <w:bookmarkStart w:id="5829" w:name="Reporter_39"/>
      <w:bookmarkEnd w:id="5829"/>
      <w:r>
        <w:rPr>
          <w:rFonts w:ascii="Arial" w:eastAsia="Arial" w:hAnsi="Arial" w:cs="Arial"/>
          <w:b/>
          <w:color w:val="000000"/>
          <w:sz w:val="18"/>
        </w:rPr>
        <w:t>Reporter</w:t>
      </w:r>
    </w:p>
    <w:p w14:paraId="7A06248B" w14:textId="77777777" w:rsidR="002D0E71" w:rsidRDefault="00000000">
      <w:pPr>
        <w:pStyle w:val="Normal40"/>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754 F.3d 690 *; 2014 U.S. App. LEXIS 10555 **; 29 Am. Disabilities Cas. (BNA) 1701; 2014 WL 2547391</w:t>
      </w:r>
    </w:p>
    <w:p w14:paraId="58B4D405" w14:textId="77777777" w:rsidR="002D0E71" w:rsidRDefault="00000000">
      <w:pPr>
        <w:pStyle w:val="Normal40"/>
        <w:widowControl w:val="0"/>
        <w:spacing w:before="120" w:line="260" w:lineRule="atLeast"/>
      </w:pPr>
      <w:r>
        <w:rPr>
          <w:rFonts w:ascii="Arial" w:eastAsia="Arial" w:hAnsi="Arial" w:cs="Arial"/>
          <w:color w:val="000000"/>
          <w:sz w:val="20"/>
        </w:rPr>
        <w:t>WILLIAM C. COHEN, an individual, Plaintiff-Appellant, v. CITY OF CULVER CITY; EXCHANGE CLUB OF CULVER CITY, a California corporation, Defendants-Appellees.</w:t>
      </w:r>
    </w:p>
    <w:p w14:paraId="2C36A766" w14:textId="77777777" w:rsidR="002D0E71" w:rsidRDefault="00000000">
      <w:pPr>
        <w:pStyle w:val="Normal40"/>
        <w:widowControl w:val="0"/>
        <w:spacing w:before="240" w:line="260" w:lineRule="atLeast"/>
        <w:jc w:val="both"/>
      </w:pPr>
      <w:bookmarkStart w:id="5830" w:name="Prior_History_38"/>
      <w:bookmarkEnd w:id="5830"/>
      <w:r>
        <w:rPr>
          <w:rFonts w:ascii="Arial" w:eastAsia="Arial" w:hAnsi="Arial" w:cs="Arial"/>
          <w:b/>
          <w:color w:val="000000"/>
          <w:sz w:val="20"/>
        </w:rPr>
        <w:t>Prior History:</w:t>
      </w:r>
      <w:r>
        <w:rPr>
          <w:rFonts w:ascii="Arial" w:eastAsia="Arial" w:hAnsi="Arial" w:cs="Arial"/>
          <w:color w:val="000000"/>
          <w:sz w:val="20"/>
        </w:rPr>
        <w:t>  [**1] </w:t>
      </w:r>
      <w:bookmarkStart w:id="5831" w:name="Bookmark_para_1_39"/>
      <w:bookmarkEnd w:id="5831"/>
      <w:r>
        <w:rPr>
          <w:rFonts w:ascii="Arial" w:eastAsia="Arial" w:hAnsi="Arial" w:cs="Arial"/>
          <w:color w:val="000000"/>
          <w:sz w:val="20"/>
        </w:rPr>
        <w:t>Appeal from the United States District Court for the Central District of California. D.C. No. 2:12-cv-00156-RGK-PJW. R. Gary Klausner, District Judge, Presiding.</w:t>
      </w:r>
    </w:p>
    <w:p w14:paraId="47C0B6E4" w14:textId="77777777" w:rsidR="002D0E71" w:rsidRDefault="00000000">
      <w:pPr>
        <w:pStyle w:val="Normal40"/>
        <w:widowControl w:val="0"/>
        <w:spacing w:before="120" w:line="260" w:lineRule="atLeast"/>
      </w:pPr>
      <w:r>
        <w:rPr>
          <w:rFonts w:ascii="Arial" w:eastAsia="Arial" w:hAnsi="Arial" w:cs="Arial"/>
          <w:color w:val="000000"/>
          <w:sz w:val="20"/>
        </w:rPr>
        <w:t>Cohen v. City of Culver City, 2012 U.S. Dist. LEXIS 87906 (C.D. Cal., June 25, 2012)</w:t>
      </w:r>
    </w:p>
    <w:p w14:paraId="47352391" w14:textId="77777777" w:rsidR="002D0E71" w:rsidRDefault="00000000">
      <w:pPr>
        <w:pStyle w:val="Normal40"/>
        <w:widowControl w:val="0"/>
        <w:spacing w:before="240" w:line="260" w:lineRule="atLeast"/>
        <w:jc w:val="both"/>
      </w:pPr>
      <w:bookmarkStart w:id="5832" w:name="Disposition_18"/>
      <w:bookmarkEnd w:id="5832"/>
      <w:r>
        <w:rPr>
          <w:rFonts w:ascii="Arial" w:eastAsia="Arial" w:hAnsi="Arial" w:cs="Arial"/>
          <w:b/>
          <w:color w:val="000000"/>
          <w:sz w:val="20"/>
        </w:rPr>
        <w:t>Disposition:</w:t>
      </w:r>
      <w:r>
        <w:rPr>
          <w:rFonts w:ascii="Arial" w:eastAsia="Arial" w:hAnsi="Arial" w:cs="Arial"/>
          <w:color w:val="000000"/>
          <w:sz w:val="20"/>
        </w:rPr>
        <w:t> </w:t>
      </w:r>
      <w:bookmarkStart w:id="5833" w:name="Bookmark_clspara_4_16"/>
      <w:bookmarkEnd w:id="5833"/>
      <w:r>
        <w:rPr>
          <w:rFonts w:ascii="Arial" w:eastAsia="Arial" w:hAnsi="Arial" w:cs="Arial"/>
          <w:color w:val="000000"/>
          <w:sz w:val="20"/>
        </w:rPr>
        <w:t>AFFIRMED IN PART, REVERSED IN PART, AND REMANDED.</w:t>
      </w:r>
    </w:p>
    <w:p w14:paraId="5CA24A3D" w14:textId="77777777" w:rsidR="002D0E71" w:rsidRDefault="00000000">
      <w:pPr>
        <w:pStyle w:val="Normal40"/>
        <w:widowControl w:val="0"/>
        <w:spacing w:before="240" w:line="260" w:lineRule="atLeast"/>
      </w:pPr>
      <w:bookmarkStart w:id="5834" w:name="Summary_7"/>
      <w:bookmarkEnd w:id="5834"/>
      <w:r>
        <w:rPr>
          <w:rFonts w:ascii="Arial" w:eastAsia="Arial" w:hAnsi="Arial" w:cs="Arial"/>
          <w:b/>
          <w:color w:val="000000"/>
          <w:sz w:val="20"/>
        </w:rPr>
        <w:t>Summary:</w:t>
      </w:r>
    </w:p>
    <w:p w14:paraId="5906FAD3" w14:textId="77777777" w:rsidR="002D0E71" w:rsidRDefault="00000000">
      <w:pPr>
        <w:pStyle w:val="Normal40"/>
        <w:widowControl w:val="0"/>
        <w:spacing w:before="240" w:line="260" w:lineRule="atLeast"/>
        <w:jc w:val="both"/>
      </w:pPr>
      <w:bookmarkStart w:id="5835" w:name="Bookmark_clspara_5_7"/>
      <w:bookmarkEnd w:id="5835"/>
      <w:r>
        <w:rPr>
          <w:rFonts w:ascii="Arial" w:eastAsia="Arial" w:hAnsi="Arial" w:cs="Arial"/>
          <w:b/>
          <w:color w:val="000000"/>
          <w:sz w:val="20"/>
        </w:rPr>
        <w:t>SUMMARY</w:t>
      </w:r>
      <w:r>
        <w:rPr>
          <w:rFonts w:ascii="Arial" w:eastAsia="Arial" w:hAnsi="Arial" w:cs="Arial"/>
          <w:vertAlign w:val="superscript"/>
        </w:rPr>
        <w:footnoteReference w:customMarkFollows="1" w:id="238"/>
        <w:t>*</w:t>
      </w:r>
    </w:p>
    <w:p w14:paraId="7BD1435F" w14:textId="77777777" w:rsidR="002D0E71" w:rsidRDefault="00000000">
      <w:pPr>
        <w:pStyle w:val="Normal40"/>
        <w:widowControl w:val="0"/>
        <w:spacing w:before="240" w:line="260" w:lineRule="atLeast"/>
        <w:jc w:val="both"/>
      </w:pPr>
      <w:bookmarkStart w:id="5837" w:name="Bookmark_clspara_6_7"/>
      <w:bookmarkEnd w:id="5837"/>
      <w:r>
        <w:rPr>
          <w:rFonts w:ascii="Arial" w:eastAsia="Arial" w:hAnsi="Arial" w:cs="Arial"/>
          <w:b/>
          <w:color w:val="000000"/>
          <w:sz w:val="20"/>
        </w:rPr>
        <w:t>Americans with Disabilities Act</w:t>
      </w:r>
    </w:p>
    <w:p w14:paraId="261281BC" w14:textId="77777777" w:rsidR="002D0E71" w:rsidRDefault="00000000">
      <w:pPr>
        <w:pStyle w:val="Normal40"/>
        <w:widowControl w:val="0"/>
        <w:spacing w:before="240" w:line="260" w:lineRule="atLeast"/>
        <w:jc w:val="both"/>
      </w:pPr>
      <w:bookmarkStart w:id="5838" w:name="Bookmark_clspara_7_7"/>
      <w:bookmarkEnd w:id="5838"/>
      <w:r>
        <w:rPr>
          <w:rFonts w:ascii="Arial" w:eastAsia="Arial" w:hAnsi="Arial" w:cs="Arial"/>
          <w:color w:val="000000"/>
          <w:sz w:val="20"/>
        </w:rPr>
        <w:t>The panel affirmed in part and reversed in part the district court's summary judgment in favor of the defendants on claims under Title II the Americans with Disabilities Act and related California statutes.</w:t>
      </w:r>
    </w:p>
    <w:p w14:paraId="2F07C444" w14:textId="77777777" w:rsidR="002D0E71" w:rsidRDefault="00000000">
      <w:pPr>
        <w:pStyle w:val="Normal40"/>
        <w:widowControl w:val="0"/>
        <w:spacing w:before="240" w:line="260" w:lineRule="atLeast"/>
        <w:jc w:val="both"/>
      </w:pPr>
      <w:bookmarkStart w:id="5839" w:name="Bookmark_clspara_8_7"/>
      <w:bookmarkEnd w:id="5839"/>
      <w:r>
        <w:rPr>
          <w:rFonts w:ascii="Arial" w:eastAsia="Arial" w:hAnsi="Arial" w:cs="Arial"/>
          <w:color w:val="000000"/>
          <w:sz w:val="20"/>
        </w:rPr>
        <w:t>The plaintiff, an elderly man suffering from dementia who required a cane for mobility, was injured when he tripped and fell as he tried to walk around a car show vendor's display blocking a curb ramp that provided disabled access to a sidewalk in Culver City, California. The plaintiff claimed that the City violated its obligations under Title II of the ADA by allowing the vendor's display to completely block the curb ramp, impeding disabled access to the public sidewalk, and by failing to post signs identifying alternative disabled access routes.</w:t>
      </w:r>
    </w:p>
    <w:p w14:paraId="58013CAB" w14:textId="77777777" w:rsidR="002D0E71" w:rsidRDefault="00000000">
      <w:pPr>
        <w:pStyle w:val="Normal40"/>
        <w:widowControl w:val="0"/>
        <w:spacing w:before="240" w:line="260" w:lineRule="atLeast"/>
        <w:jc w:val="both"/>
      </w:pPr>
      <w:bookmarkStart w:id="5840" w:name="Bookmark_clspara_9_4"/>
      <w:bookmarkEnd w:id="5840"/>
      <w:r>
        <w:rPr>
          <w:rFonts w:ascii="Arial" w:eastAsia="Arial" w:hAnsi="Arial" w:cs="Arial"/>
          <w:color w:val="000000"/>
          <w:sz w:val="20"/>
        </w:rPr>
        <w:t>The panel held that there was a genuine dispute of material  [**2] fact as to whether the City denied the plaintiff access to the sidewalk by reason of his disability. It held that the district court erred in reasoning that because the plaintiff could have accessed the sidewalk by taking a "marginally longer route" to a different curb ramp, he failed to establish that he was denied access to the sidewalk, because this standard applies when a public entity is modifying existing facilities to achieve ADA compliance under 28 C.F.R. § 35.150. Here, by contrast, the City was in compliance with the ADA but allowed elimination of the disabled access it had built. The panel concluded that the City's conduct was more analogous to altering its sidewalks for reasons unrelated to ADA compliance, as contemplated by 28 C.F.R. § 35.151.</w:t>
      </w:r>
    </w:p>
    <w:p w14:paraId="42814F67" w14:textId="77777777" w:rsidR="002D0E71" w:rsidRDefault="00000000">
      <w:pPr>
        <w:pStyle w:val="Normal40"/>
        <w:widowControl w:val="0"/>
        <w:spacing w:before="240" w:line="260" w:lineRule="atLeast"/>
        <w:jc w:val="both"/>
      </w:pPr>
      <w:bookmarkStart w:id="5841" w:name="Bookmark_clspara_10_4"/>
      <w:bookmarkEnd w:id="5841"/>
      <w:r>
        <w:rPr>
          <w:rFonts w:ascii="Arial" w:eastAsia="Arial" w:hAnsi="Arial" w:cs="Arial"/>
          <w:color w:val="000000"/>
          <w:sz w:val="20"/>
        </w:rPr>
        <w:t>The panel reversed the judgment of the district court as to the plaintiff's claims against the City. It addressed claims against another defendant in an accompanying memorandum disposition.</w:t>
      </w:r>
    </w:p>
    <w:p w14:paraId="75CFEFBE" w14:textId="77777777" w:rsidR="002D0E71" w:rsidRDefault="00000000">
      <w:pPr>
        <w:pStyle w:val="Normal40"/>
        <w:widowControl w:val="0"/>
        <w:spacing w:before="240" w:line="260" w:lineRule="atLeast"/>
        <w:jc w:val="both"/>
      </w:pPr>
      <w:bookmarkStart w:id="5842" w:name="Bookmark_clspara_11_2"/>
      <w:bookmarkEnd w:id="5842"/>
      <w:r>
        <w:rPr>
          <w:rFonts w:ascii="Arial" w:eastAsia="Arial" w:hAnsi="Arial" w:cs="Arial"/>
          <w:color w:val="000000"/>
          <w:sz w:val="20"/>
        </w:rPr>
        <w:t>Judge Rawlinson dissented from the portion of the majority's opinion reversing the district court's summary judgment in favor of the City on the plaintiff's claims under the ADA and related California statutes. She agreed with the district court  [**3] that there was no showing that the plaintiff was excluded from accessing the public sidewalk because two available access routes existed when viewing the sidewalk in its entirety.</w:t>
      </w:r>
    </w:p>
    <w:p w14:paraId="452D373F" w14:textId="77777777" w:rsidR="002D0E71" w:rsidRDefault="00000000">
      <w:pPr>
        <w:pStyle w:val="Normal40"/>
        <w:widowControl w:val="0"/>
        <w:spacing w:before="240" w:line="260" w:lineRule="atLeast"/>
      </w:pPr>
      <w:bookmarkStart w:id="5843" w:name="Counsel_39"/>
      <w:bookmarkEnd w:id="5843"/>
      <w:r>
        <w:rPr>
          <w:rFonts w:ascii="Arial" w:eastAsia="Arial" w:hAnsi="Arial" w:cs="Arial"/>
          <w:b/>
          <w:color w:val="000000"/>
          <w:sz w:val="20"/>
        </w:rPr>
        <w:t>Counsel:</w:t>
      </w:r>
      <w:r>
        <w:rPr>
          <w:rFonts w:ascii="Arial" w:eastAsia="Arial" w:hAnsi="Arial" w:cs="Arial"/>
          <w:color w:val="000000"/>
          <w:sz w:val="20"/>
        </w:rPr>
        <w:t> Doreen L. Kushner (argued), Law Office of Doreen L. Kushner, Huntington Beach, California, for Plaintiff-Appellant.</w:t>
      </w:r>
    </w:p>
    <w:p w14:paraId="72AD4307" w14:textId="77777777" w:rsidR="002D0E71" w:rsidRDefault="00000000">
      <w:pPr>
        <w:pStyle w:val="Normal40"/>
        <w:widowControl w:val="0"/>
        <w:spacing w:before="120" w:line="260" w:lineRule="atLeast"/>
      </w:pPr>
      <w:r>
        <w:rPr>
          <w:rFonts w:ascii="Arial" w:eastAsia="Arial" w:hAnsi="Arial" w:cs="Arial"/>
          <w:color w:val="000000"/>
          <w:sz w:val="20"/>
        </w:rPr>
        <w:t>Byron Michael Purcell (argued) and Rupert Byrdsong, Ivie, McNeill &amp; Wyatt, Los Angeles, California, for Defendants-Appellees.</w:t>
      </w:r>
    </w:p>
    <w:p w14:paraId="7BF146E5" w14:textId="77777777" w:rsidR="002D0E71" w:rsidRDefault="00000000">
      <w:pPr>
        <w:pStyle w:val="Normal40"/>
        <w:widowControl w:val="0"/>
        <w:spacing w:before="240" w:line="260" w:lineRule="atLeast"/>
      </w:pPr>
      <w:bookmarkStart w:id="5844" w:name="Judges_39"/>
      <w:bookmarkEnd w:id="5844"/>
      <w:r>
        <w:rPr>
          <w:rFonts w:ascii="Arial" w:eastAsia="Arial" w:hAnsi="Arial" w:cs="Arial"/>
          <w:b/>
          <w:color w:val="000000"/>
          <w:sz w:val="20"/>
        </w:rPr>
        <w:t>Judges:</w:t>
      </w:r>
      <w:r>
        <w:rPr>
          <w:rFonts w:ascii="Arial" w:eastAsia="Arial" w:hAnsi="Arial" w:cs="Arial"/>
          <w:color w:val="000000"/>
          <w:sz w:val="20"/>
        </w:rPr>
        <w:t> Before: Dorothy W. Nelson, Kim McLane Wardlaw, and Johnnie B. Rawlinson, Circuit Judges. Opinion by Judge Wardlaw; Dissent by Judge Rawlinson.</w:t>
      </w:r>
    </w:p>
    <w:p w14:paraId="7239B9FF" w14:textId="77777777" w:rsidR="002D0E71" w:rsidRDefault="00000000">
      <w:pPr>
        <w:pStyle w:val="Normal40"/>
        <w:widowControl w:val="0"/>
        <w:spacing w:before="240" w:line="260" w:lineRule="atLeast"/>
      </w:pPr>
      <w:bookmarkStart w:id="5845" w:name="Opinion_by_28"/>
      <w:bookmarkEnd w:id="5845"/>
      <w:r>
        <w:rPr>
          <w:rFonts w:ascii="Arial" w:eastAsia="Arial" w:hAnsi="Arial" w:cs="Arial"/>
          <w:b/>
          <w:color w:val="000000"/>
          <w:sz w:val="20"/>
        </w:rPr>
        <w:t>Opinion by:</w:t>
      </w:r>
      <w:r>
        <w:rPr>
          <w:rFonts w:ascii="Arial" w:eastAsia="Arial" w:hAnsi="Arial" w:cs="Arial"/>
          <w:color w:val="000000"/>
          <w:sz w:val="20"/>
        </w:rPr>
        <w:t> Kim McLane Wardlaw</w:t>
      </w:r>
    </w:p>
    <w:p w14:paraId="2BA160C0" w14:textId="77777777" w:rsidR="002D0E71" w:rsidRDefault="00000000">
      <w:pPr>
        <w:pStyle w:val="Normal40"/>
        <w:keepNext/>
        <w:widowControl w:val="0"/>
        <w:spacing w:before="240" w:line="340" w:lineRule="atLeast"/>
      </w:pPr>
      <w:bookmarkStart w:id="5846" w:name="Opinion_39"/>
      <w:bookmarkEnd w:id="5846"/>
      <w:r>
        <w:rPr>
          <w:rFonts w:ascii="Arial" w:eastAsia="Arial" w:hAnsi="Arial" w:cs="Arial"/>
          <w:b/>
          <w:color w:val="000000"/>
          <w:sz w:val="28"/>
        </w:rPr>
        <w:t>Opinion</w:t>
      </w:r>
    </w:p>
    <w:p w14:paraId="69097BFE" w14:textId="40C7C4CA" w:rsidR="002D0E71" w:rsidRDefault="002939DF">
      <w:pPr>
        <w:pStyle w:val="Normal40"/>
        <w:spacing w:line="60" w:lineRule="exact"/>
      </w:pPr>
      <w:r>
        <w:rPr>
          <w:noProof/>
        </w:rPr>
        <mc:AlternateContent>
          <mc:Choice Requires="wps">
            <w:drawing>
              <wp:anchor distT="0" distB="0" distL="114300" distR="114300" simplePos="0" relativeHeight="251744256" behindDoc="0" locked="0" layoutInCell="1" allowOverlap="1" wp14:anchorId="65A786C3" wp14:editId="08C9CCF0">
                <wp:simplePos x="0" y="0"/>
                <wp:positionH relativeFrom="column">
                  <wp:posOffset>0</wp:posOffset>
                </wp:positionH>
                <wp:positionV relativeFrom="paragraph">
                  <wp:posOffset>25400</wp:posOffset>
                </wp:positionV>
                <wp:extent cx="3187700" cy="0"/>
                <wp:effectExtent l="19050" t="15875" r="12700" b="12700"/>
                <wp:wrapTopAndBottom/>
                <wp:docPr id="344635158"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E0E5D" id="Line 90"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2BE69BBD" w14:textId="77777777" w:rsidR="002D0E71" w:rsidRDefault="002D0E71">
      <w:pPr>
        <w:pStyle w:val="Normal40"/>
      </w:pPr>
    </w:p>
    <w:p w14:paraId="48F15AAE" w14:textId="77777777" w:rsidR="002D0E71" w:rsidRDefault="00000000">
      <w:pPr>
        <w:pStyle w:val="Normal40"/>
        <w:widowControl w:val="0"/>
        <w:spacing w:before="200" w:line="260" w:lineRule="atLeast"/>
        <w:jc w:val="both"/>
      </w:pPr>
      <w:bookmarkStart w:id="5847" w:name="Bookmark_para_2_39"/>
      <w:bookmarkEnd w:id="5847"/>
      <w:r>
        <w:rPr>
          <w:rFonts w:ascii="Arial" w:eastAsia="Arial" w:hAnsi="Arial" w:cs="Arial"/>
          <w:color w:val="000000"/>
          <w:sz w:val="20"/>
        </w:rPr>
        <w:t> [*693]  WARDLAW, Circuit Judge:</w:t>
      </w:r>
    </w:p>
    <w:p w14:paraId="6E30A7D0" w14:textId="77777777" w:rsidR="002D0E71" w:rsidRDefault="00000000">
      <w:pPr>
        <w:pStyle w:val="Normal40"/>
        <w:widowControl w:val="0"/>
        <w:spacing w:before="200" w:line="260" w:lineRule="atLeast"/>
        <w:jc w:val="both"/>
      </w:pPr>
      <w:bookmarkStart w:id="5848" w:name="Bookmark_para_3_39"/>
      <w:bookmarkEnd w:id="5848"/>
      <w:r>
        <w:rPr>
          <w:rFonts w:ascii="Arial" w:eastAsia="Arial" w:hAnsi="Arial" w:cs="Arial"/>
          <w:color w:val="000000"/>
          <w:sz w:val="20"/>
        </w:rPr>
        <w:t>William Cohen, an elderly man suffering from dementia who requires a cane for mobility, walked through an outdoor car show on public streets while in Culver City, California, to attend his grandson's wedding. A vendor's display at the car show blocked the curb ramp that provided disabled access to the sidewalk in front of Cohen's hotel. Cohen was injured when he tripped and fell as he tried to walk around the display and step up on to the sidewalk.</w:t>
      </w:r>
    </w:p>
    <w:p w14:paraId="5BA2D843" w14:textId="77777777" w:rsidR="002D0E71" w:rsidRDefault="00000000">
      <w:pPr>
        <w:pStyle w:val="Normal40"/>
        <w:widowControl w:val="0"/>
        <w:spacing w:before="200" w:line="260" w:lineRule="atLeast"/>
        <w:jc w:val="both"/>
      </w:pPr>
      <w:bookmarkStart w:id="5849" w:name="Bookmark_para_4_39"/>
      <w:bookmarkEnd w:id="5849"/>
      <w:r>
        <w:rPr>
          <w:rFonts w:ascii="Arial" w:eastAsia="Arial" w:hAnsi="Arial" w:cs="Arial"/>
          <w:color w:val="000000"/>
          <w:sz w:val="20"/>
        </w:rPr>
        <w:t>Cohen filed this action against the City of Culver City ("the City") and the Exchange Club of Culver City ("the ECCC"), alleging violations of the  [**4] federal Americans with Disabilities Act (ADA) of 1990 and various California statutes.</w:t>
      </w:r>
      <w:r>
        <w:rPr>
          <w:rFonts w:ascii="Arial" w:eastAsia="Arial" w:hAnsi="Arial" w:cs="Arial"/>
          <w:vertAlign w:val="superscript"/>
        </w:rPr>
        <w:footnoteReference w:customMarkFollows="1" w:id="239"/>
        <w:t>1</w:t>
      </w:r>
      <w:r>
        <w:rPr>
          <w:rFonts w:ascii="Arial" w:eastAsia="Arial" w:hAnsi="Arial" w:cs="Arial"/>
          <w:color w:val="000000"/>
          <w:sz w:val="20"/>
        </w:rPr>
        <w:t xml:space="preserve"> He appeals the district court's grant of summary judgment in favor of the defendants. We must decide whether the City may have violated its obligations under Title II of the ADA by allowing the vendor's display to completely block the curb ramp, impeding disabled access to the public sidewalk, and by failing to post signs identifying alternative disabled access routes. We conclude that a genuine dispute of material fact exists as to whether the City denied Cohen access to the sidewalk by reason of his disability, and, accordingly, we reverse in part and remand.</w:t>
      </w:r>
    </w:p>
    <w:p w14:paraId="114F6C5E" w14:textId="77777777" w:rsidR="002D0E71" w:rsidRDefault="00000000">
      <w:pPr>
        <w:pStyle w:val="Normal40"/>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14:paraId="2EFD0673" w14:textId="77777777" w:rsidR="002D0E71" w:rsidRDefault="00000000">
      <w:pPr>
        <w:pStyle w:val="Normal40"/>
        <w:widowControl w:val="0"/>
        <w:spacing w:before="200" w:line="260" w:lineRule="atLeast"/>
        <w:jc w:val="both"/>
      </w:pPr>
      <w:bookmarkStart w:id="5851" w:name="Bookmark_para_5_39"/>
      <w:bookmarkEnd w:id="5851"/>
      <w:r>
        <w:rPr>
          <w:rFonts w:ascii="Arial" w:eastAsia="Arial" w:hAnsi="Arial" w:cs="Arial"/>
          <w:color w:val="000000"/>
          <w:sz w:val="20"/>
        </w:rPr>
        <w:t>Cohen, a Florida resident, visited Culver City in May 2011 to attend his grandson's wedding. He stayed at the Culver Hotel in downtown Culver City. Four years earlier, Cohen had been diagnosed with moderate dementia. He subsequently suffered from declining cognitive function and poor balance. In February 2011, Cohen was reevaluated by his physician. He exhibited increased difficulty with his balance  [**5] and lower than expected learning and memory scores.</w:t>
      </w:r>
    </w:p>
    <w:p w14:paraId="3BED3B60" w14:textId="77777777" w:rsidR="002D0E71" w:rsidRDefault="00000000">
      <w:pPr>
        <w:pStyle w:val="Normal40"/>
        <w:widowControl w:val="0"/>
        <w:spacing w:before="200" w:line="260" w:lineRule="atLeast"/>
        <w:jc w:val="both"/>
      </w:pPr>
      <w:bookmarkStart w:id="5852" w:name="Bookmark_para_6_39"/>
      <w:bookmarkEnd w:id="5852"/>
      <w:r>
        <w:rPr>
          <w:rFonts w:ascii="Arial" w:eastAsia="Arial" w:hAnsi="Arial" w:cs="Arial"/>
          <w:color w:val="000000"/>
          <w:sz w:val="20"/>
        </w:rPr>
        <w:t>On May 7, 2011, the City and the ECCC sponsored their annual car show on the public streets and sidewalks of downtown, including those immediately adjacent to the Culver Hotel. The streets, closed to automobile traffic for exclusive use by pedestrians, were lined with vintage automobiles and vendors' displays. Drivelines, a participating vendor, positioned its display so as to straddle the pedestrian crosswalk and sidewalk between the car show and the main entrance to the Culver Hotel. The display, which included a golf cart, several tables, and a large canopy, also completely blocked the disabled access curb ramp connecting the sidewalk to the street at that point.</w:t>
      </w:r>
    </w:p>
    <w:p w14:paraId="170BA44D" w14:textId="77777777" w:rsidR="002D0E71" w:rsidRDefault="00000000">
      <w:pPr>
        <w:pStyle w:val="Normal40"/>
        <w:widowControl w:val="0"/>
        <w:spacing w:before="200" w:line="260" w:lineRule="atLeast"/>
        <w:jc w:val="both"/>
      </w:pPr>
      <w:bookmarkStart w:id="5853" w:name="Bookmark_para_7_38"/>
      <w:bookmarkEnd w:id="5853"/>
      <w:r>
        <w:rPr>
          <w:rFonts w:ascii="Arial" w:eastAsia="Arial" w:hAnsi="Arial" w:cs="Arial"/>
          <w:color w:val="000000"/>
          <w:sz w:val="20"/>
        </w:rPr>
        <w:t>On the day of his grandson's wedding, Cohen attended the car show. On his way back to the hotel, Cohen saw that the curb ramp was blocked, so he tried to walk around the vendor's display and step up over the curb on to the sidewalk. Instead he slipped and fell face first on to the sidewalk, sustaining facial abrasions and contusions. Other curb ramps connected the street to the sidewalk about twenty yards and ninety yards away in either direction, but there were no signs  [**6] that might point Cohen in those directions, and the City, which deposed Cohen, adduced no evidence that he was aware of the other ramps. Drawing all reasonable inferences in Cohen's favor, he reasonably believed he had no choice but to negotiate the curb ramp.</w:t>
      </w:r>
    </w:p>
    <w:p w14:paraId="34AAC9F5" w14:textId="77777777" w:rsidR="002D0E71" w:rsidRDefault="00000000">
      <w:pPr>
        <w:pStyle w:val="Normal40"/>
        <w:widowControl w:val="0"/>
        <w:spacing w:before="200" w:line="260" w:lineRule="atLeast"/>
        <w:jc w:val="both"/>
      </w:pPr>
      <w:bookmarkStart w:id="5854" w:name="Bookmark_para_8_38"/>
      <w:bookmarkEnd w:id="5854"/>
      <w:r>
        <w:rPr>
          <w:rFonts w:ascii="Arial" w:eastAsia="Arial" w:hAnsi="Arial" w:cs="Arial"/>
          <w:color w:val="000000"/>
          <w:sz w:val="20"/>
        </w:rPr>
        <w:t>Cohen asserts claims for damages against the City and the ECCC under  [*694]  Title II of the federal ADA and three California statutes: the Disabled Persons Act (DPA), the Unruh Civil Rights Act, and California Government Code sections 830 and 835.</w:t>
      </w:r>
      <w:r>
        <w:rPr>
          <w:rFonts w:ascii="Arial" w:eastAsia="Arial" w:hAnsi="Arial" w:cs="Arial"/>
          <w:vertAlign w:val="superscript"/>
        </w:rPr>
        <w:footnoteReference w:customMarkFollows="1" w:id="240"/>
        <w:t>2</w:t>
      </w:r>
      <w:r>
        <w:rPr>
          <w:rFonts w:ascii="Arial" w:eastAsia="Arial" w:hAnsi="Arial" w:cs="Arial"/>
          <w:color w:val="000000"/>
          <w:sz w:val="20"/>
        </w:rPr>
        <w:t xml:space="preserve"> The district court granted summary judgment in favor of the defendants on all claims.</w:t>
      </w:r>
      <w:r>
        <w:rPr>
          <w:rFonts w:ascii="Arial" w:eastAsia="Arial" w:hAnsi="Arial" w:cs="Arial"/>
          <w:vertAlign w:val="superscript"/>
        </w:rPr>
        <w:footnoteReference w:customMarkFollows="1" w:id="241"/>
        <w:t>3</w:t>
      </w:r>
    </w:p>
    <w:p w14:paraId="17128762" w14:textId="77777777" w:rsidR="002D0E71" w:rsidRDefault="00000000">
      <w:pPr>
        <w:pStyle w:val="Normal40"/>
        <w:widowControl w:val="0"/>
        <w:spacing w:before="200" w:line="260" w:lineRule="atLeast"/>
        <w:jc w:val="both"/>
      </w:pPr>
      <w:bookmarkStart w:id="5857" w:name="Bookmark_para_9_38"/>
      <w:bookmarkEnd w:id="5857"/>
      <w:r>
        <w:rPr>
          <w:rFonts w:ascii="Arial" w:eastAsia="Arial" w:hAnsi="Arial" w:cs="Arial"/>
          <w:color w:val="000000"/>
          <w:sz w:val="20"/>
        </w:rPr>
        <w:t>We address only Cohen's  [**7] claims against the City under the ADA, the DPA, and the Unruh Act. The district court ruled that a genuine dispute of material fact exists as to whether Cohen is disabled under the ADA. It found, however, that Cohen could have accessed the public sidewalk by traveling a "marginally longer route" to another disabled access curb ramp twenty yards down the street. On this basis, the district court held that the City did not deny Cohen access to the public sidewalk under Title II of the ADA. Because Cohen's DPA and Unruh Act claims are based on his ADA claim, the district court granted summary judgment for the City on all three.</w:t>
      </w:r>
    </w:p>
    <w:p w14:paraId="3CE08A1A" w14:textId="77777777" w:rsidR="002D0E71" w:rsidRDefault="00000000">
      <w:pPr>
        <w:pStyle w:val="Normal40"/>
        <w:widowControl w:val="0"/>
        <w:spacing w:before="240" w:line="260" w:lineRule="atLeast"/>
      </w:pPr>
      <w:r>
        <w:br/>
      </w:r>
      <w:r>
        <w:rPr>
          <w:rFonts w:ascii="Arial" w:eastAsia="Arial" w:hAnsi="Arial" w:cs="Arial"/>
          <w:b/>
          <w:color w:val="000000"/>
          <w:sz w:val="20"/>
        </w:rPr>
        <w:t>II</w:t>
      </w:r>
    </w:p>
    <w:p w14:paraId="0D1ED693" w14:textId="77777777" w:rsidR="002D0E71" w:rsidRDefault="00000000">
      <w:pPr>
        <w:pStyle w:val="Normal40"/>
        <w:widowControl w:val="0"/>
        <w:spacing w:before="200" w:line="260" w:lineRule="atLeast"/>
        <w:jc w:val="both"/>
      </w:pPr>
      <w:bookmarkStart w:id="5858" w:name="Bookmark_para_10_37"/>
      <w:bookmarkStart w:id="5859" w:name="Bookmark_I5CHK2GN2N1R8Y0020000400"/>
      <w:bookmarkEnd w:id="5858"/>
      <w:bookmarkEnd w:id="5859"/>
      <w:r>
        <w:rPr>
          <w:rFonts w:ascii="Arial" w:eastAsia="Arial" w:hAnsi="Arial" w:cs="Arial"/>
          <w:color w:val="000000"/>
          <w:sz w:val="20"/>
        </w:rPr>
        <w:t xml:space="preserve">We have jurisdiction pursuant to 28 U.S.C. § 1291. </w:t>
      </w:r>
      <w:bookmarkStart w:id="5860" w:name="Bookmark_I5CHK2GN2N1R8Y0040000400"/>
      <w:bookmarkStart w:id="5861" w:name="Bookmark_LNHNREFclscc1_34"/>
      <w:bookmarkEnd w:id="5860"/>
      <w:bookmarkEnd w:id="5861"/>
      <w:r>
        <w:rPr>
          <w:rFonts w:ascii="Arial" w:eastAsia="Arial" w:hAnsi="Arial" w:cs="Arial"/>
          <w:color w:val="000000"/>
          <w:sz w:val="20"/>
        </w:rPr>
        <w:t xml:space="preserve">We review the district court's grant of summary judgment </w:t>
      </w:r>
      <w:r>
        <w:rPr>
          <w:rFonts w:ascii="Arial" w:eastAsia="Arial" w:hAnsi="Arial" w:cs="Arial"/>
          <w:i/>
          <w:color w:val="000000"/>
          <w:sz w:val="20"/>
        </w:rPr>
        <w:t>de novo</w:t>
      </w:r>
      <w:r>
        <w:rPr>
          <w:rFonts w:ascii="Arial" w:eastAsia="Arial" w:hAnsi="Arial" w:cs="Arial"/>
          <w:color w:val="000000"/>
          <w:sz w:val="20"/>
        </w:rPr>
        <w:t xml:space="preserve">, viewing the evidence and drawing all reasonable inferences in the light most favorable to the non-moving party. </w:t>
      </w:r>
      <w:bookmarkStart w:id="5862" w:name="Bookmark_I5CHK2GN2N1R8Y0010000400"/>
      <w:bookmarkEnd w:id="5862"/>
      <w:r>
        <w:rPr>
          <w:rFonts w:ascii="Arial" w:eastAsia="Arial" w:hAnsi="Arial" w:cs="Arial"/>
          <w:i/>
          <w:color w:val="000000"/>
          <w:sz w:val="20"/>
        </w:rPr>
        <w:t>Szajer v. City of Los Angeles</w:t>
      </w:r>
      <w:r>
        <w:rPr>
          <w:rFonts w:ascii="Arial" w:eastAsia="Arial" w:hAnsi="Arial" w:cs="Arial"/>
          <w:color w:val="000000"/>
          <w:sz w:val="20"/>
        </w:rPr>
        <w:t xml:space="preserve">, 632 F.3d 607, 610 (9th Cir. 2011). </w:t>
      </w:r>
      <w:bookmarkStart w:id="5863" w:name="Bookmark_I5CHK2GN2N1R8Y0040000400_2"/>
      <w:bookmarkEnd w:id="5863"/>
      <w:r>
        <w:rPr>
          <w:rFonts w:ascii="Arial" w:eastAsia="Arial" w:hAnsi="Arial" w:cs="Arial"/>
          <w:color w:val="000000"/>
          <w:sz w:val="20"/>
        </w:rPr>
        <w:t xml:space="preserve">We must determine whether there are any genuine issues of material fact and whether the district court correctly applied the relevant substantive law. </w:t>
      </w:r>
      <w:bookmarkStart w:id="5864" w:name="Bookmark_I5CHK2GN2N1R8Y0030000400"/>
      <w:bookmarkEnd w:id="5864"/>
      <w:r>
        <w:rPr>
          <w:rFonts w:ascii="Arial" w:eastAsia="Arial" w:hAnsi="Arial" w:cs="Arial"/>
          <w:i/>
          <w:color w:val="000000"/>
          <w:sz w:val="20"/>
        </w:rPr>
        <w:t>Del. Valley Surgical Supply Inc. v. Johnson &amp; Johnson</w:t>
      </w:r>
      <w:r>
        <w:rPr>
          <w:rFonts w:ascii="Arial" w:eastAsia="Arial" w:hAnsi="Arial" w:cs="Arial"/>
          <w:color w:val="000000"/>
          <w:sz w:val="20"/>
        </w:rPr>
        <w:t>, 523 F.3d 1116, 1119 (9th Cir. 2008).</w:t>
      </w:r>
    </w:p>
    <w:p w14:paraId="731A71AF" w14:textId="77777777" w:rsidR="002D0E71" w:rsidRDefault="00000000">
      <w:pPr>
        <w:pStyle w:val="Normal40"/>
        <w:widowControl w:val="0"/>
        <w:spacing w:before="240" w:line="260" w:lineRule="atLeast"/>
      </w:pPr>
      <w:r>
        <w:br/>
      </w:r>
      <w:r>
        <w:rPr>
          <w:rFonts w:ascii="Arial" w:eastAsia="Arial" w:hAnsi="Arial" w:cs="Arial"/>
          <w:b/>
          <w:color w:val="000000"/>
          <w:sz w:val="20"/>
        </w:rPr>
        <w:t>III</w:t>
      </w:r>
      <w:r>
        <w:rPr>
          <w:rFonts w:ascii="Arial" w:eastAsia="Arial" w:hAnsi="Arial" w:cs="Arial"/>
          <w:color w:val="000000"/>
          <w:sz w:val="20"/>
        </w:rPr>
        <w:t>.</w:t>
      </w:r>
    </w:p>
    <w:p w14:paraId="58882DD3" w14:textId="77777777" w:rsidR="002D0E71" w:rsidRDefault="00000000">
      <w:pPr>
        <w:pStyle w:val="Normal40"/>
        <w:widowControl w:val="0"/>
        <w:spacing w:before="120" w:line="260" w:lineRule="atLeast"/>
      </w:pPr>
      <w:r>
        <w:rPr>
          <w:rFonts w:ascii="Arial" w:eastAsia="Arial" w:hAnsi="Arial" w:cs="Arial"/>
          <w:color w:val="000000"/>
          <w:sz w:val="20"/>
        </w:rPr>
        <w:t>A.</w:t>
      </w:r>
    </w:p>
    <w:p w14:paraId="7B52DD2D" w14:textId="77777777" w:rsidR="002D0E71" w:rsidRDefault="00000000">
      <w:pPr>
        <w:pStyle w:val="Normal40"/>
        <w:widowControl w:val="0"/>
        <w:spacing w:before="200" w:line="260" w:lineRule="atLeast"/>
        <w:jc w:val="both"/>
      </w:pPr>
      <w:bookmarkStart w:id="5865" w:name="Bookmark_para_11_37"/>
      <w:bookmarkStart w:id="5866" w:name="Bookmark_I5CHK2GN28T49V0010000400"/>
      <w:bookmarkStart w:id="5867" w:name="Bookmark_LNHNREFclscc2_34"/>
      <w:bookmarkEnd w:id="5865"/>
      <w:bookmarkEnd w:id="5866"/>
      <w:bookmarkEnd w:id="5867"/>
      <w:r>
        <w:rPr>
          <w:rFonts w:ascii="Arial" w:eastAsia="Arial" w:hAnsi="Arial" w:cs="Arial"/>
          <w:color w:val="000000"/>
          <w:sz w:val="20"/>
        </w:rPr>
        <w:t xml:space="preserve">The ADA aims to "provide  [**8] clear, strong, consistent, enforceable standards addressing discrimination against individuals with disabilities." 42 U.S.C. § 12101(b)(2). </w:t>
      </w:r>
      <w:bookmarkStart w:id="5868" w:name="Bookmark_I5CHK2GN28T49V0030000400"/>
      <w:bookmarkEnd w:id="5868"/>
      <w:r>
        <w:rPr>
          <w:rFonts w:ascii="Arial" w:eastAsia="Arial" w:hAnsi="Arial" w:cs="Arial"/>
          <w:color w:val="000000"/>
          <w:sz w:val="20"/>
        </w:rPr>
        <w:t xml:space="preserve">Congress enacted the statute on the premise that discrimination against the disabled is "most often the product, not of invidious animus, but rather of thoughtlessness and indifference—of benign neglect." </w:t>
      </w:r>
      <w:bookmarkStart w:id="5869" w:name="Bookmark_I5CHK2GN2N1R8Y0050000400"/>
      <w:bookmarkEnd w:id="5869"/>
      <w:r>
        <w:rPr>
          <w:rFonts w:ascii="Arial" w:eastAsia="Arial" w:hAnsi="Arial" w:cs="Arial"/>
          <w:i/>
          <w:color w:val="000000"/>
          <w:sz w:val="20"/>
        </w:rPr>
        <w:t>Alexander v. Choate</w:t>
      </w:r>
      <w:r>
        <w:rPr>
          <w:rFonts w:ascii="Arial" w:eastAsia="Arial" w:hAnsi="Arial" w:cs="Arial"/>
          <w:color w:val="000000"/>
          <w:sz w:val="20"/>
        </w:rPr>
        <w:t xml:space="preserve">, 469 U.S. 287, 295, 105 S. Ct. 712, 83 L. Ed. 2d 661 (1985). Therefore, </w:t>
      </w:r>
      <w:bookmarkStart w:id="5870" w:name="Bookmark_LNHNREFclscc3_33"/>
      <w:bookmarkEnd w:id="5870"/>
      <w:r>
        <w:rPr>
          <w:rFonts w:ascii="Arial" w:eastAsia="Arial" w:hAnsi="Arial" w:cs="Arial"/>
          <w:color w:val="000000"/>
          <w:sz w:val="20"/>
        </w:rPr>
        <w:t xml:space="preserve">the ADA proscribes not only "obviously exclusionary conduct," but also "more subtle forms of discrimination—such as difficult-to-navigate restrooms and hard-to-open doors—that interfere with disabled individuals' full and equal enjoyment" of public places and accommodations. </w:t>
      </w:r>
      <w:bookmarkStart w:id="5871" w:name="Bookmark_I5CHK2GN28T49V0030000400_2"/>
      <w:bookmarkStart w:id="5872" w:name="Bookmark_I5CHK2GN28T49V0020000400"/>
      <w:bookmarkEnd w:id="5871"/>
      <w:bookmarkEnd w:id="5872"/>
      <w:r>
        <w:rPr>
          <w:rFonts w:ascii="Arial" w:eastAsia="Arial" w:hAnsi="Arial" w:cs="Arial"/>
          <w:i/>
          <w:color w:val="000000"/>
          <w:sz w:val="20"/>
        </w:rPr>
        <w:t>Chapman v. Pier 1 Imps. (U.S.) Inc</w:t>
      </w:r>
      <w:r>
        <w:rPr>
          <w:rFonts w:ascii="Arial" w:eastAsia="Arial" w:hAnsi="Arial" w:cs="Arial"/>
          <w:color w:val="000000"/>
          <w:sz w:val="20"/>
        </w:rPr>
        <w:t>., 631 F.3d 939, 945 (9th Cir. 2011) (en banc) (internal quotation marks omitted).</w:t>
      </w:r>
    </w:p>
    <w:p w14:paraId="34FC0C45" w14:textId="77777777" w:rsidR="002D0E71" w:rsidRDefault="00000000">
      <w:pPr>
        <w:pStyle w:val="Normal40"/>
        <w:widowControl w:val="0"/>
        <w:spacing w:before="200" w:line="260" w:lineRule="atLeast"/>
        <w:jc w:val="both"/>
      </w:pPr>
      <w:bookmarkStart w:id="5873" w:name="Bookmark_para_12_36"/>
      <w:bookmarkStart w:id="5874" w:name="Bookmark_LNHNREFclscc4_33"/>
      <w:bookmarkEnd w:id="5873"/>
      <w:bookmarkEnd w:id="5874"/>
      <w:r>
        <w:rPr>
          <w:rFonts w:ascii="Arial" w:eastAsia="Arial" w:hAnsi="Arial" w:cs="Arial"/>
          <w:color w:val="000000"/>
          <w:sz w:val="20"/>
        </w:rPr>
        <w:t xml:space="preserve">Title II is the portion of the ADA that applies to state and local governments. </w:t>
      </w:r>
      <w:bookmarkStart w:id="5875" w:name="Bookmark_I5CHK2GN28T49V0050000400"/>
      <w:bookmarkStart w:id="5876" w:name="Bookmark_I5CHK2GN2SF7VV0040000400"/>
      <w:bookmarkEnd w:id="5875"/>
      <w:bookmarkEnd w:id="5876"/>
      <w:r>
        <w:rPr>
          <w:rFonts w:ascii="Arial" w:eastAsia="Arial" w:hAnsi="Arial" w:cs="Arial"/>
          <w:i/>
          <w:color w:val="000000"/>
          <w:sz w:val="20"/>
        </w:rPr>
        <w:t>See</w:t>
      </w:r>
      <w:r>
        <w:rPr>
          <w:rFonts w:ascii="Arial" w:eastAsia="Arial" w:hAnsi="Arial" w:cs="Arial"/>
          <w:color w:val="000000"/>
          <w:sz w:val="20"/>
        </w:rPr>
        <w:t xml:space="preserve"> 42 U.S.C. § 12131. </w:t>
      </w:r>
      <w:bookmarkStart w:id="5877" w:name="Bookmark_I5CHK2GN2SF7VV0020000400"/>
      <w:bookmarkEnd w:id="5877"/>
      <w:r>
        <w:rPr>
          <w:rFonts w:ascii="Arial" w:eastAsia="Arial" w:hAnsi="Arial" w:cs="Arial"/>
          <w:color w:val="000000"/>
          <w:sz w:val="20"/>
        </w:rPr>
        <w:t xml:space="preserve">It provides that "no qualified individual with a disability shall, by reason of such disability, be excluded from participation in or be denied the benefits of the services, programs, or activities of a public entity, or be subjected to discrimination by any such entity." </w:t>
      </w:r>
      <w:r>
        <w:rPr>
          <w:rFonts w:ascii="Arial" w:eastAsia="Arial" w:hAnsi="Arial" w:cs="Arial"/>
          <w:i/>
          <w:color w:val="000000"/>
          <w:sz w:val="20"/>
        </w:rPr>
        <w:t>Id</w:t>
      </w:r>
      <w:r>
        <w:rPr>
          <w:rFonts w:ascii="Arial" w:eastAsia="Arial" w:hAnsi="Arial" w:cs="Arial"/>
          <w:color w:val="000000"/>
          <w:sz w:val="20"/>
        </w:rPr>
        <w:t>. § 12132. Title II emphasizes  [**9]   [*695]  "program access," meaning that a public entity's programs and services, viewed in their entirety, must be equally accessible to disabled persons.</w:t>
      </w:r>
      <w:r>
        <w:rPr>
          <w:rFonts w:ascii="Arial" w:eastAsia="Arial" w:hAnsi="Arial" w:cs="Arial"/>
          <w:vertAlign w:val="superscript"/>
        </w:rPr>
        <w:footnoteReference w:customMarkFollows="1" w:id="242"/>
        <w:t>4</w:t>
      </w:r>
      <w:r>
        <w:rPr>
          <w:rFonts w:ascii="Arial" w:eastAsia="Arial" w:hAnsi="Arial" w:cs="Arial"/>
          <w:color w:val="000000"/>
          <w:sz w:val="20"/>
        </w:rPr>
        <w:t xml:space="preserve"> </w:t>
      </w:r>
      <w:r>
        <w:rPr>
          <w:rFonts w:ascii="Arial" w:eastAsia="Arial" w:hAnsi="Arial" w:cs="Arial"/>
          <w:i/>
          <w:color w:val="000000"/>
          <w:sz w:val="20"/>
        </w:rPr>
        <w:t xml:space="preserve">See </w:t>
      </w:r>
      <w:bookmarkStart w:id="5880" w:name="Bookmark_I5CHK2GN28T49V0040000400"/>
      <w:bookmarkEnd w:id="5880"/>
      <w:r>
        <w:rPr>
          <w:rFonts w:ascii="Arial" w:eastAsia="Arial" w:hAnsi="Arial" w:cs="Arial"/>
          <w:i/>
          <w:color w:val="000000"/>
          <w:sz w:val="20"/>
        </w:rPr>
        <w:t>Pierce v. Cnty. of Orange</w:t>
      </w:r>
      <w:r>
        <w:rPr>
          <w:rFonts w:ascii="Arial" w:eastAsia="Arial" w:hAnsi="Arial" w:cs="Arial"/>
          <w:color w:val="000000"/>
          <w:sz w:val="20"/>
        </w:rPr>
        <w:t xml:space="preserve">, 526 F.3d 1190, 1215-16, 1222 (9th Cir. 2008). </w:t>
      </w:r>
      <w:bookmarkStart w:id="5881" w:name="Bookmark_I5CHK2GN2SF7VV0020000400_2"/>
      <w:bookmarkStart w:id="5882" w:name="Bookmark_LNHNREFclscc5_33"/>
      <w:bookmarkEnd w:id="5881"/>
      <w:bookmarkEnd w:id="5882"/>
      <w:r>
        <w:rPr>
          <w:rFonts w:ascii="Arial" w:eastAsia="Arial" w:hAnsi="Arial" w:cs="Arial"/>
          <w:color w:val="000000"/>
          <w:sz w:val="20"/>
        </w:rPr>
        <w:t xml:space="preserve">A public entity must make reasonable modifications to avoid discrimination against persons with disabilities, unless it can demonstrate that doing so would fundamentally alter the nature of the service, program, or activity it provides. 28 C.F.R. § 35.130(b)(7); </w:t>
      </w:r>
      <w:bookmarkStart w:id="5883" w:name="Bookmark_I5CHK2GN2SF7VV0010000400"/>
      <w:bookmarkEnd w:id="5883"/>
      <w:r>
        <w:rPr>
          <w:rFonts w:ascii="Arial" w:eastAsia="Arial" w:hAnsi="Arial" w:cs="Arial"/>
          <w:i/>
          <w:color w:val="000000"/>
          <w:sz w:val="20"/>
        </w:rPr>
        <w:t>McGary v. City of Portland</w:t>
      </w:r>
      <w:r>
        <w:rPr>
          <w:rFonts w:ascii="Arial" w:eastAsia="Arial" w:hAnsi="Arial" w:cs="Arial"/>
          <w:color w:val="000000"/>
          <w:sz w:val="20"/>
        </w:rPr>
        <w:t>, 386 F.3d 1259, 1265-66 (9th Cir. 2004).</w:t>
      </w:r>
    </w:p>
    <w:p w14:paraId="446F95E6" w14:textId="77777777" w:rsidR="002D0E71" w:rsidRDefault="00000000">
      <w:pPr>
        <w:pStyle w:val="Normal40"/>
        <w:widowControl w:val="0"/>
        <w:spacing w:before="200" w:line="260" w:lineRule="atLeast"/>
        <w:jc w:val="both"/>
      </w:pPr>
      <w:bookmarkStart w:id="5884" w:name="Bookmark_para_13_36"/>
      <w:bookmarkStart w:id="5885" w:name="Bookmark_I5CHK2GN2D6NNK0010000400"/>
      <w:bookmarkStart w:id="5886" w:name="Bookmark_I5CHK2GN2D6NNK0030000400"/>
      <w:bookmarkStart w:id="5887" w:name="Bookmark_LNHNREFclscc6_32"/>
      <w:bookmarkEnd w:id="5884"/>
      <w:bookmarkEnd w:id="5885"/>
      <w:bookmarkEnd w:id="5886"/>
      <w:bookmarkEnd w:id="5887"/>
      <w:r>
        <w:rPr>
          <w:rFonts w:ascii="Arial" w:eastAsia="Arial" w:hAnsi="Arial" w:cs="Arial"/>
          <w:color w:val="000000"/>
          <w:sz w:val="20"/>
        </w:rPr>
        <w:t xml:space="preserve">We construe the language of the ADA broadly to advance its remedial purpose. </w:t>
      </w:r>
      <w:bookmarkStart w:id="5888" w:name="Bookmark_I5CHK2GN2D6NNK0050000400"/>
      <w:bookmarkStart w:id="5889" w:name="Bookmark_I5CHK2GN2SF7VV0050000400"/>
      <w:bookmarkEnd w:id="5888"/>
      <w:bookmarkEnd w:id="5889"/>
      <w:r>
        <w:rPr>
          <w:rFonts w:ascii="Arial" w:eastAsia="Arial" w:hAnsi="Arial" w:cs="Arial"/>
          <w:i/>
          <w:color w:val="000000"/>
          <w:sz w:val="20"/>
        </w:rPr>
        <w:t>Hason v. Med. Bd. of Cal</w:t>
      </w:r>
      <w:r>
        <w:rPr>
          <w:rFonts w:ascii="Arial" w:eastAsia="Arial" w:hAnsi="Arial" w:cs="Arial"/>
          <w:color w:val="000000"/>
          <w:sz w:val="20"/>
        </w:rPr>
        <w:t xml:space="preserve">., 279 F.3d 1167, 1172 (9th Cir. 2002). We have explained that </w:t>
      </w:r>
      <w:bookmarkStart w:id="5890" w:name="Bookmark_LNHNREFclscc7_31"/>
      <w:bookmarkEnd w:id="5890"/>
      <w:r>
        <w:rPr>
          <w:rFonts w:ascii="Arial" w:eastAsia="Arial" w:hAnsi="Arial" w:cs="Arial"/>
          <w:color w:val="000000"/>
          <w:sz w:val="20"/>
        </w:rPr>
        <w:t xml:space="preserve">the broad language of Title II brings within its scope "anything a public entity does." </w:t>
      </w:r>
      <w:bookmarkStart w:id="5891" w:name="Bookmark_I5CHK2GN2D6NNK0020000400"/>
      <w:bookmarkEnd w:id="5891"/>
      <w:r>
        <w:rPr>
          <w:rFonts w:ascii="Arial" w:eastAsia="Arial" w:hAnsi="Arial" w:cs="Arial"/>
          <w:i/>
          <w:color w:val="000000"/>
          <w:sz w:val="20"/>
        </w:rPr>
        <w:t>Lee v. City of Los Angeles</w:t>
      </w:r>
      <w:r>
        <w:rPr>
          <w:rFonts w:ascii="Arial" w:eastAsia="Arial" w:hAnsi="Arial" w:cs="Arial"/>
          <w:color w:val="000000"/>
          <w:sz w:val="20"/>
        </w:rPr>
        <w:t xml:space="preserve">, 250 F.3d 668, 691 (9th Cir. 2001) (internal quotation marks omitted). </w:t>
      </w:r>
      <w:bookmarkStart w:id="5892" w:name="Bookmark_I5CHK2GN2D6NNK0050000400_2"/>
      <w:bookmarkEnd w:id="5892"/>
      <w:r>
        <w:rPr>
          <w:rFonts w:ascii="Arial" w:eastAsia="Arial" w:hAnsi="Arial" w:cs="Arial"/>
          <w:color w:val="000000"/>
          <w:sz w:val="20"/>
        </w:rPr>
        <w:t xml:space="preserve">A city  [**10] sidewalk is therefore a "service, program, or activity" of a public entity within the meaning of Title II. </w:t>
      </w:r>
      <w:bookmarkStart w:id="5893" w:name="Bookmark_I5CHK2GN2D6NNK0040000400"/>
      <w:bookmarkEnd w:id="5893"/>
      <w:r>
        <w:rPr>
          <w:rFonts w:ascii="Arial" w:eastAsia="Arial" w:hAnsi="Arial" w:cs="Arial"/>
          <w:i/>
          <w:color w:val="000000"/>
          <w:sz w:val="20"/>
        </w:rPr>
        <w:t>Barden v. City of Sacramento</w:t>
      </w:r>
      <w:r>
        <w:rPr>
          <w:rFonts w:ascii="Arial" w:eastAsia="Arial" w:hAnsi="Arial" w:cs="Arial"/>
          <w:color w:val="000000"/>
          <w:sz w:val="20"/>
        </w:rPr>
        <w:t>, 292 F.3d 1073, 1076 (9th Cir. 2002).</w:t>
      </w:r>
      <w:r>
        <w:rPr>
          <w:rFonts w:ascii="Arial" w:eastAsia="Arial" w:hAnsi="Arial" w:cs="Arial"/>
          <w:vertAlign w:val="superscript"/>
        </w:rPr>
        <w:footnoteReference w:customMarkFollows="1" w:id="243"/>
        <w:t>5</w:t>
      </w:r>
    </w:p>
    <w:p w14:paraId="07D66270" w14:textId="77777777" w:rsidR="002D0E71" w:rsidRDefault="00000000">
      <w:pPr>
        <w:pStyle w:val="Normal40"/>
        <w:widowControl w:val="0"/>
        <w:spacing w:before="200" w:line="260" w:lineRule="atLeast"/>
        <w:jc w:val="both"/>
      </w:pPr>
      <w:bookmarkStart w:id="5895" w:name="Bookmark_para_14_35"/>
      <w:bookmarkStart w:id="5896" w:name="Bookmark_I4GSX281J1H0010DC9M000VD"/>
      <w:bookmarkStart w:id="5897" w:name="Bookmark_I5CHK2GN2N1R900020000400"/>
      <w:bookmarkStart w:id="5898" w:name="Bookmark_I5CHK2GN2N1R900040000400"/>
      <w:bookmarkStart w:id="5899" w:name="Bookmark_LNHNREFclscc8_31"/>
      <w:bookmarkEnd w:id="5895"/>
      <w:bookmarkEnd w:id="5896"/>
      <w:bookmarkEnd w:id="5897"/>
      <w:bookmarkEnd w:id="5898"/>
      <w:bookmarkEnd w:id="5899"/>
      <w:r>
        <w:rPr>
          <w:rFonts w:ascii="Arial" w:eastAsia="Arial" w:hAnsi="Arial" w:cs="Arial"/>
          <w:color w:val="000000"/>
          <w:sz w:val="20"/>
        </w:rPr>
        <w:t xml:space="preserve">To prevail under Title II, the plaintiff must show that: (1) he is a qualified individual with a disability; (2) he was either excluded from participation in or denied the benefits of a public entity's services, programs, or activities, or was otherwise discriminated against by the public entity; and (3) this exclusion, denial, or discrimination was by reason of his disability. </w:t>
      </w:r>
      <w:bookmarkStart w:id="5900" w:name="Bookmark_I5CHK2GN2N1R900010000400"/>
      <w:bookmarkEnd w:id="5900"/>
      <w:r>
        <w:rPr>
          <w:rFonts w:ascii="Arial" w:eastAsia="Arial" w:hAnsi="Arial" w:cs="Arial"/>
          <w:i/>
          <w:color w:val="000000"/>
          <w:sz w:val="20"/>
        </w:rPr>
        <w:t>Weinreich v. L.A. Cnty. Metro. Transp. Auth</w:t>
      </w:r>
      <w:r>
        <w:rPr>
          <w:rFonts w:ascii="Arial" w:eastAsia="Arial" w:hAnsi="Arial" w:cs="Arial"/>
          <w:color w:val="000000"/>
          <w:sz w:val="20"/>
        </w:rPr>
        <w:t xml:space="preserve">., 114 F.3d 976, 978 (9th Cir. 1997). </w:t>
      </w:r>
      <w:bookmarkStart w:id="5901" w:name="Bookmark_LNHNREFclscc9_29"/>
      <w:bookmarkEnd w:id="5901"/>
      <w:r>
        <w:rPr>
          <w:rFonts w:ascii="Arial" w:eastAsia="Arial" w:hAnsi="Arial" w:cs="Arial"/>
          <w:color w:val="000000"/>
          <w:sz w:val="20"/>
        </w:rPr>
        <w:t>Title II authorizes private suits for money damages.</w:t>
      </w:r>
      <w:r>
        <w:rPr>
          <w:rFonts w:ascii="Arial" w:eastAsia="Arial" w:hAnsi="Arial" w:cs="Arial"/>
          <w:vertAlign w:val="superscript"/>
        </w:rPr>
        <w:footnoteReference w:customMarkFollows="1" w:id="244"/>
        <w:t>6</w:t>
      </w:r>
      <w:r>
        <w:rPr>
          <w:rFonts w:ascii="Arial" w:eastAsia="Arial" w:hAnsi="Arial" w:cs="Arial"/>
          <w:color w:val="000000"/>
          <w:sz w:val="20"/>
        </w:rPr>
        <w:t xml:space="preserve"> 42 U.S.C. § 12133; </w:t>
      </w:r>
      <w:r>
        <w:rPr>
          <w:rFonts w:ascii="Arial" w:eastAsia="Arial" w:hAnsi="Arial" w:cs="Arial"/>
          <w:i/>
          <w:color w:val="000000"/>
          <w:sz w:val="20"/>
        </w:rPr>
        <w:t xml:space="preserve">see </w:t>
      </w:r>
      <w:bookmarkStart w:id="5912" w:name="Bookmark_I5CHK2GN2N1R900030000400"/>
      <w:bookmarkEnd w:id="5912"/>
      <w:r>
        <w:rPr>
          <w:rFonts w:ascii="Arial" w:eastAsia="Arial" w:hAnsi="Arial" w:cs="Arial"/>
          <w:i/>
          <w:color w:val="000000"/>
          <w:sz w:val="20"/>
        </w:rPr>
        <w:t>Tennessee v. Lane</w:t>
      </w:r>
      <w:r>
        <w:rPr>
          <w:rFonts w:ascii="Arial" w:eastAsia="Arial" w:hAnsi="Arial" w:cs="Arial"/>
          <w:color w:val="000000"/>
          <w:sz w:val="20"/>
        </w:rPr>
        <w:t>, 541 U.S. 509, 517, 124 S. Ct. 1978, 158 L. Ed. 2d 820 (2004).</w:t>
      </w:r>
    </w:p>
    <w:p w14:paraId="468B19E9" w14:textId="77777777" w:rsidR="002D0E71" w:rsidRDefault="00000000">
      <w:pPr>
        <w:pStyle w:val="Normal40"/>
        <w:widowControl w:val="0"/>
        <w:spacing w:before="200" w:line="260" w:lineRule="atLeast"/>
        <w:jc w:val="both"/>
      </w:pPr>
      <w:bookmarkStart w:id="5913" w:name="Bookmark_para_15_34"/>
      <w:bookmarkStart w:id="5914" w:name="Bookmark_I5CHK2GN2SF7VW0020000400"/>
      <w:bookmarkStart w:id="5915" w:name="Bookmark_I5CHK2GN2SF7VW0040000400"/>
      <w:bookmarkStart w:id="5916" w:name="Bookmark_LNHNREFclscc11_22"/>
      <w:bookmarkEnd w:id="5913"/>
      <w:bookmarkEnd w:id="5914"/>
      <w:bookmarkEnd w:id="5915"/>
      <w:bookmarkEnd w:id="5916"/>
      <w:r>
        <w:rPr>
          <w:rFonts w:ascii="Arial" w:eastAsia="Arial" w:hAnsi="Arial" w:cs="Arial"/>
          <w:color w:val="000000"/>
          <w:sz w:val="20"/>
        </w:rPr>
        <w:t xml:space="preserve">As authorized by the statute, 42 U.S.C. § 12134, the United States Attorney General has promulgated a vast body of regulations implementing Title II. The regulations flesh out public entities' statutory obligations with more specificity, but a public entity may violate the ADA even if no regulation expressly proscribes its particular conduct. </w:t>
      </w:r>
      <w:r>
        <w:rPr>
          <w:rFonts w:ascii="Arial" w:eastAsia="Arial" w:hAnsi="Arial" w:cs="Arial"/>
          <w:i/>
          <w:color w:val="000000"/>
          <w:sz w:val="20"/>
        </w:rPr>
        <w:t xml:space="preserve">See, e.g., </w:t>
      </w:r>
      <w:bookmarkStart w:id="5917" w:name="Bookmark_I5CHK2GN2SF7VW0010000400"/>
      <w:bookmarkEnd w:id="5917"/>
      <w:r>
        <w:rPr>
          <w:rFonts w:ascii="Arial" w:eastAsia="Arial" w:hAnsi="Arial" w:cs="Arial"/>
          <w:i/>
          <w:color w:val="000000"/>
          <w:sz w:val="20"/>
        </w:rPr>
        <w:t>Barden</w:t>
      </w:r>
      <w:r>
        <w:rPr>
          <w:rFonts w:ascii="Arial" w:eastAsia="Arial" w:hAnsi="Arial" w:cs="Arial"/>
          <w:color w:val="000000"/>
          <w:sz w:val="20"/>
        </w:rPr>
        <w:t xml:space="preserve">, 292 F.3d at 1076-78 (applying Title II to sidewalks even though no implementing regulations specifically addressed sidewalks). We give Department of Justice (DOJ) regulations construing Title II "controlling weight unless they are arbitrary, capricious, or manifestly  [**12] contrary to the statute." </w:t>
      </w:r>
      <w:bookmarkStart w:id="5918" w:name="Bookmark_I5CHK2GN2SF7VW0030000400"/>
      <w:bookmarkEnd w:id="5918"/>
      <w:r>
        <w:rPr>
          <w:rFonts w:ascii="Arial" w:eastAsia="Arial" w:hAnsi="Arial" w:cs="Arial"/>
          <w:i/>
          <w:color w:val="000000"/>
          <w:sz w:val="20"/>
        </w:rPr>
        <w:t>Armstrong v. Schwarzenegger</w:t>
      </w:r>
      <w:r>
        <w:rPr>
          <w:rFonts w:ascii="Arial" w:eastAsia="Arial" w:hAnsi="Arial" w:cs="Arial"/>
          <w:color w:val="000000"/>
          <w:sz w:val="20"/>
        </w:rPr>
        <w:t>, 622 F.3d 1058, 1065 (9th Cir. 2010) (internal quotation marks omitted).</w:t>
      </w:r>
    </w:p>
    <w:p w14:paraId="616DD476" w14:textId="77777777" w:rsidR="002D0E71" w:rsidRDefault="00000000">
      <w:pPr>
        <w:pStyle w:val="Normal40"/>
        <w:widowControl w:val="0"/>
        <w:spacing w:before="200" w:line="260" w:lineRule="atLeast"/>
        <w:jc w:val="both"/>
      </w:pPr>
      <w:bookmarkStart w:id="5919" w:name="Bookmark_para_16_33"/>
      <w:bookmarkEnd w:id="5919"/>
      <w:r>
        <w:rPr>
          <w:rFonts w:ascii="Arial" w:eastAsia="Arial" w:hAnsi="Arial" w:cs="Arial"/>
          <w:color w:val="000000"/>
          <w:sz w:val="20"/>
        </w:rPr>
        <w:t xml:space="preserve"> [*696]  We rely heavily on two of these regulations in reviewing the district court's decision. </w:t>
      </w:r>
      <w:bookmarkStart w:id="5920" w:name="Bookmark_LNHNREFclscc12_21"/>
      <w:bookmarkEnd w:id="5920"/>
      <w:r>
        <w:rPr>
          <w:rFonts w:ascii="Arial" w:eastAsia="Arial" w:hAnsi="Arial" w:cs="Arial"/>
          <w:color w:val="000000"/>
          <w:sz w:val="20"/>
        </w:rPr>
        <w:t xml:space="preserve">28 C.F.R § 35.150 governs existing facilities. It requires the City to operate each program, service, or activity in a manner that, viewed in its entirety, is readily accessible to and usable by persons with disabilities. 28 C.F.R. § 35.150(a). To comply with this mandate, the City may make structural changes to its existing facilities, but it need not do so if other methods, such as relocating services to different buildings, would be effective. </w:t>
      </w:r>
      <w:r>
        <w:rPr>
          <w:rFonts w:ascii="Arial" w:eastAsia="Arial" w:hAnsi="Arial" w:cs="Arial"/>
          <w:i/>
          <w:color w:val="000000"/>
          <w:sz w:val="20"/>
        </w:rPr>
        <w:t>Id</w:t>
      </w:r>
      <w:r>
        <w:rPr>
          <w:rFonts w:ascii="Arial" w:eastAsia="Arial" w:hAnsi="Arial" w:cs="Arial"/>
          <w:color w:val="000000"/>
          <w:sz w:val="20"/>
        </w:rPr>
        <w:t xml:space="preserve">. § 35.150(b)(1). The City must prioritize methods of compliance that enable it to provide services to disabled persons in "the most integrated setting appropriate." </w:t>
      </w:r>
      <w:r>
        <w:rPr>
          <w:rFonts w:ascii="Arial" w:eastAsia="Arial" w:hAnsi="Arial" w:cs="Arial"/>
          <w:i/>
          <w:color w:val="000000"/>
          <w:sz w:val="20"/>
        </w:rPr>
        <w:t>Id</w:t>
      </w:r>
      <w:r>
        <w:rPr>
          <w:rFonts w:ascii="Arial" w:eastAsia="Arial" w:hAnsi="Arial" w:cs="Arial"/>
          <w:color w:val="000000"/>
          <w:sz w:val="20"/>
        </w:rPr>
        <w:t>. If the City chooses to comply by modifying its existing facilities, additional requirements follow.</w:t>
      </w:r>
    </w:p>
    <w:p w14:paraId="4D7CA462" w14:textId="77777777" w:rsidR="002D0E71" w:rsidRDefault="00000000">
      <w:pPr>
        <w:pStyle w:val="Normal40"/>
        <w:widowControl w:val="0"/>
        <w:spacing w:before="200" w:line="260" w:lineRule="atLeast"/>
        <w:jc w:val="both"/>
      </w:pPr>
      <w:bookmarkStart w:id="5921" w:name="Bookmark_para_17_32"/>
      <w:bookmarkEnd w:id="5921"/>
      <w:r>
        <w:rPr>
          <w:rFonts w:ascii="Arial" w:eastAsia="Arial" w:hAnsi="Arial" w:cs="Arial"/>
          <w:color w:val="000000"/>
          <w:sz w:val="20"/>
        </w:rPr>
        <w:t xml:space="preserve">For instance, </w:t>
      </w:r>
      <w:bookmarkStart w:id="5922" w:name="Bookmark_LNHNREFclscc13_18"/>
      <w:bookmarkEnd w:id="5922"/>
      <w:r>
        <w:rPr>
          <w:rFonts w:ascii="Arial" w:eastAsia="Arial" w:hAnsi="Arial" w:cs="Arial"/>
          <w:color w:val="000000"/>
          <w:sz w:val="20"/>
        </w:rPr>
        <w:t xml:space="preserve">if the City chose to modify facilities that existed when the ADA took effect on January 26, 1992, it was required to complete the modifications within three years of that date. </w:t>
      </w:r>
      <w:r>
        <w:rPr>
          <w:rFonts w:ascii="Arial" w:eastAsia="Arial" w:hAnsi="Arial" w:cs="Arial"/>
          <w:i/>
          <w:color w:val="000000"/>
          <w:sz w:val="20"/>
        </w:rPr>
        <w:t>Id</w:t>
      </w:r>
      <w:r>
        <w:rPr>
          <w:rFonts w:ascii="Arial" w:eastAsia="Arial" w:hAnsi="Arial" w:cs="Arial"/>
          <w:color w:val="000000"/>
          <w:sz w:val="20"/>
        </w:rPr>
        <w:t xml:space="preserve">. § 35.150(c). If the City employed fifty or more persons, it was also  [**13] required to develop, within six months of January 26, 1992, a transition plan setting forth its planned modifications. </w:t>
      </w:r>
      <w:r>
        <w:rPr>
          <w:rFonts w:ascii="Arial" w:eastAsia="Arial" w:hAnsi="Arial" w:cs="Arial"/>
          <w:i/>
          <w:color w:val="000000"/>
          <w:sz w:val="20"/>
        </w:rPr>
        <w:t>Id</w:t>
      </w:r>
      <w:r>
        <w:rPr>
          <w:rFonts w:ascii="Arial" w:eastAsia="Arial" w:hAnsi="Arial" w:cs="Arial"/>
          <w:color w:val="000000"/>
          <w:sz w:val="20"/>
        </w:rPr>
        <w:t xml:space="preserve">. § 35.150(d)(1). If the City had authority over streets or walkways, its transition plan was required to include a schedule for installing disabled access curb ramps at intersections, giving priority to intersections located near important public services. </w:t>
      </w:r>
      <w:r>
        <w:rPr>
          <w:rFonts w:ascii="Arial" w:eastAsia="Arial" w:hAnsi="Arial" w:cs="Arial"/>
          <w:i/>
          <w:color w:val="000000"/>
          <w:sz w:val="20"/>
        </w:rPr>
        <w:t>See id</w:t>
      </w:r>
      <w:r>
        <w:rPr>
          <w:rFonts w:ascii="Arial" w:eastAsia="Arial" w:hAnsi="Arial" w:cs="Arial"/>
          <w:color w:val="000000"/>
          <w:sz w:val="20"/>
        </w:rPr>
        <w:t>. § 35.150(d)(2). However, because § 35.150 generally allows the City to choose its method of making programs and services accessible, it does not necessarily compel the construction of curb ramps in every situation.</w:t>
      </w:r>
    </w:p>
    <w:p w14:paraId="41BB248F" w14:textId="77777777" w:rsidR="002D0E71" w:rsidRDefault="00000000">
      <w:pPr>
        <w:pStyle w:val="Normal40"/>
        <w:widowControl w:val="0"/>
        <w:spacing w:before="200" w:line="260" w:lineRule="atLeast"/>
        <w:jc w:val="both"/>
      </w:pPr>
      <w:bookmarkStart w:id="5923" w:name="Bookmark_para_18_32"/>
      <w:bookmarkEnd w:id="5923"/>
      <w:r>
        <w:rPr>
          <w:rFonts w:ascii="Arial" w:eastAsia="Arial" w:hAnsi="Arial" w:cs="Arial"/>
          <w:color w:val="000000"/>
          <w:sz w:val="20"/>
        </w:rPr>
        <w:t xml:space="preserve">By contrast, </w:t>
      </w:r>
      <w:bookmarkStart w:id="5924" w:name="Bookmark_LNHNREFclscc14_13"/>
      <w:bookmarkEnd w:id="5924"/>
      <w:r>
        <w:rPr>
          <w:rFonts w:ascii="Arial" w:eastAsia="Arial" w:hAnsi="Arial" w:cs="Arial"/>
          <w:color w:val="000000"/>
          <w:sz w:val="20"/>
        </w:rPr>
        <w:t xml:space="preserve">28 C.F.R. § 35.151 governs facilities that the City begins to build or alter after January 26, 1992. </w:t>
      </w:r>
      <w:r>
        <w:rPr>
          <w:rFonts w:ascii="Arial" w:eastAsia="Arial" w:hAnsi="Arial" w:cs="Arial"/>
          <w:i/>
          <w:color w:val="000000"/>
          <w:sz w:val="20"/>
        </w:rPr>
        <w:t>Id</w:t>
      </w:r>
      <w:r>
        <w:rPr>
          <w:rFonts w:ascii="Arial" w:eastAsia="Arial" w:hAnsi="Arial" w:cs="Arial"/>
          <w:color w:val="000000"/>
          <w:sz w:val="20"/>
        </w:rPr>
        <w:t xml:space="preserve">. § 35.151(a)(1), (b)(1). It provides that every newly built or altered portion of such a facility must be "readily accessible to and usable by individuals with disabilities," </w:t>
      </w:r>
      <w:r>
        <w:rPr>
          <w:rFonts w:ascii="Arial" w:eastAsia="Arial" w:hAnsi="Arial" w:cs="Arial"/>
          <w:i/>
          <w:color w:val="000000"/>
          <w:sz w:val="20"/>
        </w:rPr>
        <w:t>id</w:t>
      </w:r>
      <w:r>
        <w:rPr>
          <w:rFonts w:ascii="Arial" w:eastAsia="Arial" w:hAnsi="Arial" w:cs="Arial"/>
          <w:color w:val="000000"/>
          <w:sz w:val="20"/>
        </w:rPr>
        <w:t xml:space="preserve">., unless doing so would be "structurally impracticable," </w:t>
      </w:r>
      <w:r>
        <w:rPr>
          <w:rFonts w:ascii="Arial" w:eastAsia="Arial" w:hAnsi="Arial" w:cs="Arial"/>
          <w:i/>
          <w:color w:val="000000"/>
          <w:sz w:val="20"/>
        </w:rPr>
        <w:t>id</w:t>
      </w:r>
      <w:r>
        <w:rPr>
          <w:rFonts w:ascii="Arial" w:eastAsia="Arial" w:hAnsi="Arial" w:cs="Arial"/>
          <w:color w:val="000000"/>
          <w:sz w:val="20"/>
        </w:rPr>
        <w:t xml:space="preserve">. § 35.151(a)(2). It also requires compliance with detailed accessibility standards, </w:t>
      </w:r>
      <w:r>
        <w:rPr>
          <w:rFonts w:ascii="Arial" w:eastAsia="Arial" w:hAnsi="Arial" w:cs="Arial"/>
          <w:i/>
          <w:color w:val="000000"/>
          <w:sz w:val="20"/>
        </w:rPr>
        <w:t>id</w:t>
      </w:r>
      <w:r>
        <w:rPr>
          <w:rFonts w:ascii="Arial" w:eastAsia="Arial" w:hAnsi="Arial" w:cs="Arial"/>
          <w:color w:val="000000"/>
          <w:sz w:val="20"/>
        </w:rPr>
        <w:t xml:space="preserve">. § 35.151(c)(1), (2), and sets forth additional requirements specific to dormitories, stadiums, prisons, and other kinds of facilities, </w:t>
      </w:r>
      <w:r>
        <w:rPr>
          <w:rFonts w:ascii="Arial" w:eastAsia="Arial" w:hAnsi="Arial" w:cs="Arial"/>
          <w:i/>
          <w:color w:val="000000"/>
          <w:sz w:val="20"/>
        </w:rPr>
        <w:t>id</w:t>
      </w:r>
      <w:r>
        <w:rPr>
          <w:rFonts w:ascii="Arial" w:eastAsia="Arial" w:hAnsi="Arial" w:cs="Arial"/>
          <w:color w:val="000000"/>
          <w:sz w:val="20"/>
        </w:rPr>
        <w:t xml:space="preserve">. § 35.151(f), (g),  [**14] (k). </w:t>
      </w:r>
      <w:bookmarkStart w:id="5925" w:name="Bookmark_LNHNREFclscc15_11"/>
      <w:bookmarkEnd w:id="5925"/>
      <w:r>
        <w:rPr>
          <w:rFonts w:ascii="Arial" w:eastAsia="Arial" w:hAnsi="Arial" w:cs="Arial"/>
          <w:color w:val="000000"/>
          <w:sz w:val="20"/>
        </w:rPr>
        <w:t>With respect to curb ramps, § 35.151 provides:</w:t>
      </w:r>
    </w:p>
    <w:p w14:paraId="43765D70" w14:textId="77777777" w:rsidR="002D0E71" w:rsidRDefault="00000000">
      <w:pPr>
        <w:pStyle w:val="Normal40"/>
        <w:widowControl w:val="0"/>
        <w:spacing w:before="200" w:line="260" w:lineRule="atLeast"/>
        <w:ind w:left="400"/>
        <w:jc w:val="both"/>
      </w:pPr>
      <w:bookmarkStart w:id="5926" w:name="Bookmark_para_19_32"/>
      <w:bookmarkEnd w:id="5926"/>
      <w:r>
        <w:rPr>
          <w:rFonts w:ascii="Arial" w:eastAsia="Arial" w:hAnsi="Arial" w:cs="Arial"/>
          <w:color w:val="000000"/>
          <w:sz w:val="20"/>
        </w:rPr>
        <w:t xml:space="preserve">(1) Newly constructed or altered streets, roads, and highways </w:t>
      </w:r>
      <w:r>
        <w:rPr>
          <w:rFonts w:ascii="Arial" w:eastAsia="Arial" w:hAnsi="Arial" w:cs="Arial"/>
          <w:i/>
          <w:color w:val="000000"/>
          <w:sz w:val="20"/>
        </w:rPr>
        <w:t>must</w:t>
      </w:r>
      <w:r>
        <w:rPr>
          <w:rFonts w:ascii="Arial" w:eastAsia="Arial" w:hAnsi="Arial" w:cs="Arial"/>
          <w:color w:val="000000"/>
          <w:sz w:val="20"/>
        </w:rPr>
        <w:t xml:space="preserve"> contain curb ramps or other sloped areas at </w:t>
      </w:r>
      <w:r>
        <w:rPr>
          <w:rFonts w:ascii="Arial" w:eastAsia="Arial" w:hAnsi="Arial" w:cs="Arial"/>
          <w:i/>
          <w:color w:val="000000"/>
          <w:sz w:val="20"/>
        </w:rPr>
        <w:t>any</w:t>
      </w:r>
      <w:r>
        <w:rPr>
          <w:rFonts w:ascii="Arial" w:eastAsia="Arial" w:hAnsi="Arial" w:cs="Arial"/>
          <w:color w:val="000000"/>
          <w:sz w:val="20"/>
        </w:rPr>
        <w:t xml:space="preserve"> intersection having curbs or other barriers to entry from a street level pedestrian walkway.</w:t>
      </w:r>
    </w:p>
    <w:p w14:paraId="2EEB6336" w14:textId="77777777" w:rsidR="002D0E71" w:rsidRDefault="00000000">
      <w:pPr>
        <w:pStyle w:val="Normal40"/>
        <w:widowControl w:val="0"/>
        <w:spacing w:before="200" w:line="260" w:lineRule="atLeast"/>
        <w:ind w:left="400"/>
        <w:jc w:val="both"/>
      </w:pPr>
      <w:bookmarkStart w:id="5927" w:name="Bookmark_para_20_30"/>
      <w:bookmarkEnd w:id="5927"/>
      <w:r>
        <w:rPr>
          <w:rFonts w:ascii="Arial" w:eastAsia="Arial" w:hAnsi="Arial" w:cs="Arial"/>
          <w:color w:val="000000"/>
          <w:sz w:val="20"/>
        </w:rPr>
        <w:t xml:space="preserve">(2) Newly constructed or altered street level pedestrian walkways </w:t>
      </w:r>
      <w:r>
        <w:rPr>
          <w:rFonts w:ascii="Arial" w:eastAsia="Arial" w:hAnsi="Arial" w:cs="Arial"/>
          <w:i/>
          <w:color w:val="000000"/>
          <w:sz w:val="20"/>
        </w:rPr>
        <w:t>must</w:t>
      </w:r>
      <w:r>
        <w:rPr>
          <w:rFonts w:ascii="Arial" w:eastAsia="Arial" w:hAnsi="Arial" w:cs="Arial"/>
          <w:color w:val="000000"/>
          <w:sz w:val="20"/>
        </w:rPr>
        <w:t xml:space="preserve"> contain curb ramps or other sloped areas at intersections to streets, roads, or highways.</w:t>
      </w:r>
    </w:p>
    <w:p w14:paraId="1749DA13" w14:textId="77777777" w:rsidR="002D0E71" w:rsidRDefault="00000000">
      <w:pPr>
        <w:pStyle w:val="Normal40"/>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 35.151(i) (emphasis added).</w:t>
      </w:r>
    </w:p>
    <w:p w14:paraId="073FBB03" w14:textId="77777777" w:rsidR="002D0E71" w:rsidRDefault="00000000">
      <w:pPr>
        <w:pStyle w:val="Normal40"/>
        <w:widowControl w:val="0"/>
        <w:spacing w:before="200" w:line="260" w:lineRule="atLeast"/>
        <w:jc w:val="both"/>
      </w:pPr>
      <w:bookmarkStart w:id="5928" w:name="Bookmark_para_21_29"/>
      <w:bookmarkStart w:id="5929" w:name="Bookmark_I5CHK2GN2D6NNM0010000400"/>
      <w:bookmarkStart w:id="5930" w:name="Bookmark_I5CHK2GN2D6NNM0030000400"/>
      <w:bookmarkStart w:id="5931" w:name="Bookmark_LNHNREFclscc16_9"/>
      <w:bookmarkEnd w:id="5928"/>
      <w:bookmarkEnd w:id="5929"/>
      <w:bookmarkEnd w:id="5930"/>
      <w:bookmarkEnd w:id="5931"/>
      <w:r>
        <w:rPr>
          <w:rFonts w:ascii="Arial" w:eastAsia="Arial" w:hAnsi="Arial" w:cs="Arial"/>
          <w:color w:val="000000"/>
          <w:sz w:val="20"/>
        </w:rPr>
        <w:t xml:space="preserve">Together, these two regulations effectuate the ADA's mandate that public entities make reasonable modifications to their programs and services to accommodate disabled persons. </w:t>
      </w:r>
      <w:r>
        <w:rPr>
          <w:rFonts w:ascii="Arial" w:eastAsia="Arial" w:hAnsi="Arial" w:cs="Arial"/>
          <w:i/>
          <w:color w:val="000000"/>
          <w:sz w:val="20"/>
        </w:rPr>
        <w:t xml:space="preserve">See </w:t>
      </w:r>
      <w:bookmarkStart w:id="5932" w:name="Bookmark_I5CHK2GN2SF7VW0050000400"/>
      <w:bookmarkEnd w:id="5932"/>
      <w:r>
        <w:rPr>
          <w:rFonts w:ascii="Arial" w:eastAsia="Arial" w:hAnsi="Arial" w:cs="Arial"/>
          <w:i/>
          <w:color w:val="000000"/>
          <w:sz w:val="20"/>
        </w:rPr>
        <w:t>Lane</w:t>
      </w:r>
      <w:r>
        <w:rPr>
          <w:rFonts w:ascii="Arial" w:eastAsia="Arial" w:hAnsi="Arial" w:cs="Arial"/>
          <w:color w:val="000000"/>
          <w:sz w:val="20"/>
        </w:rPr>
        <w:t xml:space="preserve">, 541 U.S. at 532. Congress recognized that it would be unreasonable to require a public entity to extensively renovate all of its existing facilities to bring itself into compliance with the ADA. </w:t>
      </w:r>
      <w:r>
        <w:rPr>
          <w:rFonts w:ascii="Arial" w:eastAsia="Arial" w:hAnsi="Arial" w:cs="Arial"/>
          <w:i/>
          <w:color w:val="000000"/>
          <w:sz w:val="20"/>
        </w:rPr>
        <w:t>See id</w:t>
      </w:r>
      <w:r>
        <w:rPr>
          <w:rFonts w:ascii="Arial" w:eastAsia="Arial" w:hAnsi="Arial" w:cs="Arial"/>
          <w:color w:val="000000"/>
          <w:sz w:val="20"/>
        </w:rPr>
        <w:t xml:space="preserve">. Once public entities choose to build new facilities or renovate existing ones, however, they can reasonably be required to do so in a manner that complies with "specific architectural accessibility standards." </w:t>
      </w:r>
      <w:r>
        <w:rPr>
          <w:rFonts w:ascii="Arial" w:eastAsia="Arial" w:hAnsi="Arial" w:cs="Arial"/>
          <w:i/>
          <w:color w:val="000000"/>
          <w:sz w:val="20"/>
        </w:rPr>
        <w:t>Id</w:t>
      </w:r>
      <w:r>
        <w:rPr>
          <w:rFonts w:ascii="Arial" w:eastAsia="Arial" w:hAnsi="Arial" w:cs="Arial"/>
          <w:color w:val="000000"/>
          <w:sz w:val="20"/>
        </w:rPr>
        <w:t xml:space="preserve">. For this reason, § 35.150 does not require the City to build curb ramps at every corner during its transition to compliance with the ADA. </w:t>
      </w:r>
      <w:r>
        <w:rPr>
          <w:rFonts w:ascii="Arial" w:eastAsia="Arial" w:hAnsi="Arial" w:cs="Arial"/>
          <w:i/>
          <w:color w:val="000000"/>
          <w:sz w:val="20"/>
        </w:rPr>
        <w:t xml:space="preserve">See </w:t>
      </w:r>
      <w:bookmarkStart w:id="5933" w:name="Bookmark_I5CHK2GN2D6NNM0020000400"/>
      <w:bookmarkEnd w:id="5933"/>
      <w:r>
        <w:rPr>
          <w:rFonts w:ascii="Arial" w:eastAsia="Arial" w:hAnsi="Arial" w:cs="Arial"/>
          <w:i/>
          <w:color w:val="000000"/>
          <w:sz w:val="20"/>
        </w:rPr>
        <w:t>Frame v. City of Arlington</w:t>
      </w:r>
      <w:r>
        <w:rPr>
          <w:rFonts w:ascii="Arial" w:eastAsia="Arial" w:hAnsi="Arial" w:cs="Arial"/>
          <w:color w:val="000000"/>
          <w:sz w:val="20"/>
        </w:rPr>
        <w:t xml:space="preserve">, 657 F.3d 215, 232 (5th Cir. 2011)  [**15] (en banc). When the City is already altering or building a sidewalk anyway, § 35.151 requires it to construct a curb  [*697]  ramp at every affected intersection because the additional cost of doing so is minimal. </w:t>
      </w:r>
      <w:r>
        <w:rPr>
          <w:rFonts w:ascii="Arial" w:eastAsia="Arial" w:hAnsi="Arial" w:cs="Arial"/>
          <w:i/>
          <w:color w:val="000000"/>
          <w:sz w:val="20"/>
        </w:rPr>
        <w:t>See id</w:t>
      </w:r>
      <w:r>
        <w:rPr>
          <w:rFonts w:ascii="Arial" w:eastAsia="Arial" w:hAnsi="Arial" w:cs="Arial"/>
          <w:color w:val="000000"/>
          <w:sz w:val="20"/>
        </w:rPr>
        <w:t>.</w:t>
      </w:r>
    </w:p>
    <w:p w14:paraId="32F606BB" w14:textId="77777777" w:rsidR="002D0E71" w:rsidRDefault="00000000">
      <w:pPr>
        <w:pStyle w:val="Normal40"/>
        <w:widowControl w:val="0"/>
        <w:spacing w:before="120" w:line="260" w:lineRule="atLeast"/>
      </w:pPr>
      <w:r>
        <w:rPr>
          <w:rFonts w:ascii="Arial" w:eastAsia="Arial" w:hAnsi="Arial" w:cs="Arial"/>
          <w:color w:val="000000"/>
          <w:sz w:val="20"/>
        </w:rPr>
        <w:t>B.</w:t>
      </w:r>
    </w:p>
    <w:p w14:paraId="236D06F5" w14:textId="77777777" w:rsidR="002D0E71" w:rsidRDefault="00000000">
      <w:pPr>
        <w:pStyle w:val="Normal40"/>
        <w:widowControl w:val="0"/>
        <w:spacing w:before="200" w:line="260" w:lineRule="atLeast"/>
        <w:jc w:val="both"/>
      </w:pPr>
      <w:bookmarkStart w:id="5934" w:name="Bookmark_para_22_29"/>
      <w:bookmarkStart w:id="5935" w:name="Bookmark_I010M54S6BP0000MC3R001TT"/>
      <w:bookmarkStart w:id="5936" w:name="Bookmark_I010M54S8HV0000MC3R001TV"/>
      <w:bookmarkStart w:id="5937" w:name="Bookmark_I5CHK2GN2D6NNM0050000400"/>
      <w:bookmarkEnd w:id="5934"/>
      <w:bookmarkEnd w:id="5935"/>
      <w:bookmarkEnd w:id="5936"/>
      <w:bookmarkEnd w:id="5937"/>
      <w:r>
        <w:rPr>
          <w:rFonts w:ascii="Arial" w:eastAsia="Arial" w:hAnsi="Arial" w:cs="Arial"/>
          <w:color w:val="000000"/>
          <w:sz w:val="20"/>
        </w:rPr>
        <w:t xml:space="preserve">The district court erred by holding that the City is entitled to summary judgment. It mistakenly reasoned that, because Cohen could have accessed the sidewalk by taking a "marginally longer route" to a different curb ramp, he failed to establish that he was denied access to the sidewalk. The district court relied on </w:t>
      </w:r>
      <w:bookmarkStart w:id="5938" w:name="Bookmark_I5CHK2GN2D6NNM0040000400"/>
      <w:bookmarkEnd w:id="5938"/>
      <w:r>
        <w:rPr>
          <w:rFonts w:ascii="Arial" w:eastAsia="Arial" w:hAnsi="Arial" w:cs="Arial"/>
          <w:i/>
          <w:color w:val="000000"/>
          <w:sz w:val="20"/>
        </w:rPr>
        <w:t>Schonfeld v. City of Carlsbad</w:t>
      </w:r>
      <w:r>
        <w:rPr>
          <w:rFonts w:ascii="Arial" w:eastAsia="Arial" w:hAnsi="Arial" w:cs="Arial"/>
          <w:color w:val="000000"/>
          <w:sz w:val="20"/>
        </w:rPr>
        <w:t xml:space="preserve">, 978 F. Supp. 1329, 1335-41 (S.D. Cal. 1997), </w:t>
      </w:r>
      <w:r>
        <w:rPr>
          <w:rFonts w:ascii="Arial" w:eastAsia="Arial" w:hAnsi="Arial" w:cs="Arial"/>
          <w:i/>
          <w:color w:val="000000"/>
          <w:sz w:val="20"/>
        </w:rPr>
        <w:t>aff'd</w:t>
      </w:r>
      <w:r>
        <w:rPr>
          <w:rFonts w:ascii="Arial" w:eastAsia="Arial" w:hAnsi="Arial" w:cs="Arial"/>
          <w:color w:val="000000"/>
          <w:sz w:val="20"/>
        </w:rPr>
        <w:t xml:space="preserve">, 172 F.3d 876 (9th Cir. 1999), and </w:t>
      </w:r>
      <w:bookmarkStart w:id="5939" w:name="Bookmark_I5CHK2GN2HM6XP0010000400"/>
      <w:bookmarkEnd w:id="5939"/>
      <w:r>
        <w:rPr>
          <w:rFonts w:ascii="Arial" w:eastAsia="Arial" w:hAnsi="Arial" w:cs="Arial"/>
          <w:i/>
          <w:color w:val="000000"/>
          <w:sz w:val="20"/>
        </w:rPr>
        <w:t>Parker v. Universidad de P.R</w:t>
      </w:r>
      <w:r>
        <w:rPr>
          <w:rFonts w:ascii="Arial" w:eastAsia="Arial" w:hAnsi="Arial" w:cs="Arial"/>
          <w:color w:val="000000"/>
          <w:sz w:val="20"/>
        </w:rPr>
        <w:t>., 225 F.3d 1, 6-7 (1st Cir. 2000). These cases are inapposite, however, because they address public entities' obligations only when they modify existing facilities to achieve ADA compliance under 28 C.F.R. § 35.150. We confront entirely different circumstances here, where the City was in compliance with the ADA, but allowed elimination of the disabled access it had built.</w:t>
      </w:r>
    </w:p>
    <w:p w14:paraId="28B0A25F" w14:textId="77777777" w:rsidR="002D0E71" w:rsidRDefault="00000000">
      <w:pPr>
        <w:pStyle w:val="Normal40"/>
        <w:widowControl w:val="0"/>
        <w:spacing w:before="200" w:line="260" w:lineRule="atLeast"/>
        <w:jc w:val="both"/>
      </w:pPr>
      <w:bookmarkStart w:id="5940" w:name="Bookmark_para_23_28"/>
      <w:bookmarkStart w:id="5941" w:name="Bookmark_I5CHK2GN2HM6XP0040000400"/>
      <w:bookmarkEnd w:id="5940"/>
      <w:bookmarkEnd w:id="5941"/>
      <w:r>
        <w:rPr>
          <w:rFonts w:ascii="Arial" w:eastAsia="Arial" w:hAnsi="Arial" w:cs="Arial"/>
          <w:color w:val="000000"/>
          <w:sz w:val="20"/>
        </w:rPr>
        <w:t xml:space="preserve">In </w:t>
      </w:r>
      <w:r>
        <w:rPr>
          <w:rFonts w:ascii="Arial" w:eastAsia="Arial" w:hAnsi="Arial" w:cs="Arial"/>
          <w:i/>
          <w:color w:val="000000"/>
          <w:sz w:val="20"/>
        </w:rPr>
        <w:t>Schonfeld</w:t>
      </w:r>
      <w:r>
        <w:rPr>
          <w:rFonts w:ascii="Arial" w:eastAsia="Arial" w:hAnsi="Arial" w:cs="Arial"/>
          <w:color w:val="000000"/>
          <w:sz w:val="20"/>
        </w:rPr>
        <w:t xml:space="preserve">, the city of Carlsbad, California, was working toward compliance with the ADA by modifying its existing facilities, including its city  [**16] hall, library, bus stops, and sidewalks, under 28 C.F.R. § 35.150. A putative class of disabled plaintiffs alleged, among other things, that Carlsbad had failed to timely adopt the transition plan mandated by § 35.150(d)(1) and failed to install curb ramps at certain intersections within three years of January 26, 1992, as required by § 35.150(c). </w:t>
      </w:r>
      <w:bookmarkStart w:id="5942" w:name="Bookmark_I5CHK2GN2N1R910010000400"/>
      <w:bookmarkStart w:id="5943" w:name="Bookmark_I5CHK2GN2HM6XP0030000400"/>
      <w:bookmarkEnd w:id="5942"/>
      <w:bookmarkEnd w:id="5943"/>
      <w:r>
        <w:rPr>
          <w:rFonts w:ascii="Arial" w:eastAsia="Arial" w:hAnsi="Arial" w:cs="Arial"/>
          <w:i/>
          <w:color w:val="000000"/>
          <w:sz w:val="20"/>
        </w:rPr>
        <w:t>Schonfeld</w:t>
      </w:r>
      <w:r>
        <w:rPr>
          <w:rFonts w:ascii="Arial" w:eastAsia="Arial" w:hAnsi="Arial" w:cs="Arial"/>
          <w:color w:val="000000"/>
          <w:sz w:val="20"/>
        </w:rPr>
        <w:t xml:space="preserve">, 978 F. Supp. at 1333, 1335. </w:t>
      </w:r>
      <w:bookmarkStart w:id="5944" w:name="Bookmark_I5CHK2GN2N1R910010000400_2"/>
      <w:bookmarkStart w:id="5945" w:name="Bookmark_I5CHK2GN2N1R910030000400"/>
      <w:bookmarkStart w:id="5946" w:name="Bookmark_I5CHK2GN2N1R910050000400"/>
      <w:bookmarkEnd w:id="5944"/>
      <w:bookmarkEnd w:id="5945"/>
      <w:bookmarkEnd w:id="5946"/>
      <w:r>
        <w:rPr>
          <w:rFonts w:ascii="Arial" w:eastAsia="Arial" w:hAnsi="Arial" w:cs="Arial"/>
          <w:color w:val="000000"/>
          <w:sz w:val="20"/>
        </w:rPr>
        <w:t xml:space="preserve">The plaintiffs introduced evidence that curb ramps had not been built at various corners, but they did not introduce evidence that they were unable to access city streets or parking facilities at those locations. </w:t>
      </w:r>
      <w:bookmarkStart w:id="5947" w:name="Bookmark_I5CHK2GN2HM6XP0050000400"/>
      <w:bookmarkEnd w:id="5947"/>
      <w:r>
        <w:rPr>
          <w:rFonts w:ascii="Arial" w:eastAsia="Arial" w:hAnsi="Arial" w:cs="Arial"/>
          <w:i/>
          <w:color w:val="000000"/>
          <w:sz w:val="20"/>
        </w:rPr>
        <w:t>Id</w:t>
      </w:r>
      <w:r>
        <w:rPr>
          <w:rFonts w:ascii="Arial" w:eastAsia="Arial" w:hAnsi="Arial" w:cs="Arial"/>
          <w:color w:val="000000"/>
          <w:sz w:val="20"/>
        </w:rPr>
        <w:t xml:space="preserve">. at 1340. </w:t>
      </w:r>
      <w:bookmarkStart w:id="5948" w:name="Bookmark_I5CHK2GN2N1R910050000400_2"/>
      <w:bookmarkStart w:id="5949" w:name="Bookmark_I5CHK2GN2N1R910030000400_2"/>
      <w:bookmarkEnd w:id="5948"/>
      <w:bookmarkEnd w:id="5949"/>
      <w:r>
        <w:rPr>
          <w:rFonts w:ascii="Arial" w:eastAsia="Arial" w:hAnsi="Arial" w:cs="Arial"/>
          <w:color w:val="000000"/>
          <w:sz w:val="20"/>
        </w:rPr>
        <w:t>The court held that the plaintiffs' evidence was insufficient to create a genuine dispute of material fact as to whether Carlsbad had denied them access to a public service under the ADA, and it granted summary judgment in Carlsbad's favor.</w:t>
      </w:r>
      <w:r>
        <w:rPr>
          <w:rFonts w:ascii="Arial" w:eastAsia="Arial" w:hAnsi="Arial" w:cs="Arial"/>
          <w:vertAlign w:val="superscript"/>
        </w:rPr>
        <w:footnoteReference w:customMarkFollows="1" w:id="245"/>
        <w:t>7</w:t>
      </w:r>
      <w:r>
        <w:rPr>
          <w:rFonts w:ascii="Arial" w:eastAsia="Arial" w:hAnsi="Arial" w:cs="Arial"/>
          <w:color w:val="000000"/>
          <w:sz w:val="20"/>
        </w:rPr>
        <w:t xml:space="preserve"> </w:t>
      </w:r>
      <w:bookmarkStart w:id="5952" w:name="Bookmark_I5CHK2GN2N1R910020000400"/>
      <w:bookmarkEnd w:id="5952"/>
      <w:r>
        <w:rPr>
          <w:rFonts w:ascii="Arial" w:eastAsia="Arial" w:hAnsi="Arial" w:cs="Arial"/>
          <w:i/>
          <w:color w:val="000000"/>
          <w:sz w:val="20"/>
        </w:rPr>
        <w:t>Id</w:t>
      </w:r>
      <w:r>
        <w:rPr>
          <w:rFonts w:ascii="Arial" w:eastAsia="Arial" w:hAnsi="Arial" w:cs="Arial"/>
          <w:color w:val="000000"/>
          <w:sz w:val="20"/>
        </w:rPr>
        <w:t>. at 1341.</w:t>
      </w:r>
    </w:p>
    <w:p w14:paraId="1B51E749" w14:textId="77777777" w:rsidR="002D0E71" w:rsidRDefault="00000000">
      <w:pPr>
        <w:pStyle w:val="Normal40"/>
        <w:widowControl w:val="0"/>
        <w:spacing w:before="200" w:line="260" w:lineRule="atLeast"/>
        <w:jc w:val="both"/>
      </w:pPr>
      <w:bookmarkStart w:id="5953" w:name="Bookmark_para_24_28"/>
      <w:bookmarkStart w:id="5954" w:name="Bookmark_I5CHK2GN28T49X0020000400"/>
      <w:bookmarkEnd w:id="5953"/>
      <w:bookmarkEnd w:id="5954"/>
      <w:r>
        <w:rPr>
          <w:rFonts w:ascii="Arial" w:eastAsia="Arial" w:hAnsi="Arial" w:cs="Arial"/>
          <w:color w:val="000000"/>
          <w:sz w:val="20"/>
        </w:rPr>
        <w:t xml:space="preserve">The court in </w:t>
      </w:r>
      <w:r>
        <w:rPr>
          <w:rFonts w:ascii="Arial" w:eastAsia="Arial" w:hAnsi="Arial" w:cs="Arial"/>
          <w:i/>
          <w:color w:val="000000"/>
          <w:sz w:val="20"/>
        </w:rPr>
        <w:t>Schonfeld</w:t>
      </w:r>
      <w:r>
        <w:rPr>
          <w:rFonts w:ascii="Arial" w:eastAsia="Arial" w:hAnsi="Arial" w:cs="Arial"/>
          <w:color w:val="000000"/>
          <w:sz w:val="20"/>
        </w:rPr>
        <w:t xml:space="preserve"> correctly reasoned that § 35.150 did not require Carlsbad to build a curb ramp at every intersection. Rather, that provision simply required  [**17] Carlsbad's programs and services to be accessible as a whole, and it allowed Carlsbad to choose its method of complying with this requirement. </w:t>
      </w:r>
      <w:bookmarkStart w:id="5955" w:name="Bookmark_I5CHK2GN28T49X0040000400"/>
      <w:bookmarkStart w:id="5956" w:name="Bookmark_I5CHK2GN28T49X0010000400"/>
      <w:bookmarkEnd w:id="5955"/>
      <w:bookmarkEnd w:id="5956"/>
      <w:r>
        <w:rPr>
          <w:rFonts w:ascii="Arial" w:eastAsia="Arial" w:hAnsi="Arial" w:cs="Arial"/>
          <w:i/>
          <w:color w:val="000000"/>
          <w:sz w:val="20"/>
        </w:rPr>
        <w:t>Id</w:t>
      </w:r>
      <w:r>
        <w:rPr>
          <w:rFonts w:ascii="Arial" w:eastAsia="Arial" w:hAnsi="Arial" w:cs="Arial"/>
          <w:color w:val="000000"/>
          <w:sz w:val="20"/>
        </w:rPr>
        <w:t xml:space="preserve">. at 1339 n.11. </w:t>
      </w:r>
      <w:bookmarkStart w:id="5957" w:name="Bookmark_I5CHK2GN28T49X0040000400_2"/>
      <w:bookmarkEnd w:id="5957"/>
      <w:r>
        <w:rPr>
          <w:rFonts w:ascii="Arial" w:eastAsia="Arial" w:hAnsi="Arial" w:cs="Arial"/>
          <w:color w:val="000000"/>
          <w:sz w:val="20"/>
        </w:rPr>
        <w:t xml:space="preserve">The ADA allowed Carlsbad to compel disabled persons to travel a "marginally longer route" under some "limited circumstances," as long as its programs were still accessible as a whole. </w:t>
      </w:r>
      <w:bookmarkStart w:id="5958" w:name="Bookmark_I5CHK2GN2SF7VX0010000400"/>
      <w:bookmarkEnd w:id="5958"/>
      <w:r>
        <w:rPr>
          <w:rFonts w:ascii="Arial" w:eastAsia="Arial" w:hAnsi="Arial" w:cs="Arial"/>
          <w:i/>
          <w:color w:val="000000"/>
          <w:sz w:val="20"/>
        </w:rPr>
        <w:t>Id</w:t>
      </w:r>
      <w:r>
        <w:rPr>
          <w:rFonts w:ascii="Arial" w:eastAsia="Arial" w:hAnsi="Arial" w:cs="Arial"/>
          <w:color w:val="000000"/>
          <w:sz w:val="20"/>
        </w:rPr>
        <w:t xml:space="preserve">. The mere fact that some city sidewalks did not have curb ramps was therefore insufficient to create a triable issue as to whether Carlsbad violated Title II. </w:t>
      </w:r>
      <w:bookmarkStart w:id="5959" w:name="Bookmark_I5CHK2GN28T49X0030000400"/>
      <w:bookmarkEnd w:id="5959"/>
      <w:r>
        <w:rPr>
          <w:rFonts w:ascii="Arial" w:eastAsia="Arial" w:hAnsi="Arial" w:cs="Arial"/>
          <w:i/>
          <w:color w:val="000000"/>
          <w:sz w:val="20"/>
        </w:rPr>
        <w:t>Id</w:t>
      </w:r>
      <w:r>
        <w:rPr>
          <w:rFonts w:ascii="Arial" w:eastAsia="Arial" w:hAnsi="Arial" w:cs="Arial"/>
          <w:color w:val="000000"/>
          <w:sz w:val="20"/>
        </w:rPr>
        <w:t xml:space="preserve">. at 1341. </w:t>
      </w:r>
      <w:bookmarkStart w:id="5960" w:name="Bookmark_I5CHK2GN2SF7VX0010000400_2"/>
      <w:bookmarkEnd w:id="5960"/>
      <w:r>
        <w:rPr>
          <w:rFonts w:ascii="Arial" w:eastAsia="Arial" w:hAnsi="Arial" w:cs="Arial"/>
          <w:color w:val="000000"/>
          <w:sz w:val="20"/>
        </w:rPr>
        <w:t xml:space="preserve">In reaching this conclusion, the court in </w:t>
      </w:r>
      <w:r>
        <w:rPr>
          <w:rFonts w:ascii="Arial" w:eastAsia="Arial" w:hAnsi="Arial" w:cs="Arial"/>
          <w:i/>
          <w:color w:val="000000"/>
          <w:sz w:val="20"/>
        </w:rPr>
        <w:t>Schonfeld</w:t>
      </w:r>
      <w:r>
        <w:rPr>
          <w:rFonts w:ascii="Arial" w:eastAsia="Arial" w:hAnsi="Arial" w:cs="Arial"/>
          <w:color w:val="000000"/>
          <w:sz w:val="20"/>
        </w:rPr>
        <w:t xml:space="preserve"> relied on the ADA Title II Technical Assistance Manual, a DOJ publication that provides guidance to public entities on ADA compliance. </w:t>
      </w:r>
      <w:r>
        <w:rPr>
          <w:rFonts w:ascii="Arial" w:eastAsia="Arial" w:hAnsi="Arial" w:cs="Arial"/>
          <w:i/>
          <w:color w:val="000000"/>
          <w:sz w:val="20"/>
        </w:rPr>
        <w:t xml:space="preserve">See </w:t>
      </w:r>
      <w:bookmarkStart w:id="5961" w:name="Bookmark_I5CHK2GN28T49X0050000400"/>
      <w:bookmarkEnd w:id="5961"/>
      <w:r>
        <w:rPr>
          <w:rFonts w:ascii="Arial" w:eastAsia="Arial" w:hAnsi="Arial" w:cs="Arial"/>
          <w:i/>
          <w:color w:val="000000"/>
          <w:sz w:val="20"/>
        </w:rPr>
        <w:t>id</w:t>
      </w:r>
      <w:r>
        <w:rPr>
          <w:rFonts w:ascii="Arial" w:eastAsia="Arial" w:hAnsi="Arial" w:cs="Arial"/>
          <w:color w:val="000000"/>
          <w:sz w:val="20"/>
        </w:rPr>
        <w:t xml:space="preserve">. at 1339 n.11. The Technical Assistance Manual similarly explains that, </w:t>
      </w:r>
      <w:bookmarkStart w:id="5962" w:name="Bookmark_LNHNREFclscc17_9"/>
      <w:bookmarkEnd w:id="5962"/>
      <w:r>
        <w:rPr>
          <w:rFonts w:ascii="Arial" w:eastAsia="Arial" w:hAnsi="Arial" w:cs="Arial"/>
          <w:color w:val="000000"/>
          <w:sz w:val="20"/>
        </w:rPr>
        <w:t xml:space="preserve">under 28 C.F.R. § 35.150, "public entities are not necessarily required to construct a curb ramp at every such intersection," and that it may be appropriate to compel disabled persons to take a "marginally longer route." </w:t>
      </w:r>
      <w:r>
        <w:rPr>
          <w:rFonts w:ascii="Arial" w:eastAsia="Arial" w:hAnsi="Arial" w:cs="Arial"/>
          <w:smallCaps/>
          <w:color w:val="000000"/>
          <w:sz w:val="20"/>
        </w:rPr>
        <w:t>The Americans with Disabilities Act: Title II Technical Assistance Manual</w:t>
      </w:r>
      <w:r>
        <w:rPr>
          <w:rFonts w:ascii="Arial" w:eastAsia="Arial" w:hAnsi="Arial" w:cs="Arial"/>
          <w:color w:val="000000"/>
          <w:sz w:val="20"/>
        </w:rPr>
        <w:t xml:space="preserve"> (1993), § II-5.3000, </w:t>
      </w:r>
      <w:r>
        <w:rPr>
          <w:rFonts w:ascii="Arial" w:eastAsia="Arial" w:hAnsi="Arial" w:cs="Arial"/>
          <w:i/>
          <w:color w:val="000000"/>
          <w:sz w:val="20"/>
        </w:rPr>
        <w:t>available</w:t>
      </w:r>
      <w:r>
        <w:rPr>
          <w:rFonts w:ascii="Arial" w:eastAsia="Arial" w:hAnsi="Arial" w:cs="Arial"/>
          <w:color w:val="000000"/>
          <w:sz w:val="20"/>
        </w:rPr>
        <w:t xml:space="preserve"> at http://www.ada.gov/taman2.html.</w:t>
      </w:r>
    </w:p>
    <w:p w14:paraId="3022AE04" w14:textId="77777777" w:rsidR="002D0E71" w:rsidRDefault="00000000">
      <w:pPr>
        <w:pStyle w:val="Normal40"/>
        <w:widowControl w:val="0"/>
        <w:spacing w:before="200" w:line="260" w:lineRule="atLeast"/>
        <w:jc w:val="both"/>
      </w:pPr>
      <w:bookmarkStart w:id="5963" w:name="Bookmark_para_25_28"/>
      <w:bookmarkStart w:id="5964" w:name="Bookmark_I5CHK2GN2SF7VX0030000400"/>
      <w:bookmarkStart w:id="5965" w:name="Bookmark_I5CHK2GN2SF7VX0050000400"/>
      <w:bookmarkEnd w:id="5963"/>
      <w:bookmarkEnd w:id="5964"/>
      <w:bookmarkEnd w:id="5965"/>
      <w:r>
        <w:rPr>
          <w:rFonts w:ascii="Arial" w:eastAsia="Arial" w:hAnsi="Arial" w:cs="Arial"/>
          <w:color w:val="000000"/>
          <w:sz w:val="20"/>
        </w:rPr>
        <w:t xml:space="preserve">In </w:t>
      </w:r>
      <w:r>
        <w:rPr>
          <w:rFonts w:ascii="Arial" w:eastAsia="Arial" w:hAnsi="Arial" w:cs="Arial"/>
          <w:i/>
          <w:color w:val="000000"/>
          <w:sz w:val="20"/>
        </w:rPr>
        <w:t>Parker</w:t>
      </w:r>
      <w:r>
        <w:rPr>
          <w:rFonts w:ascii="Arial" w:eastAsia="Arial" w:hAnsi="Arial" w:cs="Arial"/>
          <w:color w:val="000000"/>
          <w:sz w:val="20"/>
        </w:rPr>
        <w:t xml:space="preserve">, the disabled plaintiff attended an awards ceremony  [**18] held at the Botanical  [*698]  Gardens of the University of Puerto Rico, a public institution. </w:t>
      </w:r>
      <w:r>
        <w:rPr>
          <w:rFonts w:ascii="Arial" w:eastAsia="Arial" w:hAnsi="Arial" w:cs="Arial"/>
          <w:i/>
          <w:color w:val="000000"/>
          <w:sz w:val="20"/>
        </w:rPr>
        <w:t xml:space="preserve">See </w:t>
      </w:r>
      <w:bookmarkStart w:id="5966" w:name="Bookmark_I5CHK2GN2SF7VX0020000400"/>
      <w:bookmarkEnd w:id="5966"/>
      <w:r>
        <w:rPr>
          <w:rFonts w:ascii="Arial" w:eastAsia="Arial" w:hAnsi="Arial" w:cs="Arial"/>
          <w:i/>
          <w:color w:val="000000"/>
          <w:sz w:val="20"/>
        </w:rPr>
        <w:t>Parker</w:t>
      </w:r>
      <w:r>
        <w:rPr>
          <w:rFonts w:ascii="Arial" w:eastAsia="Arial" w:hAnsi="Arial" w:cs="Arial"/>
          <w:color w:val="000000"/>
          <w:sz w:val="20"/>
        </w:rPr>
        <w:t xml:space="preserve">, 225 F.3d at 3. Park staff directed the plaintiff, who required a motorized wheelchair for mobility, to use a particular path to travel to a garden in which the ceremony was held. </w:t>
      </w:r>
      <w:bookmarkStart w:id="5967" w:name="Bookmark_I5CHK2GN2SF7VX0040000400"/>
      <w:bookmarkEnd w:id="5967"/>
      <w:r>
        <w:rPr>
          <w:rFonts w:ascii="Arial" w:eastAsia="Arial" w:hAnsi="Arial" w:cs="Arial"/>
          <w:i/>
          <w:color w:val="000000"/>
          <w:sz w:val="20"/>
        </w:rPr>
        <w:t>Id</w:t>
      </w:r>
      <w:r>
        <w:rPr>
          <w:rFonts w:ascii="Arial" w:eastAsia="Arial" w:hAnsi="Arial" w:cs="Arial"/>
          <w:color w:val="000000"/>
          <w:sz w:val="20"/>
        </w:rPr>
        <w:t xml:space="preserve">. at 3. The plaintiff introduced evidence that the path was not designed for disabled access. </w:t>
      </w:r>
      <w:r>
        <w:rPr>
          <w:rFonts w:ascii="Arial" w:eastAsia="Arial" w:hAnsi="Arial" w:cs="Arial"/>
          <w:i/>
          <w:color w:val="000000"/>
          <w:sz w:val="20"/>
        </w:rPr>
        <w:t>Id</w:t>
      </w:r>
      <w:r>
        <w:rPr>
          <w:rFonts w:ascii="Arial" w:eastAsia="Arial" w:hAnsi="Arial" w:cs="Arial"/>
          <w:color w:val="000000"/>
          <w:sz w:val="20"/>
        </w:rPr>
        <w:t xml:space="preserve">. The plaintiff's wheelchair flipped over when, according to a witness, it fell off a two-inch lip at the bottom of the path. </w:t>
      </w:r>
      <w:r>
        <w:rPr>
          <w:rFonts w:ascii="Arial" w:eastAsia="Arial" w:hAnsi="Arial" w:cs="Arial"/>
          <w:i/>
          <w:color w:val="000000"/>
          <w:sz w:val="20"/>
        </w:rPr>
        <w:t>See id</w:t>
      </w:r>
      <w:r>
        <w:rPr>
          <w:rFonts w:ascii="Arial" w:eastAsia="Arial" w:hAnsi="Arial" w:cs="Arial"/>
          <w:color w:val="000000"/>
          <w:sz w:val="20"/>
        </w:rPr>
        <w:t xml:space="preserve">. The plaintiff broke his clavicle and lost the ability to use his right arm, which he had previously regained through two years of physical therapy after having suffered the stroke that caused his disability. </w:t>
      </w:r>
      <w:r>
        <w:rPr>
          <w:rFonts w:ascii="Arial" w:eastAsia="Arial" w:hAnsi="Arial" w:cs="Arial"/>
          <w:i/>
          <w:color w:val="000000"/>
          <w:sz w:val="20"/>
        </w:rPr>
        <w:t>Id</w:t>
      </w:r>
      <w:r>
        <w:rPr>
          <w:rFonts w:ascii="Arial" w:eastAsia="Arial" w:hAnsi="Arial" w:cs="Arial"/>
          <w:color w:val="000000"/>
          <w:sz w:val="20"/>
        </w:rPr>
        <w:t>.</w:t>
      </w:r>
    </w:p>
    <w:p w14:paraId="3D7AA8C5" w14:textId="77777777" w:rsidR="002D0E71" w:rsidRDefault="00000000">
      <w:pPr>
        <w:pStyle w:val="Normal40"/>
        <w:widowControl w:val="0"/>
        <w:spacing w:before="200" w:line="260" w:lineRule="atLeast"/>
        <w:jc w:val="both"/>
      </w:pPr>
      <w:bookmarkStart w:id="5968" w:name="Bookmark_para_26_27"/>
      <w:bookmarkStart w:id="5969" w:name="Bookmark_I5CHK2GN2HM6XR0020000400"/>
      <w:bookmarkEnd w:id="5968"/>
      <w:bookmarkEnd w:id="5969"/>
      <w:r>
        <w:rPr>
          <w:rFonts w:ascii="Arial" w:eastAsia="Arial" w:hAnsi="Arial" w:cs="Arial"/>
          <w:color w:val="000000"/>
          <w:sz w:val="20"/>
        </w:rPr>
        <w:t xml:space="preserve">The court in </w:t>
      </w:r>
      <w:r>
        <w:rPr>
          <w:rFonts w:ascii="Arial" w:eastAsia="Arial" w:hAnsi="Arial" w:cs="Arial"/>
          <w:i/>
          <w:color w:val="000000"/>
          <w:sz w:val="20"/>
        </w:rPr>
        <w:t>Parker</w:t>
      </w:r>
      <w:r>
        <w:rPr>
          <w:rFonts w:ascii="Arial" w:eastAsia="Arial" w:hAnsi="Arial" w:cs="Arial"/>
          <w:color w:val="000000"/>
          <w:sz w:val="20"/>
        </w:rPr>
        <w:t xml:space="preserve"> applied 28 C.F.R. § 35.150. </w:t>
      </w:r>
      <w:bookmarkStart w:id="5970" w:name="Bookmark_I5CHK2GN2HM6XR0040000400"/>
      <w:bookmarkEnd w:id="5970"/>
      <w:r>
        <w:rPr>
          <w:rFonts w:ascii="Arial" w:eastAsia="Arial" w:hAnsi="Arial" w:cs="Arial"/>
          <w:color w:val="000000"/>
          <w:sz w:val="20"/>
        </w:rPr>
        <w:t xml:space="preserve">It explained that, pursuant to its duty under § 35.150(b)(1) to prioritize methods of compliance that would allow it to administer its programs in "the most integrated setting appropriate," the university was required to ensure that disabled persons could access the ceremony site "using safe walkways, ramps, and curb cuts." </w:t>
      </w:r>
      <w:bookmarkStart w:id="5971" w:name="Bookmark_I5CHK2GN2HM6XR0010000400"/>
      <w:bookmarkEnd w:id="5971"/>
      <w:r>
        <w:rPr>
          <w:rFonts w:ascii="Arial" w:eastAsia="Arial" w:hAnsi="Arial" w:cs="Arial"/>
          <w:i/>
          <w:color w:val="000000"/>
          <w:sz w:val="20"/>
        </w:rPr>
        <w:t>Id</w:t>
      </w:r>
      <w:r>
        <w:rPr>
          <w:rFonts w:ascii="Arial" w:eastAsia="Arial" w:hAnsi="Arial" w:cs="Arial"/>
          <w:color w:val="000000"/>
          <w:sz w:val="20"/>
        </w:rPr>
        <w:t xml:space="preserve">. at 6-7 (internal quotation marks omitted). The court observed that the university was "not required to  [**19] make every passageway in and out of the [site] accessible," but was required to provide "at least one" safe access route for a person in a wheelchair. </w:t>
      </w:r>
      <w:bookmarkStart w:id="5972" w:name="Bookmark_I5CHK2GN2HM6XR0040000400_2"/>
      <w:bookmarkStart w:id="5973" w:name="Bookmark_I5CHK2GN2HM6XR0030000400"/>
      <w:bookmarkEnd w:id="5972"/>
      <w:bookmarkEnd w:id="5973"/>
      <w:r>
        <w:rPr>
          <w:rFonts w:ascii="Arial" w:eastAsia="Arial" w:hAnsi="Arial" w:cs="Arial"/>
          <w:i/>
          <w:color w:val="000000"/>
          <w:sz w:val="20"/>
        </w:rPr>
        <w:t>Id</w:t>
      </w:r>
      <w:r>
        <w:rPr>
          <w:rFonts w:ascii="Arial" w:eastAsia="Arial" w:hAnsi="Arial" w:cs="Arial"/>
          <w:color w:val="000000"/>
          <w:sz w:val="20"/>
        </w:rPr>
        <w:t xml:space="preserve">. at 7. Consequently, the court in </w:t>
      </w:r>
      <w:r>
        <w:rPr>
          <w:rFonts w:ascii="Arial" w:eastAsia="Arial" w:hAnsi="Arial" w:cs="Arial"/>
          <w:i/>
          <w:color w:val="000000"/>
          <w:sz w:val="20"/>
        </w:rPr>
        <w:t>Parker</w:t>
      </w:r>
      <w:r>
        <w:rPr>
          <w:rFonts w:ascii="Arial" w:eastAsia="Arial" w:hAnsi="Arial" w:cs="Arial"/>
          <w:color w:val="000000"/>
          <w:sz w:val="20"/>
        </w:rPr>
        <w:t xml:space="preserve"> held that judgment as a matter of law in favor of the university was improper. </w:t>
      </w:r>
      <w:r>
        <w:rPr>
          <w:rFonts w:ascii="Arial" w:eastAsia="Arial" w:hAnsi="Arial" w:cs="Arial"/>
          <w:i/>
          <w:color w:val="000000"/>
          <w:sz w:val="20"/>
        </w:rPr>
        <w:t>Id</w:t>
      </w:r>
      <w:r>
        <w:rPr>
          <w:rFonts w:ascii="Arial" w:eastAsia="Arial" w:hAnsi="Arial" w:cs="Arial"/>
          <w:color w:val="000000"/>
          <w:sz w:val="20"/>
        </w:rPr>
        <w:t xml:space="preserve">. A jury could have concluded that the disabled plaintiff used the path intended for wheelchair access, that the path was maintained in an unsafe manner, and that the unsafe conditions caused the plaintiff's injuries. </w:t>
      </w:r>
      <w:r>
        <w:rPr>
          <w:rFonts w:ascii="Arial" w:eastAsia="Arial" w:hAnsi="Arial" w:cs="Arial"/>
          <w:i/>
          <w:color w:val="000000"/>
          <w:sz w:val="20"/>
        </w:rPr>
        <w:t>Id</w:t>
      </w:r>
      <w:r>
        <w:rPr>
          <w:rFonts w:ascii="Arial" w:eastAsia="Arial" w:hAnsi="Arial" w:cs="Arial"/>
          <w:color w:val="000000"/>
          <w:sz w:val="20"/>
        </w:rPr>
        <w:t>.</w:t>
      </w:r>
    </w:p>
    <w:p w14:paraId="25A954D3" w14:textId="77777777" w:rsidR="002D0E71" w:rsidRDefault="00000000">
      <w:pPr>
        <w:pStyle w:val="Normal40"/>
        <w:widowControl w:val="0"/>
        <w:spacing w:before="200" w:line="260" w:lineRule="atLeast"/>
        <w:jc w:val="both"/>
      </w:pPr>
      <w:bookmarkStart w:id="5974" w:name="Bookmark_para_27_27"/>
      <w:bookmarkEnd w:id="5974"/>
      <w:r>
        <w:rPr>
          <w:rFonts w:ascii="Arial" w:eastAsia="Arial" w:hAnsi="Arial" w:cs="Arial"/>
          <w:color w:val="000000"/>
          <w:sz w:val="20"/>
        </w:rPr>
        <w:t xml:space="preserve">Here, the City was not renovating its existing sidewalks under a plan to achieve ADA compliance. It was allowing its sidewalks to be used by private vendors for the purpose of holding a street fair. The curb ramp in front of the Culver Hotel was not under construction or renovation. It already existed. The district court therefore erred by relying on </w:t>
      </w:r>
      <w:bookmarkStart w:id="5975" w:name="Bookmark_LNHNREFclscc18_8"/>
      <w:bookmarkEnd w:id="5975"/>
      <w:r>
        <w:rPr>
          <w:rFonts w:ascii="Arial" w:eastAsia="Arial" w:hAnsi="Arial" w:cs="Arial"/>
          <w:color w:val="000000"/>
          <w:sz w:val="20"/>
        </w:rPr>
        <w:t xml:space="preserve">the "marginally longer route" standard of </w:t>
      </w:r>
      <w:r>
        <w:rPr>
          <w:rFonts w:ascii="Arial" w:eastAsia="Arial" w:hAnsi="Arial" w:cs="Arial"/>
          <w:i/>
          <w:color w:val="000000"/>
          <w:sz w:val="20"/>
        </w:rPr>
        <w:t>Schonfeld</w:t>
      </w:r>
      <w:r>
        <w:rPr>
          <w:rFonts w:ascii="Arial" w:eastAsia="Arial" w:hAnsi="Arial" w:cs="Arial"/>
          <w:color w:val="000000"/>
          <w:sz w:val="20"/>
        </w:rPr>
        <w:t xml:space="preserve"> and the Technical Assistance Manual, which applies when the City is modifying its sidewalks to achieve program accessibility under § 35.150. Similarly, the district court erred by relying on the </w:t>
      </w:r>
      <w:r>
        <w:rPr>
          <w:rFonts w:ascii="Arial" w:eastAsia="Arial" w:hAnsi="Arial" w:cs="Arial"/>
          <w:i/>
          <w:color w:val="000000"/>
          <w:sz w:val="20"/>
        </w:rPr>
        <w:t>Parker</w:t>
      </w:r>
      <w:r>
        <w:rPr>
          <w:rFonts w:ascii="Arial" w:eastAsia="Arial" w:hAnsi="Arial" w:cs="Arial"/>
          <w:color w:val="000000"/>
          <w:sz w:val="20"/>
        </w:rPr>
        <w:t xml:space="preserve"> court's observation that the university was not required to provide multiple disabled access routes  [**20] to the garden in which the ceremony was held. This statement simply defines the scope of the university's duty under § 35.150 to provide an "integrated" method of access to the programs it held in the garden.</w:t>
      </w:r>
    </w:p>
    <w:p w14:paraId="6C27F286" w14:textId="77777777" w:rsidR="002D0E71" w:rsidRDefault="00000000">
      <w:pPr>
        <w:pStyle w:val="Normal40"/>
        <w:widowControl w:val="0"/>
        <w:spacing w:before="200" w:line="260" w:lineRule="atLeast"/>
        <w:jc w:val="both"/>
      </w:pPr>
      <w:bookmarkStart w:id="5976" w:name="Bookmark_para_28_24"/>
      <w:bookmarkEnd w:id="5976"/>
      <w:r>
        <w:rPr>
          <w:rFonts w:ascii="Arial" w:eastAsia="Arial" w:hAnsi="Arial" w:cs="Arial"/>
          <w:color w:val="000000"/>
          <w:sz w:val="20"/>
        </w:rPr>
        <w:t xml:space="preserve">To the extent the regulations governing the construction and renovation of facilities apply to the City's blockage of an existing curb ramp, 28 C.F.R. § 35.151 is more relevant than 28 C.F.R. § 35.150. As we explain above, </w:t>
      </w:r>
      <w:bookmarkStart w:id="5977" w:name="Bookmark_LNHNREFclscc19_6"/>
      <w:bookmarkEnd w:id="5977"/>
      <w:r>
        <w:rPr>
          <w:rFonts w:ascii="Arial" w:eastAsia="Arial" w:hAnsi="Arial" w:cs="Arial"/>
          <w:color w:val="000000"/>
          <w:sz w:val="20"/>
        </w:rPr>
        <w:t xml:space="preserve">when the City builds new sidewalks or alters existing ones for reasons other than retrofitting to achieve ADA compliance, § 35.151 plainly requires it to build a curb ramp at every intersection unless doing so would be structurally impracticable. </w:t>
      </w:r>
      <w:r>
        <w:rPr>
          <w:rFonts w:ascii="Arial" w:eastAsia="Arial" w:hAnsi="Arial" w:cs="Arial"/>
          <w:i/>
          <w:color w:val="000000"/>
          <w:sz w:val="20"/>
        </w:rPr>
        <w:t>See</w:t>
      </w:r>
      <w:r>
        <w:rPr>
          <w:rFonts w:ascii="Arial" w:eastAsia="Arial" w:hAnsi="Arial" w:cs="Arial"/>
          <w:color w:val="000000"/>
          <w:sz w:val="20"/>
        </w:rPr>
        <w:t xml:space="preserve"> 28 C.F.R. § 35.151(i). A DOJ publication discussing the implementation of Title II states:</w:t>
      </w:r>
    </w:p>
    <w:p w14:paraId="538FF0A5" w14:textId="77777777" w:rsidR="002D0E71" w:rsidRDefault="00000000">
      <w:pPr>
        <w:pStyle w:val="Normal40"/>
        <w:widowControl w:val="0"/>
        <w:spacing w:line="260" w:lineRule="atLeast"/>
        <w:ind w:left="400"/>
        <w:jc w:val="both"/>
      </w:pPr>
      <w:bookmarkStart w:id="5978" w:name="Bookmark_para_29_23"/>
      <w:bookmarkEnd w:id="5978"/>
      <w:r>
        <w:rPr>
          <w:rFonts w:ascii="Arial" w:eastAsia="Arial" w:hAnsi="Arial" w:cs="Arial"/>
          <w:color w:val="000000"/>
          <w:sz w:val="20"/>
        </w:rPr>
        <w:t>[W]hen new sidewalks or walkways are built or altered, they must contain curb ramps or sloped areas wherever they intersect with streets or roads. . . . At existing roads and sidewalks that have not been altered, however, city governments may choose to construct curb ramps at every point where a pedestrian walkway intersects a curb, but they are not necessarily required to do so.</w:t>
      </w:r>
    </w:p>
    <w:p w14:paraId="540FCE6B" w14:textId="77777777" w:rsidR="002D0E71" w:rsidRDefault="00000000">
      <w:pPr>
        <w:pStyle w:val="Normal40"/>
        <w:widowControl w:val="0"/>
        <w:spacing w:before="200" w:line="260" w:lineRule="atLeast"/>
        <w:jc w:val="both"/>
      </w:pPr>
      <w:r>
        <w:rPr>
          <w:rFonts w:ascii="Arial" w:eastAsia="Arial" w:hAnsi="Arial" w:cs="Arial"/>
          <w:color w:val="000000"/>
          <w:sz w:val="20"/>
        </w:rPr>
        <w:t xml:space="preserve">Civil Rights Div., U.S. Dep't of Justice, </w:t>
      </w:r>
      <w:r>
        <w:rPr>
          <w:rFonts w:ascii="Arial" w:eastAsia="Arial" w:hAnsi="Arial" w:cs="Arial"/>
          <w:i/>
          <w:color w:val="000000"/>
          <w:sz w:val="20"/>
        </w:rPr>
        <w:t>The  [**21] ADA and City Governments: Common Problems</w:t>
      </w:r>
      <w:r>
        <w:rPr>
          <w:rFonts w:ascii="Arial" w:eastAsia="Arial" w:hAnsi="Arial" w:cs="Arial"/>
          <w:color w:val="000000"/>
          <w:sz w:val="20"/>
        </w:rPr>
        <w:t xml:space="preserve"> 5, </w:t>
      </w:r>
      <w:r>
        <w:rPr>
          <w:rFonts w:ascii="Arial" w:eastAsia="Arial" w:hAnsi="Arial" w:cs="Arial"/>
          <w:i/>
          <w:color w:val="000000"/>
          <w:sz w:val="20"/>
        </w:rPr>
        <w:t>available at</w:t>
      </w:r>
      <w:r>
        <w:rPr>
          <w:rFonts w:ascii="Arial" w:eastAsia="Arial" w:hAnsi="Arial" w:cs="Arial"/>
          <w:color w:val="000000"/>
          <w:sz w:val="20"/>
        </w:rPr>
        <w:t xml:space="preserve"> http://www.ada.gov/comprob.pdf. It follows that, under  [*699]  § 35.151, the City cannot justify the failure to build a curb ramp at an intersection on the ground that a marginally longer route was available down the street. The DOJ Technical Assistance Manual, which expressly permits a "marginally longer" disabled access route under § 35.150, contains no such language in its discussion of § 35.151. </w:t>
      </w:r>
      <w:r>
        <w:rPr>
          <w:rFonts w:ascii="Arial" w:eastAsia="Arial" w:hAnsi="Arial" w:cs="Arial"/>
          <w:i/>
          <w:color w:val="000000"/>
          <w:sz w:val="20"/>
        </w:rPr>
        <w:t>See</w:t>
      </w:r>
      <w:r>
        <w:rPr>
          <w:rFonts w:ascii="Arial" w:eastAsia="Arial" w:hAnsi="Arial" w:cs="Arial"/>
          <w:color w:val="000000"/>
          <w:sz w:val="20"/>
        </w:rPr>
        <w:t xml:space="preserve"> TITLE II </w:t>
      </w:r>
      <w:r>
        <w:rPr>
          <w:rFonts w:ascii="Arial" w:eastAsia="Arial" w:hAnsi="Arial" w:cs="Arial"/>
          <w:smallCaps/>
          <w:color w:val="000000"/>
          <w:sz w:val="20"/>
        </w:rPr>
        <w:t>Technical Assistance Manual</w:t>
      </w:r>
      <w:r>
        <w:rPr>
          <w:rFonts w:ascii="Arial" w:eastAsia="Arial" w:hAnsi="Arial" w:cs="Arial"/>
          <w:color w:val="000000"/>
          <w:sz w:val="20"/>
        </w:rPr>
        <w:t xml:space="preserve">, </w:t>
      </w:r>
      <w:r>
        <w:rPr>
          <w:rFonts w:ascii="Arial" w:eastAsia="Arial" w:hAnsi="Arial" w:cs="Arial"/>
          <w:i/>
          <w:color w:val="000000"/>
          <w:sz w:val="20"/>
        </w:rPr>
        <w:t>supra</w:t>
      </w:r>
      <w:r>
        <w:rPr>
          <w:rFonts w:ascii="Arial" w:eastAsia="Arial" w:hAnsi="Arial" w:cs="Arial"/>
          <w:color w:val="000000"/>
          <w:sz w:val="20"/>
        </w:rPr>
        <w:t>, § II-6.6000.</w:t>
      </w:r>
    </w:p>
    <w:p w14:paraId="7D6ECEF6" w14:textId="77777777" w:rsidR="002D0E71" w:rsidRDefault="00000000">
      <w:pPr>
        <w:pStyle w:val="Normal40"/>
        <w:widowControl w:val="0"/>
        <w:spacing w:before="200" w:line="260" w:lineRule="atLeast"/>
        <w:jc w:val="both"/>
      </w:pPr>
      <w:bookmarkStart w:id="5979" w:name="Bookmark_para_30_22"/>
      <w:bookmarkEnd w:id="5979"/>
      <w:r>
        <w:rPr>
          <w:rFonts w:ascii="Arial" w:eastAsia="Arial" w:hAnsi="Arial" w:cs="Arial"/>
          <w:color w:val="000000"/>
          <w:sz w:val="20"/>
        </w:rPr>
        <w:t>The City's conduct here is more analogous to altering its sidewalks for reasons unrelated to ADA compliance, as contemplated by § 35.151, than it is to retrofitting a sidewalk to achieve program accessibility under § 35.150.  [**22] The City chose to alter the existing arrangement of the public sidewalk by allowing private vendors to set up displays for the purpose of holding a car show. The vendors' presence was entirely unrelated to the goal of making the City's programs or services accessible to disabled persons. It would not have imposed an additional burden on the City for it to require the vendors to locate their booths a few feet in either direction to avoid blocking disabled ramps.</w:t>
      </w:r>
    </w:p>
    <w:p w14:paraId="1F06A962" w14:textId="77777777" w:rsidR="002D0E71" w:rsidRDefault="00000000">
      <w:pPr>
        <w:pStyle w:val="Normal40"/>
        <w:widowControl w:val="0"/>
        <w:spacing w:before="200" w:line="260" w:lineRule="atLeast"/>
        <w:jc w:val="both"/>
      </w:pPr>
      <w:bookmarkStart w:id="5980" w:name="Bookmark_para_31_21"/>
      <w:bookmarkStart w:id="5981" w:name="Bookmark_I5CHK2GN2D6NNN0010000400"/>
      <w:bookmarkStart w:id="5982" w:name="Bookmark_LNHNREFclscc20_6"/>
      <w:bookmarkEnd w:id="5980"/>
      <w:bookmarkEnd w:id="5981"/>
      <w:bookmarkEnd w:id="5982"/>
      <w:r>
        <w:rPr>
          <w:rFonts w:ascii="Arial" w:eastAsia="Arial" w:hAnsi="Arial" w:cs="Arial"/>
          <w:color w:val="000000"/>
          <w:sz w:val="20"/>
        </w:rPr>
        <w:t xml:space="preserve">Sections 35.150 and 35.151 both implement, in different circumstances, the ADA's requirement that public entities make reasonable modifications to accommodate persons with disabilities. </w:t>
      </w:r>
      <w:bookmarkStart w:id="5983" w:name="Bookmark_I5CHK2GN2D6NNN0030000400"/>
      <w:bookmarkEnd w:id="5983"/>
      <w:r>
        <w:rPr>
          <w:rFonts w:ascii="Arial" w:eastAsia="Arial" w:hAnsi="Arial" w:cs="Arial"/>
          <w:i/>
          <w:color w:val="000000"/>
          <w:sz w:val="20"/>
        </w:rPr>
        <w:t xml:space="preserve">See </w:t>
      </w:r>
      <w:bookmarkStart w:id="5984" w:name="Bookmark_I5CHK2GN2HM6XR0050000400"/>
      <w:bookmarkEnd w:id="5984"/>
      <w:r>
        <w:rPr>
          <w:rFonts w:ascii="Arial" w:eastAsia="Arial" w:hAnsi="Arial" w:cs="Arial"/>
          <w:i/>
          <w:color w:val="000000"/>
          <w:sz w:val="20"/>
        </w:rPr>
        <w:t>Lane</w:t>
      </w:r>
      <w:r>
        <w:rPr>
          <w:rFonts w:ascii="Arial" w:eastAsia="Arial" w:hAnsi="Arial" w:cs="Arial"/>
          <w:color w:val="000000"/>
          <w:sz w:val="20"/>
        </w:rPr>
        <w:t xml:space="preserve">, 541 U.S. at 532. The less stringent demands of § 35.150 govern when it would be unreasonable to expect public entities to comply with the more exacting standards of § 35.151. </w:t>
      </w:r>
      <w:bookmarkStart w:id="5985" w:name="Bookmark_I5CHK2GN2D6NNN0030000400_2"/>
      <w:bookmarkEnd w:id="5985"/>
      <w:r>
        <w:rPr>
          <w:rFonts w:ascii="Arial" w:eastAsia="Arial" w:hAnsi="Arial" w:cs="Arial"/>
          <w:i/>
          <w:color w:val="000000"/>
          <w:sz w:val="20"/>
        </w:rPr>
        <w:t>See id</w:t>
      </w:r>
      <w:r>
        <w:rPr>
          <w:rFonts w:ascii="Arial" w:eastAsia="Arial" w:hAnsi="Arial" w:cs="Arial"/>
          <w:color w:val="000000"/>
          <w:sz w:val="20"/>
        </w:rPr>
        <w:t xml:space="preserve">.; </w:t>
      </w:r>
      <w:bookmarkStart w:id="5986" w:name="Bookmark_I5CHK2GN2D6NNN0020000400"/>
      <w:bookmarkEnd w:id="5986"/>
      <w:r>
        <w:rPr>
          <w:rFonts w:ascii="Arial" w:eastAsia="Arial" w:hAnsi="Arial" w:cs="Arial"/>
          <w:i/>
          <w:color w:val="000000"/>
          <w:sz w:val="20"/>
        </w:rPr>
        <w:t>Frame</w:t>
      </w:r>
      <w:r>
        <w:rPr>
          <w:rFonts w:ascii="Arial" w:eastAsia="Arial" w:hAnsi="Arial" w:cs="Arial"/>
          <w:color w:val="000000"/>
          <w:sz w:val="20"/>
        </w:rPr>
        <w:t>, 657 F.3d at 232. This is not such a circumstance. When the City has already built a direct route that is accessible to disabled persons, it is reasonable to require the City not to force disabled persons to look for and take even a marginally longer route. Because § 35.150 does not apply, the existence of an arguably marginally longer alternative  [**23] route does not entitle the City to summary judgment on Cohen's Title II claim.</w:t>
      </w:r>
    </w:p>
    <w:p w14:paraId="5D9CCB5F" w14:textId="77777777" w:rsidR="002D0E71" w:rsidRDefault="00000000">
      <w:pPr>
        <w:pStyle w:val="Normal40"/>
        <w:widowControl w:val="0"/>
        <w:spacing w:before="120" w:line="260" w:lineRule="atLeast"/>
      </w:pPr>
      <w:r>
        <w:rPr>
          <w:rFonts w:ascii="Arial" w:eastAsia="Arial" w:hAnsi="Arial" w:cs="Arial"/>
          <w:color w:val="000000"/>
          <w:sz w:val="20"/>
        </w:rPr>
        <w:t>C.</w:t>
      </w:r>
    </w:p>
    <w:p w14:paraId="6332F33F" w14:textId="77777777" w:rsidR="002D0E71" w:rsidRDefault="00000000">
      <w:pPr>
        <w:pStyle w:val="Normal40"/>
        <w:widowControl w:val="0"/>
        <w:spacing w:before="200" w:line="260" w:lineRule="atLeast"/>
        <w:jc w:val="both"/>
      </w:pPr>
      <w:bookmarkStart w:id="5987" w:name="Bookmark_para_32_20"/>
      <w:bookmarkEnd w:id="5987"/>
      <w:r>
        <w:rPr>
          <w:rFonts w:ascii="Arial" w:eastAsia="Arial" w:hAnsi="Arial" w:cs="Arial"/>
          <w:color w:val="000000"/>
          <w:sz w:val="20"/>
        </w:rPr>
        <w:t>A genuine dispute of material fact exists as to whether the City denied Cohen access to the sidewalk on the basis of his disability by permitting a private vendor's display to completely block the existing curb ramp.</w:t>
      </w:r>
    </w:p>
    <w:p w14:paraId="34AA9BC4" w14:textId="77777777" w:rsidR="002D0E71" w:rsidRDefault="00000000">
      <w:pPr>
        <w:pStyle w:val="Normal40"/>
        <w:widowControl w:val="0"/>
        <w:spacing w:before="200" w:line="260" w:lineRule="atLeast"/>
        <w:jc w:val="both"/>
      </w:pPr>
      <w:bookmarkStart w:id="5988" w:name="Bookmark_para_33_19"/>
      <w:bookmarkEnd w:id="5988"/>
      <w:r>
        <w:rPr>
          <w:rFonts w:ascii="Arial" w:eastAsia="Arial" w:hAnsi="Arial" w:cs="Arial"/>
          <w:color w:val="000000"/>
          <w:sz w:val="20"/>
        </w:rPr>
        <w:t xml:space="preserve">For example, the City may have violated a regulation requiring it to maintain disabled access features in good working order. </w:t>
      </w:r>
      <w:bookmarkStart w:id="5989" w:name="Bookmark_LNHNREFclscc21_5"/>
      <w:bookmarkEnd w:id="5989"/>
      <w:r>
        <w:rPr>
          <w:rFonts w:ascii="Arial" w:eastAsia="Arial" w:hAnsi="Arial" w:cs="Arial"/>
          <w:color w:val="000000"/>
          <w:sz w:val="20"/>
        </w:rPr>
        <w:t xml:space="preserve">The City must "maintain in operable working condition those features of facilities and equipment that are required to be readily accessible to and usable by persons with disabilities by the Act or this part." 28 C.F.R. § 35.133(a). Because the regulations define "facility" to include "any portion of . . . roads, walks, or passageways," city sidewalks are among those facilities that the City must maintain in operable working condition. </w:t>
      </w:r>
      <w:r>
        <w:rPr>
          <w:rFonts w:ascii="Arial" w:eastAsia="Arial" w:hAnsi="Arial" w:cs="Arial"/>
          <w:i/>
          <w:color w:val="000000"/>
          <w:sz w:val="20"/>
        </w:rPr>
        <w:t>See id</w:t>
      </w:r>
      <w:r>
        <w:rPr>
          <w:rFonts w:ascii="Arial" w:eastAsia="Arial" w:hAnsi="Arial" w:cs="Arial"/>
          <w:color w:val="000000"/>
          <w:sz w:val="20"/>
        </w:rPr>
        <w:t xml:space="preserve">. § 35.104. Only "isolated or temporary interruptions in service or access due to maintenance or repairs" are permissible. </w:t>
      </w:r>
      <w:r>
        <w:rPr>
          <w:rFonts w:ascii="Arial" w:eastAsia="Arial" w:hAnsi="Arial" w:cs="Arial"/>
          <w:i/>
          <w:color w:val="000000"/>
          <w:sz w:val="20"/>
        </w:rPr>
        <w:t>Id</w:t>
      </w:r>
      <w:r>
        <w:rPr>
          <w:rFonts w:ascii="Arial" w:eastAsia="Arial" w:hAnsi="Arial" w:cs="Arial"/>
          <w:color w:val="000000"/>
          <w:sz w:val="20"/>
        </w:rPr>
        <w:t xml:space="preserve">. § 35.133(b). The rationale for this requirement is obvious: there is little point in building an accessible route if it is not kept in a condition that allows disabled persons to use it. </w:t>
      </w:r>
      <w:r>
        <w:rPr>
          <w:rFonts w:ascii="Arial" w:eastAsia="Arial" w:hAnsi="Arial" w:cs="Arial"/>
          <w:i/>
          <w:color w:val="000000"/>
          <w:sz w:val="20"/>
        </w:rPr>
        <w:t>See</w:t>
      </w:r>
      <w:r>
        <w:rPr>
          <w:rFonts w:ascii="Arial" w:eastAsia="Arial" w:hAnsi="Arial" w:cs="Arial"/>
          <w:color w:val="000000"/>
          <w:sz w:val="20"/>
        </w:rPr>
        <w:t xml:space="preserve"> 28 C.F.R. pt. 35, app. B.  [**24] As the guidance accompanying this regulation makes clear, the City is therefore required to keep disabled access routes "free of obstructions." </w:t>
      </w:r>
      <w:r>
        <w:rPr>
          <w:rFonts w:ascii="Arial" w:eastAsia="Arial" w:hAnsi="Arial" w:cs="Arial"/>
          <w:i/>
          <w:color w:val="000000"/>
          <w:sz w:val="20"/>
        </w:rPr>
        <w:t>Id</w:t>
      </w:r>
      <w:r>
        <w:rPr>
          <w:rFonts w:ascii="Arial" w:eastAsia="Arial" w:hAnsi="Arial" w:cs="Arial"/>
          <w:color w:val="000000"/>
          <w:sz w:val="20"/>
        </w:rPr>
        <w:t xml:space="preserve">. While temporary obstructions do not violate the ADA, obstructions that persist beyond a reasonable period of time do violate the statute. </w:t>
      </w:r>
      <w:r>
        <w:rPr>
          <w:rFonts w:ascii="Arial" w:eastAsia="Arial" w:hAnsi="Arial" w:cs="Arial"/>
          <w:i/>
          <w:color w:val="000000"/>
          <w:sz w:val="20"/>
        </w:rPr>
        <w:t>Id</w:t>
      </w:r>
      <w:r>
        <w:rPr>
          <w:rFonts w:ascii="Arial" w:eastAsia="Arial" w:hAnsi="Arial" w:cs="Arial"/>
          <w:color w:val="000000"/>
          <w:sz w:val="20"/>
        </w:rPr>
        <w:t>.</w:t>
      </w:r>
    </w:p>
    <w:p w14:paraId="10268CEA" w14:textId="77777777" w:rsidR="002D0E71" w:rsidRDefault="00000000">
      <w:pPr>
        <w:pStyle w:val="Normal40"/>
        <w:widowControl w:val="0"/>
        <w:spacing w:before="200" w:line="260" w:lineRule="atLeast"/>
        <w:jc w:val="both"/>
      </w:pPr>
      <w:bookmarkStart w:id="5990" w:name="Bookmark_para_34_18"/>
      <w:bookmarkEnd w:id="5990"/>
      <w:r>
        <w:rPr>
          <w:rFonts w:ascii="Arial" w:eastAsia="Arial" w:hAnsi="Arial" w:cs="Arial"/>
          <w:color w:val="000000"/>
          <w:sz w:val="20"/>
        </w:rPr>
        <w:t xml:space="preserve">A jury could conclude that the City violated this provision. The vendor's display obstructed the disabled access curb ramp that connected the city streets with the public sidewalk in front of the Culver Hotel. A genuine dispute of material fact exists as to whether this particular curb  [*700]  ramp was "required" to make the sidewalk "readily accessible" to persons with disabilities. 28 C.F.R. § 35.133(a). The City would have been required to build this curb ramp if it altered this particular segment of the street or the sidewalk after January 26, 1992. </w:t>
      </w:r>
      <w:bookmarkStart w:id="5991" w:name="Bookmark_I5CHK2GN2D6NNN0050000400"/>
      <w:bookmarkEnd w:id="5991"/>
      <w:r>
        <w:rPr>
          <w:rFonts w:ascii="Arial" w:eastAsia="Arial" w:hAnsi="Arial" w:cs="Arial"/>
          <w:i/>
          <w:color w:val="000000"/>
          <w:sz w:val="20"/>
        </w:rPr>
        <w:t>See</w:t>
      </w:r>
      <w:r>
        <w:rPr>
          <w:rFonts w:ascii="Arial" w:eastAsia="Arial" w:hAnsi="Arial" w:cs="Arial"/>
          <w:color w:val="000000"/>
          <w:sz w:val="20"/>
        </w:rPr>
        <w:t xml:space="preserve"> 28 C.F.R. § 35.151(i). The City, which bore the burden of production on its motion for summary judgment, did not produce any evidence showing that the street or sidewalk had not been altered since January 26, 1992. </w:t>
      </w:r>
      <w:bookmarkStart w:id="5992" w:name="Bookmark_I5CHK2GN2N1R920020000400"/>
      <w:bookmarkEnd w:id="5992"/>
      <w:r>
        <w:rPr>
          <w:rFonts w:ascii="Arial" w:eastAsia="Arial" w:hAnsi="Arial" w:cs="Arial"/>
          <w:i/>
          <w:color w:val="000000"/>
          <w:sz w:val="20"/>
        </w:rPr>
        <w:t xml:space="preserve">See </w:t>
      </w:r>
      <w:bookmarkStart w:id="5993" w:name="Bookmark_I5CHK2GN2D6NNN0040000400"/>
      <w:bookmarkEnd w:id="5993"/>
      <w:r>
        <w:rPr>
          <w:rFonts w:ascii="Arial" w:eastAsia="Arial" w:hAnsi="Arial" w:cs="Arial"/>
          <w:i/>
          <w:color w:val="000000"/>
          <w:sz w:val="20"/>
        </w:rPr>
        <w:t>Nissan Fire &amp; Marine Ins. Co., Ltd. v. Fritz Cos., Inc</w:t>
      </w:r>
      <w:r>
        <w:rPr>
          <w:rFonts w:ascii="Arial" w:eastAsia="Arial" w:hAnsi="Arial" w:cs="Arial"/>
          <w:color w:val="000000"/>
          <w:sz w:val="20"/>
        </w:rPr>
        <w:t xml:space="preserve">., 210 F.3d 1099, 1102 (9th Cir. 2000). </w:t>
      </w:r>
      <w:bookmarkStart w:id="5994" w:name="Bookmark_I5CHK2GN2N1R920020000400_2"/>
      <w:bookmarkEnd w:id="5994"/>
      <w:r>
        <w:rPr>
          <w:rFonts w:ascii="Arial" w:eastAsia="Arial" w:hAnsi="Arial" w:cs="Arial"/>
          <w:color w:val="000000"/>
          <w:sz w:val="20"/>
        </w:rPr>
        <w:t xml:space="preserve">A genuine dispute of material fact also exists  [**25] as to whether the City failed to maintain this curb ramp in "operable working condition," 28 C.F.R. § 35.133(a), by allowing the private vendor's booth to block the ramp for more than "a reasonable time," 28 C.F.R. pt. 35, app. B. </w:t>
      </w:r>
      <w:bookmarkStart w:id="5995" w:name="Bookmark_LNHNREFclscc22_4"/>
      <w:bookmarkEnd w:id="5995"/>
      <w:r>
        <w:rPr>
          <w:rFonts w:ascii="Arial" w:eastAsia="Arial" w:hAnsi="Arial" w:cs="Arial"/>
          <w:color w:val="000000"/>
          <w:sz w:val="20"/>
        </w:rPr>
        <w:t xml:space="preserve">The trier of fact must determine whether the duration of the obstruction was reasonable. </w:t>
      </w:r>
      <w:r>
        <w:rPr>
          <w:rFonts w:ascii="Arial" w:eastAsia="Arial" w:hAnsi="Arial" w:cs="Arial"/>
          <w:i/>
          <w:color w:val="000000"/>
          <w:sz w:val="20"/>
        </w:rPr>
        <w:t xml:space="preserve">Cf. </w:t>
      </w:r>
      <w:bookmarkStart w:id="5996" w:name="Bookmark_I5CHK2GN2N1R920010000400"/>
      <w:bookmarkEnd w:id="5996"/>
      <w:r>
        <w:rPr>
          <w:rFonts w:ascii="Arial" w:eastAsia="Arial" w:hAnsi="Arial" w:cs="Arial"/>
          <w:i/>
          <w:color w:val="000000"/>
          <w:sz w:val="20"/>
        </w:rPr>
        <w:t>Crowder v. Kitagawa</w:t>
      </w:r>
      <w:r>
        <w:rPr>
          <w:rFonts w:ascii="Arial" w:eastAsia="Arial" w:hAnsi="Arial" w:cs="Arial"/>
          <w:color w:val="000000"/>
          <w:sz w:val="20"/>
        </w:rPr>
        <w:t>, 81 F.3d 1480, 1486 (9th Cir. 1996) (holding that whether a plaintiff's proposed modifications to a defendant's policies are "reasonable" under Title II is a question of fact).</w:t>
      </w:r>
      <w:r>
        <w:rPr>
          <w:rFonts w:ascii="Arial" w:eastAsia="Arial" w:hAnsi="Arial" w:cs="Arial"/>
          <w:vertAlign w:val="superscript"/>
        </w:rPr>
        <w:footnoteReference w:customMarkFollows="1" w:id="246"/>
        <w:t>8</w:t>
      </w:r>
    </w:p>
    <w:p w14:paraId="31F8B743" w14:textId="77777777" w:rsidR="002D0E71" w:rsidRDefault="00000000">
      <w:pPr>
        <w:pStyle w:val="Normal40"/>
        <w:widowControl w:val="0"/>
        <w:spacing w:before="200" w:line="260" w:lineRule="atLeast"/>
        <w:jc w:val="both"/>
      </w:pPr>
      <w:bookmarkStart w:id="6003" w:name="Bookmark_para_35_18"/>
      <w:bookmarkStart w:id="6004" w:name="Bookmark_I5CHK2GN2N1R930030000400"/>
      <w:bookmarkEnd w:id="6003"/>
      <w:bookmarkEnd w:id="6004"/>
      <w:r>
        <w:rPr>
          <w:rFonts w:ascii="Arial" w:eastAsia="Arial" w:hAnsi="Arial" w:cs="Arial"/>
          <w:color w:val="000000"/>
          <w:sz w:val="20"/>
        </w:rPr>
        <w:t xml:space="preserve">Our discussion of this particular theory of liability is not meant to imply that it is the </w:t>
      </w:r>
      <w:r>
        <w:rPr>
          <w:rFonts w:ascii="Arial" w:eastAsia="Arial" w:hAnsi="Arial" w:cs="Arial"/>
          <w:i/>
          <w:color w:val="000000"/>
          <w:sz w:val="20"/>
        </w:rPr>
        <w:t>only</w:t>
      </w:r>
      <w:r>
        <w:rPr>
          <w:rFonts w:ascii="Arial" w:eastAsia="Arial" w:hAnsi="Arial" w:cs="Arial"/>
          <w:color w:val="000000"/>
          <w:sz w:val="20"/>
        </w:rPr>
        <w:t xml:space="preserve"> way the City may have denied Cohen access to the sidewalk by reason of disability. More generally, </w:t>
      </w:r>
      <w:bookmarkStart w:id="6005" w:name="Bookmark_LNHNREFclscc23_4"/>
      <w:bookmarkEnd w:id="6005"/>
      <w:r>
        <w:rPr>
          <w:rFonts w:ascii="Arial" w:eastAsia="Arial" w:hAnsi="Arial" w:cs="Arial"/>
          <w:color w:val="000000"/>
          <w:sz w:val="20"/>
        </w:rPr>
        <w:t xml:space="preserve">Title II imposes upon public entities a "duty to accommodate" disabled persons. </w:t>
      </w:r>
      <w:bookmarkStart w:id="6006" w:name="Bookmark_I5CHK2GN2N1R930050000400"/>
      <w:bookmarkStart w:id="6007" w:name="Bookmark_I5CHK2GN2N1R930020000400"/>
      <w:bookmarkEnd w:id="6006"/>
      <w:bookmarkEnd w:id="6007"/>
      <w:r>
        <w:rPr>
          <w:rFonts w:ascii="Arial" w:eastAsia="Arial" w:hAnsi="Arial" w:cs="Arial"/>
          <w:i/>
          <w:color w:val="000000"/>
          <w:sz w:val="20"/>
        </w:rPr>
        <w:t>Lane</w:t>
      </w:r>
      <w:r>
        <w:rPr>
          <w:rFonts w:ascii="Arial" w:eastAsia="Arial" w:hAnsi="Arial" w:cs="Arial"/>
          <w:color w:val="000000"/>
          <w:sz w:val="20"/>
        </w:rPr>
        <w:t xml:space="preserve">, 541 U.S. at 532. </w:t>
      </w:r>
      <w:bookmarkStart w:id="6008" w:name="Bookmark_I5CHK2GN2N1R930050000400_2"/>
      <w:bookmarkStart w:id="6009" w:name="Bookmark_I5CHK2GN2D6NNP0040000400"/>
      <w:bookmarkEnd w:id="6008"/>
      <w:bookmarkEnd w:id="6009"/>
      <w:r>
        <w:rPr>
          <w:rFonts w:ascii="Arial" w:eastAsia="Arial" w:hAnsi="Arial" w:cs="Arial"/>
          <w:color w:val="000000"/>
          <w:sz w:val="20"/>
        </w:rPr>
        <w:t xml:space="preserve">Even facially neutral government actions that apply equally  [**27] to disabled and nondisabled persons may violate Title II if the public entity has failed to make reasonable accommodations to avoid unduly burdening disabled persons. </w:t>
      </w:r>
      <w:r>
        <w:rPr>
          <w:rFonts w:ascii="Arial" w:eastAsia="Arial" w:hAnsi="Arial" w:cs="Arial"/>
          <w:i/>
          <w:color w:val="000000"/>
          <w:sz w:val="20"/>
        </w:rPr>
        <w:t xml:space="preserve">See </w:t>
      </w:r>
      <w:bookmarkStart w:id="6010" w:name="Bookmark_I5CHK2GN2N1R930040000400"/>
      <w:bookmarkEnd w:id="6010"/>
      <w:r>
        <w:rPr>
          <w:rFonts w:ascii="Arial" w:eastAsia="Arial" w:hAnsi="Arial" w:cs="Arial"/>
          <w:i/>
          <w:color w:val="000000"/>
          <w:sz w:val="20"/>
        </w:rPr>
        <w:t>McGary</w:t>
      </w:r>
      <w:r>
        <w:rPr>
          <w:rFonts w:ascii="Arial" w:eastAsia="Arial" w:hAnsi="Arial" w:cs="Arial"/>
          <w:color w:val="000000"/>
          <w:sz w:val="20"/>
        </w:rPr>
        <w:t xml:space="preserve">, 386 F.3d at 1265-66; </w:t>
      </w:r>
      <w:bookmarkStart w:id="6011" w:name="Bookmark_I5CHK2GN2D6NNP0010000400"/>
      <w:bookmarkEnd w:id="6011"/>
      <w:r>
        <w:rPr>
          <w:rFonts w:ascii="Arial" w:eastAsia="Arial" w:hAnsi="Arial" w:cs="Arial"/>
          <w:i/>
          <w:color w:val="000000"/>
          <w:sz w:val="20"/>
        </w:rPr>
        <w:t>Crowder</w:t>
      </w:r>
      <w:r>
        <w:rPr>
          <w:rFonts w:ascii="Arial" w:eastAsia="Arial" w:hAnsi="Arial" w:cs="Arial"/>
          <w:color w:val="000000"/>
          <w:sz w:val="20"/>
        </w:rPr>
        <w:t xml:space="preserve">, 81 F.3d at 1484. </w:t>
      </w:r>
      <w:bookmarkStart w:id="6012" w:name="Bookmark_I5CHK2GN2D6NNP0040000400_2"/>
      <w:bookmarkEnd w:id="6012"/>
      <w:r>
        <w:rPr>
          <w:rFonts w:ascii="Arial" w:eastAsia="Arial" w:hAnsi="Arial" w:cs="Arial"/>
          <w:color w:val="000000"/>
          <w:sz w:val="20"/>
        </w:rPr>
        <w:t xml:space="preserve">For this reason, poorly maintained public sidewalks may be a form of discrimination proscribed by Title II. </w:t>
      </w:r>
      <w:r>
        <w:rPr>
          <w:rFonts w:ascii="Arial" w:eastAsia="Arial" w:hAnsi="Arial" w:cs="Arial"/>
          <w:i/>
          <w:color w:val="000000"/>
          <w:sz w:val="20"/>
        </w:rPr>
        <w:t xml:space="preserve">See </w:t>
      </w:r>
      <w:bookmarkStart w:id="6013" w:name="Bookmark_I5CHK2GN2D6NNP0030000400"/>
      <w:bookmarkEnd w:id="6013"/>
      <w:r>
        <w:rPr>
          <w:rFonts w:ascii="Arial" w:eastAsia="Arial" w:hAnsi="Arial" w:cs="Arial"/>
          <w:i/>
          <w:color w:val="000000"/>
          <w:sz w:val="20"/>
        </w:rPr>
        <w:t>Barden</w:t>
      </w:r>
      <w:r>
        <w:rPr>
          <w:rFonts w:ascii="Arial" w:eastAsia="Arial" w:hAnsi="Arial" w:cs="Arial"/>
          <w:color w:val="000000"/>
          <w:sz w:val="20"/>
        </w:rPr>
        <w:t xml:space="preserve">, 292 F.3d at 1076-77. </w:t>
      </w:r>
      <w:bookmarkStart w:id="6014" w:name="Bookmark_I5CHK2GN2HM6XT0010000400"/>
      <w:bookmarkEnd w:id="6014"/>
      <w:r>
        <w:rPr>
          <w:rFonts w:ascii="Arial" w:eastAsia="Arial" w:hAnsi="Arial" w:cs="Arial"/>
          <w:color w:val="000000"/>
          <w:sz w:val="20"/>
        </w:rPr>
        <w:t xml:space="preserve">Obstructed sidewalks exclude disabled persons from ordinary communal life and force them to risk serious injury to undertake daily activities. This is precisely the sort of "subtle" discrimination stemming from "thoughtlessness and indifference" that the ADA aims to abolish. </w:t>
      </w:r>
      <w:bookmarkStart w:id="6015" w:name="Bookmark_I5CHK2GN2D6NNP0050000400"/>
      <w:bookmarkEnd w:id="6015"/>
      <w:r>
        <w:rPr>
          <w:rFonts w:ascii="Arial" w:eastAsia="Arial" w:hAnsi="Arial" w:cs="Arial"/>
          <w:i/>
          <w:color w:val="000000"/>
          <w:sz w:val="20"/>
        </w:rPr>
        <w:t>Chapman</w:t>
      </w:r>
      <w:r>
        <w:rPr>
          <w:rFonts w:ascii="Arial" w:eastAsia="Arial" w:hAnsi="Arial" w:cs="Arial"/>
          <w:color w:val="000000"/>
          <w:sz w:val="20"/>
        </w:rPr>
        <w:t>, 631 F.3d at 944-45.</w:t>
      </w:r>
    </w:p>
    <w:p w14:paraId="2D9B5F68" w14:textId="77777777" w:rsidR="002D0E71" w:rsidRDefault="00000000">
      <w:pPr>
        <w:pStyle w:val="Normal40"/>
        <w:widowControl w:val="0"/>
        <w:spacing w:before="200" w:line="260" w:lineRule="atLeast"/>
        <w:jc w:val="both"/>
      </w:pPr>
      <w:bookmarkStart w:id="6016" w:name="Bookmark_para_36_18"/>
      <w:bookmarkEnd w:id="6016"/>
      <w:r>
        <w:rPr>
          <w:rFonts w:ascii="Arial" w:eastAsia="Arial" w:hAnsi="Arial" w:cs="Arial"/>
          <w:color w:val="000000"/>
          <w:sz w:val="20"/>
        </w:rPr>
        <w:t xml:space="preserve">Here, a jury could conclude that the City discriminated against Cohen by reason of his disability by failing to take simple, low-cost, reasonable measures to accommodate persons who rely on curb ramps to navigate public sidewalks. </w:t>
      </w:r>
      <w:bookmarkStart w:id="6017" w:name="Bookmark_I5CHK2GN2HM6XT0030000400"/>
      <w:bookmarkEnd w:id="6017"/>
      <w:r>
        <w:rPr>
          <w:rFonts w:ascii="Arial" w:eastAsia="Arial" w:hAnsi="Arial" w:cs="Arial"/>
          <w:color w:val="000000"/>
          <w:sz w:val="20"/>
        </w:rPr>
        <w:t xml:space="preserve">The City could have reviewed and approved the  [*701]  placement of the vendors' displays before the car show, as the permit it issued to the ECCC said it would but as it apparently did not. It could have required vendors to avoid positioning their displays in front of disabled access ramps, or to set their  [**28] displays back a few feet from the curb to allow disabled pedestrians to pass. The City could have posted a temporary sign in front of this particular display directing pedestrians to the other curb ramp twenty yards down the block. Any of these modest measures may have avoided the injuries Cohen suffered. By failing to adopt them, the City may have engaged in </w:t>
      </w:r>
      <w:bookmarkStart w:id="6018" w:name="Bookmark_LNHNREFclscc24_4"/>
      <w:bookmarkEnd w:id="6018"/>
      <w:r>
        <w:rPr>
          <w:rFonts w:ascii="Arial" w:eastAsia="Arial" w:hAnsi="Arial" w:cs="Arial"/>
          <w:color w:val="000000"/>
          <w:sz w:val="20"/>
        </w:rPr>
        <w:t xml:space="preserve">the "simple exclusion" of disabled persons through "thoughtlessness" and "inaction" that constitutes discrimination under the ADA. </w:t>
      </w:r>
      <w:bookmarkStart w:id="6019" w:name="Bookmark_I5CHK2GN2HM6XT0020000400"/>
      <w:bookmarkEnd w:id="6019"/>
      <w:r>
        <w:rPr>
          <w:rFonts w:ascii="Arial" w:eastAsia="Arial" w:hAnsi="Arial" w:cs="Arial"/>
          <w:i/>
          <w:color w:val="000000"/>
          <w:sz w:val="20"/>
        </w:rPr>
        <w:t>McGary</w:t>
      </w:r>
      <w:r>
        <w:rPr>
          <w:rFonts w:ascii="Arial" w:eastAsia="Arial" w:hAnsi="Arial" w:cs="Arial"/>
          <w:color w:val="000000"/>
          <w:sz w:val="20"/>
        </w:rPr>
        <w:t xml:space="preserve">, 386 F.3d at 1267 (quoting </w:t>
      </w:r>
      <w:bookmarkStart w:id="6020" w:name="Bookmark_I5CHK2GN2HM6XT0040000400"/>
      <w:bookmarkEnd w:id="6020"/>
      <w:r>
        <w:rPr>
          <w:rFonts w:ascii="Arial" w:eastAsia="Arial" w:hAnsi="Arial" w:cs="Arial"/>
          <w:i/>
          <w:color w:val="000000"/>
          <w:sz w:val="20"/>
        </w:rPr>
        <w:t>Presta v. Peninsula Corridor Joint Powers Bd</w:t>
      </w:r>
      <w:r>
        <w:rPr>
          <w:rFonts w:ascii="Arial" w:eastAsia="Arial" w:hAnsi="Arial" w:cs="Arial"/>
          <w:color w:val="000000"/>
          <w:sz w:val="20"/>
        </w:rPr>
        <w:t>., 16 F. Supp. 2d 1134, 1136 (N.D. Cal. 1998)).</w:t>
      </w:r>
    </w:p>
    <w:p w14:paraId="3CA7D8FF" w14:textId="77777777" w:rsidR="002D0E71" w:rsidRDefault="00000000">
      <w:pPr>
        <w:pStyle w:val="Normal40"/>
        <w:widowControl w:val="0"/>
        <w:spacing w:before="200" w:line="260" w:lineRule="atLeast"/>
        <w:jc w:val="both"/>
      </w:pPr>
      <w:bookmarkStart w:id="6021" w:name="Bookmark_para_37_18"/>
      <w:bookmarkEnd w:id="6021"/>
      <w:r>
        <w:rPr>
          <w:rFonts w:ascii="Arial" w:eastAsia="Arial" w:hAnsi="Arial" w:cs="Arial"/>
          <w:color w:val="000000"/>
          <w:sz w:val="20"/>
        </w:rPr>
        <w:t>Because the district court relied on an inapplicable legal standard, and because there is a genuine dispute of material fact as to whether the City denied Cohen access to a public service or otherwise discriminated against him under Title II, the district court erred by granting summary judgment in favor of the City.</w:t>
      </w:r>
    </w:p>
    <w:p w14:paraId="0E3C7BAB" w14:textId="77777777" w:rsidR="002D0E71" w:rsidRDefault="00000000">
      <w:pPr>
        <w:pStyle w:val="Normal40"/>
        <w:widowControl w:val="0"/>
        <w:spacing w:before="240" w:line="260" w:lineRule="atLeast"/>
      </w:pPr>
      <w:r>
        <w:br/>
      </w:r>
      <w:r>
        <w:rPr>
          <w:rFonts w:ascii="Arial" w:eastAsia="Arial" w:hAnsi="Arial" w:cs="Arial"/>
          <w:b/>
          <w:color w:val="000000"/>
          <w:sz w:val="20"/>
        </w:rPr>
        <w:t>IV</w:t>
      </w:r>
      <w:r>
        <w:rPr>
          <w:rFonts w:ascii="Arial" w:eastAsia="Arial" w:hAnsi="Arial" w:cs="Arial"/>
          <w:color w:val="000000"/>
          <w:sz w:val="20"/>
        </w:rPr>
        <w:t>.</w:t>
      </w:r>
    </w:p>
    <w:p w14:paraId="4160F81B" w14:textId="77777777" w:rsidR="002D0E71" w:rsidRDefault="00000000">
      <w:pPr>
        <w:pStyle w:val="Normal40"/>
        <w:widowControl w:val="0"/>
        <w:spacing w:before="200" w:line="260" w:lineRule="atLeast"/>
        <w:jc w:val="both"/>
      </w:pPr>
      <w:bookmarkStart w:id="6022" w:name="Bookmark_para_38_16"/>
      <w:bookmarkStart w:id="6023" w:name="Bookmark_I5CHK2GN2HM6XV0020000400"/>
      <w:bookmarkEnd w:id="6022"/>
      <w:bookmarkEnd w:id="6023"/>
      <w:r>
        <w:rPr>
          <w:rFonts w:ascii="Arial" w:eastAsia="Arial" w:hAnsi="Arial" w:cs="Arial"/>
          <w:color w:val="000000"/>
          <w:sz w:val="20"/>
        </w:rPr>
        <w:t xml:space="preserve">Cohen also alleges that the City violated two California statutes: the Disabled Persons Act (DPA) and the Unruh Civil Rights Act. </w:t>
      </w:r>
      <w:bookmarkStart w:id="6024" w:name="Bookmark_LNHNREFclscc25_2"/>
      <w:bookmarkEnd w:id="6024"/>
      <w:r>
        <w:rPr>
          <w:rFonts w:ascii="Arial" w:eastAsia="Arial" w:hAnsi="Arial" w:cs="Arial"/>
          <w:color w:val="000000"/>
          <w:sz w:val="20"/>
        </w:rPr>
        <w:t xml:space="preserve">A violation of the ADA constitutes a violation of the California DPA. Cal. Civ. Code § 54.1(d). Similarly, a violation of the ADA constitutes  [**29] a violation of the Unruh Act. Cal. Civ. Code § 51(f); </w:t>
      </w:r>
      <w:r>
        <w:rPr>
          <w:rFonts w:ascii="Arial" w:eastAsia="Arial" w:hAnsi="Arial" w:cs="Arial"/>
          <w:i/>
          <w:color w:val="000000"/>
          <w:sz w:val="20"/>
        </w:rPr>
        <w:t xml:space="preserve">see </w:t>
      </w:r>
      <w:bookmarkStart w:id="6025" w:name="Bookmark_I5CHK2GN2HM6XV0010000400"/>
      <w:bookmarkEnd w:id="6025"/>
      <w:r>
        <w:rPr>
          <w:rFonts w:ascii="Arial" w:eastAsia="Arial" w:hAnsi="Arial" w:cs="Arial"/>
          <w:i/>
          <w:color w:val="000000"/>
          <w:sz w:val="20"/>
        </w:rPr>
        <w:t>Munson v. Del Taco, Inc</w:t>
      </w:r>
      <w:r>
        <w:rPr>
          <w:rFonts w:ascii="Arial" w:eastAsia="Arial" w:hAnsi="Arial" w:cs="Arial"/>
          <w:color w:val="000000"/>
          <w:sz w:val="20"/>
        </w:rPr>
        <w:t>., 46 Cal. 4th 661, 94 Cal. Rptr. 3d 685, 208 P.3d 623, 625 (Cal. 2009) (holding that no showing of intentional discrimination is required to state an Unruh Act claim on the basis of an ADA violation). Because the City is not entitled to summary judgment on Cohen's ADA claim, the district court erred by granting summary judgment for the City on Cohen's claims under the DPA and the Unruh Act.</w:t>
      </w:r>
    </w:p>
    <w:p w14:paraId="401B0B5C" w14:textId="77777777" w:rsidR="002D0E71" w:rsidRDefault="00000000">
      <w:pPr>
        <w:pStyle w:val="Normal40"/>
        <w:widowControl w:val="0"/>
        <w:spacing w:before="240" w:line="260" w:lineRule="atLeast"/>
      </w:pPr>
      <w:r>
        <w:br/>
      </w:r>
      <w:r>
        <w:rPr>
          <w:rFonts w:ascii="Arial" w:eastAsia="Arial" w:hAnsi="Arial" w:cs="Arial"/>
          <w:b/>
          <w:color w:val="000000"/>
          <w:sz w:val="20"/>
        </w:rPr>
        <w:t>V</w:t>
      </w:r>
      <w:r>
        <w:rPr>
          <w:rFonts w:ascii="Arial" w:eastAsia="Arial" w:hAnsi="Arial" w:cs="Arial"/>
          <w:color w:val="000000"/>
          <w:sz w:val="20"/>
        </w:rPr>
        <w:t>.</w:t>
      </w:r>
    </w:p>
    <w:p w14:paraId="688FA34F" w14:textId="77777777" w:rsidR="002D0E71" w:rsidRDefault="00000000">
      <w:pPr>
        <w:pStyle w:val="Normal40"/>
        <w:widowControl w:val="0"/>
        <w:spacing w:before="200" w:line="260" w:lineRule="atLeast"/>
        <w:jc w:val="both"/>
      </w:pPr>
      <w:bookmarkStart w:id="6026" w:name="Bookmark_para_39_16"/>
      <w:bookmarkEnd w:id="6026"/>
      <w:r>
        <w:rPr>
          <w:rFonts w:ascii="Arial" w:eastAsia="Arial" w:hAnsi="Arial" w:cs="Arial"/>
          <w:color w:val="000000"/>
          <w:sz w:val="20"/>
        </w:rPr>
        <w:t xml:space="preserve">We take no position on whether the City did in fact deny Cohen access to a public service or discriminate against him by reason of disability under 42 U.S.C. § 12132. As the district court held, a genuine dispute of material fact exists as to whether Cohen is disabled at all. Various other disputed issues may also be resolved at trial. We simply hold that the City is not entitled to summary judgment because, drawing all reasonable inferences in Cohen's favor, it </w:t>
      </w:r>
      <w:r>
        <w:rPr>
          <w:rFonts w:ascii="Arial" w:eastAsia="Arial" w:hAnsi="Arial" w:cs="Arial"/>
          <w:i/>
          <w:color w:val="000000"/>
          <w:sz w:val="20"/>
        </w:rPr>
        <w:t>may</w:t>
      </w:r>
      <w:r>
        <w:rPr>
          <w:rFonts w:ascii="Arial" w:eastAsia="Arial" w:hAnsi="Arial" w:cs="Arial"/>
          <w:color w:val="000000"/>
          <w:sz w:val="20"/>
        </w:rPr>
        <w:t xml:space="preserve"> have violated the ADA and, consequently, the DPA and the Unruh Act.</w:t>
      </w:r>
    </w:p>
    <w:p w14:paraId="6978F433" w14:textId="77777777" w:rsidR="002D0E71" w:rsidRDefault="00000000">
      <w:pPr>
        <w:pStyle w:val="Normal40"/>
        <w:widowControl w:val="0"/>
        <w:spacing w:before="200" w:line="260" w:lineRule="atLeast"/>
        <w:jc w:val="both"/>
      </w:pPr>
      <w:bookmarkStart w:id="6027" w:name="Bookmark_para_40_16"/>
      <w:bookmarkEnd w:id="6027"/>
      <w:r>
        <w:rPr>
          <w:rFonts w:ascii="Arial" w:eastAsia="Arial" w:hAnsi="Arial" w:cs="Arial"/>
          <w:color w:val="000000"/>
          <w:sz w:val="20"/>
        </w:rPr>
        <w:t>We therefore reverse the judgment of the district court as to Cohen's claims against the City. As we explain in a memorandum disposition accompanying this opinion, we reverse the judgment of the district court as to Cohen's  [**30] DPA claim against the ECCC, but we affirm the judgment of the district court as to Cohen's Unruh Act claim against the ECCC. We remand for further proceedings. Each party shall bear its own costs.</w:t>
      </w:r>
    </w:p>
    <w:p w14:paraId="603D34F2" w14:textId="77777777" w:rsidR="002D0E71" w:rsidRDefault="00000000">
      <w:pPr>
        <w:pStyle w:val="Normal40"/>
        <w:widowControl w:val="0"/>
        <w:spacing w:before="200" w:line="260" w:lineRule="atLeast"/>
        <w:jc w:val="both"/>
      </w:pPr>
      <w:bookmarkStart w:id="6028" w:name="Bookmark_para_41_15"/>
      <w:bookmarkEnd w:id="6028"/>
      <w:r>
        <w:rPr>
          <w:rFonts w:ascii="Arial" w:eastAsia="Arial" w:hAnsi="Arial" w:cs="Arial"/>
          <w:b/>
          <w:color w:val="000000"/>
          <w:sz w:val="20"/>
        </w:rPr>
        <w:t>AFFIRMED IN PART, REVERSED IN PART, AND REMANDED</w:t>
      </w:r>
      <w:r>
        <w:rPr>
          <w:rFonts w:ascii="Arial" w:eastAsia="Arial" w:hAnsi="Arial" w:cs="Arial"/>
          <w:color w:val="000000"/>
          <w:sz w:val="20"/>
        </w:rPr>
        <w:t>.</w:t>
      </w:r>
    </w:p>
    <w:p w14:paraId="272521C0" w14:textId="77777777" w:rsidR="002D0E71" w:rsidRDefault="00000000">
      <w:pPr>
        <w:pStyle w:val="Normal40"/>
        <w:widowControl w:val="0"/>
        <w:spacing w:before="240" w:line="260" w:lineRule="atLeast"/>
      </w:pPr>
      <w:bookmarkStart w:id="6029" w:name="Dissent_by_2"/>
      <w:bookmarkEnd w:id="6029"/>
      <w:r>
        <w:rPr>
          <w:rFonts w:ascii="Arial" w:eastAsia="Arial" w:hAnsi="Arial" w:cs="Arial"/>
          <w:b/>
          <w:color w:val="000000"/>
          <w:sz w:val="20"/>
        </w:rPr>
        <w:t>Dissent by:</w:t>
      </w:r>
      <w:r>
        <w:rPr>
          <w:rFonts w:ascii="Arial" w:eastAsia="Arial" w:hAnsi="Arial" w:cs="Arial"/>
          <w:color w:val="000000"/>
          <w:sz w:val="20"/>
        </w:rPr>
        <w:t> Johnnie B. Rawlinson (In Part)</w:t>
      </w:r>
    </w:p>
    <w:p w14:paraId="568C8390" w14:textId="77777777" w:rsidR="002D0E71" w:rsidRDefault="00000000">
      <w:pPr>
        <w:pStyle w:val="Normal40"/>
        <w:keepNext/>
        <w:widowControl w:val="0"/>
        <w:spacing w:before="240" w:line="340" w:lineRule="atLeast"/>
      </w:pPr>
      <w:bookmarkStart w:id="6030" w:name="Dissent_2"/>
      <w:bookmarkEnd w:id="6030"/>
      <w:r>
        <w:rPr>
          <w:rFonts w:ascii="Arial" w:eastAsia="Arial" w:hAnsi="Arial" w:cs="Arial"/>
          <w:b/>
          <w:color w:val="000000"/>
          <w:sz w:val="28"/>
        </w:rPr>
        <w:t>Dissent</w:t>
      </w:r>
    </w:p>
    <w:p w14:paraId="67A009B8" w14:textId="70430B38" w:rsidR="002D0E71" w:rsidRDefault="002939DF">
      <w:pPr>
        <w:pStyle w:val="Normal40"/>
        <w:spacing w:line="60" w:lineRule="exact"/>
      </w:pPr>
      <w:r>
        <w:rPr>
          <w:noProof/>
        </w:rPr>
        <mc:AlternateContent>
          <mc:Choice Requires="wps">
            <w:drawing>
              <wp:anchor distT="0" distB="0" distL="114300" distR="114300" simplePos="0" relativeHeight="251745280" behindDoc="0" locked="0" layoutInCell="1" allowOverlap="1" wp14:anchorId="66E9CC24" wp14:editId="314647F3">
                <wp:simplePos x="0" y="0"/>
                <wp:positionH relativeFrom="column">
                  <wp:posOffset>0</wp:posOffset>
                </wp:positionH>
                <wp:positionV relativeFrom="paragraph">
                  <wp:posOffset>25400</wp:posOffset>
                </wp:positionV>
                <wp:extent cx="3187700" cy="0"/>
                <wp:effectExtent l="19050" t="15875" r="12700" b="12700"/>
                <wp:wrapTopAndBottom/>
                <wp:docPr id="1367294843"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E6C7F" id="Line 91"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1A1D2F4" w14:textId="77777777" w:rsidR="002D0E71" w:rsidRDefault="002D0E71">
      <w:pPr>
        <w:pStyle w:val="Normal40"/>
      </w:pPr>
    </w:p>
    <w:p w14:paraId="38269ED4" w14:textId="77777777" w:rsidR="002D0E71" w:rsidRDefault="00000000">
      <w:pPr>
        <w:pStyle w:val="Normal40"/>
        <w:widowControl w:val="0"/>
        <w:spacing w:before="200" w:line="260" w:lineRule="atLeast"/>
        <w:jc w:val="both"/>
      </w:pPr>
      <w:bookmarkStart w:id="6031" w:name="Bookmark_para_42_13"/>
      <w:bookmarkEnd w:id="6031"/>
      <w:r>
        <w:rPr>
          <w:rFonts w:ascii="Arial" w:eastAsia="Arial" w:hAnsi="Arial" w:cs="Arial"/>
          <w:color w:val="000000"/>
          <w:sz w:val="20"/>
        </w:rPr>
        <w:t>RAWLINSON, Circuit Judge, dissenting in part:</w:t>
      </w:r>
    </w:p>
    <w:p w14:paraId="3CA7E9BB" w14:textId="77777777" w:rsidR="002D0E71" w:rsidRDefault="00000000">
      <w:pPr>
        <w:pStyle w:val="Normal40"/>
        <w:widowControl w:val="0"/>
        <w:spacing w:before="200" w:line="260" w:lineRule="atLeast"/>
        <w:jc w:val="both"/>
      </w:pPr>
      <w:bookmarkStart w:id="6032" w:name="Bookmark_para_43_13"/>
      <w:bookmarkEnd w:id="6032"/>
      <w:r>
        <w:rPr>
          <w:rFonts w:ascii="Arial" w:eastAsia="Arial" w:hAnsi="Arial" w:cs="Arial"/>
          <w:color w:val="000000"/>
          <w:sz w:val="20"/>
        </w:rPr>
        <w:t>I respectfully dissent from the portion of the opinion reversing the district court's entry of summary judgment in favor of Culver City on William Cohen's claims under the Americans With Disabilities Act and related California statutes. The district court ruled that "Culver City has  [*702]  presented evidence that two wheelchair access ramps were located 20 yards east and ninety yards west, respectively, from where Plaintiff incurred his injury." The district court then observed that Cohen "has not disputed this evidence or offered any explanation as to why he did not utilize an alternative route. . . ." The district court concluded that because alternative routes were available, Cohen failed to raise a material issue of fact regarding his alleged exclusion from use of the sidewalk.</w:t>
      </w:r>
    </w:p>
    <w:p w14:paraId="10BE9183" w14:textId="77777777" w:rsidR="002D0E71" w:rsidRDefault="00000000">
      <w:pPr>
        <w:pStyle w:val="Normal40"/>
        <w:widowControl w:val="0"/>
        <w:spacing w:before="200" w:line="260" w:lineRule="atLeast"/>
        <w:jc w:val="both"/>
      </w:pPr>
      <w:bookmarkStart w:id="6033" w:name="Bookmark_para_44_10"/>
      <w:bookmarkStart w:id="6034" w:name="Bookmark_I4GSX2820SN0010DC9M000VH"/>
      <w:bookmarkStart w:id="6035" w:name="Bookmark_I5CHK2GN2HM6XV0040000400"/>
      <w:bookmarkEnd w:id="6033"/>
      <w:bookmarkEnd w:id="6034"/>
      <w:bookmarkEnd w:id="6035"/>
      <w:r>
        <w:rPr>
          <w:rFonts w:ascii="Arial" w:eastAsia="Arial" w:hAnsi="Arial" w:cs="Arial"/>
          <w:color w:val="000000"/>
          <w:sz w:val="20"/>
        </w:rPr>
        <w:t xml:space="preserve">The district court's grant of summary judgment was consistent with cases that have addressed the  [**31] issue raised by Cohen, equal access. As we stated in </w:t>
      </w:r>
      <w:bookmarkStart w:id="6036" w:name="Bookmark_I5CHK2GN2HM6XV0030000400"/>
      <w:bookmarkEnd w:id="6036"/>
      <w:r>
        <w:rPr>
          <w:rFonts w:ascii="Arial" w:eastAsia="Arial" w:hAnsi="Arial" w:cs="Arial"/>
          <w:i/>
          <w:color w:val="000000"/>
          <w:sz w:val="20"/>
        </w:rPr>
        <w:t>Bird v. Lewis &amp; Clark Coll</w:t>
      </w:r>
      <w:r>
        <w:rPr>
          <w:rFonts w:ascii="Arial" w:eastAsia="Arial" w:hAnsi="Arial" w:cs="Arial"/>
          <w:color w:val="000000"/>
          <w:sz w:val="20"/>
        </w:rPr>
        <w:t xml:space="preserve">., 303 F.3d 1015, 1021 (9th Cir. 2002), "the central inquiry is whether the program, when viewed in its entirety, is readily accessible to and usable by individuals with disabilities." (citation and internal quotation marks omitted). This language counsels against a narrow view of access and underscores the importance of the other access routes available to Cohen. </w:t>
      </w:r>
      <w:bookmarkStart w:id="6037" w:name="Bookmark_I4GSX2825WH0010DC9M000VJ"/>
      <w:bookmarkStart w:id="6038" w:name="Bookmark_I5CHK2GP2SF7W20010000400"/>
      <w:bookmarkEnd w:id="6037"/>
      <w:bookmarkEnd w:id="6038"/>
      <w:r>
        <w:rPr>
          <w:rFonts w:ascii="Arial" w:eastAsia="Arial" w:hAnsi="Arial" w:cs="Arial"/>
          <w:color w:val="000000"/>
          <w:sz w:val="20"/>
        </w:rPr>
        <w:t xml:space="preserve">I agree with the district court that there was no showing that Cohen was "excluded from accessing the public sidewalks." Rather, Cohen complains that the ramp "most directly accessible to him . . . was blocked by a vendor booth." Nothing in the ADA, the governing regulations or case precedent requires access at a particular location in relation to the plaintiff's destination. </w:t>
      </w:r>
      <w:bookmarkStart w:id="6039" w:name="Bookmark_I4GSX2829PN0010DC9M000VK"/>
      <w:bookmarkStart w:id="6040" w:name="Bookmark_I5CHK2GP2SF7W20030000400"/>
      <w:bookmarkEnd w:id="6039"/>
      <w:bookmarkEnd w:id="6040"/>
      <w:r>
        <w:rPr>
          <w:rFonts w:ascii="Arial" w:eastAsia="Arial" w:hAnsi="Arial" w:cs="Arial"/>
          <w:color w:val="000000"/>
          <w:sz w:val="20"/>
        </w:rPr>
        <w:t xml:space="preserve">Instead, the ADA focuses on ready access. </w:t>
      </w:r>
      <w:r>
        <w:rPr>
          <w:rFonts w:ascii="Arial" w:eastAsia="Arial" w:hAnsi="Arial" w:cs="Arial"/>
          <w:i/>
          <w:color w:val="000000"/>
          <w:sz w:val="20"/>
        </w:rPr>
        <w:t xml:space="preserve">See </w:t>
      </w:r>
      <w:bookmarkStart w:id="6041" w:name="Bookmark_I5CHK2GN2HM6XV0050000400"/>
      <w:bookmarkEnd w:id="6041"/>
      <w:r>
        <w:rPr>
          <w:rFonts w:ascii="Arial" w:eastAsia="Arial" w:hAnsi="Arial" w:cs="Arial"/>
          <w:i/>
          <w:color w:val="000000"/>
          <w:sz w:val="20"/>
        </w:rPr>
        <w:t>Bird</w:t>
      </w:r>
      <w:r>
        <w:rPr>
          <w:rFonts w:ascii="Arial" w:eastAsia="Arial" w:hAnsi="Arial" w:cs="Arial"/>
          <w:color w:val="000000"/>
          <w:sz w:val="20"/>
        </w:rPr>
        <w:t xml:space="preserve">, 303 F.3d at 1021. </w:t>
      </w:r>
      <w:bookmarkStart w:id="6042" w:name="Bookmark_I5CHK2GP2SF7W20030000400_2"/>
      <w:bookmarkEnd w:id="6042"/>
      <w:r>
        <w:rPr>
          <w:rFonts w:ascii="Arial" w:eastAsia="Arial" w:hAnsi="Arial" w:cs="Arial"/>
          <w:color w:val="000000"/>
          <w:sz w:val="20"/>
        </w:rPr>
        <w:t xml:space="preserve">Ready access within twenty yards fulfilled the City's obligation under the ADA. </w:t>
      </w:r>
      <w:r>
        <w:rPr>
          <w:rFonts w:ascii="Arial" w:eastAsia="Arial" w:hAnsi="Arial" w:cs="Arial"/>
          <w:i/>
          <w:color w:val="000000"/>
          <w:sz w:val="20"/>
        </w:rPr>
        <w:t xml:space="preserve">See </w:t>
      </w:r>
      <w:bookmarkStart w:id="6043" w:name="Bookmark_I5CHK2GP2SF7W20020000400"/>
      <w:bookmarkEnd w:id="6043"/>
      <w:r>
        <w:rPr>
          <w:rFonts w:ascii="Arial" w:eastAsia="Arial" w:hAnsi="Arial" w:cs="Arial"/>
          <w:i/>
          <w:color w:val="000000"/>
          <w:sz w:val="20"/>
        </w:rPr>
        <w:t>id</w:t>
      </w:r>
      <w:r>
        <w:rPr>
          <w:rFonts w:ascii="Arial" w:eastAsia="Arial" w:hAnsi="Arial" w:cs="Arial"/>
          <w:color w:val="000000"/>
          <w:sz w:val="20"/>
        </w:rPr>
        <w:t>. at 1021 (focusing on ready access rather than conformity to the plaintiff's subjective expectations).</w:t>
      </w:r>
    </w:p>
    <w:p w14:paraId="79E11B9D" w14:textId="77777777" w:rsidR="002D0E71" w:rsidRDefault="00000000">
      <w:pPr>
        <w:pStyle w:val="Normal40"/>
        <w:widowControl w:val="0"/>
        <w:spacing w:before="200" w:line="260" w:lineRule="atLeast"/>
        <w:jc w:val="both"/>
      </w:pPr>
      <w:bookmarkStart w:id="6044" w:name="Bookmark_para_45_9"/>
      <w:bookmarkStart w:id="6045" w:name="Bookmark_I4GSX282MMN0010DC9M000VN"/>
      <w:bookmarkStart w:id="6046" w:name="Bookmark_I5CHK2GP2SF7W20050000400"/>
      <w:bookmarkEnd w:id="6044"/>
      <w:bookmarkEnd w:id="6045"/>
      <w:bookmarkEnd w:id="6046"/>
      <w:r>
        <w:rPr>
          <w:rFonts w:ascii="Arial" w:eastAsia="Arial" w:hAnsi="Arial" w:cs="Arial"/>
          <w:color w:val="000000"/>
          <w:sz w:val="20"/>
        </w:rPr>
        <w:t xml:space="preserve">In my view, the district court's reliance on </w:t>
      </w:r>
      <w:bookmarkStart w:id="6047" w:name="Bookmark_I5CHK2GP2SF7W20040000400"/>
      <w:bookmarkEnd w:id="6047"/>
      <w:r>
        <w:rPr>
          <w:rFonts w:ascii="Arial" w:eastAsia="Arial" w:hAnsi="Arial" w:cs="Arial"/>
          <w:i/>
          <w:color w:val="000000"/>
          <w:sz w:val="20"/>
        </w:rPr>
        <w:t>Schonfeld v. City of Carlsbad</w:t>
      </w:r>
      <w:r>
        <w:rPr>
          <w:rFonts w:ascii="Arial" w:eastAsia="Arial" w:hAnsi="Arial" w:cs="Arial"/>
          <w:color w:val="000000"/>
          <w:sz w:val="20"/>
        </w:rPr>
        <w:t>, 978 F. Supp. 1329, 1339 n.11 (S.D. Cal. 1997),  [**32] </w:t>
      </w:r>
      <w:r>
        <w:rPr>
          <w:rFonts w:ascii="Arial" w:eastAsia="Arial" w:hAnsi="Arial" w:cs="Arial"/>
          <w:i/>
          <w:color w:val="000000"/>
          <w:sz w:val="20"/>
        </w:rPr>
        <w:t>aff'd</w:t>
      </w:r>
      <w:r>
        <w:rPr>
          <w:rFonts w:ascii="Arial" w:eastAsia="Arial" w:hAnsi="Arial" w:cs="Arial"/>
          <w:color w:val="000000"/>
          <w:sz w:val="20"/>
        </w:rPr>
        <w:t xml:space="preserve"> 172 F.3d 876 (9th Cir. 1999), was entirely appropriate. </w:t>
      </w:r>
      <w:r>
        <w:rPr>
          <w:rFonts w:ascii="Arial" w:eastAsia="Arial" w:hAnsi="Arial" w:cs="Arial"/>
          <w:i/>
          <w:color w:val="000000"/>
          <w:sz w:val="20"/>
        </w:rPr>
        <w:t>Schonfeld</w:t>
      </w:r>
      <w:r>
        <w:rPr>
          <w:rFonts w:ascii="Arial" w:eastAsia="Arial" w:hAnsi="Arial" w:cs="Arial"/>
          <w:color w:val="000000"/>
          <w:sz w:val="20"/>
        </w:rPr>
        <w:t xml:space="preserve"> interpreted 28 C.F.R. § 35.150, the same regulation the majority opinion "rel[ies] heavily on." </w:t>
      </w:r>
      <w:r>
        <w:rPr>
          <w:rFonts w:ascii="Arial" w:eastAsia="Arial" w:hAnsi="Arial" w:cs="Arial"/>
          <w:i/>
          <w:color w:val="000000"/>
          <w:sz w:val="20"/>
        </w:rPr>
        <w:t>Majority Opinion</w:t>
      </w:r>
      <w:r>
        <w:rPr>
          <w:rFonts w:ascii="Arial" w:eastAsia="Arial" w:hAnsi="Arial" w:cs="Arial"/>
          <w:color w:val="000000"/>
          <w:sz w:val="20"/>
        </w:rPr>
        <w:t xml:space="preserve">, p. 10. The portion of the </w:t>
      </w:r>
      <w:r>
        <w:rPr>
          <w:rFonts w:ascii="Arial" w:eastAsia="Arial" w:hAnsi="Arial" w:cs="Arial"/>
          <w:i/>
          <w:color w:val="000000"/>
          <w:sz w:val="20"/>
        </w:rPr>
        <w:t>Schonfeld</w:t>
      </w:r>
      <w:r>
        <w:rPr>
          <w:rFonts w:ascii="Arial" w:eastAsia="Arial" w:hAnsi="Arial" w:cs="Arial"/>
          <w:color w:val="000000"/>
          <w:sz w:val="20"/>
        </w:rPr>
        <w:t xml:space="preserve"> opinion relied on by the district court was under the heading "Existing Facilities," and addresses the same access points at issue in this case.</w:t>
      </w:r>
    </w:p>
    <w:p w14:paraId="4BED4BBF" w14:textId="77777777" w:rsidR="002D0E71" w:rsidRDefault="00000000">
      <w:pPr>
        <w:pStyle w:val="Normal40"/>
        <w:widowControl w:val="0"/>
        <w:spacing w:before="200" w:line="260" w:lineRule="atLeast"/>
        <w:jc w:val="both"/>
      </w:pPr>
      <w:bookmarkStart w:id="6048" w:name="Bookmark_para_46_8"/>
      <w:bookmarkEnd w:id="6048"/>
      <w:r>
        <w:rPr>
          <w:rFonts w:ascii="Arial" w:eastAsia="Arial" w:hAnsi="Arial" w:cs="Arial"/>
          <w:color w:val="000000"/>
          <w:sz w:val="20"/>
        </w:rPr>
        <w:t xml:space="preserve">We affirmed the district court's decision in </w:t>
      </w:r>
      <w:r>
        <w:rPr>
          <w:rFonts w:ascii="Arial" w:eastAsia="Arial" w:hAnsi="Arial" w:cs="Arial"/>
          <w:i/>
          <w:color w:val="000000"/>
          <w:sz w:val="20"/>
        </w:rPr>
        <w:t>Schonfeld</w:t>
      </w:r>
      <w:r>
        <w:rPr>
          <w:rFonts w:ascii="Arial" w:eastAsia="Arial" w:hAnsi="Arial" w:cs="Arial"/>
          <w:color w:val="000000"/>
          <w:sz w:val="20"/>
        </w:rPr>
        <w:t>, including its ruling that:</w:t>
      </w:r>
    </w:p>
    <w:p w14:paraId="697FC603" w14:textId="77777777" w:rsidR="002D0E71" w:rsidRDefault="00000000">
      <w:pPr>
        <w:pStyle w:val="Normal40"/>
        <w:widowControl w:val="0"/>
        <w:spacing w:before="200" w:line="260" w:lineRule="atLeast"/>
        <w:ind w:left="400"/>
        <w:jc w:val="both"/>
      </w:pPr>
      <w:bookmarkStart w:id="6049" w:name="Bookmark_para_47_8"/>
      <w:bookmarkStart w:id="6050" w:name="Bookmark_I4GSX282TRH0010DC9M000VP"/>
      <w:bookmarkStart w:id="6051" w:name="Bookmark_I5CHK2GP2SF7W30020000400"/>
      <w:bookmarkEnd w:id="6049"/>
      <w:bookmarkEnd w:id="6050"/>
      <w:bookmarkEnd w:id="6051"/>
      <w:r>
        <w:rPr>
          <w:rFonts w:ascii="Arial" w:eastAsia="Arial" w:hAnsi="Arial" w:cs="Arial"/>
          <w:color w:val="000000"/>
          <w:sz w:val="20"/>
        </w:rPr>
        <w:t>[P]ublic entities are not required to construct a curb ramp at every intersection. Alternative routes to buildings that make use of existing curb ramps may be acceptable under the concept of program accessibility in limited circumstances where disabled individuals need only travel a marginally longer route . . .</w:t>
      </w:r>
    </w:p>
    <w:p w14:paraId="65DC42F2" w14:textId="77777777" w:rsidR="002D0E71" w:rsidRDefault="00000000">
      <w:pPr>
        <w:pStyle w:val="Normal40"/>
        <w:widowControl w:val="0"/>
        <w:spacing w:before="200" w:line="260" w:lineRule="atLeast"/>
        <w:jc w:val="both"/>
      </w:pPr>
      <w:bookmarkStart w:id="6052" w:name="Bookmark_I5CHK2GP2SF7W30020000400_2"/>
      <w:bookmarkStart w:id="6053" w:name="Bookmark_I5CHK2GP2SF7W30010000400"/>
      <w:bookmarkEnd w:id="6052"/>
      <w:bookmarkEnd w:id="6053"/>
      <w:r>
        <w:rPr>
          <w:rFonts w:ascii="Arial" w:eastAsia="Arial" w:hAnsi="Arial" w:cs="Arial"/>
          <w:i/>
          <w:color w:val="000000"/>
          <w:sz w:val="20"/>
        </w:rPr>
        <w:t>Schonfeld</w:t>
      </w:r>
      <w:r>
        <w:rPr>
          <w:rFonts w:ascii="Arial" w:eastAsia="Arial" w:hAnsi="Arial" w:cs="Arial"/>
          <w:color w:val="000000"/>
          <w:sz w:val="20"/>
        </w:rPr>
        <w:t>, 978 F. Supp. at 1339 n.11.</w:t>
      </w:r>
    </w:p>
    <w:p w14:paraId="4E01204B" w14:textId="77777777" w:rsidR="002D0E71" w:rsidRDefault="00000000">
      <w:pPr>
        <w:pStyle w:val="Normal40"/>
        <w:widowControl w:val="0"/>
        <w:spacing w:before="200" w:line="260" w:lineRule="atLeast"/>
        <w:jc w:val="both"/>
      </w:pPr>
      <w:bookmarkStart w:id="6054" w:name="Bookmark_para_48_8"/>
      <w:bookmarkStart w:id="6055" w:name="Bookmark_I4GSX2834NH0010DC9M000VS"/>
      <w:bookmarkStart w:id="6056" w:name="Bookmark_I5CHK2GP2SF7W30040000400"/>
      <w:bookmarkStart w:id="6057" w:name="Bookmark_I4GSX2838GN0010DC9M000VT"/>
      <w:bookmarkStart w:id="6058" w:name="Bookmark_I5CHK2GP2N1R980010000400"/>
      <w:bookmarkEnd w:id="6054"/>
      <w:bookmarkEnd w:id="6055"/>
      <w:bookmarkEnd w:id="6056"/>
      <w:bookmarkEnd w:id="6057"/>
      <w:bookmarkEnd w:id="6058"/>
      <w:r>
        <w:rPr>
          <w:rFonts w:ascii="Arial" w:eastAsia="Arial" w:hAnsi="Arial" w:cs="Arial"/>
          <w:color w:val="000000"/>
          <w:sz w:val="20"/>
        </w:rPr>
        <w:t xml:space="preserve">Similarly, the district court properly relied on the First Circuit decision in </w:t>
      </w:r>
      <w:bookmarkStart w:id="6059" w:name="Bookmark_I5CHK2GP2SF7W30030000400"/>
      <w:bookmarkEnd w:id="6059"/>
      <w:r>
        <w:rPr>
          <w:rFonts w:ascii="Arial" w:eastAsia="Arial" w:hAnsi="Arial" w:cs="Arial"/>
          <w:i/>
          <w:color w:val="000000"/>
          <w:sz w:val="20"/>
        </w:rPr>
        <w:t>Parker v. Universidad de P.R</w:t>
      </w:r>
      <w:r>
        <w:rPr>
          <w:rFonts w:ascii="Arial" w:eastAsia="Arial" w:hAnsi="Arial" w:cs="Arial"/>
          <w:color w:val="000000"/>
          <w:sz w:val="20"/>
        </w:rPr>
        <w:t xml:space="preserve">., 225 F.3d 1, 6-7 (1st Cir. 2000). </w:t>
      </w:r>
      <w:bookmarkStart w:id="6060" w:name="Bookmark_I4GSX283D9T0010DC9M000VV"/>
      <w:bookmarkStart w:id="6061" w:name="Bookmark_I5CHK2GP2N1R980030000400"/>
      <w:bookmarkEnd w:id="6060"/>
      <w:bookmarkEnd w:id="6061"/>
      <w:r>
        <w:rPr>
          <w:rFonts w:ascii="Arial" w:eastAsia="Arial" w:hAnsi="Arial" w:cs="Arial"/>
          <w:color w:val="000000"/>
          <w:sz w:val="20"/>
        </w:rPr>
        <w:t xml:space="preserve">In </w:t>
      </w:r>
      <w:r>
        <w:rPr>
          <w:rFonts w:ascii="Arial" w:eastAsia="Arial" w:hAnsi="Arial" w:cs="Arial"/>
          <w:i/>
          <w:color w:val="000000"/>
          <w:sz w:val="20"/>
        </w:rPr>
        <w:t>Parker</w:t>
      </w:r>
      <w:r>
        <w:rPr>
          <w:rFonts w:ascii="Arial" w:eastAsia="Arial" w:hAnsi="Arial" w:cs="Arial"/>
          <w:color w:val="000000"/>
          <w:sz w:val="20"/>
        </w:rPr>
        <w:t xml:space="preserve">, the First Circuit also addressed a claim of lack of access to an existing facility. </w:t>
      </w:r>
      <w:r>
        <w:rPr>
          <w:rFonts w:ascii="Arial" w:eastAsia="Arial" w:hAnsi="Arial" w:cs="Arial"/>
          <w:i/>
          <w:color w:val="000000"/>
          <w:sz w:val="20"/>
        </w:rPr>
        <w:t xml:space="preserve">See </w:t>
      </w:r>
      <w:bookmarkStart w:id="6062" w:name="Bookmark_I5CHK2GP2SF7W30050000400"/>
      <w:bookmarkEnd w:id="6062"/>
      <w:r>
        <w:rPr>
          <w:rFonts w:ascii="Arial" w:eastAsia="Arial" w:hAnsi="Arial" w:cs="Arial"/>
          <w:i/>
          <w:color w:val="000000"/>
          <w:sz w:val="20"/>
        </w:rPr>
        <w:t>id</w:t>
      </w:r>
      <w:r>
        <w:rPr>
          <w:rFonts w:ascii="Arial" w:eastAsia="Arial" w:hAnsi="Arial" w:cs="Arial"/>
          <w:color w:val="000000"/>
          <w:sz w:val="20"/>
        </w:rPr>
        <w:t xml:space="preserve">. at 5. </w:t>
      </w:r>
      <w:bookmarkStart w:id="6063" w:name="Bookmark_I5CHK2GP2N1R980030000400_2"/>
      <w:bookmarkEnd w:id="6063"/>
      <w:r>
        <w:rPr>
          <w:rFonts w:ascii="Arial" w:eastAsia="Arial" w:hAnsi="Arial" w:cs="Arial"/>
          <w:color w:val="000000"/>
          <w:sz w:val="20"/>
        </w:rPr>
        <w:t xml:space="preserve">The First Circuit noted that "Title II's emphasis on 'program accessibility' . . . was intended to ensure broad access to public services, while, at the  [**33] same time, providing public entities with the flexibility to make access available. . . ." </w:t>
      </w:r>
      <w:bookmarkStart w:id="6064" w:name="Bookmark_I5CHK2GP2N1R980020000400"/>
      <w:bookmarkEnd w:id="6064"/>
      <w:r>
        <w:rPr>
          <w:rFonts w:ascii="Arial" w:eastAsia="Arial" w:hAnsi="Arial" w:cs="Arial"/>
          <w:i/>
          <w:color w:val="000000"/>
          <w:sz w:val="20"/>
        </w:rPr>
        <w:t>Id</w:t>
      </w:r>
      <w:r>
        <w:rPr>
          <w:rFonts w:ascii="Arial" w:eastAsia="Arial" w:hAnsi="Arial" w:cs="Arial"/>
          <w:color w:val="000000"/>
          <w:sz w:val="20"/>
        </w:rPr>
        <w:t xml:space="preserve">. at 6. </w:t>
      </w:r>
      <w:bookmarkStart w:id="6065" w:name="Bookmark_I4GSX283XBN0010DC9M000VX"/>
      <w:bookmarkStart w:id="6066" w:name="Bookmark_I5CHK2GP2N1R980050000400"/>
      <w:bookmarkEnd w:id="6065"/>
      <w:bookmarkEnd w:id="6066"/>
      <w:r>
        <w:rPr>
          <w:rFonts w:ascii="Arial" w:eastAsia="Arial" w:hAnsi="Arial" w:cs="Arial"/>
          <w:color w:val="000000"/>
          <w:sz w:val="20"/>
        </w:rPr>
        <w:t xml:space="preserve">The First Circuit also observed that each program must be viewed in its entirety when determining accessibility. </w:t>
      </w:r>
      <w:r>
        <w:rPr>
          <w:rFonts w:ascii="Arial" w:eastAsia="Arial" w:hAnsi="Arial" w:cs="Arial"/>
          <w:i/>
          <w:color w:val="000000"/>
          <w:sz w:val="20"/>
        </w:rPr>
        <w:t>See id</w:t>
      </w:r>
      <w:r>
        <w:rPr>
          <w:rFonts w:ascii="Arial" w:eastAsia="Arial" w:hAnsi="Arial" w:cs="Arial"/>
          <w:color w:val="000000"/>
          <w:sz w:val="20"/>
        </w:rPr>
        <w:t xml:space="preserve">. Applying that view, the First Circuit held that the University was required to provide "at least one route that a [disabled] person . . . [could] use to reach the [program] safely . . ." </w:t>
      </w:r>
      <w:bookmarkStart w:id="6067" w:name="Bookmark_I5CHK2GP2N1R980040000400"/>
      <w:bookmarkEnd w:id="6067"/>
      <w:r>
        <w:rPr>
          <w:rFonts w:ascii="Arial" w:eastAsia="Arial" w:hAnsi="Arial" w:cs="Arial"/>
          <w:i/>
          <w:color w:val="000000"/>
          <w:sz w:val="20"/>
        </w:rPr>
        <w:t>Id</w:t>
      </w:r>
      <w:r>
        <w:rPr>
          <w:rFonts w:ascii="Arial" w:eastAsia="Arial" w:hAnsi="Arial" w:cs="Arial"/>
          <w:color w:val="000000"/>
          <w:sz w:val="20"/>
        </w:rPr>
        <w:t xml:space="preserve">. at 7. The First Circuit explicitly held that not every passageway had to be accessible so long as there was one route that a disabled person could use. </w:t>
      </w:r>
      <w:r>
        <w:rPr>
          <w:rFonts w:ascii="Arial" w:eastAsia="Arial" w:hAnsi="Arial" w:cs="Arial"/>
          <w:i/>
          <w:color w:val="000000"/>
          <w:sz w:val="20"/>
        </w:rPr>
        <w:t>See id</w:t>
      </w:r>
      <w:r>
        <w:rPr>
          <w:rFonts w:ascii="Arial" w:eastAsia="Arial" w:hAnsi="Arial" w:cs="Arial"/>
          <w:color w:val="000000"/>
          <w:sz w:val="20"/>
        </w:rPr>
        <w:t>.</w:t>
      </w:r>
    </w:p>
    <w:p w14:paraId="1C40CA0B" w14:textId="77777777" w:rsidR="002D0E71" w:rsidRDefault="00000000">
      <w:pPr>
        <w:pStyle w:val="Normal40"/>
        <w:widowControl w:val="0"/>
        <w:spacing w:before="200" w:line="260" w:lineRule="atLeast"/>
        <w:jc w:val="both"/>
      </w:pPr>
      <w:bookmarkStart w:id="6068" w:name="Bookmark_para_49_8"/>
      <w:bookmarkEnd w:id="6068"/>
      <w:r>
        <w:rPr>
          <w:rFonts w:ascii="Arial" w:eastAsia="Arial" w:hAnsi="Arial" w:cs="Arial"/>
          <w:color w:val="000000"/>
          <w:sz w:val="20"/>
        </w:rPr>
        <w:t xml:space="preserve">In this case, the undisputed evidence is that there were two readily accessible routes that Cohen could have used to reach his destination safely. </w:t>
      </w:r>
      <w:bookmarkStart w:id="6069" w:name="Bookmark_I4GSX284DCH0010DC9M000W1"/>
      <w:bookmarkStart w:id="6070" w:name="Bookmark_I4GSX28478N0010DC9M000W0"/>
      <w:bookmarkStart w:id="6071" w:name="Bookmark_I4GSX2843FH0010DC9M000VY"/>
      <w:bookmarkStart w:id="6072" w:name="Bookmark_I5CHK2GP28T4B30020000400"/>
      <w:bookmarkEnd w:id="6069"/>
      <w:bookmarkEnd w:id="6070"/>
      <w:bookmarkEnd w:id="6071"/>
      <w:bookmarkEnd w:id="6072"/>
      <w:r>
        <w:rPr>
          <w:rFonts w:ascii="Arial" w:eastAsia="Arial" w:hAnsi="Arial" w:cs="Arial"/>
          <w:color w:val="000000"/>
          <w:sz w:val="20"/>
        </w:rPr>
        <w:t xml:space="preserve">Under the rationale of </w:t>
      </w:r>
      <w:r>
        <w:rPr>
          <w:rFonts w:ascii="Arial" w:eastAsia="Arial" w:hAnsi="Arial" w:cs="Arial"/>
          <w:i/>
          <w:color w:val="000000"/>
          <w:sz w:val="20"/>
        </w:rPr>
        <w:t>Parker</w:t>
      </w:r>
      <w:r>
        <w:rPr>
          <w:rFonts w:ascii="Arial" w:eastAsia="Arial" w:hAnsi="Arial" w:cs="Arial"/>
          <w:color w:val="000000"/>
          <w:sz w:val="20"/>
        </w:rPr>
        <w:t xml:space="preserve"> and </w:t>
      </w:r>
      <w:r>
        <w:rPr>
          <w:rFonts w:ascii="Arial" w:eastAsia="Arial" w:hAnsi="Arial" w:cs="Arial"/>
          <w:i/>
          <w:color w:val="000000"/>
          <w:sz w:val="20"/>
        </w:rPr>
        <w:t>Schonfeld</w:t>
      </w:r>
      <w:r>
        <w:rPr>
          <w:rFonts w:ascii="Arial" w:eastAsia="Arial" w:hAnsi="Arial" w:cs="Arial"/>
          <w:color w:val="000000"/>
          <w:sz w:val="20"/>
        </w:rPr>
        <w:t xml:space="preserve">, and  [*703]  viewing the program in its entirety, Cohen was not denied access. In summary, the only cases that have come close to addressing this issue focus on viewing the program in its entirety and determining whether all access was denied. </w:t>
      </w:r>
      <w:r>
        <w:rPr>
          <w:rFonts w:ascii="Arial" w:eastAsia="Arial" w:hAnsi="Arial" w:cs="Arial"/>
          <w:i/>
          <w:color w:val="000000"/>
          <w:sz w:val="20"/>
        </w:rPr>
        <w:t xml:space="preserve">See </w:t>
      </w:r>
      <w:bookmarkStart w:id="6073" w:name="Bookmark_I5CHK2GP28T4B30010000400"/>
      <w:bookmarkEnd w:id="6073"/>
      <w:r>
        <w:rPr>
          <w:rFonts w:ascii="Arial" w:eastAsia="Arial" w:hAnsi="Arial" w:cs="Arial"/>
          <w:i/>
          <w:color w:val="000000"/>
          <w:sz w:val="20"/>
        </w:rPr>
        <w:t>Bird</w:t>
      </w:r>
      <w:r>
        <w:rPr>
          <w:rFonts w:ascii="Arial" w:eastAsia="Arial" w:hAnsi="Arial" w:cs="Arial"/>
          <w:color w:val="000000"/>
          <w:sz w:val="20"/>
        </w:rPr>
        <w:t xml:space="preserve">, 303 F.3d at 1021; </w:t>
      </w:r>
      <w:bookmarkStart w:id="6074" w:name="Bookmark_I5CHK2GP28T4B30030000400"/>
      <w:bookmarkEnd w:id="6074"/>
      <w:r>
        <w:rPr>
          <w:rFonts w:ascii="Arial" w:eastAsia="Arial" w:hAnsi="Arial" w:cs="Arial"/>
          <w:i/>
          <w:color w:val="000000"/>
          <w:sz w:val="20"/>
        </w:rPr>
        <w:t>Schonfeld</w:t>
      </w:r>
      <w:r>
        <w:rPr>
          <w:rFonts w:ascii="Arial" w:eastAsia="Arial" w:hAnsi="Arial" w:cs="Arial"/>
          <w:color w:val="000000"/>
          <w:sz w:val="20"/>
        </w:rPr>
        <w:t xml:space="preserve">, 978 F. Supp. at 1339 n.11; </w:t>
      </w:r>
      <w:bookmarkStart w:id="6075" w:name="Bookmark_I5CHK2GP28T4B30050000400"/>
      <w:bookmarkEnd w:id="6075"/>
      <w:r>
        <w:rPr>
          <w:rFonts w:ascii="Arial" w:eastAsia="Arial" w:hAnsi="Arial" w:cs="Arial"/>
          <w:i/>
          <w:color w:val="000000"/>
          <w:sz w:val="20"/>
        </w:rPr>
        <w:t>Parker</w:t>
      </w:r>
      <w:r>
        <w:rPr>
          <w:rFonts w:ascii="Arial" w:eastAsia="Arial" w:hAnsi="Arial" w:cs="Arial"/>
          <w:color w:val="000000"/>
          <w:sz w:val="20"/>
        </w:rPr>
        <w:t>, 225 F.3d at 6-7. Because two available access routes existed when viewing the sidewalk in its entirety, Cohen was provided sufficient  [**34] access. I agree with the district court that Cohen failed to raise a material issue of fact on his ADA claims and on his related state law claims. I would affirm the district court's entry of judgment in favor of Culver City in its entirety.</w:t>
      </w:r>
    </w:p>
    <w:p w14:paraId="7C93D7F1" w14:textId="77777777" w:rsidR="002D0E71" w:rsidRDefault="002D0E71">
      <w:pPr>
        <w:pStyle w:val="Normal40"/>
      </w:pPr>
    </w:p>
    <w:p w14:paraId="4ED0317C" w14:textId="58B151D7" w:rsidR="002D0E71" w:rsidRDefault="00000000">
      <w:pPr>
        <w:pStyle w:val="Normal40"/>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46304" behindDoc="0" locked="0" layoutInCell="1" allowOverlap="1" wp14:anchorId="32497119" wp14:editId="0429F53A">
                <wp:simplePos x="0" y="0"/>
                <wp:positionH relativeFrom="column">
                  <wp:posOffset>0</wp:posOffset>
                </wp:positionH>
                <wp:positionV relativeFrom="paragraph">
                  <wp:posOffset>127000</wp:posOffset>
                </wp:positionV>
                <wp:extent cx="6502400" cy="0"/>
                <wp:effectExtent l="9525" t="12700" r="12700" b="6350"/>
                <wp:wrapNone/>
                <wp:docPr id="613549335"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2CC8E4" id="Line 92"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407427B" w14:textId="77777777" w:rsidR="002D0E71" w:rsidRDefault="002D0E71">
      <w:pPr>
        <w:pStyle w:val="Normal41"/>
        <w:sectPr w:rsidR="002D0E71">
          <w:headerReference w:type="even" r:id="rId257"/>
          <w:headerReference w:type="default" r:id="rId258"/>
          <w:footerReference w:type="even" r:id="rId259"/>
          <w:footerReference w:type="default" r:id="rId260"/>
          <w:headerReference w:type="first" r:id="rId261"/>
          <w:footerReference w:type="first" r:id="rId262"/>
          <w:pgSz w:w="12240" w:h="15840"/>
          <w:pgMar w:top="840" w:right="1000" w:bottom="840" w:left="1000" w:header="400" w:footer="400" w:gutter="0"/>
          <w:cols w:space="720"/>
          <w:titlePg/>
        </w:sectPr>
      </w:pPr>
    </w:p>
    <w:p w14:paraId="458E39C2" w14:textId="77777777" w:rsidR="002D0E71" w:rsidRDefault="002D0E71">
      <w:pPr>
        <w:pStyle w:val="Normal41"/>
      </w:pPr>
    </w:p>
    <w:p w14:paraId="7C4A8F7B" w14:textId="77777777" w:rsidR="002D0E71" w:rsidRDefault="00000000">
      <w:pPr>
        <w:pStyle w:val="Heading140"/>
        <w:keepNext w:val="0"/>
        <w:widowControl w:val="0"/>
        <w:spacing w:after="200" w:line="340" w:lineRule="atLeast"/>
        <w:jc w:val="center"/>
      </w:pPr>
      <w:r>
        <w:rPr>
          <w:rFonts w:eastAsia="Arial"/>
          <w:color w:val="000000"/>
          <w:sz w:val="28"/>
        </w:rPr>
        <w:t>Ervine v. Desert View Reg'l Med. Ctr. Holdings, LLC</w:t>
      </w:r>
    </w:p>
    <w:p w14:paraId="536F50E0" w14:textId="77777777" w:rsidR="002D0E71" w:rsidRDefault="00000000">
      <w:pPr>
        <w:pStyle w:val="Normal41"/>
        <w:widowControl w:val="0"/>
        <w:spacing w:before="120" w:line="260" w:lineRule="atLeast"/>
        <w:jc w:val="center"/>
      </w:pPr>
      <w:r>
        <w:rPr>
          <w:rFonts w:ascii="Arial" w:eastAsia="Arial" w:hAnsi="Arial" w:cs="Arial"/>
          <w:color w:val="000000"/>
          <w:sz w:val="20"/>
        </w:rPr>
        <w:t>United States Court of Appeals for the Ninth Circuit</w:t>
      </w:r>
    </w:p>
    <w:p w14:paraId="707E907E" w14:textId="77777777" w:rsidR="002D0E71" w:rsidRDefault="00000000">
      <w:pPr>
        <w:pStyle w:val="Normal41"/>
        <w:widowControl w:val="0"/>
        <w:spacing w:before="120" w:line="260" w:lineRule="atLeast"/>
        <w:jc w:val="center"/>
      </w:pPr>
      <w:r>
        <w:rPr>
          <w:rFonts w:ascii="Arial" w:eastAsia="Arial" w:hAnsi="Arial" w:cs="Arial"/>
          <w:color w:val="000000"/>
          <w:sz w:val="20"/>
        </w:rPr>
        <w:t>February 12, 2014, Argued and Submitted, San Francisco, California; May 29, 2014, Filed</w:t>
      </w:r>
    </w:p>
    <w:p w14:paraId="427A19ED" w14:textId="77777777" w:rsidR="002D0E71" w:rsidRDefault="00000000">
      <w:pPr>
        <w:pStyle w:val="Normal41"/>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12-15059</w:t>
      </w:r>
    </w:p>
    <w:p w14:paraId="61415F27" w14:textId="77777777" w:rsidR="002D0E71" w:rsidRDefault="002D0E71">
      <w:pPr>
        <w:pStyle w:val="Normal41"/>
        <w:widowControl w:val="0"/>
        <w:spacing w:line="240" w:lineRule="atLeast"/>
        <w:jc w:val="both"/>
      </w:pPr>
      <w:bookmarkStart w:id="6076" w:name="Bookmark_42"/>
      <w:bookmarkEnd w:id="6076"/>
    </w:p>
    <w:p w14:paraId="23EC5501" w14:textId="77777777" w:rsidR="002D0E71" w:rsidRDefault="00000000">
      <w:pPr>
        <w:pStyle w:val="Normal41"/>
        <w:widowControl w:val="0"/>
        <w:spacing w:before="200" w:line="240" w:lineRule="atLeast"/>
      </w:pPr>
      <w:bookmarkStart w:id="6077" w:name="Reporter_40"/>
      <w:bookmarkEnd w:id="6077"/>
      <w:r>
        <w:rPr>
          <w:rFonts w:ascii="Arial" w:eastAsia="Arial" w:hAnsi="Arial" w:cs="Arial"/>
          <w:b/>
          <w:color w:val="000000"/>
          <w:sz w:val="18"/>
        </w:rPr>
        <w:t>Reporter</w:t>
      </w:r>
    </w:p>
    <w:p w14:paraId="3C85C82D" w14:textId="77777777" w:rsidR="002D0E71" w:rsidRDefault="00000000">
      <w:pPr>
        <w:pStyle w:val="Normal41"/>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753 F.3d 862 *; 2014 U.S. App. LEXIS 9919 **; 29 Am. Disabilities Cas. (BNA) 1513; 2014 WL 2210845</w:t>
      </w:r>
    </w:p>
    <w:p w14:paraId="735D44C1" w14:textId="77777777" w:rsidR="002D0E71" w:rsidRDefault="00000000">
      <w:pPr>
        <w:pStyle w:val="Normal41"/>
        <w:widowControl w:val="0"/>
        <w:spacing w:before="120" w:line="260" w:lineRule="atLeast"/>
      </w:pPr>
      <w:r>
        <w:rPr>
          <w:rFonts w:ascii="Arial" w:eastAsia="Arial" w:hAnsi="Arial" w:cs="Arial"/>
          <w:color w:val="000000"/>
          <w:sz w:val="20"/>
        </w:rPr>
        <w:t>SIE ERVINE, as an individual and as Executor of the Estate of Charlene Elaine Ervine, deceased, Plaintiff-Appellant, v. DESERT VIEW REGIONAL MEDICAL CENTER HOLDINGS, LLC; GEORGES TANNOURY, M.D., a domestic corporation; GEORGES TANNOURY, M.D., an individual, Defendants-Appellees.</w:t>
      </w:r>
    </w:p>
    <w:p w14:paraId="5C239B38" w14:textId="77777777" w:rsidR="002D0E71" w:rsidRDefault="00000000">
      <w:pPr>
        <w:pStyle w:val="Normal41"/>
        <w:widowControl w:val="0"/>
        <w:spacing w:before="240" w:line="260" w:lineRule="atLeast"/>
      </w:pPr>
      <w:bookmarkStart w:id="6078" w:name="Subsequent_History_15"/>
      <w:bookmarkEnd w:id="6078"/>
      <w:r>
        <w:rPr>
          <w:rFonts w:ascii="Arial" w:eastAsia="Arial" w:hAnsi="Arial" w:cs="Arial"/>
          <w:b/>
          <w:color w:val="000000"/>
          <w:sz w:val="20"/>
        </w:rPr>
        <w:t>Subsequent History:</w:t>
      </w:r>
      <w:r>
        <w:rPr>
          <w:rFonts w:ascii="Arial" w:eastAsia="Arial" w:hAnsi="Arial" w:cs="Arial"/>
          <w:color w:val="000000"/>
          <w:sz w:val="20"/>
        </w:rPr>
        <w:t> On remand at, Summary judgment granted, in part, summary judgment denied, in part by Ervine v. Desert View Reg'l Med. Ctr. Holdings, 2016 U.S. Dist. LEXIS 132299 (D. Nev., Sept. 26, 2016)</w:t>
      </w:r>
    </w:p>
    <w:p w14:paraId="5D069DF7" w14:textId="77777777" w:rsidR="002D0E71" w:rsidRDefault="00000000">
      <w:pPr>
        <w:pStyle w:val="Normal41"/>
        <w:widowControl w:val="0"/>
        <w:spacing w:before="240" w:line="260" w:lineRule="atLeast"/>
        <w:jc w:val="both"/>
      </w:pPr>
      <w:bookmarkStart w:id="6079" w:name="Prior_History_39"/>
      <w:bookmarkEnd w:id="6079"/>
      <w:r>
        <w:rPr>
          <w:rFonts w:ascii="Arial" w:eastAsia="Arial" w:hAnsi="Arial" w:cs="Arial"/>
          <w:b/>
          <w:color w:val="000000"/>
          <w:sz w:val="20"/>
        </w:rPr>
        <w:t>Prior History:</w:t>
      </w:r>
      <w:r>
        <w:rPr>
          <w:rFonts w:ascii="Arial" w:eastAsia="Arial" w:hAnsi="Arial" w:cs="Arial"/>
          <w:color w:val="000000"/>
          <w:sz w:val="20"/>
        </w:rPr>
        <w:t>  [**1] </w:t>
      </w:r>
      <w:bookmarkStart w:id="6080" w:name="Bookmark_para_1_40"/>
      <w:bookmarkEnd w:id="6080"/>
      <w:r>
        <w:rPr>
          <w:rFonts w:ascii="Arial" w:eastAsia="Arial" w:hAnsi="Arial" w:cs="Arial"/>
          <w:color w:val="000000"/>
          <w:sz w:val="20"/>
        </w:rPr>
        <w:t>Appeal from the United States District Court for the District of Nevada. D.C. No. 2:10-cv-01494-JCM-GWF. James C. Mahan, District Judge, Presiding.</w:t>
      </w:r>
    </w:p>
    <w:p w14:paraId="61E6F8C6" w14:textId="77777777" w:rsidR="002D0E71" w:rsidRDefault="00000000">
      <w:pPr>
        <w:pStyle w:val="Normal41"/>
        <w:widowControl w:val="0"/>
        <w:spacing w:before="120" w:line="260" w:lineRule="atLeast"/>
      </w:pPr>
      <w:r>
        <w:rPr>
          <w:rFonts w:ascii="Arial" w:eastAsia="Arial" w:hAnsi="Arial" w:cs="Arial"/>
          <w:color w:val="000000"/>
          <w:sz w:val="20"/>
        </w:rPr>
        <w:t>Ervine v. Desert View Reg'l Med. Ctr. Holdings LLC, 2011 U.S. Dist. LEXIS 141613 (D. Nev., Dec. 8, 2011)</w:t>
      </w:r>
    </w:p>
    <w:p w14:paraId="74E2C148" w14:textId="77777777" w:rsidR="002D0E71" w:rsidRDefault="00000000">
      <w:pPr>
        <w:pStyle w:val="Normal41"/>
        <w:widowControl w:val="0"/>
        <w:spacing w:before="240" w:line="260" w:lineRule="atLeast"/>
      </w:pPr>
      <w:bookmarkStart w:id="6081" w:name="Summary_8"/>
      <w:bookmarkEnd w:id="6081"/>
      <w:r>
        <w:rPr>
          <w:rFonts w:ascii="Arial" w:eastAsia="Arial" w:hAnsi="Arial" w:cs="Arial"/>
          <w:b/>
          <w:color w:val="000000"/>
          <w:sz w:val="20"/>
        </w:rPr>
        <w:t>Summary:</w:t>
      </w:r>
    </w:p>
    <w:p w14:paraId="3A1DE2F0" w14:textId="77777777" w:rsidR="002D0E71" w:rsidRDefault="00000000">
      <w:pPr>
        <w:pStyle w:val="Normal41"/>
        <w:widowControl w:val="0"/>
        <w:spacing w:before="240" w:line="260" w:lineRule="atLeast"/>
        <w:jc w:val="both"/>
      </w:pPr>
      <w:bookmarkStart w:id="6082" w:name="Bookmark_clspara_4_17"/>
      <w:bookmarkEnd w:id="6082"/>
      <w:r>
        <w:rPr>
          <w:rFonts w:ascii="Arial" w:eastAsia="Arial" w:hAnsi="Arial" w:cs="Arial"/>
          <w:b/>
          <w:color w:val="000000"/>
          <w:sz w:val="20"/>
        </w:rPr>
        <w:t>SUMMARY</w:t>
      </w:r>
      <w:r>
        <w:rPr>
          <w:rFonts w:ascii="Arial" w:eastAsia="Arial" w:hAnsi="Arial" w:cs="Arial"/>
          <w:vertAlign w:val="superscript"/>
        </w:rPr>
        <w:footnoteReference w:customMarkFollows="1" w:id="247"/>
        <w:t>**</w:t>
      </w:r>
    </w:p>
    <w:p w14:paraId="2797EDBA" w14:textId="77777777" w:rsidR="002D0E71" w:rsidRDefault="00000000">
      <w:pPr>
        <w:pStyle w:val="Normal41"/>
        <w:widowControl w:val="0"/>
        <w:spacing w:before="240" w:line="260" w:lineRule="atLeast"/>
        <w:jc w:val="both"/>
      </w:pPr>
      <w:bookmarkStart w:id="6084" w:name="Bookmark_clspara_5_8"/>
      <w:bookmarkEnd w:id="6084"/>
      <w:r>
        <w:rPr>
          <w:rFonts w:ascii="Arial" w:eastAsia="Arial" w:hAnsi="Arial" w:cs="Arial"/>
          <w:b/>
          <w:color w:val="000000"/>
          <w:sz w:val="20"/>
        </w:rPr>
        <w:t>Rehabilitation Act / Americans with Disabilities Act</w:t>
      </w:r>
    </w:p>
    <w:p w14:paraId="0A87B890" w14:textId="77777777" w:rsidR="002D0E71" w:rsidRDefault="00000000">
      <w:pPr>
        <w:pStyle w:val="Normal41"/>
        <w:widowControl w:val="0"/>
        <w:spacing w:before="240" w:line="260" w:lineRule="atLeast"/>
        <w:jc w:val="both"/>
      </w:pPr>
      <w:bookmarkStart w:id="6085" w:name="Bookmark_clspara_6_8"/>
      <w:bookmarkEnd w:id="6085"/>
      <w:r>
        <w:rPr>
          <w:rFonts w:ascii="Arial" w:eastAsia="Arial" w:hAnsi="Arial" w:cs="Arial"/>
          <w:color w:val="000000"/>
          <w:sz w:val="20"/>
        </w:rPr>
        <w:t>The panel vacated in part and reversed in part the district court's summary judgment on claims under the Rehabilitation Act and the Americans with Disabilities Act against health care providers for failure to communicate effectively with a person who was deaf.</w:t>
      </w:r>
    </w:p>
    <w:p w14:paraId="13C02470" w14:textId="77777777" w:rsidR="002D0E71" w:rsidRDefault="00000000">
      <w:pPr>
        <w:pStyle w:val="Normal41"/>
        <w:widowControl w:val="0"/>
        <w:spacing w:before="240" w:line="260" w:lineRule="atLeast"/>
        <w:jc w:val="both"/>
      </w:pPr>
      <w:bookmarkStart w:id="6086" w:name="Bookmark_clspara_7_8"/>
      <w:bookmarkEnd w:id="6086"/>
      <w:r>
        <w:rPr>
          <w:rFonts w:ascii="Arial" w:eastAsia="Arial" w:hAnsi="Arial" w:cs="Arial"/>
          <w:color w:val="000000"/>
          <w:sz w:val="20"/>
        </w:rPr>
        <w:t>The panel held that the plaintiff lacked standing to bring claims for injunctive relief under Title III of the Americans with Disabilities Act because he did not show a real and immediate threat that he would be denied effective communication by the defendants, either as a patient in his own right or as a companion to another patient. The panel vacated the district court's grant of summary judgment in favor of the defendants as to these claims and remanded with instructions to dismiss them without prejudice for lack of jurisdiction.</w:t>
      </w:r>
    </w:p>
    <w:p w14:paraId="4D429209" w14:textId="77777777" w:rsidR="002D0E71" w:rsidRDefault="00000000">
      <w:pPr>
        <w:pStyle w:val="Normal41"/>
        <w:widowControl w:val="0"/>
        <w:spacing w:before="240" w:line="260" w:lineRule="atLeast"/>
        <w:jc w:val="both"/>
      </w:pPr>
      <w:bookmarkStart w:id="6087" w:name="Bookmark_clspara_8_8"/>
      <w:bookmarkEnd w:id="6087"/>
      <w:r>
        <w:rPr>
          <w:rFonts w:ascii="Arial" w:eastAsia="Arial" w:hAnsi="Arial" w:cs="Arial"/>
          <w:color w:val="000000"/>
          <w:sz w:val="20"/>
        </w:rPr>
        <w:t>The panel held that the district court erred in concluding that  [**2] the plaintiff's claims under § 504 of the Rehabilitation Act, brought individually and on behalf of his wife's estate, were untimely under Nevada's two-year statute of limitations for personal injuries. The panel held that so long as an alleged violation of § 504 is a discrete and independently wrongful discriminatory act, it causes a new claim to accrue and a new limitations period to run. The panel reversed the district court's grant of summary judgment in favor of the defendants as to the Rehabilitation Act claims.</w:t>
      </w:r>
    </w:p>
    <w:p w14:paraId="0DE949B3" w14:textId="77777777" w:rsidR="002D0E71" w:rsidRDefault="00000000">
      <w:pPr>
        <w:pStyle w:val="Normal41"/>
        <w:widowControl w:val="0"/>
        <w:spacing w:before="240" w:line="260" w:lineRule="atLeast"/>
      </w:pPr>
      <w:bookmarkStart w:id="6088" w:name="Counsel_40"/>
      <w:bookmarkEnd w:id="6088"/>
      <w:r>
        <w:rPr>
          <w:rFonts w:ascii="Arial" w:eastAsia="Arial" w:hAnsi="Arial" w:cs="Arial"/>
          <w:b/>
          <w:color w:val="000000"/>
          <w:sz w:val="20"/>
        </w:rPr>
        <w:t>Counsel:</w:t>
      </w:r>
      <w:r>
        <w:rPr>
          <w:rFonts w:ascii="Arial" w:eastAsia="Arial" w:hAnsi="Arial" w:cs="Arial"/>
          <w:color w:val="000000"/>
          <w:sz w:val="20"/>
        </w:rPr>
        <w:t> Dale H. Boam, Salt Lake City, Utah, argued the cause and filed the briefs for the plaintiffs-appellants. With him on brief was Norman N. Hirata, Las Vegas, Nevada.</w:t>
      </w:r>
    </w:p>
    <w:p w14:paraId="49BD171E" w14:textId="77777777" w:rsidR="002D0E71" w:rsidRDefault="00000000">
      <w:pPr>
        <w:pStyle w:val="Normal41"/>
        <w:widowControl w:val="0"/>
        <w:spacing w:before="120" w:line="260" w:lineRule="atLeast"/>
      </w:pPr>
      <w:r>
        <w:rPr>
          <w:rFonts w:ascii="Arial" w:eastAsia="Arial" w:hAnsi="Arial" w:cs="Arial"/>
          <w:color w:val="000000"/>
          <w:sz w:val="20"/>
        </w:rPr>
        <w:t>Eric K. Stryker, Wilson, Elser, Moskowitz, Edelman &amp; Dicker LLP, Las Vegas, Nevada, argued the cause and filed the brief for defendant-appellee Desert View Regional Medical Center Holdings, LLC.</w:t>
      </w:r>
    </w:p>
    <w:p w14:paraId="762CB17D" w14:textId="77777777" w:rsidR="002D0E71" w:rsidRDefault="00000000">
      <w:pPr>
        <w:pStyle w:val="Normal41"/>
        <w:widowControl w:val="0"/>
        <w:spacing w:before="120" w:line="260" w:lineRule="atLeast"/>
      </w:pPr>
      <w:r>
        <w:rPr>
          <w:rFonts w:ascii="Arial" w:eastAsia="Arial" w:hAnsi="Arial" w:cs="Arial"/>
          <w:color w:val="000000"/>
          <w:sz w:val="20"/>
        </w:rPr>
        <w:t>John H. Cotton, Cotton, Driggs, Walch, Holley, Woloson &amp; Thompson, Las Vegas, Nevada, argued the cause and Christopher G. Rigler filed the brief for defendants-appellees Georges Tannoury, M.D., a domestic corporation and Georges Tannoury, M.D., an individual.</w:t>
      </w:r>
    </w:p>
    <w:p w14:paraId="2BA1EF37" w14:textId="77777777" w:rsidR="002D0E71" w:rsidRDefault="00000000">
      <w:pPr>
        <w:pStyle w:val="Normal41"/>
        <w:widowControl w:val="0"/>
        <w:spacing w:before="240" w:line="260" w:lineRule="atLeast"/>
      </w:pPr>
      <w:bookmarkStart w:id="6089" w:name="Judges_40"/>
      <w:bookmarkEnd w:id="6089"/>
      <w:r>
        <w:rPr>
          <w:rFonts w:ascii="Arial" w:eastAsia="Arial" w:hAnsi="Arial" w:cs="Arial"/>
          <w:b/>
          <w:color w:val="000000"/>
          <w:sz w:val="20"/>
        </w:rPr>
        <w:t>Judges:</w:t>
      </w:r>
      <w:r>
        <w:rPr>
          <w:rFonts w:ascii="Arial" w:eastAsia="Arial" w:hAnsi="Arial" w:cs="Arial"/>
          <w:color w:val="000000"/>
          <w:sz w:val="20"/>
        </w:rPr>
        <w:t> Before: Diarmuid F. O'Scannlain and Mary H. Murguia, Circuit  [**3] Judges, and Lynn S. Adelman, District Judge.</w:t>
      </w:r>
      <w:r>
        <w:rPr>
          <w:rFonts w:ascii="Arial" w:eastAsia="Arial" w:hAnsi="Arial" w:cs="Arial"/>
          <w:vertAlign w:val="superscript"/>
        </w:rPr>
        <w:footnoteReference w:customMarkFollows="1" w:id="248"/>
        <w:t>*</w:t>
      </w:r>
      <w:r>
        <w:rPr>
          <w:rFonts w:ascii="Arial" w:eastAsia="Arial" w:hAnsi="Arial" w:cs="Arial"/>
          <w:color w:val="000000"/>
          <w:sz w:val="20"/>
        </w:rPr>
        <w:t xml:space="preserve"> Opinion by Judge O'Scannlain.</w:t>
      </w:r>
    </w:p>
    <w:p w14:paraId="7E62CC8C" w14:textId="77777777" w:rsidR="002D0E71" w:rsidRDefault="00000000">
      <w:pPr>
        <w:pStyle w:val="Normal41"/>
        <w:widowControl w:val="0"/>
        <w:spacing w:before="240" w:line="260" w:lineRule="atLeast"/>
      </w:pPr>
      <w:bookmarkStart w:id="6091" w:name="Opinion_by_29"/>
      <w:bookmarkEnd w:id="6091"/>
      <w:r>
        <w:rPr>
          <w:rFonts w:ascii="Arial" w:eastAsia="Arial" w:hAnsi="Arial" w:cs="Arial"/>
          <w:b/>
          <w:color w:val="000000"/>
          <w:sz w:val="20"/>
        </w:rPr>
        <w:t>Opinion by:</w:t>
      </w:r>
      <w:r>
        <w:rPr>
          <w:rFonts w:ascii="Arial" w:eastAsia="Arial" w:hAnsi="Arial" w:cs="Arial"/>
          <w:color w:val="000000"/>
          <w:sz w:val="20"/>
        </w:rPr>
        <w:t> O'SCANNLAIN</w:t>
      </w:r>
    </w:p>
    <w:p w14:paraId="2F4E0036" w14:textId="77777777" w:rsidR="002D0E71" w:rsidRDefault="00000000">
      <w:pPr>
        <w:pStyle w:val="Normal41"/>
        <w:keepNext/>
        <w:widowControl w:val="0"/>
        <w:spacing w:before="240" w:line="340" w:lineRule="atLeast"/>
      </w:pPr>
      <w:bookmarkStart w:id="6092" w:name="Opinion_40"/>
      <w:bookmarkEnd w:id="6092"/>
      <w:r>
        <w:rPr>
          <w:rFonts w:ascii="Arial" w:eastAsia="Arial" w:hAnsi="Arial" w:cs="Arial"/>
          <w:b/>
          <w:color w:val="000000"/>
          <w:sz w:val="28"/>
        </w:rPr>
        <w:t>Opinion</w:t>
      </w:r>
    </w:p>
    <w:p w14:paraId="5E6ADA14" w14:textId="2211A365" w:rsidR="002D0E71" w:rsidRDefault="002939DF">
      <w:pPr>
        <w:pStyle w:val="Normal41"/>
        <w:spacing w:line="60" w:lineRule="exact"/>
      </w:pPr>
      <w:r>
        <w:rPr>
          <w:noProof/>
        </w:rPr>
        <mc:AlternateContent>
          <mc:Choice Requires="wps">
            <w:drawing>
              <wp:anchor distT="0" distB="0" distL="114300" distR="114300" simplePos="0" relativeHeight="251747328" behindDoc="0" locked="0" layoutInCell="1" allowOverlap="1" wp14:anchorId="468494C3" wp14:editId="03B06B51">
                <wp:simplePos x="0" y="0"/>
                <wp:positionH relativeFrom="column">
                  <wp:posOffset>0</wp:posOffset>
                </wp:positionH>
                <wp:positionV relativeFrom="paragraph">
                  <wp:posOffset>25400</wp:posOffset>
                </wp:positionV>
                <wp:extent cx="3187700" cy="0"/>
                <wp:effectExtent l="19050" t="15875" r="12700" b="12700"/>
                <wp:wrapTopAndBottom/>
                <wp:docPr id="82916589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20FFAB" id="Line 93"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43D0F87" w14:textId="77777777" w:rsidR="002D0E71" w:rsidRDefault="002D0E71">
      <w:pPr>
        <w:pStyle w:val="Normal41"/>
      </w:pPr>
    </w:p>
    <w:p w14:paraId="758974D9" w14:textId="77777777" w:rsidR="002D0E71" w:rsidRDefault="00000000">
      <w:pPr>
        <w:pStyle w:val="Normal41"/>
        <w:widowControl w:val="0"/>
        <w:spacing w:before="200" w:line="260" w:lineRule="atLeast"/>
        <w:jc w:val="both"/>
      </w:pPr>
      <w:bookmarkStart w:id="6093" w:name="Bookmark_para_2_40"/>
      <w:bookmarkEnd w:id="6093"/>
      <w:r>
        <w:rPr>
          <w:rFonts w:ascii="Arial" w:eastAsia="Arial" w:hAnsi="Arial" w:cs="Arial"/>
          <w:color w:val="000000"/>
          <w:sz w:val="20"/>
        </w:rPr>
        <w:t> [*865]  O'SCANNLAIN, Circuit Judge:</w:t>
      </w:r>
    </w:p>
    <w:p w14:paraId="35549BA0" w14:textId="77777777" w:rsidR="002D0E71" w:rsidRDefault="00000000">
      <w:pPr>
        <w:pStyle w:val="Normal41"/>
        <w:widowControl w:val="0"/>
        <w:spacing w:before="200" w:line="260" w:lineRule="atLeast"/>
        <w:jc w:val="both"/>
      </w:pPr>
      <w:bookmarkStart w:id="6094" w:name="Bookmark_para_3_40"/>
      <w:bookmarkEnd w:id="6094"/>
      <w:r>
        <w:rPr>
          <w:rFonts w:ascii="Arial" w:eastAsia="Arial" w:hAnsi="Arial" w:cs="Arial"/>
          <w:color w:val="000000"/>
          <w:sz w:val="20"/>
        </w:rPr>
        <w:t>We are presented with claims under the Rehabilitation Act against health care providers for failure to communicate effectively with a person who is deaf.</w:t>
      </w:r>
    </w:p>
    <w:p w14:paraId="09E30718" w14:textId="77777777" w:rsidR="002D0E71" w:rsidRDefault="00000000">
      <w:pPr>
        <w:pStyle w:val="Normal41"/>
        <w:widowControl w:val="0"/>
        <w:spacing w:before="120" w:line="260" w:lineRule="atLeast"/>
      </w:pPr>
      <w:r>
        <w:rPr>
          <w:rFonts w:ascii="Arial" w:eastAsia="Arial" w:hAnsi="Arial" w:cs="Arial"/>
          <w:color w:val="000000"/>
          <w:sz w:val="20"/>
        </w:rPr>
        <w:t>I</w:t>
      </w:r>
    </w:p>
    <w:p w14:paraId="6593DF82" w14:textId="77777777" w:rsidR="002D0E71" w:rsidRDefault="00000000">
      <w:pPr>
        <w:pStyle w:val="Normal41"/>
        <w:widowControl w:val="0"/>
        <w:spacing w:before="200" w:line="260" w:lineRule="atLeast"/>
        <w:jc w:val="both"/>
      </w:pPr>
      <w:bookmarkStart w:id="6095" w:name="Bookmark_para_4_40"/>
      <w:bookmarkEnd w:id="6095"/>
      <w:r>
        <w:rPr>
          <w:rFonts w:ascii="Arial" w:eastAsia="Arial" w:hAnsi="Arial" w:cs="Arial"/>
          <w:color w:val="000000"/>
          <w:sz w:val="20"/>
        </w:rPr>
        <w:t>Charlene Ervine, who was deaf, died of cancer in November 2009. In the years before her death, she sought treatment at Desert View Regional Medical Center, a hospital serving Pahrump, Nevada, and from Dr. Georges Tannoury, a practitioner who owned Specialty Medical Center in that town. Her husband, Sie Ervine, who is also deaf, accompanied her on many of her medical visits. Both Mr. and Mrs. Ervine communicated primarily through American Sign Language.</w:t>
      </w:r>
    </w:p>
    <w:p w14:paraId="74F27C7A" w14:textId="77777777" w:rsidR="002D0E71" w:rsidRDefault="00000000">
      <w:pPr>
        <w:pStyle w:val="Normal41"/>
        <w:widowControl w:val="0"/>
        <w:spacing w:before="200" w:line="260" w:lineRule="atLeast"/>
        <w:jc w:val="both"/>
      </w:pPr>
      <w:bookmarkStart w:id="6096" w:name="Bookmark_para_5_40"/>
      <w:bookmarkEnd w:id="6096"/>
      <w:r>
        <w:rPr>
          <w:rFonts w:ascii="Arial" w:eastAsia="Arial" w:hAnsi="Arial" w:cs="Arial"/>
          <w:color w:val="000000"/>
          <w:sz w:val="20"/>
        </w:rPr>
        <w:t>Mr. Ervine contends that Desert View and Dr. Tannoury on several occasions failed to take the steps necessary to communicate effectively with the Ervines about Mrs. Ervine's treatment. Specifically, neither provided the Ervines with an interpreter during their visits and neither was prepared to provide an interpreter when necessary.</w:t>
      </w:r>
    </w:p>
    <w:p w14:paraId="159E5700" w14:textId="77777777" w:rsidR="002D0E71" w:rsidRDefault="00000000">
      <w:pPr>
        <w:pStyle w:val="Normal41"/>
        <w:widowControl w:val="0"/>
        <w:spacing w:before="200" w:line="260" w:lineRule="atLeast"/>
        <w:jc w:val="both"/>
      </w:pPr>
      <w:bookmarkStart w:id="6097" w:name="Bookmark_para_6_40"/>
      <w:bookmarkEnd w:id="6097"/>
      <w:r>
        <w:rPr>
          <w:rFonts w:ascii="Arial" w:eastAsia="Arial" w:hAnsi="Arial" w:cs="Arial"/>
          <w:color w:val="000000"/>
          <w:sz w:val="20"/>
        </w:rPr>
        <w:t>According  [**4] to Mr. Ervine, Desert View had refused to provide a sign-language interpreter from the first time Mrs. Ervine visited the hospital, in August 2007. As to Dr. Tannoury, Mrs. Ervine reported—as early as April 2008—to the Nevada Deaf and Hard of Hearing Advocacy Resource Center ("Advocacy Resource Center" or "the Center") that she was having problems with her doctor, who refused to provide her with an interpreter. Despite the Center's help, her difficulties with Dr. Tannoury's office continued. On November 12, 2008, an administrative assistant informed the Center that Dr. Tannoury's office did not "provide sign language interpreters" because it was "a private practice." The assistant later explained that Dr. Tannoury made such decisions and had "refused to provide" interpreters. The Ervines' difficulties with Desert View and Dr. Tannoury continued until Mrs. Ervine's death.</w:t>
      </w:r>
    </w:p>
    <w:p w14:paraId="767C4615" w14:textId="77777777" w:rsidR="002D0E71" w:rsidRDefault="00000000">
      <w:pPr>
        <w:pStyle w:val="Normal41"/>
        <w:widowControl w:val="0"/>
        <w:spacing w:before="120" w:line="260" w:lineRule="atLeast"/>
      </w:pPr>
      <w:r>
        <w:rPr>
          <w:rFonts w:ascii="Arial" w:eastAsia="Arial" w:hAnsi="Arial" w:cs="Arial"/>
          <w:color w:val="000000"/>
          <w:sz w:val="20"/>
        </w:rPr>
        <w:t>II</w:t>
      </w:r>
    </w:p>
    <w:p w14:paraId="18997E7B" w14:textId="77777777" w:rsidR="002D0E71" w:rsidRDefault="00000000">
      <w:pPr>
        <w:pStyle w:val="Normal41"/>
        <w:widowControl w:val="0"/>
        <w:spacing w:before="200" w:line="260" w:lineRule="atLeast"/>
        <w:jc w:val="both"/>
      </w:pPr>
      <w:bookmarkStart w:id="6098" w:name="Bookmark_para_7_39"/>
      <w:bookmarkEnd w:id="6098"/>
      <w:r>
        <w:rPr>
          <w:rFonts w:ascii="Arial" w:eastAsia="Arial" w:hAnsi="Arial" w:cs="Arial"/>
          <w:color w:val="000000"/>
          <w:sz w:val="20"/>
        </w:rPr>
        <w:t>Mr. Ervine, individually and on behalf of his wife's estate, sued Desert View and Dr. Tannoury</w:t>
      </w:r>
      <w:r>
        <w:rPr>
          <w:rFonts w:ascii="Arial" w:eastAsia="Arial" w:hAnsi="Arial" w:cs="Arial"/>
          <w:vertAlign w:val="superscript"/>
        </w:rPr>
        <w:footnoteReference w:customMarkFollows="1" w:id="249"/>
        <w:t>1</w:t>
      </w:r>
      <w:r>
        <w:rPr>
          <w:rFonts w:ascii="Arial" w:eastAsia="Arial" w:hAnsi="Arial" w:cs="Arial"/>
          <w:color w:val="000000"/>
          <w:sz w:val="20"/>
        </w:rPr>
        <w:t xml:space="preserve"> on September 1, 2010, alleging violations of the Americans with Disabilities Act of 1990, 42 U.S.C. § 12101 </w:t>
      </w:r>
      <w:r>
        <w:rPr>
          <w:rFonts w:ascii="Arial" w:eastAsia="Arial" w:hAnsi="Arial" w:cs="Arial"/>
          <w:i/>
          <w:color w:val="000000"/>
          <w:sz w:val="20"/>
        </w:rPr>
        <w:t>et seq</w:t>
      </w:r>
      <w:r>
        <w:rPr>
          <w:rFonts w:ascii="Arial" w:eastAsia="Arial" w:hAnsi="Arial" w:cs="Arial"/>
          <w:color w:val="000000"/>
          <w:sz w:val="20"/>
        </w:rPr>
        <w:t>., Section 504 of the Rehabilitation Act, 29 U.S.C. § 794, as well as negligent and intentional infliction  [**5] of emotional distress under state law. He filed an amended complaint on September 14.</w:t>
      </w:r>
    </w:p>
    <w:p w14:paraId="5395E90F" w14:textId="77777777" w:rsidR="002D0E71" w:rsidRDefault="00000000">
      <w:pPr>
        <w:pStyle w:val="Normal41"/>
        <w:widowControl w:val="0"/>
        <w:spacing w:before="200" w:line="260" w:lineRule="atLeast"/>
        <w:jc w:val="both"/>
      </w:pPr>
      <w:bookmarkStart w:id="6100" w:name="Bookmark_para_8_39"/>
      <w:bookmarkEnd w:id="6100"/>
      <w:r>
        <w:rPr>
          <w:rFonts w:ascii="Arial" w:eastAsia="Arial" w:hAnsi="Arial" w:cs="Arial"/>
          <w:color w:val="000000"/>
          <w:sz w:val="20"/>
        </w:rPr>
        <w:t>Dr. Tannoury moved for summary judgment, arguing that the Ervines knew or  [*866]  should have known of their injuries well before the two-year statute of limitations period. Mrs. Ervine complained to the Advocacy Resource Center about Dr. Tannoury's failure to provide her with an interpreter in April 2008 and discussed suing him by June. Desert View joined Dr. Tannoury's motion, similarly insisting that Mrs. Ervine knew the hospital had denied her an interpreter the first time she visited, in August 2007. "There was no interpreter," Mr. Ervine testified during his deposition, "and that was wrong of the hospital." In short, according to them, the Ervines' claims accrued once, the first time each denied Mrs. Ervine an interpreter. As that happened more than two years before Mr. Ervine filed, his suit was untimely, they  [**6] contended.</w:t>
      </w:r>
    </w:p>
    <w:p w14:paraId="391ABD04" w14:textId="77777777" w:rsidR="002D0E71" w:rsidRDefault="00000000">
      <w:pPr>
        <w:pStyle w:val="Normal41"/>
        <w:widowControl w:val="0"/>
        <w:spacing w:before="200" w:line="260" w:lineRule="atLeast"/>
        <w:jc w:val="both"/>
      </w:pPr>
      <w:bookmarkStart w:id="6101" w:name="Bookmark_para_9_39"/>
      <w:bookmarkEnd w:id="6101"/>
      <w:r>
        <w:rPr>
          <w:rFonts w:ascii="Arial" w:eastAsia="Arial" w:hAnsi="Arial" w:cs="Arial"/>
          <w:color w:val="000000"/>
          <w:sz w:val="20"/>
        </w:rPr>
        <w:t>To the contrary, asserted Mr. Ervine in opposition, in this case "each denial of effective communication is a separate and unique injury starting the clock over each time." Because Dr. Tannoury and Desert View refused to provide interpreters as late as March 2009 or August 2009, respectively, his suit was timely.</w:t>
      </w:r>
    </w:p>
    <w:p w14:paraId="51D210C1" w14:textId="77777777" w:rsidR="002D0E71" w:rsidRDefault="00000000">
      <w:pPr>
        <w:pStyle w:val="Normal41"/>
        <w:widowControl w:val="0"/>
        <w:spacing w:before="200" w:line="260" w:lineRule="atLeast"/>
        <w:jc w:val="both"/>
      </w:pPr>
      <w:bookmarkStart w:id="6102" w:name="Bookmark_para_10_38"/>
      <w:bookmarkEnd w:id="6102"/>
      <w:r>
        <w:rPr>
          <w:rFonts w:ascii="Arial" w:eastAsia="Arial" w:hAnsi="Arial" w:cs="Arial"/>
          <w:color w:val="000000"/>
          <w:sz w:val="20"/>
        </w:rPr>
        <w:t>The district court granted in part and denied in part the motion for summary judgment. As relevant here, it denied summary judgment on statute-of-limitations grounds because no competent evidence established when the Ervines' causes of action accrued. The court declined to consider, as inadmissible hearsay, entries in a logbook detailing Mrs. Ervine's discussions with the Advocacy Resource Center.</w:t>
      </w:r>
    </w:p>
    <w:p w14:paraId="02D98ED7" w14:textId="77777777" w:rsidR="002D0E71" w:rsidRDefault="00000000">
      <w:pPr>
        <w:pStyle w:val="Normal41"/>
        <w:widowControl w:val="0"/>
        <w:spacing w:before="200" w:line="260" w:lineRule="atLeast"/>
        <w:jc w:val="both"/>
      </w:pPr>
      <w:bookmarkStart w:id="6103" w:name="Bookmark_para_11_38"/>
      <w:bookmarkEnd w:id="6103"/>
      <w:r>
        <w:rPr>
          <w:rFonts w:ascii="Arial" w:eastAsia="Arial" w:hAnsi="Arial" w:cs="Arial"/>
          <w:color w:val="000000"/>
          <w:sz w:val="20"/>
        </w:rPr>
        <w:t xml:space="preserve">On a motion for reconsideration, however, the court determined that Mr. Ervine had manifested an adoption or belief in the truth of the logbook statements, rendering them admissible. </w:t>
      </w:r>
      <w:r>
        <w:rPr>
          <w:rFonts w:ascii="Arial" w:eastAsia="Arial" w:hAnsi="Arial" w:cs="Arial"/>
          <w:i/>
          <w:color w:val="000000"/>
          <w:sz w:val="20"/>
        </w:rPr>
        <w:t>See</w:t>
      </w:r>
      <w:r>
        <w:rPr>
          <w:rFonts w:ascii="Arial" w:eastAsia="Arial" w:hAnsi="Arial" w:cs="Arial"/>
          <w:color w:val="000000"/>
          <w:sz w:val="20"/>
        </w:rPr>
        <w:t xml:space="preserve"> Fed. R. Evid. 801(d)(2)(B). Such, coupled with his deposition, "establish[ed] that his claims are time-barred."</w:t>
      </w:r>
    </w:p>
    <w:p w14:paraId="6F496F99" w14:textId="77777777" w:rsidR="002D0E71" w:rsidRDefault="00000000">
      <w:pPr>
        <w:pStyle w:val="Normal41"/>
        <w:widowControl w:val="0"/>
        <w:spacing w:before="200" w:line="260" w:lineRule="atLeast"/>
        <w:jc w:val="both"/>
      </w:pPr>
      <w:bookmarkStart w:id="6104" w:name="Bookmark_para_12_37"/>
      <w:bookmarkEnd w:id="6104"/>
      <w:r>
        <w:rPr>
          <w:rFonts w:ascii="Arial" w:eastAsia="Arial" w:hAnsi="Arial" w:cs="Arial"/>
          <w:color w:val="000000"/>
          <w:sz w:val="20"/>
        </w:rPr>
        <w:t>Apparently, the district court agreed with Desert View and Dr. Tannoury that the Ervines had one claim of discrimination against each of them, which accrued the first time each denied  [**7] the Ervines an interpreter. Despite acknowledging the argument that "each refusal to provide an interpreter is an independent discriminatory act," the court did not analyze such argument or explain why it was incorrect.</w:t>
      </w:r>
    </w:p>
    <w:p w14:paraId="6F4B21D7" w14:textId="77777777" w:rsidR="002D0E71" w:rsidRDefault="00000000">
      <w:pPr>
        <w:pStyle w:val="Normal41"/>
        <w:widowControl w:val="0"/>
        <w:spacing w:before="200" w:line="260" w:lineRule="atLeast"/>
        <w:jc w:val="both"/>
      </w:pPr>
      <w:bookmarkStart w:id="6105" w:name="Bookmark_para_13_37"/>
      <w:bookmarkEnd w:id="6105"/>
      <w:r>
        <w:rPr>
          <w:rFonts w:ascii="Arial" w:eastAsia="Arial" w:hAnsi="Arial" w:cs="Arial"/>
          <w:color w:val="000000"/>
          <w:sz w:val="20"/>
        </w:rPr>
        <w:t>Mr. Ervine timely appealed.</w:t>
      </w:r>
    </w:p>
    <w:p w14:paraId="305E1D2F" w14:textId="77777777" w:rsidR="002D0E71" w:rsidRDefault="00000000">
      <w:pPr>
        <w:pStyle w:val="Normal41"/>
        <w:widowControl w:val="0"/>
        <w:spacing w:before="120" w:line="260" w:lineRule="atLeast"/>
      </w:pPr>
      <w:r>
        <w:rPr>
          <w:rFonts w:ascii="Arial" w:eastAsia="Arial" w:hAnsi="Arial" w:cs="Arial"/>
          <w:color w:val="000000"/>
          <w:sz w:val="20"/>
        </w:rPr>
        <w:t>III</w:t>
      </w:r>
    </w:p>
    <w:p w14:paraId="25925317" w14:textId="77777777" w:rsidR="002D0E71" w:rsidRDefault="00000000">
      <w:pPr>
        <w:pStyle w:val="Normal41"/>
        <w:widowControl w:val="0"/>
        <w:spacing w:before="200" w:line="260" w:lineRule="atLeast"/>
        <w:jc w:val="both"/>
      </w:pPr>
      <w:bookmarkStart w:id="6106" w:name="Bookmark_para_14_36"/>
      <w:bookmarkStart w:id="6107" w:name="Bookmark_I5CFW7PX2HM5SY0020000400"/>
      <w:bookmarkEnd w:id="6106"/>
      <w:bookmarkEnd w:id="6107"/>
      <w:r>
        <w:rPr>
          <w:rFonts w:ascii="Arial" w:eastAsia="Arial" w:hAnsi="Arial" w:cs="Arial"/>
          <w:color w:val="000000"/>
          <w:sz w:val="20"/>
        </w:rPr>
        <w:t xml:space="preserve">Unlike the other claims, Mr. Ervine brings claims under Title III of the ADA solely as an individual, not on behalf of Mrs. Ervine's estate. Before turning to the timeliness of his complaint, we consider whether he has standing to assert such claims. </w:t>
      </w:r>
      <w:r>
        <w:rPr>
          <w:rFonts w:ascii="Arial" w:eastAsia="Arial" w:hAnsi="Arial" w:cs="Arial"/>
          <w:i/>
          <w:color w:val="000000"/>
          <w:sz w:val="20"/>
        </w:rPr>
        <w:t xml:space="preserve">See </w:t>
      </w:r>
      <w:bookmarkStart w:id="6108" w:name="Bookmark_I5CFW7PX2HM5SY0010000400"/>
      <w:bookmarkEnd w:id="6108"/>
      <w:r>
        <w:rPr>
          <w:rFonts w:ascii="Arial" w:eastAsia="Arial" w:hAnsi="Arial" w:cs="Arial"/>
          <w:i/>
          <w:color w:val="000000"/>
          <w:sz w:val="20"/>
        </w:rPr>
        <w:t>Chapman v. Pier 1 Imports (U.S.) Inc</w:t>
      </w:r>
      <w:r>
        <w:rPr>
          <w:rFonts w:ascii="Arial" w:eastAsia="Arial" w:hAnsi="Arial" w:cs="Arial"/>
          <w:color w:val="000000"/>
          <w:sz w:val="20"/>
        </w:rPr>
        <w:t>., 631 F.3d 939, 946 (9th Cir. 2011) (en banc) ("</w:t>
      </w:r>
      <w:bookmarkStart w:id="6109" w:name="Bookmark_LNHNREFclscc1_35"/>
      <w:bookmarkEnd w:id="6109"/>
      <w:r>
        <w:rPr>
          <w:rFonts w:ascii="Arial" w:eastAsia="Arial" w:hAnsi="Arial" w:cs="Arial"/>
          <w:color w:val="000000"/>
          <w:sz w:val="20"/>
        </w:rPr>
        <w:t>[A] disabled individual claiming discrimination must satisfy the case or controversy requirement of Article III by demonstrating his standing to sue at each stage of the litigation.").</w:t>
      </w:r>
    </w:p>
    <w:p w14:paraId="798A69FA" w14:textId="77777777" w:rsidR="002D0E71" w:rsidRDefault="00000000">
      <w:pPr>
        <w:pStyle w:val="Normal41"/>
        <w:widowControl w:val="0"/>
        <w:spacing w:before="200" w:line="260" w:lineRule="atLeast"/>
        <w:jc w:val="both"/>
      </w:pPr>
      <w:bookmarkStart w:id="6110" w:name="Bookmark_para_15_35"/>
      <w:bookmarkStart w:id="6111" w:name="Bookmark_I5CFW7PX2HM5SY0040000400"/>
      <w:bookmarkStart w:id="6112" w:name="Bookmark_I5CFW7PX2N1RJJ0030000400"/>
      <w:bookmarkEnd w:id="6110"/>
      <w:bookmarkEnd w:id="6111"/>
      <w:bookmarkEnd w:id="6112"/>
      <w:r>
        <w:rPr>
          <w:rFonts w:ascii="Arial" w:eastAsia="Arial" w:hAnsi="Arial" w:cs="Arial"/>
          <w:color w:val="000000"/>
          <w:sz w:val="20"/>
        </w:rPr>
        <w:t xml:space="preserve">Neither Desert View nor Dr. Tannoury argued to the district court that Mr. Ervine lacked standing, and the court did not discuss standing in its orders. But "standing is not subject to waiver," </w:t>
      </w:r>
      <w:bookmarkStart w:id="6113" w:name="Bookmark_I5CFW7PX2HM5SY0030000400"/>
      <w:bookmarkEnd w:id="6113"/>
      <w:r>
        <w:rPr>
          <w:rFonts w:ascii="Arial" w:eastAsia="Arial" w:hAnsi="Arial" w:cs="Arial"/>
          <w:i/>
          <w:color w:val="000000"/>
          <w:sz w:val="20"/>
        </w:rPr>
        <w:t>United States v. Hays</w:t>
      </w:r>
      <w:r>
        <w:rPr>
          <w:rFonts w:ascii="Arial" w:eastAsia="Arial" w:hAnsi="Arial" w:cs="Arial"/>
          <w:color w:val="000000"/>
          <w:sz w:val="20"/>
        </w:rPr>
        <w:t xml:space="preserve">, 515 U.S. 737, 742, 115 S. Ct. 2431, 132 L. Ed. 2d 635 (1995), and "[f]ederal courts are required sua sponte to examine jurisdictional issues such as standing," </w:t>
      </w:r>
      <w:bookmarkStart w:id="6114" w:name="Bookmark_I5CFW7PX2HM5SY0050000400"/>
      <w:bookmarkEnd w:id="6114"/>
      <w:r>
        <w:rPr>
          <w:rFonts w:ascii="Arial" w:eastAsia="Arial" w:hAnsi="Arial" w:cs="Arial"/>
          <w:i/>
          <w:color w:val="000000"/>
          <w:sz w:val="20"/>
        </w:rPr>
        <w:t>Bernhardt v. Cnty. of L.A</w:t>
      </w:r>
      <w:r>
        <w:rPr>
          <w:rFonts w:ascii="Arial" w:eastAsia="Arial" w:hAnsi="Arial" w:cs="Arial"/>
          <w:color w:val="000000"/>
          <w:sz w:val="20"/>
        </w:rPr>
        <w:t xml:space="preserve">., 279 F.3d 862, 868 (9th Cir. 2002). Moreover, "every federal  [**8] appellate court has a special obligation to satisfy itself not only of its own jurisdiction, but also that of the lower courts in a cause under review." </w:t>
      </w:r>
      <w:bookmarkStart w:id="6115" w:name="Bookmark_I5CFW7PX2N1RJJ0020000400"/>
      <w:bookmarkEnd w:id="6115"/>
      <w:r>
        <w:rPr>
          <w:rFonts w:ascii="Arial" w:eastAsia="Arial" w:hAnsi="Arial" w:cs="Arial"/>
          <w:i/>
          <w:color w:val="000000"/>
          <w:sz w:val="20"/>
        </w:rPr>
        <w:t>Bender v. Williamsport Area Sch. Dist</w:t>
      </w:r>
      <w:r>
        <w:rPr>
          <w:rFonts w:ascii="Arial" w:eastAsia="Arial" w:hAnsi="Arial" w:cs="Arial"/>
          <w:color w:val="000000"/>
          <w:sz w:val="20"/>
        </w:rPr>
        <w:t>., 475 U.S. 534, 541, 106 S. Ct. 1326, 89 L. Ed. 2d 501 (1986) (internal quotation marks omitted).</w:t>
      </w:r>
    </w:p>
    <w:p w14:paraId="4E1086BE" w14:textId="77777777" w:rsidR="002D0E71" w:rsidRDefault="00000000">
      <w:pPr>
        <w:pStyle w:val="Normal41"/>
        <w:widowControl w:val="0"/>
        <w:spacing w:before="200" w:line="260" w:lineRule="atLeast"/>
        <w:jc w:val="both"/>
      </w:pPr>
      <w:bookmarkStart w:id="6116" w:name="Bookmark_para_16_34"/>
      <w:bookmarkEnd w:id="6116"/>
      <w:r>
        <w:rPr>
          <w:rFonts w:ascii="Arial" w:eastAsia="Arial" w:hAnsi="Arial" w:cs="Arial"/>
          <w:color w:val="000000"/>
          <w:sz w:val="20"/>
        </w:rPr>
        <w:t xml:space="preserve"> [*867]  </w:t>
      </w:r>
      <w:bookmarkStart w:id="6117" w:name="Bookmark_I5CFW7PX2N1RJJ0050000400"/>
      <w:bookmarkStart w:id="6118" w:name="Bookmark_I4GVG087N32000M62HR0001G"/>
      <w:bookmarkStart w:id="6119" w:name="Bookmark_I4GVG087V5X000M62HR0001H"/>
      <w:bookmarkStart w:id="6120" w:name="Bookmark_I5CFW7PX2SF8SP0020000400"/>
      <w:bookmarkStart w:id="6121" w:name="Bookmark_LNHNREFclscc2_35"/>
      <w:bookmarkEnd w:id="6117"/>
      <w:bookmarkEnd w:id="6118"/>
      <w:bookmarkEnd w:id="6119"/>
      <w:bookmarkEnd w:id="6120"/>
      <w:bookmarkEnd w:id="6121"/>
      <w:r>
        <w:rPr>
          <w:rFonts w:ascii="Arial" w:eastAsia="Arial" w:hAnsi="Arial" w:cs="Arial"/>
          <w:color w:val="000000"/>
          <w:sz w:val="20"/>
        </w:rPr>
        <w:t xml:space="preserve">Damages are not an available remedy to individuals under Title III of the ADA; individuals may receive only injunctive relief. </w:t>
      </w:r>
      <w:bookmarkStart w:id="6122" w:name="Bookmark_I84B3GRFY3V00002T9R002F0"/>
      <w:bookmarkStart w:id="6123" w:name="Bookmark_I84B3GRGN0H00002T9R002F9"/>
      <w:bookmarkStart w:id="6124" w:name="Bookmark_I5CFW7PX2SF8SR0010000400"/>
      <w:bookmarkStart w:id="6125" w:name="Bookmark_I5CFW7PX2N1RJJ0040000400"/>
      <w:bookmarkEnd w:id="6122"/>
      <w:bookmarkEnd w:id="6123"/>
      <w:bookmarkEnd w:id="6124"/>
      <w:bookmarkEnd w:id="6125"/>
      <w:r>
        <w:rPr>
          <w:rFonts w:ascii="Arial" w:eastAsia="Arial" w:hAnsi="Arial" w:cs="Arial"/>
          <w:i/>
          <w:color w:val="000000"/>
          <w:sz w:val="20"/>
        </w:rPr>
        <w:t>Pickern v. Holiday Quality Foods Inc</w:t>
      </w:r>
      <w:r>
        <w:rPr>
          <w:rFonts w:ascii="Arial" w:eastAsia="Arial" w:hAnsi="Arial" w:cs="Arial"/>
          <w:color w:val="000000"/>
          <w:sz w:val="20"/>
        </w:rPr>
        <w:t xml:space="preserve">., 293 F.3d 1133, 1136 (9th Cir. 2002) (citing 42 U.S.C. § 12188(a)). So Mr. Ervine must not only demonstrate the familiar requirements for standing—injury-in-fact, traceability, redressability—but also "a sufficient likelihood that he will be wronged again in a similar way." </w:t>
      </w:r>
      <w:bookmarkStart w:id="6126" w:name="Bookmark_I5CFW7PX2SF8SP0010000400"/>
      <w:bookmarkEnd w:id="6126"/>
      <w:r>
        <w:rPr>
          <w:rFonts w:ascii="Arial" w:eastAsia="Arial" w:hAnsi="Arial" w:cs="Arial"/>
          <w:i/>
          <w:color w:val="000000"/>
          <w:sz w:val="20"/>
        </w:rPr>
        <w:t>Fortyune v. Am. Multi-Cinema, Inc</w:t>
      </w:r>
      <w:r>
        <w:rPr>
          <w:rFonts w:ascii="Arial" w:eastAsia="Arial" w:hAnsi="Arial" w:cs="Arial"/>
          <w:color w:val="000000"/>
          <w:sz w:val="20"/>
        </w:rPr>
        <w:t xml:space="preserve">., 364 F.3d 1075, 1081 (9th Cir. 2004) (quoting </w:t>
      </w:r>
      <w:bookmarkStart w:id="6127" w:name="Bookmark_I5CFW7PX2SF8SP0030000400"/>
      <w:bookmarkEnd w:id="6127"/>
      <w:r>
        <w:rPr>
          <w:rFonts w:ascii="Arial" w:eastAsia="Arial" w:hAnsi="Arial" w:cs="Arial"/>
          <w:i/>
          <w:color w:val="000000"/>
          <w:sz w:val="20"/>
        </w:rPr>
        <w:t>City of L.A. v. Lyons</w:t>
      </w:r>
      <w:r>
        <w:rPr>
          <w:rFonts w:ascii="Arial" w:eastAsia="Arial" w:hAnsi="Arial" w:cs="Arial"/>
          <w:color w:val="000000"/>
          <w:sz w:val="20"/>
        </w:rPr>
        <w:t xml:space="preserve">, 461 U.S. 95, 111, 103 S. Ct. 1660, 75 L. Ed. 2d 675 (1983)). </w:t>
      </w:r>
      <w:bookmarkStart w:id="6128" w:name="Bookmark_I5CFW7PX2SF8SR0010000400_2"/>
      <w:bookmarkEnd w:id="6128"/>
      <w:r>
        <w:rPr>
          <w:rFonts w:ascii="Arial" w:eastAsia="Arial" w:hAnsi="Arial" w:cs="Arial"/>
          <w:color w:val="000000"/>
          <w:sz w:val="20"/>
        </w:rPr>
        <w:t>That is to say, he must show he faces a "real and immediate threat of repeated injury."</w:t>
      </w:r>
      <w:bookmarkStart w:id="6129" w:name="Bookmark_I5CFW7PX2SF8SP0050000400"/>
      <w:bookmarkEnd w:id="6129"/>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(quoting </w:t>
      </w:r>
      <w:bookmarkStart w:id="6130" w:name="Bookmark_I5CFW7PX2SF8SR0020000400"/>
      <w:bookmarkEnd w:id="6130"/>
      <w:r>
        <w:rPr>
          <w:rFonts w:ascii="Arial" w:eastAsia="Arial" w:hAnsi="Arial" w:cs="Arial"/>
          <w:i/>
          <w:color w:val="000000"/>
          <w:sz w:val="20"/>
        </w:rPr>
        <w:t>O'Shea v. Littleton</w:t>
      </w:r>
      <w:r>
        <w:rPr>
          <w:rFonts w:ascii="Arial" w:eastAsia="Arial" w:hAnsi="Arial" w:cs="Arial"/>
          <w:color w:val="000000"/>
          <w:sz w:val="20"/>
        </w:rPr>
        <w:t>, 414 U.S. 488, 496, 94 S. Ct. 669, 38 L. Ed. 2d 674 (1974)).</w:t>
      </w:r>
    </w:p>
    <w:p w14:paraId="6B0E08A7" w14:textId="77777777" w:rsidR="002D0E71" w:rsidRDefault="00000000">
      <w:pPr>
        <w:pStyle w:val="Normal41"/>
        <w:widowControl w:val="0"/>
        <w:spacing w:before="200" w:line="260" w:lineRule="atLeast"/>
        <w:jc w:val="both"/>
      </w:pPr>
      <w:bookmarkStart w:id="6131" w:name="Bookmark_para_17_33"/>
      <w:bookmarkStart w:id="6132" w:name="Bookmark_I4GVG0887NB000M62HR001B5"/>
      <w:bookmarkStart w:id="6133" w:name="Bookmark_I5CFW7PX2SF8SR0050000400"/>
      <w:bookmarkEnd w:id="6131"/>
      <w:bookmarkEnd w:id="6132"/>
      <w:bookmarkEnd w:id="6133"/>
      <w:r>
        <w:rPr>
          <w:rFonts w:ascii="Arial" w:eastAsia="Arial" w:hAnsi="Arial" w:cs="Arial"/>
          <w:color w:val="000000"/>
          <w:sz w:val="20"/>
        </w:rPr>
        <w:t xml:space="preserve">An ADA plaintiff establishes such a real and immediate threat if "he intends to return to a noncompliant place of public accommodation where he will likely suffer repeated injury." </w:t>
      </w:r>
      <w:bookmarkStart w:id="6134" w:name="Bookmark_I5CFW7PX2SF8SR0040000400"/>
      <w:bookmarkEnd w:id="6134"/>
      <w:r>
        <w:rPr>
          <w:rFonts w:ascii="Arial" w:eastAsia="Arial" w:hAnsi="Arial" w:cs="Arial"/>
          <w:i/>
          <w:color w:val="000000"/>
          <w:sz w:val="20"/>
        </w:rPr>
        <w:t>Chapman</w:t>
      </w:r>
      <w:r>
        <w:rPr>
          <w:rFonts w:ascii="Arial" w:eastAsia="Arial" w:hAnsi="Arial" w:cs="Arial"/>
          <w:color w:val="000000"/>
          <w:sz w:val="20"/>
        </w:rPr>
        <w:t xml:space="preserve">, 631 F.3d at 948; </w:t>
      </w:r>
      <w:r>
        <w:rPr>
          <w:rFonts w:ascii="Arial" w:eastAsia="Arial" w:hAnsi="Arial" w:cs="Arial"/>
          <w:i/>
          <w:color w:val="000000"/>
          <w:sz w:val="20"/>
        </w:rPr>
        <w:t xml:space="preserve">see, e.g., </w:t>
      </w:r>
      <w:bookmarkStart w:id="6135" w:name="Bookmark_I5CFW7PX28T40T0010000400"/>
      <w:bookmarkEnd w:id="6135"/>
      <w:r>
        <w:rPr>
          <w:rFonts w:ascii="Arial" w:eastAsia="Arial" w:hAnsi="Arial" w:cs="Arial"/>
          <w:i/>
          <w:color w:val="000000"/>
          <w:sz w:val="20"/>
        </w:rPr>
        <w:t>Fortyune</w:t>
      </w:r>
      <w:r>
        <w:rPr>
          <w:rFonts w:ascii="Arial" w:eastAsia="Arial" w:hAnsi="Arial" w:cs="Arial"/>
          <w:color w:val="000000"/>
          <w:sz w:val="20"/>
        </w:rPr>
        <w:t>, 364 F.3d at 1082  [**9] (holding that plaintiff who suffered discrimination only once was likely to suffer repeat injury where he returned to place of public accommodation often and discrimination was pursuant to written policy).</w:t>
      </w:r>
    </w:p>
    <w:p w14:paraId="146EE283" w14:textId="77777777" w:rsidR="002D0E71" w:rsidRDefault="00000000">
      <w:pPr>
        <w:pStyle w:val="Normal41"/>
        <w:widowControl w:val="0"/>
        <w:spacing w:before="200" w:line="260" w:lineRule="atLeast"/>
        <w:jc w:val="both"/>
      </w:pPr>
      <w:bookmarkStart w:id="6136" w:name="Bookmark_para_18_33"/>
      <w:bookmarkStart w:id="6137" w:name="Bookmark_I4GVG088RP6000M62HR001B6"/>
      <w:bookmarkStart w:id="6138" w:name="Bookmark_I5CFW7PX28T40T0040000400"/>
      <w:bookmarkStart w:id="6139" w:name="Bookmark_I5CFW7PX28T40W0030000400"/>
      <w:bookmarkEnd w:id="6136"/>
      <w:bookmarkEnd w:id="6137"/>
      <w:bookmarkEnd w:id="6138"/>
      <w:bookmarkEnd w:id="6139"/>
      <w:r>
        <w:rPr>
          <w:rFonts w:ascii="Arial" w:eastAsia="Arial" w:hAnsi="Arial" w:cs="Arial"/>
          <w:color w:val="000000"/>
          <w:sz w:val="20"/>
        </w:rPr>
        <w:t xml:space="preserve">Alternatively, a plaintiff who "has visited a public accommodation on a prior occasion" demonstrates a real and immediate threat if he "is currently deterred from visiting that accommodation by accessibility barriers." </w:t>
      </w:r>
      <w:bookmarkStart w:id="6140" w:name="Bookmark_I5CFW7PX28T40T0030000400"/>
      <w:bookmarkEnd w:id="6140"/>
      <w:r>
        <w:rPr>
          <w:rFonts w:ascii="Arial" w:eastAsia="Arial" w:hAnsi="Arial" w:cs="Arial"/>
          <w:i/>
          <w:color w:val="000000"/>
          <w:sz w:val="20"/>
        </w:rPr>
        <w:t>Doran v. 7-Eleven, Inc</w:t>
      </w:r>
      <w:r>
        <w:rPr>
          <w:rFonts w:ascii="Arial" w:eastAsia="Arial" w:hAnsi="Arial" w:cs="Arial"/>
          <w:color w:val="000000"/>
          <w:sz w:val="20"/>
        </w:rPr>
        <w:t xml:space="preserve">., 524 F.3d 1034, 1041 (9th Cir. 2008); </w:t>
      </w:r>
      <w:r>
        <w:rPr>
          <w:rFonts w:ascii="Arial" w:eastAsia="Arial" w:hAnsi="Arial" w:cs="Arial"/>
          <w:i/>
          <w:color w:val="000000"/>
          <w:sz w:val="20"/>
        </w:rPr>
        <w:t xml:space="preserve">see also </w:t>
      </w:r>
      <w:bookmarkStart w:id="6141" w:name="Bookmark_I5CFW7PX28T40T0050000400"/>
      <w:bookmarkEnd w:id="6141"/>
      <w:r>
        <w:rPr>
          <w:rFonts w:ascii="Arial" w:eastAsia="Arial" w:hAnsi="Arial" w:cs="Arial"/>
          <w:i/>
          <w:color w:val="000000"/>
          <w:sz w:val="20"/>
        </w:rPr>
        <w:t>Pickern</w:t>
      </w:r>
      <w:r>
        <w:rPr>
          <w:rFonts w:ascii="Arial" w:eastAsia="Arial" w:hAnsi="Arial" w:cs="Arial"/>
          <w:color w:val="000000"/>
          <w:sz w:val="20"/>
        </w:rPr>
        <w:t xml:space="preserve">, 293 F.3d at 1136-37. </w:t>
      </w:r>
      <w:bookmarkStart w:id="6142" w:name="Bookmark_I5CFW7PX28T40W0050000400"/>
      <w:bookmarkEnd w:id="6142"/>
      <w:r>
        <w:rPr>
          <w:rFonts w:ascii="Arial" w:eastAsia="Arial" w:hAnsi="Arial" w:cs="Arial"/>
          <w:color w:val="000000"/>
          <w:sz w:val="20"/>
        </w:rPr>
        <w:t xml:space="preserve">Title III of the ADA "explicitly provides that it does not require 'a person with a disability to engage in a </w:t>
      </w:r>
      <w:r>
        <w:rPr>
          <w:rFonts w:ascii="Arial" w:eastAsia="Arial" w:hAnsi="Arial" w:cs="Arial"/>
          <w:i/>
          <w:color w:val="000000"/>
          <w:sz w:val="20"/>
        </w:rPr>
        <w:t>futile gesture</w:t>
      </w:r>
      <w:r>
        <w:rPr>
          <w:rFonts w:ascii="Arial" w:eastAsia="Arial" w:hAnsi="Arial" w:cs="Arial"/>
          <w:color w:val="000000"/>
          <w:sz w:val="20"/>
        </w:rPr>
        <w:t xml:space="preserve"> if such person has actual notice that a person or organization . . . does not intend to comply' with the ADA." </w:t>
      </w:r>
      <w:bookmarkStart w:id="6143" w:name="Bookmark_I5CFW7PX28T40W0020000400"/>
      <w:bookmarkEnd w:id="6143"/>
      <w:r>
        <w:rPr>
          <w:rFonts w:ascii="Arial" w:eastAsia="Arial" w:hAnsi="Arial" w:cs="Arial"/>
          <w:i/>
          <w:color w:val="000000"/>
          <w:sz w:val="20"/>
        </w:rPr>
        <w:t>Pickern</w:t>
      </w:r>
      <w:r>
        <w:rPr>
          <w:rFonts w:ascii="Arial" w:eastAsia="Arial" w:hAnsi="Arial" w:cs="Arial"/>
          <w:color w:val="000000"/>
          <w:sz w:val="20"/>
        </w:rPr>
        <w:t xml:space="preserve">, 293 F.3d at 1136 (quoting 42 U.S.C. § 12188(a)(1)). When a plaintiff sought an injunction against a 7-Eleven store 550 miles away from his home, we held he had standing: he was "currently deterred from visiting the store"; it was "conveniently located near his favorite fast food restaurant in Anaheim"; and he planned to visit Anaheim once a year for his annual trips to Disneyland. </w:t>
      </w:r>
      <w:bookmarkStart w:id="6144" w:name="Bookmark_I5CFW7PX28T40W0050000400_2"/>
      <w:bookmarkStart w:id="6145" w:name="Bookmark_I5CFW7PX28T40X0020000400"/>
      <w:bookmarkStart w:id="6146" w:name="Bookmark_I5CFW7PX28T40W0040000400"/>
      <w:bookmarkEnd w:id="6144"/>
      <w:bookmarkEnd w:id="6145"/>
      <w:bookmarkEnd w:id="6146"/>
      <w:r>
        <w:rPr>
          <w:rFonts w:ascii="Arial" w:eastAsia="Arial" w:hAnsi="Arial" w:cs="Arial"/>
          <w:i/>
          <w:color w:val="000000"/>
          <w:sz w:val="20"/>
        </w:rPr>
        <w:t>Doran</w:t>
      </w:r>
      <w:r>
        <w:rPr>
          <w:rFonts w:ascii="Arial" w:eastAsia="Arial" w:hAnsi="Arial" w:cs="Arial"/>
          <w:color w:val="000000"/>
          <w:sz w:val="20"/>
        </w:rPr>
        <w:t xml:space="preserve">, 524 F.3d at 1038, 1040-41. </w:t>
      </w:r>
      <w:bookmarkStart w:id="6147" w:name="Bookmark_I5CFW7PX28T40X0020000400_2"/>
      <w:bookmarkEnd w:id="6147"/>
      <w:r>
        <w:rPr>
          <w:rFonts w:ascii="Arial" w:eastAsia="Arial" w:hAnsi="Arial" w:cs="Arial"/>
          <w:color w:val="000000"/>
          <w:sz w:val="20"/>
        </w:rPr>
        <w:t xml:space="preserve">He did not intend,  [**10] however, to visit the 7-Eleven until it removed the challenged access barriers. </w:t>
      </w:r>
      <w:bookmarkStart w:id="6148" w:name="Bookmark_I5CFW7PX28T40X0010000400"/>
      <w:bookmarkEnd w:id="6148"/>
      <w:r>
        <w:rPr>
          <w:rFonts w:ascii="Arial" w:eastAsia="Arial" w:hAnsi="Arial" w:cs="Arial"/>
          <w:i/>
          <w:color w:val="000000"/>
          <w:sz w:val="20"/>
        </w:rPr>
        <w:t>Id</w:t>
      </w:r>
      <w:r>
        <w:rPr>
          <w:rFonts w:ascii="Arial" w:eastAsia="Arial" w:hAnsi="Arial" w:cs="Arial"/>
          <w:color w:val="000000"/>
          <w:sz w:val="20"/>
        </w:rPr>
        <w:t>. at 1041.</w:t>
      </w:r>
    </w:p>
    <w:p w14:paraId="7CF4682B" w14:textId="77777777" w:rsidR="002D0E71" w:rsidRDefault="00000000">
      <w:pPr>
        <w:pStyle w:val="Normal41"/>
        <w:widowControl w:val="0"/>
        <w:spacing w:before="200" w:line="260" w:lineRule="atLeast"/>
        <w:jc w:val="both"/>
      </w:pPr>
      <w:bookmarkStart w:id="6149" w:name="Bookmark_para_19_33"/>
      <w:bookmarkEnd w:id="6149"/>
      <w:r>
        <w:rPr>
          <w:rFonts w:ascii="Arial" w:eastAsia="Arial" w:hAnsi="Arial" w:cs="Arial"/>
          <w:color w:val="000000"/>
          <w:sz w:val="20"/>
        </w:rPr>
        <w:t>Mr. Ervine seeks an injunction ordering Desert View and Dr. Tannoury to "furnish appropriate auxiliary aids and services" to him "to ensure effective communication." 28 C.F.R. § 36.303(c)(1). But he has not expressed any intent to return to Desert View or to Dr. Tannoury's practice for medical treatment. He admitted in his deposition that he had never been a patient at Desert View and had no reason to believe that he would ever be a patient of Desert View in the near future. And he has not been denied an interpreter in Pahrump since his wife's death.</w:t>
      </w:r>
    </w:p>
    <w:p w14:paraId="474D3CBF" w14:textId="77777777" w:rsidR="002D0E71" w:rsidRDefault="00000000">
      <w:pPr>
        <w:pStyle w:val="Normal41"/>
        <w:widowControl w:val="0"/>
        <w:spacing w:before="200" w:line="260" w:lineRule="atLeast"/>
        <w:jc w:val="both"/>
      </w:pPr>
      <w:bookmarkStart w:id="6150" w:name="Bookmark_para_20_31"/>
      <w:bookmarkEnd w:id="6150"/>
      <w:r>
        <w:rPr>
          <w:rFonts w:ascii="Arial" w:eastAsia="Arial" w:hAnsi="Arial" w:cs="Arial"/>
          <w:color w:val="000000"/>
          <w:sz w:val="20"/>
        </w:rPr>
        <w:t xml:space="preserve">Although he does not intend to return to either medical provider, Mr. Ervine asserts "that he is currently aware of barriers to access at Desert View Hospital and Dr. Tannoury's, and that these barriers currently deter him." As Desert View and Dr. Tannoury point out, such assertions, made for the first time in his opening brief, are completely unsupported by the record. Mr. Ervine did not allege in his complaint that he was deterred from seeking medical services because of discrimination. Instead, he alleged that he was denied effective communication  [**11] when he accompanied his wife to her appointments, so he was not able "to effectively understand her medical issues and to better understand how he could help and support her." The failure to provide an  [*868]  interpreter continued "up to and including the date of Mr. Ervine's wife's death," but not necessarily beyond. </w:t>
      </w:r>
      <w:bookmarkStart w:id="6151" w:name="Bookmark_I5CFW7PX28T40X0040000400"/>
      <w:bookmarkEnd w:id="6151"/>
      <w:r>
        <w:rPr>
          <w:rFonts w:ascii="Arial" w:eastAsia="Arial" w:hAnsi="Arial" w:cs="Arial"/>
          <w:color w:val="000000"/>
          <w:sz w:val="20"/>
        </w:rPr>
        <w:t xml:space="preserve">And, as noted, Mr. Ervine has never been a patient of Desert View and has no imminent plans to return. He cannot manufacture standing through bald assertion, contradicted by the record. </w:t>
      </w:r>
      <w:r>
        <w:rPr>
          <w:rFonts w:ascii="Arial" w:eastAsia="Arial" w:hAnsi="Arial" w:cs="Arial"/>
          <w:i/>
          <w:color w:val="000000"/>
          <w:sz w:val="20"/>
        </w:rPr>
        <w:t xml:space="preserve">See </w:t>
      </w:r>
      <w:bookmarkStart w:id="6152" w:name="Bookmark_I5CFW7PX28T40X0030000400"/>
      <w:bookmarkEnd w:id="6152"/>
      <w:r>
        <w:rPr>
          <w:rFonts w:ascii="Arial" w:eastAsia="Arial" w:hAnsi="Arial" w:cs="Arial"/>
          <w:i/>
          <w:color w:val="000000"/>
          <w:sz w:val="20"/>
        </w:rPr>
        <w:t>Doran</w:t>
      </w:r>
      <w:r>
        <w:rPr>
          <w:rFonts w:ascii="Arial" w:eastAsia="Arial" w:hAnsi="Arial" w:cs="Arial"/>
          <w:color w:val="000000"/>
          <w:sz w:val="20"/>
        </w:rPr>
        <w:t xml:space="preserve">, 524 F.3d at 1041 (holding that plaintiff had standing where his "deposition testimony demonstrate[d] both . . . deterrence . . . and his intention to return in the future"); </w:t>
      </w:r>
      <w:bookmarkStart w:id="6153" w:name="Bookmark_I5CFW7PX28T40X0050000400"/>
      <w:bookmarkEnd w:id="6153"/>
      <w:r>
        <w:rPr>
          <w:rFonts w:ascii="Arial" w:eastAsia="Arial" w:hAnsi="Arial" w:cs="Arial"/>
          <w:i/>
          <w:color w:val="000000"/>
          <w:sz w:val="20"/>
        </w:rPr>
        <w:t>Pickern</w:t>
      </w:r>
      <w:r>
        <w:rPr>
          <w:rFonts w:ascii="Arial" w:eastAsia="Arial" w:hAnsi="Arial" w:cs="Arial"/>
          <w:color w:val="000000"/>
          <w:sz w:val="20"/>
        </w:rPr>
        <w:t>, 293 F.3d at 1137-38 (holding that plaintiff met standing requirements by stating in his deposition "that he is currently deterred from attempting to gain access" to defendant's store).</w:t>
      </w:r>
    </w:p>
    <w:p w14:paraId="7920406D" w14:textId="77777777" w:rsidR="002D0E71" w:rsidRDefault="00000000">
      <w:pPr>
        <w:pStyle w:val="Normal41"/>
        <w:widowControl w:val="0"/>
        <w:spacing w:before="200" w:line="260" w:lineRule="atLeast"/>
        <w:jc w:val="both"/>
      </w:pPr>
      <w:bookmarkStart w:id="6154" w:name="Bookmark_para_21_30"/>
      <w:bookmarkStart w:id="6155" w:name="Bookmark_I5CFW7PX2D6NNS0030000400"/>
      <w:bookmarkStart w:id="6156" w:name="Bookmark_I5CFW7PX2D6NNS0050000400"/>
      <w:bookmarkEnd w:id="6154"/>
      <w:bookmarkEnd w:id="6155"/>
      <w:bookmarkEnd w:id="6156"/>
      <w:r>
        <w:rPr>
          <w:rFonts w:ascii="Arial" w:eastAsia="Arial" w:hAnsi="Arial" w:cs="Arial"/>
          <w:color w:val="000000"/>
          <w:sz w:val="20"/>
        </w:rPr>
        <w:t xml:space="preserve">Mr. Ervine also asserts that Desert View is the only regional hospital where he lives. Using Desert View's services is thus a question of "when," not "if." Once again though, there is no evidence in the record regarding the number of accessible hospitals near Mr. Ervine, nor their distance from his home. And even if his assertion  [**12] is accurate, it would not show that a visit to Desert View, much less a failure to provide effective communication to him, is "certainly impending." </w:t>
      </w:r>
      <w:bookmarkStart w:id="6157" w:name="Bookmark_I5CFW7PX2D6NNS0020000400"/>
      <w:bookmarkEnd w:id="6157"/>
      <w:r>
        <w:rPr>
          <w:rFonts w:ascii="Arial" w:eastAsia="Arial" w:hAnsi="Arial" w:cs="Arial"/>
          <w:i/>
          <w:color w:val="000000"/>
          <w:sz w:val="20"/>
        </w:rPr>
        <w:t>Whitmore v. Arkansas</w:t>
      </w:r>
      <w:r>
        <w:rPr>
          <w:rFonts w:ascii="Arial" w:eastAsia="Arial" w:hAnsi="Arial" w:cs="Arial"/>
          <w:color w:val="000000"/>
          <w:sz w:val="20"/>
        </w:rPr>
        <w:t xml:space="preserve">, 495 U.S. 149, 158, 110 S. Ct. 1717, 109 L. Ed. 2d 135 (1990). On this record, the prospect that Desert View "will engage in (or resume)" conduct harmful to Mr. Ervine is simply "too speculative to support standing." </w:t>
      </w:r>
      <w:r>
        <w:rPr>
          <w:rFonts w:ascii="Arial" w:eastAsia="Arial" w:hAnsi="Arial" w:cs="Arial"/>
          <w:i/>
          <w:color w:val="000000"/>
          <w:sz w:val="20"/>
        </w:rPr>
        <w:t xml:space="preserve">See </w:t>
      </w:r>
      <w:bookmarkStart w:id="6158" w:name="Bookmark_I5CFW7PX2D6NNS0040000400"/>
      <w:bookmarkEnd w:id="6158"/>
      <w:r>
        <w:rPr>
          <w:rFonts w:ascii="Arial" w:eastAsia="Arial" w:hAnsi="Arial" w:cs="Arial"/>
          <w:i/>
          <w:color w:val="000000"/>
          <w:sz w:val="20"/>
        </w:rPr>
        <w:t>Friends of the Earth, Inc. v. Laidlaw Envtl. Servs. (TOC), Inc</w:t>
      </w:r>
      <w:r>
        <w:rPr>
          <w:rFonts w:ascii="Arial" w:eastAsia="Arial" w:hAnsi="Arial" w:cs="Arial"/>
          <w:color w:val="000000"/>
          <w:sz w:val="20"/>
        </w:rPr>
        <w:t>., 528 U.S. 167, 190, 120 S. Ct. 693, 145 L. Ed. 2d 610 (2000).</w:t>
      </w:r>
    </w:p>
    <w:p w14:paraId="65549C04" w14:textId="77777777" w:rsidR="002D0E71" w:rsidRDefault="00000000">
      <w:pPr>
        <w:pStyle w:val="Normal41"/>
        <w:widowControl w:val="0"/>
        <w:spacing w:before="200" w:line="260" w:lineRule="atLeast"/>
        <w:jc w:val="both"/>
      </w:pPr>
      <w:bookmarkStart w:id="6159" w:name="Bookmark_para_22_30"/>
      <w:bookmarkStart w:id="6160" w:name="Bookmark_I4GVG088WHB000M62HR001B7"/>
      <w:bookmarkStart w:id="6161" w:name="Bookmark_I5CFW7PX2D6NNT0020000400"/>
      <w:bookmarkEnd w:id="6159"/>
      <w:bookmarkEnd w:id="6160"/>
      <w:bookmarkEnd w:id="6161"/>
      <w:r>
        <w:rPr>
          <w:rFonts w:ascii="Arial" w:eastAsia="Arial" w:hAnsi="Arial" w:cs="Arial"/>
          <w:color w:val="000000"/>
          <w:sz w:val="20"/>
        </w:rPr>
        <w:t xml:space="preserve">To be clear, Mr. Ervine does not lack standing to pursue injunctive relief merely because he has never been a patient of either Desert View or Dr. Tannoury. </w:t>
      </w:r>
      <w:bookmarkStart w:id="6162" w:name="Bookmark_LNHNREFclscc3_34"/>
      <w:bookmarkEnd w:id="6162"/>
      <w:r>
        <w:rPr>
          <w:rFonts w:ascii="Arial" w:eastAsia="Arial" w:hAnsi="Arial" w:cs="Arial"/>
          <w:color w:val="000000"/>
          <w:sz w:val="20"/>
        </w:rPr>
        <w:t xml:space="preserve">The ADA's implementing regulations impose an obligation on public accommodations "to provide effective communication to companions who are individuals with disabilities." 28 C.F.R. § 36.303(c)(1). But it is not the presence or "absence of a past injury" that determines Article III standing to seek injunctive relief; it is the imminent "prospect of future injury." </w:t>
      </w:r>
      <w:bookmarkStart w:id="6163" w:name="Bookmark_I5CFW7PX2D6NNT0010000400"/>
      <w:bookmarkEnd w:id="6163"/>
      <w:r>
        <w:rPr>
          <w:rFonts w:ascii="Arial" w:eastAsia="Arial" w:hAnsi="Arial" w:cs="Arial"/>
          <w:i/>
          <w:color w:val="000000"/>
          <w:sz w:val="20"/>
        </w:rPr>
        <w:t>Chapman</w:t>
      </w:r>
      <w:r>
        <w:rPr>
          <w:rFonts w:ascii="Arial" w:eastAsia="Arial" w:hAnsi="Arial" w:cs="Arial"/>
          <w:color w:val="000000"/>
          <w:sz w:val="20"/>
        </w:rPr>
        <w:t xml:space="preserve">, 631 F.3d at 951 (citing </w:t>
      </w:r>
      <w:bookmarkStart w:id="6164" w:name="Bookmark_I5CFW7PX2D6NNT0030000400"/>
      <w:bookmarkEnd w:id="6164"/>
      <w:r>
        <w:rPr>
          <w:rFonts w:ascii="Arial" w:eastAsia="Arial" w:hAnsi="Arial" w:cs="Arial"/>
          <w:i/>
          <w:color w:val="000000"/>
          <w:sz w:val="20"/>
        </w:rPr>
        <w:t>Lujan v. Defenders of Wildlife</w:t>
      </w:r>
      <w:r>
        <w:rPr>
          <w:rFonts w:ascii="Arial" w:eastAsia="Arial" w:hAnsi="Arial" w:cs="Arial"/>
          <w:color w:val="000000"/>
          <w:sz w:val="20"/>
        </w:rPr>
        <w:t>, 504 U.S. 555, 564, 112 S. Ct. 2130, 119 L. Ed. 2d 351 &amp; n.2 (1992)). Mr. Ervine has not shown a real and immediate threat that he will be denied effective communication by Desert View or Dr. Tannoury either  [**13] as a patient in his own right or as a companion to another patient.</w:t>
      </w:r>
    </w:p>
    <w:p w14:paraId="79F2408F" w14:textId="77777777" w:rsidR="002D0E71" w:rsidRDefault="00000000">
      <w:pPr>
        <w:pStyle w:val="Normal41"/>
        <w:widowControl w:val="0"/>
        <w:spacing w:before="200" w:line="260" w:lineRule="atLeast"/>
        <w:jc w:val="both"/>
      </w:pPr>
      <w:bookmarkStart w:id="6165" w:name="Bookmark_para_23_29"/>
      <w:bookmarkStart w:id="6166" w:name="Bookmark_I5CFW7PX2D6NNV0010000400"/>
      <w:bookmarkStart w:id="6167" w:name="Bookmark_I5CFW7PX2D6NNV0030000400"/>
      <w:bookmarkEnd w:id="6165"/>
      <w:bookmarkEnd w:id="6166"/>
      <w:bookmarkEnd w:id="6167"/>
      <w:r>
        <w:rPr>
          <w:rFonts w:ascii="Arial" w:eastAsia="Arial" w:hAnsi="Arial" w:cs="Arial"/>
          <w:color w:val="000000"/>
          <w:sz w:val="20"/>
        </w:rPr>
        <w:t xml:space="preserve">Because Mr. Ervine's complaint is "jurisdictionally defective" and he has failed to introduce any evidence to cure the defect, he lacks standing to bring his ADA claims. </w:t>
      </w:r>
      <w:r>
        <w:rPr>
          <w:rFonts w:ascii="Arial" w:eastAsia="Arial" w:hAnsi="Arial" w:cs="Arial"/>
          <w:i/>
          <w:color w:val="000000"/>
          <w:sz w:val="20"/>
        </w:rPr>
        <w:t xml:space="preserve">See </w:t>
      </w:r>
      <w:bookmarkStart w:id="6168" w:name="Bookmark_I5CFW7PX2D6NNT0050000400"/>
      <w:bookmarkEnd w:id="6168"/>
      <w:r>
        <w:rPr>
          <w:rFonts w:ascii="Arial" w:eastAsia="Arial" w:hAnsi="Arial" w:cs="Arial"/>
          <w:i/>
          <w:color w:val="000000"/>
          <w:sz w:val="20"/>
        </w:rPr>
        <w:t>id</w:t>
      </w:r>
      <w:r>
        <w:rPr>
          <w:rFonts w:ascii="Arial" w:eastAsia="Arial" w:hAnsi="Arial" w:cs="Arial"/>
          <w:color w:val="000000"/>
          <w:sz w:val="20"/>
        </w:rPr>
        <w:t>. at 954.</w:t>
      </w:r>
      <w:r>
        <w:rPr>
          <w:rFonts w:ascii="Arial" w:eastAsia="Arial" w:hAnsi="Arial" w:cs="Arial"/>
          <w:vertAlign w:val="superscript"/>
        </w:rPr>
        <w:footnoteReference w:customMarkFollows="1" w:id="250"/>
        <w:t>2</w:t>
      </w:r>
      <w:r>
        <w:rPr>
          <w:rFonts w:ascii="Arial" w:eastAsia="Arial" w:hAnsi="Arial" w:cs="Arial"/>
          <w:color w:val="000000"/>
          <w:sz w:val="20"/>
        </w:rPr>
        <w:t xml:space="preserve"> The district court should therefore have dismissed the claims for lack of jurisdiction. </w:t>
      </w:r>
      <w:r>
        <w:rPr>
          <w:rFonts w:ascii="Arial" w:eastAsia="Arial" w:hAnsi="Arial" w:cs="Arial"/>
          <w:i/>
          <w:color w:val="000000"/>
          <w:sz w:val="20"/>
        </w:rPr>
        <w:t xml:space="preserve">See </w:t>
      </w:r>
      <w:bookmarkStart w:id="6170" w:name="Bookmark_I5CFW7PX2D6NNV0020000400"/>
      <w:bookmarkEnd w:id="6170"/>
      <w:r>
        <w:rPr>
          <w:rFonts w:ascii="Arial" w:eastAsia="Arial" w:hAnsi="Arial" w:cs="Arial"/>
          <w:i/>
          <w:color w:val="000000"/>
          <w:sz w:val="20"/>
        </w:rPr>
        <w:t>id</w:t>
      </w:r>
      <w:r>
        <w:rPr>
          <w:rFonts w:ascii="Arial" w:eastAsia="Arial" w:hAnsi="Arial" w:cs="Arial"/>
          <w:color w:val="000000"/>
          <w:sz w:val="20"/>
        </w:rPr>
        <w:t xml:space="preserve">. at 955; </w:t>
      </w:r>
      <w:r>
        <w:rPr>
          <w:rFonts w:ascii="Arial" w:eastAsia="Arial" w:hAnsi="Arial" w:cs="Arial"/>
          <w:i/>
          <w:color w:val="000000"/>
          <w:sz w:val="20"/>
        </w:rPr>
        <w:t>see also</w:t>
      </w:r>
      <w:r>
        <w:rPr>
          <w:rFonts w:ascii="Arial" w:eastAsia="Arial" w:hAnsi="Arial" w:cs="Arial"/>
          <w:color w:val="000000"/>
          <w:sz w:val="20"/>
        </w:rPr>
        <w:t xml:space="preserve"> Fed. R. Civ. P. 12(b)(1).</w:t>
      </w:r>
    </w:p>
    <w:p w14:paraId="5DA3987F" w14:textId="77777777" w:rsidR="002D0E71" w:rsidRDefault="00000000">
      <w:pPr>
        <w:pStyle w:val="Normal41"/>
        <w:widowControl w:val="0"/>
        <w:spacing w:before="120" w:line="260" w:lineRule="atLeast"/>
      </w:pPr>
      <w:r>
        <w:rPr>
          <w:rFonts w:ascii="Arial" w:eastAsia="Arial" w:hAnsi="Arial" w:cs="Arial"/>
          <w:color w:val="000000"/>
          <w:sz w:val="20"/>
        </w:rPr>
        <w:t>IV</w:t>
      </w:r>
    </w:p>
    <w:p w14:paraId="681E255D" w14:textId="77777777" w:rsidR="002D0E71" w:rsidRDefault="00000000">
      <w:pPr>
        <w:pStyle w:val="Normal41"/>
        <w:widowControl w:val="0"/>
        <w:spacing w:before="200" w:line="260" w:lineRule="atLeast"/>
        <w:jc w:val="both"/>
      </w:pPr>
      <w:bookmarkStart w:id="6171" w:name="Bookmark_para_24_29"/>
      <w:bookmarkStart w:id="6172" w:name="Bookmark_LNHNREFclscc4_34"/>
      <w:bookmarkEnd w:id="6171"/>
      <w:bookmarkEnd w:id="6172"/>
      <w:r>
        <w:rPr>
          <w:rFonts w:ascii="Arial" w:eastAsia="Arial" w:hAnsi="Arial" w:cs="Arial"/>
          <w:color w:val="000000"/>
          <w:sz w:val="20"/>
        </w:rPr>
        <w:t xml:space="preserve">Section 504 of the Rehabilitation Act prohibits organizations that receive federal funds, including health care providers, from discriminating against individuals with disabilities. 29 U.S.C. § 794(a), (b)(3)(A)(ii). Health providers who receive federal funds must "provide appropriate auxiliary aids to persons with impaired sensory . . . skills, where necessary to afford such persons an equal opportunity to benefit from the service in question." 45 C.F.R. § 84.52(d). </w:t>
      </w:r>
      <w:bookmarkStart w:id="6173" w:name="Bookmark_I5CFW7PX2D6NNV0050000400"/>
      <w:bookmarkEnd w:id="6173"/>
      <w:r>
        <w:rPr>
          <w:rFonts w:ascii="Arial" w:eastAsia="Arial" w:hAnsi="Arial" w:cs="Arial"/>
          <w:color w:val="000000"/>
          <w:sz w:val="20"/>
        </w:rPr>
        <w:t xml:space="preserve">"[A]uxiliary aids may include brailled and taped material, interpreters, and other aids for persons with  [*869]  impaired hearing or vision." </w:t>
      </w:r>
      <w:r>
        <w:rPr>
          <w:rFonts w:ascii="Arial" w:eastAsia="Arial" w:hAnsi="Arial" w:cs="Arial"/>
          <w:i/>
          <w:color w:val="000000"/>
          <w:sz w:val="20"/>
        </w:rPr>
        <w:t>Id</w:t>
      </w:r>
      <w:r>
        <w:rPr>
          <w:rFonts w:ascii="Arial" w:eastAsia="Arial" w:hAnsi="Arial" w:cs="Arial"/>
          <w:color w:val="000000"/>
          <w:sz w:val="20"/>
        </w:rPr>
        <w:t xml:space="preserve">.  [**14] § 84.52(d)(3). Unlike Title III of the ADA, Section 504 permits individuals to seek damages as a remedy in certain circumstances. </w:t>
      </w:r>
      <w:r>
        <w:rPr>
          <w:rFonts w:ascii="Arial" w:eastAsia="Arial" w:hAnsi="Arial" w:cs="Arial"/>
          <w:i/>
          <w:color w:val="000000"/>
          <w:sz w:val="20"/>
        </w:rPr>
        <w:t xml:space="preserve">See </w:t>
      </w:r>
      <w:bookmarkStart w:id="6174" w:name="Bookmark_I5CFW7PX2D6NNV0040000400"/>
      <w:bookmarkEnd w:id="6174"/>
      <w:r>
        <w:rPr>
          <w:rFonts w:ascii="Arial" w:eastAsia="Arial" w:hAnsi="Arial" w:cs="Arial"/>
          <w:i/>
          <w:color w:val="000000"/>
          <w:sz w:val="20"/>
        </w:rPr>
        <w:t>Mark H. v. Lemahieu</w:t>
      </w:r>
      <w:r>
        <w:rPr>
          <w:rFonts w:ascii="Arial" w:eastAsia="Arial" w:hAnsi="Arial" w:cs="Arial"/>
          <w:color w:val="000000"/>
          <w:sz w:val="20"/>
        </w:rPr>
        <w:t>, 513 F.3d 922, 930, 938 (9th Cir. 2008). We must decide whether Mr. Ervine's claims under the Rehabilitation Act, brought individually and on behalf of his wife's estate, are timely.</w:t>
      </w:r>
    </w:p>
    <w:p w14:paraId="678C49D5" w14:textId="77777777" w:rsidR="002D0E71" w:rsidRDefault="00000000">
      <w:pPr>
        <w:pStyle w:val="Normal41"/>
        <w:widowControl w:val="0"/>
        <w:spacing w:before="200" w:line="260" w:lineRule="atLeast"/>
        <w:jc w:val="both"/>
      </w:pPr>
      <w:bookmarkStart w:id="6175" w:name="Bookmark_para_25_29"/>
      <w:bookmarkStart w:id="6176" w:name="Bookmark_I5CFW7PX2N1RJN0020000400"/>
      <w:bookmarkStart w:id="6177" w:name="Bookmark_I5CFW7PX2N1RJN0040000400"/>
      <w:bookmarkStart w:id="6178" w:name="Bookmark_LNHNREFclscc5_34"/>
      <w:bookmarkEnd w:id="6175"/>
      <w:bookmarkEnd w:id="6176"/>
      <w:bookmarkEnd w:id="6177"/>
      <w:bookmarkEnd w:id="6178"/>
      <w:r>
        <w:rPr>
          <w:rFonts w:ascii="Arial" w:eastAsia="Arial" w:hAnsi="Arial" w:cs="Arial"/>
          <w:color w:val="000000"/>
          <w:sz w:val="20"/>
        </w:rPr>
        <w:t xml:space="preserve">The statute of limitations for claims under Section 504 of the Rehabilitation Act is provided by analogous state law. </w:t>
      </w:r>
      <w:bookmarkStart w:id="6179" w:name="Bookmark_I5CFW7PX2N1RJN0010000400"/>
      <w:bookmarkEnd w:id="6179"/>
      <w:r>
        <w:rPr>
          <w:rFonts w:ascii="Arial" w:eastAsia="Arial" w:hAnsi="Arial" w:cs="Arial"/>
          <w:i/>
          <w:color w:val="000000"/>
          <w:sz w:val="20"/>
        </w:rPr>
        <w:t>Douglas v. Cal. Dep't of Youth Auth</w:t>
      </w:r>
      <w:r>
        <w:rPr>
          <w:rFonts w:ascii="Arial" w:eastAsia="Arial" w:hAnsi="Arial" w:cs="Arial"/>
          <w:color w:val="000000"/>
          <w:sz w:val="20"/>
        </w:rPr>
        <w:t xml:space="preserve">., 271 F.3d 812, 823 n.11, </w:t>
      </w:r>
      <w:r>
        <w:rPr>
          <w:rFonts w:ascii="Arial" w:eastAsia="Arial" w:hAnsi="Arial" w:cs="Arial"/>
          <w:i/>
          <w:color w:val="000000"/>
          <w:sz w:val="20"/>
        </w:rPr>
        <w:t>amended</w:t>
      </w:r>
      <w:r>
        <w:rPr>
          <w:rFonts w:ascii="Arial" w:eastAsia="Arial" w:hAnsi="Arial" w:cs="Arial"/>
          <w:color w:val="000000"/>
          <w:sz w:val="20"/>
        </w:rPr>
        <w:t xml:space="preserve">, 271 F.3d 910 (9th Cir. 2001). All parties agree that the analogous state law here is Nevada's two-year statute of limitations for personal injuries. Nev. Rev. Stat. § 11.190(4)(e); </w:t>
      </w:r>
      <w:r>
        <w:rPr>
          <w:rFonts w:ascii="Arial" w:eastAsia="Arial" w:hAnsi="Arial" w:cs="Arial"/>
          <w:i/>
          <w:color w:val="000000"/>
          <w:sz w:val="20"/>
        </w:rPr>
        <w:t xml:space="preserve">cf. </w:t>
      </w:r>
      <w:bookmarkStart w:id="6180" w:name="Bookmark_I5CFW7PX2N1RJN0030000400"/>
      <w:bookmarkEnd w:id="6180"/>
      <w:r>
        <w:rPr>
          <w:rFonts w:ascii="Arial" w:eastAsia="Arial" w:hAnsi="Arial" w:cs="Arial"/>
          <w:i/>
          <w:color w:val="000000"/>
          <w:sz w:val="20"/>
        </w:rPr>
        <w:t>Douglas</w:t>
      </w:r>
      <w:r>
        <w:rPr>
          <w:rFonts w:ascii="Arial" w:eastAsia="Arial" w:hAnsi="Arial" w:cs="Arial"/>
          <w:color w:val="000000"/>
          <w:sz w:val="20"/>
        </w:rPr>
        <w:t>, 271 F.3d at 823 n.11 ("[B]oth parties agree that California's one-year statute of limitations for personnel [sic] injuries governs [plaintiff's] Section 504 claim."). Mr. Ervine filed his complaint on September 1, 2010.</w:t>
      </w:r>
      <w:r>
        <w:rPr>
          <w:rFonts w:ascii="Arial" w:eastAsia="Arial" w:hAnsi="Arial" w:cs="Arial"/>
          <w:vertAlign w:val="superscript"/>
        </w:rPr>
        <w:footnoteReference w:customMarkFollows="1" w:id="251"/>
        <w:t>3</w:t>
      </w:r>
      <w:r>
        <w:rPr>
          <w:rFonts w:ascii="Arial" w:eastAsia="Arial" w:hAnsi="Arial" w:cs="Arial"/>
          <w:color w:val="000000"/>
          <w:sz w:val="20"/>
        </w:rPr>
        <w:t xml:space="preserve"> His suit is timely insofar as the claims accrued on or after September 1, 2008.</w:t>
      </w:r>
    </w:p>
    <w:p w14:paraId="0BF9638C" w14:textId="77777777" w:rsidR="002D0E71" w:rsidRDefault="00000000">
      <w:pPr>
        <w:pStyle w:val="Normal41"/>
        <w:widowControl w:val="0"/>
        <w:spacing w:before="200" w:line="260" w:lineRule="atLeast"/>
        <w:jc w:val="both"/>
      </w:pPr>
      <w:bookmarkStart w:id="6182" w:name="Bookmark_para_26_28"/>
      <w:bookmarkStart w:id="6183" w:name="Bookmark_I5CFW7PX2N1RJP0010000400"/>
      <w:bookmarkStart w:id="6184" w:name="Bookmark_I4GVG0892M6000M62HR001B8"/>
      <w:bookmarkStart w:id="6185" w:name="Bookmark_I5CFW7PX2N1RJP0050000400"/>
      <w:bookmarkStart w:id="6186" w:name="Bookmark_LNHNREFclscc6_33"/>
      <w:bookmarkEnd w:id="6182"/>
      <w:bookmarkEnd w:id="6183"/>
      <w:bookmarkEnd w:id="6184"/>
      <w:bookmarkEnd w:id="6185"/>
      <w:bookmarkEnd w:id="6186"/>
      <w:r>
        <w:rPr>
          <w:rFonts w:ascii="Arial" w:eastAsia="Arial" w:hAnsi="Arial" w:cs="Arial"/>
          <w:color w:val="000000"/>
          <w:sz w:val="20"/>
        </w:rPr>
        <w:t xml:space="preserve">Although the limitations period is adopted from state law, a claim under the Rehabilitation Act accrues according to federal law. </w:t>
      </w:r>
      <w:r>
        <w:rPr>
          <w:rFonts w:ascii="Arial" w:eastAsia="Arial" w:hAnsi="Arial" w:cs="Arial"/>
          <w:i/>
          <w:color w:val="000000"/>
          <w:sz w:val="20"/>
        </w:rPr>
        <w:t xml:space="preserve">See </w:t>
      </w:r>
      <w:bookmarkStart w:id="6187" w:name="Bookmark_I5CFW7PX2N1RJN0050000400"/>
      <w:bookmarkEnd w:id="6187"/>
      <w:r>
        <w:rPr>
          <w:rFonts w:ascii="Arial" w:eastAsia="Arial" w:hAnsi="Arial" w:cs="Arial"/>
          <w:i/>
          <w:color w:val="000000"/>
          <w:sz w:val="20"/>
        </w:rPr>
        <w:t>Bishop v. Children's Ctr. for Developmental Enrichment</w:t>
      </w:r>
      <w:r>
        <w:rPr>
          <w:rFonts w:ascii="Arial" w:eastAsia="Arial" w:hAnsi="Arial" w:cs="Arial"/>
          <w:color w:val="000000"/>
          <w:sz w:val="20"/>
        </w:rPr>
        <w:t xml:space="preserve">, 618 F.3d 533, 536 (6th Cir. 2010); </w:t>
      </w:r>
      <w:r>
        <w:rPr>
          <w:rFonts w:ascii="Arial" w:eastAsia="Arial" w:hAnsi="Arial" w:cs="Arial"/>
          <w:i/>
          <w:color w:val="000000"/>
          <w:sz w:val="20"/>
        </w:rPr>
        <w:t xml:space="preserve">cf. </w:t>
      </w:r>
      <w:bookmarkStart w:id="6188" w:name="Bookmark_I5CFW7PX2N1RJP0020000400"/>
      <w:bookmarkEnd w:id="6188"/>
      <w:r>
        <w:rPr>
          <w:rFonts w:ascii="Arial" w:eastAsia="Arial" w:hAnsi="Arial" w:cs="Arial"/>
          <w:i/>
          <w:color w:val="000000"/>
          <w:sz w:val="20"/>
        </w:rPr>
        <w:t>Wallace v. Kato</w:t>
      </w:r>
      <w:r>
        <w:rPr>
          <w:rFonts w:ascii="Arial" w:eastAsia="Arial" w:hAnsi="Arial" w:cs="Arial"/>
          <w:color w:val="000000"/>
          <w:sz w:val="20"/>
        </w:rPr>
        <w:t xml:space="preserve">, 549 U.S. 384, 388, 127 S. Ct. 1091, 166 L. Ed. 2d 973 (2007) ("[T]he accrual date of a § 1983 cause of action is a question of federal law that is not resolved by reference to state law."). "A federal claim accrues when the plaintiff knows or has reason to know of the injury that is the basis of the action." </w:t>
      </w:r>
      <w:bookmarkStart w:id="6189" w:name="Bookmark_I5CFW7PX2N1RJP0040000400"/>
      <w:bookmarkEnd w:id="6189"/>
      <w:r>
        <w:rPr>
          <w:rFonts w:ascii="Arial" w:eastAsia="Arial" w:hAnsi="Arial" w:cs="Arial"/>
          <w:i/>
          <w:color w:val="000000"/>
          <w:sz w:val="20"/>
        </w:rPr>
        <w:t>Pouncil v. Tilton</w:t>
      </w:r>
      <w:r>
        <w:rPr>
          <w:rFonts w:ascii="Arial" w:eastAsia="Arial" w:hAnsi="Arial" w:cs="Arial"/>
          <w:color w:val="000000"/>
          <w:sz w:val="20"/>
        </w:rPr>
        <w:t>, 704 F.3d 568, 574 (9th Cir. 2012).</w:t>
      </w:r>
    </w:p>
    <w:p w14:paraId="796CAC4D" w14:textId="77777777" w:rsidR="002D0E71" w:rsidRDefault="00000000">
      <w:pPr>
        <w:pStyle w:val="Normal41"/>
        <w:widowControl w:val="0"/>
        <w:spacing w:before="120" w:line="260" w:lineRule="atLeast"/>
      </w:pPr>
      <w:r>
        <w:rPr>
          <w:rFonts w:ascii="Arial" w:eastAsia="Arial" w:hAnsi="Arial" w:cs="Arial"/>
          <w:color w:val="000000"/>
          <w:sz w:val="20"/>
        </w:rPr>
        <w:t>A</w:t>
      </w:r>
    </w:p>
    <w:p w14:paraId="591AF9E3" w14:textId="77777777" w:rsidR="002D0E71" w:rsidRDefault="00000000">
      <w:pPr>
        <w:pStyle w:val="Normal41"/>
        <w:widowControl w:val="0"/>
        <w:spacing w:before="200" w:line="260" w:lineRule="atLeast"/>
        <w:jc w:val="both"/>
      </w:pPr>
      <w:bookmarkStart w:id="6190" w:name="Bookmark_para_27_28"/>
      <w:bookmarkStart w:id="6191" w:name="Bookmark_I5CFW7PX2D6NNW0020000400"/>
      <w:bookmarkStart w:id="6192" w:name="Bookmark_I5CFW7PX2D6NNW0040000400"/>
      <w:bookmarkEnd w:id="6190"/>
      <w:bookmarkEnd w:id="6191"/>
      <w:bookmarkEnd w:id="6192"/>
      <w:r>
        <w:rPr>
          <w:rFonts w:ascii="Arial" w:eastAsia="Arial" w:hAnsi="Arial" w:cs="Arial"/>
          <w:color w:val="000000"/>
          <w:sz w:val="20"/>
        </w:rPr>
        <w:t xml:space="preserve">Our court has not decided whether each discrete discriminatory act causes a new claim to accrue under Section 504 of the Rehabilitation Act. But we have discussed such claims under Section 501 of the Act. </w:t>
      </w:r>
      <w:r>
        <w:rPr>
          <w:rFonts w:ascii="Arial" w:eastAsia="Arial" w:hAnsi="Arial" w:cs="Arial"/>
          <w:i/>
          <w:color w:val="000000"/>
          <w:sz w:val="20"/>
        </w:rPr>
        <w:t xml:space="preserve">See </w:t>
      </w:r>
      <w:bookmarkStart w:id="6193" w:name="Bookmark_I5CFW7PX2D6NNW0010000400"/>
      <w:bookmarkEnd w:id="6193"/>
      <w:r>
        <w:rPr>
          <w:rFonts w:ascii="Arial" w:eastAsia="Arial" w:hAnsi="Arial" w:cs="Arial"/>
          <w:i/>
          <w:color w:val="000000"/>
          <w:sz w:val="20"/>
        </w:rPr>
        <w:t>Cherosky v. Henderson</w:t>
      </w:r>
      <w:r>
        <w:rPr>
          <w:rFonts w:ascii="Arial" w:eastAsia="Arial" w:hAnsi="Arial" w:cs="Arial"/>
          <w:color w:val="000000"/>
          <w:sz w:val="20"/>
        </w:rPr>
        <w:t xml:space="preserve">, 330 F.3d 1243, 1245-46 (9th Cir. 2003). In </w:t>
      </w:r>
      <w:r>
        <w:rPr>
          <w:rFonts w:ascii="Arial" w:eastAsia="Arial" w:hAnsi="Arial" w:cs="Arial"/>
          <w:i/>
          <w:color w:val="000000"/>
          <w:sz w:val="20"/>
        </w:rPr>
        <w:t>Cherosky</w:t>
      </w:r>
      <w:r>
        <w:rPr>
          <w:rFonts w:ascii="Arial" w:eastAsia="Arial" w:hAnsi="Arial" w:cs="Arial"/>
          <w:color w:val="000000"/>
          <w:sz w:val="20"/>
        </w:rPr>
        <w:t xml:space="preserve">, employees of the Postal Service claimed their employer discriminated against them by refusing to provide respirators. </w:t>
      </w:r>
      <w:bookmarkStart w:id="6194" w:name="Bookmark_I5CFW7PX2HM5T30010000400"/>
      <w:bookmarkStart w:id="6195" w:name="Bookmark_I5CFW7PX2D6NNW0030000400"/>
      <w:bookmarkEnd w:id="6194"/>
      <w:bookmarkEnd w:id="6195"/>
      <w:r>
        <w:rPr>
          <w:rFonts w:ascii="Arial" w:eastAsia="Arial" w:hAnsi="Arial" w:cs="Arial"/>
          <w:i/>
          <w:color w:val="000000"/>
          <w:sz w:val="20"/>
        </w:rPr>
        <w:t>Id</w:t>
      </w:r>
      <w:r>
        <w:rPr>
          <w:rFonts w:ascii="Arial" w:eastAsia="Arial" w:hAnsi="Arial" w:cs="Arial"/>
          <w:color w:val="000000"/>
          <w:sz w:val="20"/>
        </w:rPr>
        <w:t xml:space="preserve">. at 1245. </w:t>
      </w:r>
      <w:bookmarkStart w:id="6196" w:name="Bookmark_I5CFW7PX2HM5T30010000400_2"/>
      <w:bookmarkEnd w:id="6196"/>
      <w:r>
        <w:rPr>
          <w:rFonts w:ascii="Arial" w:eastAsia="Arial" w:hAnsi="Arial" w:cs="Arial"/>
          <w:color w:val="000000"/>
          <w:sz w:val="20"/>
        </w:rPr>
        <w:t xml:space="preserve">Under the relevant federal  [**16] regulations, they were required before suing to consult with the Equal Employment Opportunity Commission "within 45 days of the date of the matter alleged to be discriminatory." </w:t>
      </w:r>
      <w:r>
        <w:rPr>
          <w:rFonts w:ascii="Arial" w:eastAsia="Arial" w:hAnsi="Arial" w:cs="Arial"/>
          <w:i/>
          <w:color w:val="000000"/>
          <w:sz w:val="20"/>
        </w:rPr>
        <w:t>Id</w:t>
      </w:r>
      <w:r>
        <w:rPr>
          <w:rFonts w:ascii="Arial" w:eastAsia="Arial" w:hAnsi="Arial" w:cs="Arial"/>
          <w:color w:val="000000"/>
          <w:sz w:val="20"/>
        </w:rPr>
        <w:t xml:space="preserve">. (quoting 29 C.F.R. § 1614.105(a), (a)(1)). The employees failed to consult with the EEOC within 45 days of the denial of respirators, and were unable to "point to any discrete, discriminatory act that occurred within the 45-day period." </w:t>
      </w:r>
      <w:r>
        <w:rPr>
          <w:rFonts w:ascii="Arial" w:eastAsia="Arial" w:hAnsi="Arial" w:cs="Arial"/>
          <w:i/>
          <w:color w:val="000000"/>
          <w:sz w:val="20"/>
        </w:rPr>
        <w:t>Id</w:t>
      </w:r>
      <w:r>
        <w:rPr>
          <w:rFonts w:ascii="Arial" w:eastAsia="Arial" w:hAnsi="Arial" w:cs="Arial"/>
          <w:color w:val="000000"/>
          <w:sz w:val="20"/>
        </w:rPr>
        <w:t xml:space="preserve">. Nonetheless, they argued their claims were timely under the "continuing violations doctrine." </w:t>
      </w:r>
      <w:bookmarkStart w:id="6197" w:name="Bookmark_I5CFW7PX2D6NNW0050000400"/>
      <w:bookmarkEnd w:id="6197"/>
      <w:r>
        <w:rPr>
          <w:rFonts w:ascii="Arial" w:eastAsia="Arial" w:hAnsi="Arial" w:cs="Arial"/>
          <w:i/>
          <w:color w:val="000000"/>
          <w:sz w:val="20"/>
        </w:rPr>
        <w:t>Id</w:t>
      </w:r>
      <w:r>
        <w:rPr>
          <w:rFonts w:ascii="Arial" w:eastAsia="Arial" w:hAnsi="Arial" w:cs="Arial"/>
          <w:color w:val="000000"/>
          <w:sz w:val="20"/>
        </w:rPr>
        <w:t>. at 1246.</w:t>
      </w:r>
    </w:p>
    <w:p w14:paraId="7AF1534D" w14:textId="77777777" w:rsidR="002D0E71" w:rsidRDefault="00000000">
      <w:pPr>
        <w:pStyle w:val="Normal41"/>
        <w:widowControl w:val="0"/>
        <w:spacing w:before="200" w:line="260" w:lineRule="atLeast"/>
        <w:jc w:val="both"/>
      </w:pPr>
      <w:bookmarkStart w:id="6198" w:name="Bookmark_para_28_25"/>
      <w:bookmarkStart w:id="6199" w:name="Bookmark_I5CFW7PX2HM5T30030000400"/>
      <w:bookmarkStart w:id="6200" w:name="Bookmark_I5CFW7PX2HM5T30050000400"/>
      <w:bookmarkEnd w:id="6198"/>
      <w:bookmarkEnd w:id="6199"/>
      <w:bookmarkEnd w:id="6200"/>
      <w:r>
        <w:rPr>
          <w:rFonts w:ascii="Arial" w:eastAsia="Arial" w:hAnsi="Arial" w:cs="Arial"/>
          <w:color w:val="000000"/>
          <w:sz w:val="20"/>
        </w:rPr>
        <w:t xml:space="preserve">We turned to </w:t>
      </w:r>
      <w:bookmarkStart w:id="6201" w:name="Bookmark_I5CFW7PX2HM5T30020000400"/>
      <w:bookmarkEnd w:id="6201"/>
      <w:r>
        <w:rPr>
          <w:rFonts w:ascii="Arial" w:eastAsia="Arial" w:hAnsi="Arial" w:cs="Arial"/>
          <w:i/>
          <w:color w:val="000000"/>
          <w:sz w:val="20"/>
        </w:rPr>
        <w:t>National Railroad Passenger Corp. v. Morgan</w:t>
      </w:r>
      <w:r>
        <w:rPr>
          <w:rFonts w:ascii="Arial" w:eastAsia="Arial" w:hAnsi="Arial" w:cs="Arial"/>
          <w:color w:val="000000"/>
          <w:sz w:val="20"/>
        </w:rPr>
        <w:t xml:space="preserve">, 536 U.S. 101, 122 S. Ct. 2061, 153 L. Ed. 2d 106 (2002), to resolve their claims. Although </w:t>
      </w:r>
      <w:r>
        <w:rPr>
          <w:rFonts w:ascii="Arial" w:eastAsia="Arial" w:hAnsi="Arial" w:cs="Arial"/>
          <w:i/>
          <w:color w:val="000000"/>
          <w:sz w:val="20"/>
        </w:rPr>
        <w:t>Morgan</w:t>
      </w:r>
      <w:r>
        <w:rPr>
          <w:rFonts w:ascii="Arial" w:eastAsia="Arial" w:hAnsi="Arial" w:cs="Arial"/>
          <w:color w:val="000000"/>
          <w:sz w:val="20"/>
        </w:rPr>
        <w:t xml:space="preserve"> concerned Title VII of the Civil Rights Act of 1964, we noted that "[i]t applies with equal force to the Rehabilitation Act and to actions arising under other civil rights laws." </w:t>
      </w:r>
      <w:bookmarkStart w:id="6202" w:name="Bookmark_I5CFW7PX2HM5T30040000400"/>
      <w:bookmarkEnd w:id="6202"/>
      <w:r>
        <w:rPr>
          <w:rFonts w:ascii="Arial" w:eastAsia="Arial" w:hAnsi="Arial" w:cs="Arial"/>
          <w:i/>
          <w:color w:val="000000"/>
          <w:sz w:val="20"/>
        </w:rPr>
        <w:t>Cherosky</w:t>
      </w:r>
      <w:r>
        <w:rPr>
          <w:rFonts w:ascii="Arial" w:eastAsia="Arial" w:hAnsi="Arial" w:cs="Arial"/>
          <w:color w:val="000000"/>
          <w:sz w:val="20"/>
        </w:rPr>
        <w:t xml:space="preserve">, 330 F.3d at 1246 n.3; </w:t>
      </w:r>
      <w:r>
        <w:rPr>
          <w:rFonts w:ascii="Arial" w:eastAsia="Arial" w:hAnsi="Arial" w:cs="Arial"/>
          <w:i/>
          <w:color w:val="000000"/>
          <w:sz w:val="20"/>
        </w:rPr>
        <w:t xml:space="preserve">see also, e.g., </w:t>
      </w:r>
      <w:bookmarkStart w:id="6203" w:name="Bookmark_I5CFW7PX2SF8SS0010000400"/>
      <w:bookmarkEnd w:id="6203"/>
      <w:r>
        <w:rPr>
          <w:rFonts w:ascii="Arial" w:eastAsia="Arial" w:hAnsi="Arial" w:cs="Arial"/>
          <w:i/>
          <w:color w:val="000000"/>
          <w:sz w:val="20"/>
        </w:rPr>
        <w:t>Pouncil</w:t>
      </w:r>
      <w:r>
        <w:rPr>
          <w:rFonts w:ascii="Arial" w:eastAsia="Arial" w:hAnsi="Arial" w:cs="Arial"/>
          <w:color w:val="000000"/>
          <w:sz w:val="20"/>
        </w:rPr>
        <w:t xml:space="preserve">, 704 F.3d at 581 (applying </w:t>
      </w:r>
      <w:r>
        <w:rPr>
          <w:rFonts w:ascii="Arial" w:eastAsia="Arial" w:hAnsi="Arial" w:cs="Arial"/>
          <w:i/>
          <w:color w:val="000000"/>
          <w:sz w:val="20"/>
        </w:rPr>
        <w:t>Morgan</w:t>
      </w:r>
      <w:r>
        <w:rPr>
          <w:rFonts w:ascii="Arial" w:eastAsia="Arial" w:hAnsi="Arial" w:cs="Arial"/>
          <w:color w:val="000000"/>
          <w:sz w:val="20"/>
        </w:rPr>
        <w:t xml:space="preserve"> to § 1983 free exercise and Religious Land Use and Institutionalized Persons Act claims).</w:t>
      </w:r>
    </w:p>
    <w:p w14:paraId="1715A903" w14:textId="77777777" w:rsidR="002D0E71" w:rsidRDefault="00000000">
      <w:pPr>
        <w:pStyle w:val="Normal41"/>
        <w:widowControl w:val="0"/>
        <w:spacing w:before="200" w:line="260" w:lineRule="atLeast"/>
        <w:jc w:val="both"/>
      </w:pPr>
      <w:bookmarkStart w:id="6204" w:name="Bookmark_para_29_24"/>
      <w:bookmarkEnd w:id="6204"/>
      <w:r>
        <w:rPr>
          <w:rFonts w:ascii="Arial" w:eastAsia="Arial" w:hAnsi="Arial" w:cs="Arial"/>
          <w:color w:val="000000"/>
          <w:sz w:val="20"/>
        </w:rPr>
        <w:t xml:space="preserve"> [*870]  Of course, this case is not subject to a 45-day consultation deadline; it is governed by the statute of limitations borrowed from state law. Although the deadlines may be different, there is no  [**17] reason to suppose that Section 504 claims accrue differently from Section 501 claims. Both claims accrue according to federal law. Thus, we also turn to </w:t>
      </w:r>
      <w:r>
        <w:rPr>
          <w:rFonts w:ascii="Arial" w:eastAsia="Arial" w:hAnsi="Arial" w:cs="Arial"/>
          <w:i/>
          <w:color w:val="000000"/>
          <w:sz w:val="20"/>
        </w:rPr>
        <w:t>Morgan</w:t>
      </w:r>
      <w:r>
        <w:rPr>
          <w:rFonts w:ascii="Arial" w:eastAsia="Arial" w:hAnsi="Arial" w:cs="Arial"/>
          <w:color w:val="000000"/>
          <w:sz w:val="20"/>
        </w:rPr>
        <w:t xml:space="preserve"> for guidance.</w:t>
      </w:r>
    </w:p>
    <w:p w14:paraId="35018B44" w14:textId="77777777" w:rsidR="002D0E71" w:rsidRDefault="00000000">
      <w:pPr>
        <w:pStyle w:val="Normal41"/>
        <w:widowControl w:val="0"/>
        <w:spacing w:before="200" w:line="260" w:lineRule="atLeast"/>
        <w:jc w:val="both"/>
      </w:pPr>
      <w:bookmarkStart w:id="6205" w:name="Bookmark_para_30_23"/>
      <w:bookmarkEnd w:id="6205"/>
      <w:r>
        <w:rPr>
          <w:rFonts w:ascii="Arial" w:eastAsia="Arial" w:hAnsi="Arial" w:cs="Arial"/>
          <w:i/>
          <w:color w:val="000000"/>
          <w:sz w:val="20"/>
        </w:rPr>
        <w:t>Morgan</w:t>
      </w:r>
      <w:r>
        <w:rPr>
          <w:rFonts w:ascii="Arial" w:eastAsia="Arial" w:hAnsi="Arial" w:cs="Arial"/>
          <w:color w:val="000000"/>
          <w:sz w:val="20"/>
        </w:rPr>
        <w:t xml:space="preserve"> distilled several principles that are relevant to the claims at issue here:</w:t>
      </w:r>
    </w:p>
    <w:p w14:paraId="17488BDE" w14:textId="77777777" w:rsidR="002D0E71" w:rsidRDefault="00000000">
      <w:pPr>
        <w:pStyle w:val="Normal41"/>
        <w:widowControl w:val="0"/>
        <w:spacing w:before="200" w:line="260" w:lineRule="atLeast"/>
        <w:ind w:left="400"/>
        <w:jc w:val="both"/>
      </w:pPr>
      <w:bookmarkStart w:id="6206" w:name="Bookmark_para_31_22"/>
      <w:bookmarkEnd w:id="6206"/>
      <w:r>
        <w:rPr>
          <w:rFonts w:ascii="Arial" w:eastAsia="Arial" w:hAnsi="Arial" w:cs="Arial"/>
          <w:color w:val="000000"/>
          <w:sz w:val="20"/>
        </w:rPr>
        <w:t xml:space="preserve">First, discrete discriminatory acts are not actionable if time barred, even when they are related to acts alleged in timely filed charges. </w:t>
      </w:r>
      <w:r>
        <w:rPr>
          <w:rFonts w:ascii="Arial" w:eastAsia="Arial" w:hAnsi="Arial" w:cs="Arial"/>
          <w:i/>
          <w:color w:val="000000"/>
          <w:sz w:val="20"/>
        </w:rPr>
        <w:t>Each discrete discriminatory act starts a new clock for filing charges alleging that act</w:t>
      </w:r>
      <w:r>
        <w:rPr>
          <w:rFonts w:ascii="Arial" w:eastAsia="Arial" w:hAnsi="Arial" w:cs="Arial"/>
          <w:color w:val="000000"/>
          <w:sz w:val="20"/>
        </w:rPr>
        <w:t xml:space="preserve">. . . . </w:t>
      </w:r>
      <w:bookmarkStart w:id="6207" w:name="Bookmark_I4GVG0896FB000M62HR001B9"/>
      <w:bookmarkStart w:id="6208" w:name="Bookmark_I5CFW7PX2SF8SS0040000400"/>
      <w:bookmarkEnd w:id="6207"/>
      <w:bookmarkEnd w:id="6208"/>
      <w:r>
        <w:rPr>
          <w:rFonts w:ascii="Arial" w:eastAsia="Arial" w:hAnsi="Arial" w:cs="Arial"/>
          <w:color w:val="000000"/>
          <w:sz w:val="20"/>
        </w:rPr>
        <w:t xml:space="preserve">The existence of past acts and the employee's prior knowledge of their occurrence, however, does not bar employees from filing charges about related discrete acts so long as the acts are </w:t>
      </w:r>
      <w:r>
        <w:rPr>
          <w:rFonts w:ascii="Arial" w:eastAsia="Arial" w:hAnsi="Arial" w:cs="Arial"/>
          <w:i/>
          <w:color w:val="000000"/>
          <w:sz w:val="20"/>
        </w:rPr>
        <w:t>independently</w:t>
      </w:r>
      <w:r>
        <w:rPr>
          <w:rFonts w:ascii="Arial" w:eastAsia="Arial" w:hAnsi="Arial" w:cs="Arial"/>
          <w:color w:val="000000"/>
          <w:sz w:val="20"/>
        </w:rPr>
        <w:t xml:space="preserve"> discriminatory and charges addressing those acts are themselves timely filed. Nor does the statute bar an employee from using the prior acts as background evidence in support of a timely claim.</w:t>
      </w:r>
    </w:p>
    <w:p w14:paraId="552A8728" w14:textId="77777777" w:rsidR="002D0E71" w:rsidRDefault="00000000">
      <w:pPr>
        <w:pStyle w:val="Normal41"/>
        <w:widowControl w:val="0"/>
        <w:spacing w:before="200" w:line="260" w:lineRule="atLeast"/>
        <w:jc w:val="both"/>
      </w:pPr>
      <w:bookmarkStart w:id="6209" w:name="Bookmark_I5CFW7PX2SF8SS0040000400_2"/>
      <w:bookmarkStart w:id="6210" w:name="Bookmark_I5CFW7PX2SF8SS0030000400"/>
      <w:bookmarkEnd w:id="6209"/>
      <w:bookmarkEnd w:id="6210"/>
      <w:r>
        <w:rPr>
          <w:rFonts w:ascii="Arial" w:eastAsia="Arial" w:hAnsi="Arial" w:cs="Arial"/>
          <w:color w:val="000000"/>
          <w:sz w:val="20"/>
        </w:rPr>
        <w:t>536 U.S. at 113 (emphasis added).</w:t>
      </w:r>
    </w:p>
    <w:p w14:paraId="5B8FFC9F" w14:textId="77777777" w:rsidR="002D0E71" w:rsidRDefault="00000000">
      <w:pPr>
        <w:pStyle w:val="Normal41"/>
        <w:widowControl w:val="0"/>
        <w:spacing w:before="200" w:line="260" w:lineRule="atLeast"/>
        <w:jc w:val="both"/>
      </w:pPr>
      <w:bookmarkStart w:id="6211" w:name="Bookmark_para_32_21"/>
      <w:bookmarkStart w:id="6212" w:name="Bookmark_I4GVG089G3M000M62HR001BC"/>
      <w:bookmarkStart w:id="6213" w:name="Bookmark_I5CFW7PX2SF8ST0010000400"/>
      <w:bookmarkStart w:id="6214" w:name="Bookmark_I5CFW7PX2SF8ST0030000400"/>
      <w:bookmarkEnd w:id="6211"/>
      <w:bookmarkEnd w:id="6212"/>
      <w:bookmarkEnd w:id="6213"/>
      <w:bookmarkEnd w:id="6214"/>
      <w:r>
        <w:rPr>
          <w:rFonts w:ascii="Arial" w:eastAsia="Arial" w:hAnsi="Arial" w:cs="Arial"/>
          <w:color w:val="000000"/>
          <w:sz w:val="20"/>
        </w:rPr>
        <w:t xml:space="preserve">In </w:t>
      </w:r>
      <w:r>
        <w:rPr>
          <w:rFonts w:ascii="Arial" w:eastAsia="Arial" w:hAnsi="Arial" w:cs="Arial"/>
          <w:i/>
          <w:color w:val="000000"/>
          <w:sz w:val="20"/>
        </w:rPr>
        <w:t>Pouncil</w:t>
      </w:r>
      <w:r>
        <w:rPr>
          <w:rFonts w:ascii="Arial" w:eastAsia="Arial" w:hAnsi="Arial" w:cs="Arial"/>
          <w:color w:val="000000"/>
          <w:sz w:val="20"/>
        </w:rPr>
        <w:t xml:space="preserve">, we emphasized that an act must be "discrete" or "independently wrongful" to cause a new claim to accrue. </w:t>
      </w:r>
      <w:bookmarkStart w:id="6215" w:name="Bookmark_I5CFW7PX2SF8SS0050000400"/>
      <w:bookmarkEnd w:id="6215"/>
      <w:r>
        <w:rPr>
          <w:rFonts w:ascii="Arial" w:eastAsia="Arial" w:hAnsi="Arial" w:cs="Arial"/>
          <w:color w:val="000000"/>
          <w:sz w:val="20"/>
        </w:rPr>
        <w:t>704 F.3d at 581. If the act is merely the "delayed, but inevitable, consequence" of a prior discriminatory act, it will not cause a new statute of limitations to run.  [**18] </w:t>
      </w:r>
      <w:r>
        <w:rPr>
          <w:rFonts w:ascii="Arial" w:eastAsia="Arial" w:hAnsi="Arial" w:cs="Arial"/>
          <w:i/>
          <w:color w:val="000000"/>
          <w:sz w:val="20"/>
        </w:rPr>
        <w:t>See id</w:t>
      </w:r>
      <w:r>
        <w:rPr>
          <w:rFonts w:ascii="Arial" w:eastAsia="Arial" w:hAnsi="Arial" w:cs="Arial"/>
          <w:color w:val="000000"/>
          <w:sz w:val="20"/>
        </w:rPr>
        <w:t xml:space="preserve">. So, for example, the claim of a professor who was denied tenure in a discriminatory fashion accrued when the discriminatory decision was made, not when the professor's contract expired. </w:t>
      </w:r>
      <w:bookmarkStart w:id="6216" w:name="Bookmark_I5CFW7PX2SF8ST0020000400"/>
      <w:bookmarkEnd w:id="6216"/>
      <w:r>
        <w:rPr>
          <w:rFonts w:ascii="Arial" w:eastAsia="Arial" w:hAnsi="Arial" w:cs="Arial"/>
          <w:i/>
          <w:color w:val="000000"/>
          <w:sz w:val="20"/>
        </w:rPr>
        <w:t>Id</w:t>
      </w:r>
      <w:r>
        <w:rPr>
          <w:rFonts w:ascii="Arial" w:eastAsia="Arial" w:hAnsi="Arial" w:cs="Arial"/>
          <w:color w:val="000000"/>
          <w:sz w:val="20"/>
        </w:rPr>
        <w:t xml:space="preserve">. at 577-78 (discussing </w:t>
      </w:r>
      <w:bookmarkStart w:id="6217" w:name="Bookmark_I5CFW7PX2SF8ST0040000400"/>
      <w:bookmarkEnd w:id="6217"/>
      <w:r>
        <w:rPr>
          <w:rFonts w:ascii="Arial" w:eastAsia="Arial" w:hAnsi="Arial" w:cs="Arial"/>
          <w:i/>
          <w:color w:val="000000"/>
          <w:sz w:val="20"/>
        </w:rPr>
        <w:t>Del. State Coll. v. Ricks</w:t>
      </w:r>
      <w:r>
        <w:rPr>
          <w:rFonts w:ascii="Arial" w:eastAsia="Arial" w:hAnsi="Arial" w:cs="Arial"/>
          <w:color w:val="000000"/>
          <w:sz w:val="20"/>
        </w:rPr>
        <w:t>, 449 U.S. 250, 101 S. Ct. 498, 66 L. Ed. 2d 431 (1980)).</w:t>
      </w:r>
    </w:p>
    <w:p w14:paraId="3DDB399A" w14:textId="77777777" w:rsidR="002D0E71" w:rsidRDefault="00000000">
      <w:pPr>
        <w:pStyle w:val="Normal41"/>
        <w:widowControl w:val="0"/>
        <w:spacing w:before="200" w:line="260" w:lineRule="atLeast"/>
        <w:jc w:val="both"/>
      </w:pPr>
      <w:bookmarkStart w:id="6218" w:name="Bookmark_para_33_20"/>
      <w:bookmarkStart w:id="6219" w:name="Bookmark_I5CFW7PX2N1RJR0020000400"/>
      <w:bookmarkEnd w:id="6218"/>
      <w:bookmarkEnd w:id="6219"/>
      <w:r>
        <w:rPr>
          <w:rFonts w:ascii="Arial" w:eastAsia="Arial" w:hAnsi="Arial" w:cs="Arial"/>
          <w:color w:val="000000"/>
          <w:sz w:val="20"/>
        </w:rPr>
        <w:t xml:space="preserve">Pouncil maintained that the denial by prison officials in 2008 of his request for a conjugal visit with his second wife violated his rights under the Free Exercise Clause and RLUIPA. </w:t>
      </w:r>
      <w:bookmarkStart w:id="6220" w:name="Bookmark_I5CFW7PX2N1RJR0040000400"/>
      <w:bookmarkStart w:id="6221" w:name="Bookmark_I5CFW7PX2N1RJR0010000400"/>
      <w:bookmarkEnd w:id="6220"/>
      <w:bookmarkEnd w:id="6221"/>
      <w:r>
        <w:rPr>
          <w:rFonts w:ascii="Arial" w:eastAsia="Arial" w:hAnsi="Arial" w:cs="Arial"/>
          <w:i/>
          <w:color w:val="000000"/>
          <w:sz w:val="20"/>
        </w:rPr>
        <w:t>Id</w:t>
      </w:r>
      <w:r>
        <w:rPr>
          <w:rFonts w:ascii="Arial" w:eastAsia="Arial" w:hAnsi="Arial" w:cs="Arial"/>
          <w:color w:val="000000"/>
          <w:sz w:val="20"/>
        </w:rPr>
        <w:t xml:space="preserve">. at 570. Prison officials had previously denied in 2002 his request for a conjugal visit with his first wife, each time citing the same prison regulation. </w:t>
      </w:r>
      <w:bookmarkStart w:id="6222" w:name="Bookmark_I5CFW7PX2N1RJR0040000400_2"/>
      <w:bookmarkEnd w:id="6222"/>
      <w:r>
        <w:rPr>
          <w:rFonts w:ascii="Arial" w:eastAsia="Arial" w:hAnsi="Arial" w:cs="Arial"/>
          <w:i/>
          <w:color w:val="000000"/>
          <w:sz w:val="20"/>
        </w:rPr>
        <w:t>Id</w:t>
      </w:r>
      <w:r>
        <w:rPr>
          <w:rFonts w:ascii="Arial" w:eastAsia="Arial" w:hAnsi="Arial" w:cs="Arial"/>
          <w:color w:val="000000"/>
          <w:sz w:val="20"/>
        </w:rPr>
        <w:t xml:space="preserve">. We concluded that the second denial was "a separate, discrete act, rather than a mere effect of the 2002 denial." </w:t>
      </w:r>
      <w:bookmarkStart w:id="6223" w:name="Bookmark_I5CFW7PX2N1RJR0030000400"/>
      <w:bookmarkEnd w:id="6223"/>
      <w:r>
        <w:rPr>
          <w:rFonts w:ascii="Arial" w:eastAsia="Arial" w:hAnsi="Arial" w:cs="Arial"/>
          <w:i/>
          <w:color w:val="000000"/>
          <w:sz w:val="20"/>
        </w:rPr>
        <w:t>Id</w:t>
      </w:r>
      <w:r>
        <w:rPr>
          <w:rFonts w:ascii="Arial" w:eastAsia="Arial" w:hAnsi="Arial" w:cs="Arial"/>
          <w:color w:val="000000"/>
          <w:sz w:val="20"/>
        </w:rPr>
        <w:t xml:space="preserve">. at 581. It was an "independently wrongful" act because Pouncil's claim did "not rely on any acts that occurred before the statute of limitations period to establish a violation" of his rights. </w:t>
      </w:r>
      <w:r>
        <w:rPr>
          <w:rFonts w:ascii="Arial" w:eastAsia="Arial" w:hAnsi="Arial" w:cs="Arial"/>
          <w:i/>
          <w:color w:val="000000"/>
          <w:sz w:val="20"/>
        </w:rPr>
        <w:t>Id</w:t>
      </w:r>
      <w:r>
        <w:rPr>
          <w:rFonts w:ascii="Arial" w:eastAsia="Arial" w:hAnsi="Arial" w:cs="Arial"/>
          <w:color w:val="000000"/>
          <w:sz w:val="20"/>
        </w:rPr>
        <w:t xml:space="preserve">. Or, as we "put it another way, the 2008 denial relied on a new application of the regulation to a new request for a conjugal visit, it did not rely on the 2002 denial as barring all subsequent requests for conjugal visits." </w:t>
      </w:r>
      <w:r>
        <w:rPr>
          <w:rFonts w:ascii="Arial" w:eastAsia="Arial" w:hAnsi="Arial" w:cs="Arial"/>
          <w:i/>
          <w:color w:val="000000"/>
          <w:sz w:val="20"/>
        </w:rPr>
        <w:t>Id</w:t>
      </w:r>
      <w:r>
        <w:rPr>
          <w:rFonts w:ascii="Arial" w:eastAsia="Arial" w:hAnsi="Arial" w:cs="Arial"/>
          <w:color w:val="000000"/>
          <w:sz w:val="20"/>
        </w:rPr>
        <w:t>.</w:t>
      </w:r>
    </w:p>
    <w:p w14:paraId="1E3D9A9F" w14:textId="77777777" w:rsidR="002D0E71" w:rsidRDefault="00000000">
      <w:pPr>
        <w:pStyle w:val="Normal41"/>
        <w:widowControl w:val="0"/>
        <w:spacing w:before="200" w:line="260" w:lineRule="atLeast"/>
        <w:jc w:val="both"/>
      </w:pPr>
      <w:bookmarkStart w:id="6224" w:name="Bookmark_para_34_19"/>
      <w:bookmarkEnd w:id="6224"/>
      <w:r>
        <w:rPr>
          <w:rFonts w:ascii="Arial" w:eastAsia="Arial" w:hAnsi="Arial" w:cs="Arial"/>
          <w:color w:val="000000"/>
          <w:sz w:val="20"/>
        </w:rPr>
        <w:t xml:space="preserve">We apply these principles to the Rehabilitation  [**19] Act: </w:t>
      </w:r>
      <w:bookmarkStart w:id="6225" w:name="Bookmark_LNHNREFclscc7_32"/>
      <w:bookmarkEnd w:id="6225"/>
      <w:r>
        <w:rPr>
          <w:rFonts w:ascii="Arial" w:eastAsia="Arial" w:hAnsi="Arial" w:cs="Arial"/>
          <w:color w:val="000000"/>
          <w:sz w:val="20"/>
        </w:rPr>
        <w:t>So long as an alleged violation of Section 504 of the Rehabilitation Act is a discrete and independently wrongful discriminatory act, it causes a new claim to accrue and a new limitations period to run. A claim under the Act will not be untimely merely because similar, even identical, violations of the Act occurred outside the statutory period.</w:t>
      </w:r>
    </w:p>
    <w:p w14:paraId="3C6178CA" w14:textId="77777777" w:rsidR="002D0E71" w:rsidRDefault="00000000">
      <w:pPr>
        <w:pStyle w:val="Normal41"/>
        <w:widowControl w:val="0"/>
        <w:spacing w:before="120" w:line="260" w:lineRule="atLeast"/>
      </w:pPr>
      <w:r>
        <w:rPr>
          <w:rFonts w:ascii="Arial" w:eastAsia="Arial" w:hAnsi="Arial" w:cs="Arial"/>
          <w:color w:val="000000"/>
          <w:sz w:val="20"/>
        </w:rPr>
        <w:t>B</w:t>
      </w:r>
    </w:p>
    <w:p w14:paraId="0263AB9D" w14:textId="77777777" w:rsidR="002D0E71" w:rsidRDefault="00000000">
      <w:pPr>
        <w:pStyle w:val="Normal41"/>
        <w:widowControl w:val="0"/>
        <w:spacing w:before="200" w:line="260" w:lineRule="atLeast"/>
        <w:jc w:val="both"/>
      </w:pPr>
      <w:bookmarkStart w:id="6226" w:name="Bookmark_para_35_19"/>
      <w:bookmarkStart w:id="6227" w:name="Bookmark_I5CFW7PX2SF8SV0010000400"/>
      <w:bookmarkEnd w:id="6226"/>
      <w:bookmarkEnd w:id="6227"/>
      <w:r>
        <w:rPr>
          <w:rFonts w:ascii="Arial" w:eastAsia="Arial" w:hAnsi="Arial" w:cs="Arial"/>
          <w:color w:val="000000"/>
          <w:sz w:val="20"/>
        </w:rPr>
        <w:t xml:space="preserve">It is beyond dispute that Mr. Ervine alleges a series of discrete and independently wrongful discriminatory violations of the Rehabilitation Act. His complaint discusses Desert View and Dr. Tannoury's "acts and omission [sic] including failing or refusing to provide [the Ervines] with effective communication through interpreters, even after [they] requested interpreters." He contends "[d]efendants failed to afford qualified interpreters at key points in the treatment process including diagnosis, testing and  [*871]  decisions requiring informed consent." And those "violations caused all [the Ervines'] compensable injury." </w:t>
      </w:r>
      <w:r>
        <w:rPr>
          <w:rFonts w:ascii="Arial" w:eastAsia="Arial" w:hAnsi="Arial" w:cs="Arial"/>
          <w:i/>
          <w:color w:val="000000"/>
          <w:sz w:val="20"/>
        </w:rPr>
        <w:t xml:space="preserve">See </w:t>
      </w:r>
      <w:bookmarkStart w:id="6228" w:name="Bookmark_I5CFW7PX2N1RJR0050000400"/>
      <w:bookmarkEnd w:id="6228"/>
      <w:r>
        <w:rPr>
          <w:rFonts w:ascii="Arial" w:eastAsia="Arial" w:hAnsi="Arial" w:cs="Arial"/>
          <w:i/>
          <w:color w:val="000000"/>
          <w:sz w:val="20"/>
        </w:rPr>
        <w:t>Cherosky</w:t>
      </w:r>
      <w:r>
        <w:rPr>
          <w:rFonts w:ascii="Arial" w:eastAsia="Arial" w:hAnsi="Arial" w:cs="Arial"/>
          <w:color w:val="000000"/>
          <w:sz w:val="20"/>
        </w:rPr>
        <w:t xml:space="preserve">, 330 F.3d at 1246 n.4 ("To illustrate the meaning of the term 'discrete discriminatory act,' the Court identified the following examples: 'termination, failure to promote, denial of transfer, or refusal to hire.'"  [**20] (quoting </w:t>
      </w:r>
      <w:bookmarkStart w:id="6229" w:name="Bookmark_I5CFW7PX2SF8SV0020000400"/>
      <w:bookmarkEnd w:id="6229"/>
      <w:r>
        <w:rPr>
          <w:rFonts w:ascii="Arial" w:eastAsia="Arial" w:hAnsi="Arial" w:cs="Arial"/>
          <w:i/>
          <w:color w:val="000000"/>
          <w:sz w:val="20"/>
        </w:rPr>
        <w:t>Morgan</w:t>
      </w:r>
      <w:r>
        <w:rPr>
          <w:rFonts w:ascii="Arial" w:eastAsia="Arial" w:hAnsi="Arial" w:cs="Arial"/>
          <w:color w:val="000000"/>
          <w:sz w:val="20"/>
        </w:rPr>
        <w:t>, 536 U.S. at 122)).</w:t>
      </w:r>
    </w:p>
    <w:p w14:paraId="44BB4B6D" w14:textId="77777777" w:rsidR="002D0E71" w:rsidRDefault="00000000">
      <w:pPr>
        <w:pStyle w:val="Normal41"/>
        <w:widowControl w:val="0"/>
        <w:spacing w:before="200" w:line="260" w:lineRule="atLeast"/>
        <w:jc w:val="both"/>
      </w:pPr>
      <w:bookmarkStart w:id="6230" w:name="Bookmark_para_36_19"/>
      <w:bookmarkEnd w:id="6230"/>
      <w:r>
        <w:rPr>
          <w:rFonts w:ascii="Arial" w:eastAsia="Arial" w:hAnsi="Arial" w:cs="Arial"/>
          <w:color w:val="000000"/>
          <w:sz w:val="20"/>
        </w:rPr>
        <w:t>The summary judgment evidence supports such characterization of their complaint. Logbooks</w:t>
      </w:r>
      <w:r>
        <w:rPr>
          <w:rFonts w:ascii="Arial" w:eastAsia="Arial" w:hAnsi="Arial" w:cs="Arial"/>
          <w:vertAlign w:val="superscript"/>
        </w:rPr>
        <w:footnoteReference w:customMarkFollows="1" w:id="252"/>
        <w:t>4</w:t>
      </w:r>
      <w:r>
        <w:rPr>
          <w:rFonts w:ascii="Arial" w:eastAsia="Arial" w:hAnsi="Arial" w:cs="Arial"/>
          <w:color w:val="000000"/>
          <w:sz w:val="20"/>
        </w:rPr>
        <w:t xml:space="preserve"> from the Advocacy Resource Center are replete with allegations that the Ervines were denied an interpreter during particular medical appointments. And at least one alleged discriminatory act appears to have taken place in November 2008, within the limitations period. On November 12, the Center called Dr. Tannoury's office to inquire whether Mrs. Ervine would have an interpreter at her November 17 appointment. The office manager's assistant informed the Center that Dr. Tannoury's office, being a private practice, did not provide sign language interpreters.</w:t>
      </w:r>
      <w:r>
        <w:rPr>
          <w:rFonts w:ascii="Arial" w:eastAsia="Arial" w:hAnsi="Arial" w:cs="Arial"/>
          <w:vertAlign w:val="superscript"/>
        </w:rPr>
        <w:footnoteReference w:customMarkFollows="1" w:id="253"/>
        <w:t>5</w:t>
      </w:r>
    </w:p>
    <w:p w14:paraId="60496093" w14:textId="77777777" w:rsidR="002D0E71" w:rsidRDefault="00000000">
      <w:pPr>
        <w:pStyle w:val="Normal41"/>
        <w:widowControl w:val="0"/>
        <w:spacing w:before="200" w:line="260" w:lineRule="atLeast"/>
        <w:jc w:val="both"/>
      </w:pPr>
      <w:bookmarkStart w:id="6233" w:name="Bookmark_para_37_19"/>
      <w:bookmarkStart w:id="6234" w:name="Bookmark_I5CFW7PX2SF8SV0050000400"/>
      <w:bookmarkEnd w:id="6233"/>
      <w:bookmarkEnd w:id="6234"/>
      <w:r>
        <w:rPr>
          <w:rFonts w:ascii="Arial" w:eastAsia="Arial" w:hAnsi="Arial" w:cs="Arial"/>
          <w:color w:val="000000"/>
          <w:sz w:val="20"/>
        </w:rPr>
        <w:t xml:space="preserve">Nothing about the Rehabilitation Act claims suggests  [**21] that failure to provide interpreters was merely a delayed but inevitable consequence of a prior discriminatory decision. Even if the alleged violations were the result of a discriminatory policy, that would not render the Ervines' claims for discrete discriminatory acts untimely. </w:t>
      </w:r>
      <w:r>
        <w:rPr>
          <w:rFonts w:ascii="Arial" w:eastAsia="Arial" w:hAnsi="Arial" w:cs="Arial"/>
          <w:i/>
          <w:color w:val="000000"/>
          <w:sz w:val="20"/>
        </w:rPr>
        <w:t xml:space="preserve">See </w:t>
      </w:r>
      <w:bookmarkStart w:id="6235" w:name="Bookmark_I5CFW7PX2SF8SV0040000400"/>
      <w:bookmarkEnd w:id="6235"/>
      <w:r>
        <w:rPr>
          <w:rFonts w:ascii="Arial" w:eastAsia="Arial" w:hAnsi="Arial" w:cs="Arial"/>
          <w:i/>
          <w:color w:val="000000"/>
          <w:sz w:val="20"/>
        </w:rPr>
        <w:t>Cherosky</w:t>
      </w:r>
      <w:r>
        <w:rPr>
          <w:rFonts w:ascii="Arial" w:eastAsia="Arial" w:hAnsi="Arial" w:cs="Arial"/>
          <w:color w:val="000000"/>
          <w:sz w:val="20"/>
        </w:rPr>
        <w:t xml:space="preserve">, 330 F.3d at 1247 ("Just as the wrong in </w:t>
      </w:r>
      <w:bookmarkStart w:id="6236" w:name="Bookmark_I5CFW7PX2D6NNX0010000400"/>
      <w:bookmarkEnd w:id="6236"/>
      <w:r>
        <w:rPr>
          <w:rFonts w:ascii="Arial" w:eastAsia="Arial" w:hAnsi="Arial" w:cs="Arial"/>
          <w:i/>
          <w:color w:val="000000"/>
          <w:sz w:val="20"/>
        </w:rPr>
        <w:t>Bazemore [v. Friday</w:t>
      </w:r>
      <w:r>
        <w:rPr>
          <w:rFonts w:ascii="Arial" w:eastAsia="Arial" w:hAnsi="Arial" w:cs="Arial"/>
          <w:color w:val="000000"/>
          <w:sz w:val="20"/>
        </w:rPr>
        <w:t xml:space="preserve">, 478 U.S. 385, 106 S. Ct. 3000, 92 L. Ed. 2d 315 (1986),] accrued each time the salary policy was implemented, the alleged wrong here occurred and accrued when the policy was invoked to deny an individual employee's request."); </w:t>
      </w:r>
      <w:r>
        <w:rPr>
          <w:rFonts w:ascii="Arial" w:eastAsia="Arial" w:hAnsi="Arial" w:cs="Arial"/>
          <w:i/>
          <w:color w:val="000000"/>
          <w:sz w:val="20"/>
        </w:rPr>
        <w:t xml:space="preserve">see also </w:t>
      </w:r>
      <w:bookmarkStart w:id="6237" w:name="Bookmark_I5CFW7PX2D6NNX0030000400"/>
      <w:bookmarkEnd w:id="6237"/>
      <w:r>
        <w:rPr>
          <w:rFonts w:ascii="Arial" w:eastAsia="Arial" w:hAnsi="Arial" w:cs="Arial"/>
          <w:i/>
          <w:color w:val="000000"/>
          <w:sz w:val="20"/>
        </w:rPr>
        <w:t>Pouncil</w:t>
      </w:r>
      <w:r>
        <w:rPr>
          <w:rFonts w:ascii="Arial" w:eastAsia="Arial" w:hAnsi="Arial" w:cs="Arial"/>
          <w:color w:val="000000"/>
          <w:sz w:val="20"/>
        </w:rPr>
        <w:t>, 704 F.3d at 581.</w:t>
      </w:r>
    </w:p>
    <w:p w14:paraId="7A0ADF49" w14:textId="77777777" w:rsidR="002D0E71" w:rsidRDefault="00000000">
      <w:pPr>
        <w:pStyle w:val="Normal41"/>
        <w:widowControl w:val="0"/>
        <w:spacing w:before="120" w:line="260" w:lineRule="atLeast"/>
      </w:pPr>
      <w:r>
        <w:rPr>
          <w:rFonts w:ascii="Arial" w:eastAsia="Arial" w:hAnsi="Arial" w:cs="Arial"/>
          <w:color w:val="000000"/>
          <w:sz w:val="20"/>
        </w:rPr>
        <w:t>C</w:t>
      </w:r>
    </w:p>
    <w:p w14:paraId="0E24E557" w14:textId="77777777" w:rsidR="002D0E71" w:rsidRDefault="00000000">
      <w:pPr>
        <w:pStyle w:val="Normal41"/>
        <w:widowControl w:val="0"/>
        <w:spacing w:before="200" w:line="260" w:lineRule="atLeast"/>
        <w:jc w:val="both"/>
      </w:pPr>
      <w:bookmarkStart w:id="6238" w:name="Bookmark_para_38_17"/>
      <w:bookmarkStart w:id="6239" w:name="Bookmark_I5CFW7PX28T4100010000400"/>
      <w:bookmarkEnd w:id="6238"/>
      <w:bookmarkEnd w:id="6239"/>
      <w:r>
        <w:rPr>
          <w:rFonts w:ascii="Arial" w:eastAsia="Arial" w:hAnsi="Arial" w:cs="Arial"/>
          <w:color w:val="000000"/>
          <w:sz w:val="20"/>
        </w:rPr>
        <w:t>Because each and every discrete discriminatory act causes a new claim to accrue under Section 504 of the Rehabilitation Act, any discriminatory acts that Desert View or Dr. Tannoury took after September 1, 2008</w:t>
      </w:r>
      <w:r>
        <w:rPr>
          <w:rFonts w:ascii="Arial" w:eastAsia="Arial" w:hAnsi="Arial" w:cs="Arial"/>
          <w:vertAlign w:val="superscript"/>
        </w:rPr>
        <w:footnoteReference w:customMarkFollows="1" w:id="254"/>
        <w:t>6</w:t>
      </w:r>
      <w:r>
        <w:rPr>
          <w:rFonts w:ascii="Arial" w:eastAsia="Arial" w:hAnsi="Arial" w:cs="Arial"/>
          <w:color w:val="000000"/>
          <w:sz w:val="20"/>
        </w:rPr>
        <w:t xml:space="preserve"> are actionable. "All prior discrete discriminatory acts," however, "are untimely filed and no longer actionable." </w:t>
      </w:r>
      <w:bookmarkStart w:id="6241" w:name="Bookmark_I5CFW7PX2D6NNX0050000400"/>
      <w:bookmarkEnd w:id="6241"/>
      <w:r>
        <w:rPr>
          <w:rFonts w:ascii="Arial" w:eastAsia="Arial" w:hAnsi="Arial" w:cs="Arial"/>
          <w:i/>
          <w:color w:val="000000"/>
          <w:sz w:val="20"/>
        </w:rPr>
        <w:t>Morgan</w:t>
      </w:r>
      <w:r>
        <w:rPr>
          <w:rFonts w:ascii="Arial" w:eastAsia="Arial" w:hAnsi="Arial" w:cs="Arial"/>
          <w:color w:val="000000"/>
          <w:sz w:val="20"/>
        </w:rPr>
        <w:t>, 536 U.S. at 115.</w:t>
      </w:r>
    </w:p>
    <w:p w14:paraId="387EEAC9" w14:textId="77777777" w:rsidR="002D0E71" w:rsidRDefault="00000000">
      <w:pPr>
        <w:pStyle w:val="Normal41"/>
        <w:widowControl w:val="0"/>
        <w:spacing w:before="120" w:line="260" w:lineRule="atLeast"/>
      </w:pPr>
      <w:r>
        <w:rPr>
          <w:rFonts w:ascii="Arial" w:eastAsia="Arial" w:hAnsi="Arial" w:cs="Arial"/>
          <w:color w:val="000000"/>
          <w:sz w:val="20"/>
        </w:rPr>
        <w:t>V</w:t>
      </w:r>
    </w:p>
    <w:p w14:paraId="7801F2FD" w14:textId="77777777" w:rsidR="002D0E71" w:rsidRDefault="00000000">
      <w:pPr>
        <w:pStyle w:val="Normal41"/>
        <w:widowControl w:val="0"/>
        <w:spacing w:before="200" w:line="260" w:lineRule="atLeast"/>
        <w:jc w:val="both"/>
      </w:pPr>
      <w:bookmarkStart w:id="6242" w:name="Bookmark_para_39_17"/>
      <w:bookmarkEnd w:id="6242"/>
      <w:r>
        <w:rPr>
          <w:rFonts w:ascii="Arial" w:eastAsia="Arial" w:hAnsi="Arial" w:cs="Arial"/>
          <w:color w:val="000000"/>
          <w:sz w:val="20"/>
        </w:rPr>
        <w:t>Mr. Ervine lacks standing to bring his claims under Title III of the ADA. We vacate the grant of summary judgment as to those claims, and remand with instructions to dismiss them without prejudice for lack of jurisdiction.</w:t>
      </w:r>
    </w:p>
    <w:p w14:paraId="7DD3C92B" w14:textId="77777777" w:rsidR="002D0E71" w:rsidRDefault="00000000">
      <w:pPr>
        <w:pStyle w:val="Normal41"/>
        <w:widowControl w:val="0"/>
        <w:spacing w:before="200" w:line="260" w:lineRule="atLeast"/>
        <w:jc w:val="both"/>
      </w:pPr>
      <w:bookmarkStart w:id="6243" w:name="Bookmark_para_40_17"/>
      <w:bookmarkEnd w:id="6243"/>
      <w:r>
        <w:rPr>
          <w:rFonts w:ascii="Arial" w:eastAsia="Arial" w:hAnsi="Arial" w:cs="Arial"/>
          <w:color w:val="000000"/>
          <w:sz w:val="20"/>
        </w:rPr>
        <w:t>The district court erred in  [**22] finding the claims under Section 504 of the Rehabilitation Act untimely. Because we are returning the Rehabilitation Act claims to the district court for proceedings not inconsistent with our opinion, we also return the state law claims, which no party has discussed.</w:t>
      </w:r>
    </w:p>
    <w:p w14:paraId="40D9812A" w14:textId="77777777" w:rsidR="002D0E71" w:rsidRDefault="00000000">
      <w:pPr>
        <w:pStyle w:val="Normal41"/>
        <w:widowControl w:val="0"/>
        <w:spacing w:before="200" w:line="260" w:lineRule="atLeast"/>
        <w:jc w:val="both"/>
      </w:pPr>
      <w:bookmarkStart w:id="6244" w:name="Bookmark_para_41_16"/>
      <w:bookmarkEnd w:id="6244"/>
      <w:r>
        <w:rPr>
          <w:rFonts w:ascii="Arial" w:eastAsia="Arial" w:hAnsi="Arial" w:cs="Arial"/>
          <w:b/>
          <w:color w:val="000000"/>
          <w:sz w:val="20"/>
        </w:rPr>
        <w:t>VACATED in part, REVERSED in part, and REMANDED</w:t>
      </w:r>
      <w:r>
        <w:rPr>
          <w:rFonts w:ascii="Arial" w:eastAsia="Arial" w:hAnsi="Arial" w:cs="Arial"/>
          <w:color w:val="000000"/>
          <w:sz w:val="20"/>
        </w:rPr>
        <w:t>. Each party shall bear its own costs on appeal.</w:t>
      </w:r>
    </w:p>
    <w:p w14:paraId="733CFC8D" w14:textId="77777777" w:rsidR="002D0E71" w:rsidRDefault="002D0E71">
      <w:pPr>
        <w:pStyle w:val="Normal41"/>
      </w:pPr>
    </w:p>
    <w:p w14:paraId="05B19454" w14:textId="374B4309" w:rsidR="002D0E71" w:rsidRDefault="00000000">
      <w:pPr>
        <w:pStyle w:val="Normal41"/>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48352" behindDoc="0" locked="0" layoutInCell="1" allowOverlap="1" wp14:anchorId="674BDE05" wp14:editId="200D3F8A">
                <wp:simplePos x="0" y="0"/>
                <wp:positionH relativeFrom="column">
                  <wp:posOffset>0</wp:posOffset>
                </wp:positionH>
                <wp:positionV relativeFrom="paragraph">
                  <wp:posOffset>127000</wp:posOffset>
                </wp:positionV>
                <wp:extent cx="6502400" cy="0"/>
                <wp:effectExtent l="9525" t="12700" r="12700" b="6350"/>
                <wp:wrapNone/>
                <wp:docPr id="155319206"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BA705" id="Line 94"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8940B99" w14:textId="77777777" w:rsidR="002D0E71" w:rsidRDefault="002D0E71">
      <w:pPr>
        <w:pStyle w:val="Normal42"/>
        <w:sectPr w:rsidR="002D0E71">
          <w:headerReference w:type="even" r:id="rId263"/>
          <w:headerReference w:type="default" r:id="rId264"/>
          <w:footerReference w:type="even" r:id="rId265"/>
          <w:footerReference w:type="default" r:id="rId266"/>
          <w:headerReference w:type="first" r:id="rId267"/>
          <w:footerReference w:type="first" r:id="rId268"/>
          <w:pgSz w:w="12240" w:h="15840"/>
          <w:pgMar w:top="840" w:right="1000" w:bottom="840" w:left="1000" w:header="400" w:footer="400" w:gutter="0"/>
          <w:cols w:space="720"/>
          <w:titlePg/>
        </w:sectPr>
      </w:pPr>
    </w:p>
    <w:p w14:paraId="328D9F16" w14:textId="77777777" w:rsidR="002D0E71" w:rsidRDefault="002D0E71">
      <w:pPr>
        <w:pStyle w:val="Normal42"/>
      </w:pPr>
    </w:p>
    <w:p w14:paraId="7E1CD2CD" w14:textId="77777777" w:rsidR="002D0E71" w:rsidRDefault="00000000">
      <w:pPr>
        <w:pStyle w:val="Heading141"/>
        <w:keepNext w:val="0"/>
        <w:widowControl w:val="0"/>
        <w:spacing w:after="200" w:line="340" w:lineRule="atLeast"/>
        <w:jc w:val="center"/>
      </w:pPr>
      <w:r>
        <w:rPr>
          <w:rFonts w:eastAsia="Arial"/>
          <w:color w:val="000000"/>
          <w:sz w:val="28"/>
        </w:rPr>
        <w:t>Disabled in Action v. Bd. of Elections</w:t>
      </w:r>
    </w:p>
    <w:p w14:paraId="32CFEB13" w14:textId="77777777" w:rsidR="002D0E71" w:rsidRDefault="00000000">
      <w:pPr>
        <w:pStyle w:val="Normal42"/>
        <w:widowControl w:val="0"/>
        <w:spacing w:before="120" w:line="260" w:lineRule="atLeast"/>
        <w:jc w:val="center"/>
      </w:pPr>
      <w:r>
        <w:rPr>
          <w:rFonts w:ascii="Arial" w:eastAsia="Arial" w:hAnsi="Arial" w:cs="Arial"/>
          <w:color w:val="000000"/>
          <w:sz w:val="20"/>
        </w:rPr>
        <w:t>United States Court of Appeals for the Second Circuit</w:t>
      </w:r>
    </w:p>
    <w:p w14:paraId="6D7A0141" w14:textId="77777777" w:rsidR="002D0E71" w:rsidRDefault="00000000">
      <w:pPr>
        <w:pStyle w:val="Normal42"/>
        <w:widowControl w:val="0"/>
        <w:spacing w:before="120" w:line="260" w:lineRule="atLeast"/>
        <w:jc w:val="center"/>
      </w:pPr>
      <w:r>
        <w:rPr>
          <w:rFonts w:ascii="Arial" w:eastAsia="Arial" w:hAnsi="Arial" w:cs="Arial"/>
          <w:color w:val="000000"/>
          <w:sz w:val="20"/>
        </w:rPr>
        <w:t>December 12, 2013, Argued; May 14, 2014, Decided</w:t>
      </w:r>
    </w:p>
    <w:p w14:paraId="7C8F1425" w14:textId="77777777" w:rsidR="002D0E71" w:rsidRDefault="00000000">
      <w:pPr>
        <w:pStyle w:val="Normal42"/>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Docket No. 12-4412-cv</w:t>
      </w:r>
    </w:p>
    <w:p w14:paraId="1804C143" w14:textId="77777777" w:rsidR="002D0E71" w:rsidRDefault="002D0E71">
      <w:pPr>
        <w:pStyle w:val="Normal42"/>
        <w:widowControl w:val="0"/>
        <w:spacing w:line="240" w:lineRule="atLeast"/>
        <w:jc w:val="both"/>
      </w:pPr>
      <w:bookmarkStart w:id="6245" w:name="Bookmark_43"/>
      <w:bookmarkEnd w:id="6245"/>
    </w:p>
    <w:p w14:paraId="0976D786" w14:textId="77777777" w:rsidR="002D0E71" w:rsidRDefault="00000000">
      <w:pPr>
        <w:pStyle w:val="Normal42"/>
        <w:widowControl w:val="0"/>
        <w:spacing w:before="200" w:line="240" w:lineRule="atLeast"/>
      </w:pPr>
      <w:bookmarkStart w:id="6246" w:name="Reporter_41"/>
      <w:bookmarkEnd w:id="6246"/>
      <w:r>
        <w:rPr>
          <w:rFonts w:ascii="Arial" w:eastAsia="Arial" w:hAnsi="Arial" w:cs="Arial"/>
          <w:b/>
          <w:color w:val="000000"/>
          <w:sz w:val="18"/>
        </w:rPr>
        <w:t>Reporter</w:t>
      </w:r>
    </w:p>
    <w:p w14:paraId="2F36DB4A" w14:textId="77777777" w:rsidR="002D0E71" w:rsidRDefault="00000000">
      <w:pPr>
        <w:pStyle w:val="Normal42"/>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752 F.3d 189 *; 2014 U.S. App. LEXIS 8959 **; 2014 WL 1910361</w:t>
      </w:r>
    </w:p>
    <w:p w14:paraId="668774C8" w14:textId="77777777" w:rsidR="002D0E71" w:rsidRDefault="00000000">
      <w:pPr>
        <w:pStyle w:val="Normal42"/>
        <w:widowControl w:val="0"/>
        <w:spacing w:before="120" w:line="260" w:lineRule="atLeast"/>
      </w:pPr>
      <w:r>
        <w:rPr>
          <w:rFonts w:ascii="Arial" w:eastAsia="Arial" w:hAnsi="Arial" w:cs="Arial"/>
          <w:color w:val="000000"/>
          <w:sz w:val="20"/>
        </w:rPr>
        <w:t>DISABLED IN ACTION, a nonprofit organization, UNITED SPINAL ASSOCIATION, a nonprofit organization, Plaintiffs-Appellees, v. BOARD OF ELECTIONS IN THE CITY OF NEW YORK, FREDERIC M. UMANE, in his official capacity as President of the Board of Elections in the City of New York, Defendants-Appellants.</w:t>
      </w:r>
    </w:p>
    <w:p w14:paraId="759800C2" w14:textId="77777777" w:rsidR="002D0E71" w:rsidRDefault="00000000">
      <w:pPr>
        <w:pStyle w:val="Normal42"/>
        <w:widowControl w:val="0"/>
        <w:spacing w:before="240" w:line="260" w:lineRule="atLeast"/>
        <w:jc w:val="both"/>
      </w:pPr>
      <w:bookmarkStart w:id="6247" w:name="Prior_History_40"/>
      <w:bookmarkEnd w:id="6247"/>
      <w:r>
        <w:rPr>
          <w:rFonts w:ascii="Arial" w:eastAsia="Arial" w:hAnsi="Arial" w:cs="Arial"/>
          <w:b/>
          <w:color w:val="000000"/>
          <w:sz w:val="20"/>
        </w:rPr>
        <w:t>Prior History:</w:t>
      </w:r>
      <w:r>
        <w:rPr>
          <w:rFonts w:ascii="Arial" w:eastAsia="Arial" w:hAnsi="Arial" w:cs="Arial"/>
          <w:color w:val="000000"/>
          <w:sz w:val="20"/>
        </w:rPr>
        <w:t>  [**1] </w:t>
      </w:r>
      <w:bookmarkStart w:id="6248" w:name="Bookmark_para_1_41"/>
      <w:bookmarkEnd w:id="6248"/>
      <w:r>
        <w:rPr>
          <w:rFonts w:ascii="Arial" w:eastAsia="Arial" w:hAnsi="Arial" w:cs="Arial"/>
          <w:color w:val="000000"/>
          <w:sz w:val="20"/>
        </w:rPr>
        <w:t>Appeal from a final order of the United States District Court for the Southern District of New York (Batts, J.), requiring defendants-appellants to comply with a comprehensive remedial plan to address barriers to access for people with disabilities at New York City polling sites. The order was entered after the district court granted summary judgment to plaintiffs-appellees, finding that defendants-appellants had violated Section 504 of the Rehabilitation Act of 1973 and Title II of the Americans with Disabilities Act of 1990.</w:t>
      </w:r>
    </w:p>
    <w:p w14:paraId="63620617" w14:textId="77777777" w:rsidR="002D0E71" w:rsidRDefault="00000000">
      <w:pPr>
        <w:pStyle w:val="Normal42"/>
        <w:widowControl w:val="0"/>
        <w:spacing w:before="120" w:line="260" w:lineRule="atLeast"/>
      </w:pPr>
      <w:r>
        <w:rPr>
          <w:rFonts w:ascii="Arial" w:eastAsia="Arial" w:hAnsi="Arial" w:cs="Arial"/>
          <w:color w:val="000000"/>
          <w:sz w:val="20"/>
        </w:rPr>
        <w:t>United Spinal Ass'n v. Bd. of Elections, 882 F. Supp. 2d 615, 2012 U.S. Dist. LEXIS 112474 (S.D.N.Y., Aug. 8, 2012)</w:t>
      </w:r>
    </w:p>
    <w:p w14:paraId="429084AF" w14:textId="77777777" w:rsidR="002D0E71" w:rsidRDefault="00000000">
      <w:pPr>
        <w:pStyle w:val="Normal42"/>
        <w:widowControl w:val="0"/>
        <w:spacing w:before="240" w:line="260" w:lineRule="atLeast"/>
        <w:jc w:val="both"/>
      </w:pPr>
      <w:bookmarkStart w:id="6249" w:name="Disposition_19"/>
      <w:bookmarkEnd w:id="6249"/>
      <w:r>
        <w:rPr>
          <w:rFonts w:ascii="Arial" w:eastAsia="Arial" w:hAnsi="Arial" w:cs="Arial"/>
          <w:b/>
          <w:color w:val="000000"/>
          <w:sz w:val="20"/>
        </w:rPr>
        <w:t>Disposition:</w:t>
      </w:r>
      <w:r>
        <w:rPr>
          <w:rFonts w:ascii="Arial" w:eastAsia="Arial" w:hAnsi="Arial" w:cs="Arial"/>
          <w:color w:val="000000"/>
          <w:sz w:val="20"/>
        </w:rPr>
        <w:t> </w:t>
      </w:r>
      <w:bookmarkStart w:id="6250" w:name="Bookmark_clspara_4_18"/>
      <w:bookmarkEnd w:id="6250"/>
      <w:r>
        <w:rPr>
          <w:rFonts w:ascii="Arial" w:eastAsia="Arial" w:hAnsi="Arial" w:cs="Arial"/>
          <w:color w:val="000000"/>
          <w:sz w:val="20"/>
        </w:rPr>
        <w:t>AFFIRMED.</w:t>
      </w:r>
    </w:p>
    <w:p w14:paraId="3D3F0FBB" w14:textId="77777777" w:rsidR="002D0E71" w:rsidRDefault="00000000">
      <w:pPr>
        <w:pStyle w:val="Normal42"/>
        <w:widowControl w:val="0"/>
        <w:spacing w:before="240" w:line="260" w:lineRule="atLeast"/>
      </w:pPr>
      <w:bookmarkStart w:id="6251" w:name="Counsel_41"/>
      <w:bookmarkEnd w:id="6251"/>
      <w:r>
        <w:rPr>
          <w:rFonts w:ascii="Arial" w:eastAsia="Arial" w:hAnsi="Arial" w:cs="Arial"/>
          <w:b/>
          <w:color w:val="000000"/>
          <w:sz w:val="20"/>
        </w:rPr>
        <w:t>Counsel:</w:t>
      </w:r>
      <w:r>
        <w:rPr>
          <w:rFonts w:ascii="Arial" w:eastAsia="Arial" w:hAnsi="Arial" w:cs="Arial"/>
          <w:color w:val="000000"/>
          <w:sz w:val="20"/>
        </w:rPr>
        <w:t> STUART SEABORN, Disability Rights Advocates, Berkeley, CA (Sid Wolinsky and Christine Chuang, Disability Rights Advocates, Berkeley, CA, Julia Miriam Pinover, Disability Rights Advocates, New York, NY, Kevin Mintzer, The Law Office of Kevin Mintzer, P.C., New York, NY, and Mariann Meier Wang, Cuti Hecker Wang LLP, New York, NY, on the brief), for Plaintiffs-Appellees.</w:t>
      </w:r>
    </w:p>
    <w:p w14:paraId="374B50D3" w14:textId="77777777" w:rsidR="002D0E71" w:rsidRDefault="00000000">
      <w:pPr>
        <w:pStyle w:val="Normal42"/>
        <w:widowControl w:val="0"/>
        <w:spacing w:before="120" w:line="260" w:lineRule="atLeast"/>
      </w:pPr>
      <w:r>
        <w:rPr>
          <w:rFonts w:ascii="Arial" w:eastAsia="Arial" w:hAnsi="Arial" w:cs="Arial"/>
          <w:color w:val="000000"/>
          <w:sz w:val="20"/>
        </w:rPr>
        <w:t>DRAKE A. COLLEY (Edward F.X. Hart, on the brief), for Michael A. Cardozo, Corporation Counsel of the City of New York, New York, NY, for Defendants-Appellants.</w:t>
      </w:r>
    </w:p>
    <w:p w14:paraId="5F688AF6" w14:textId="77777777" w:rsidR="002D0E71" w:rsidRDefault="00000000">
      <w:pPr>
        <w:pStyle w:val="Normal42"/>
        <w:widowControl w:val="0"/>
        <w:spacing w:before="120" w:line="260" w:lineRule="atLeast"/>
      </w:pPr>
      <w:r>
        <w:rPr>
          <w:rFonts w:ascii="Arial" w:eastAsia="Arial" w:hAnsi="Arial" w:cs="Arial"/>
          <w:color w:val="000000"/>
          <w:sz w:val="20"/>
        </w:rPr>
        <w:t>ALICIA M. SIMMONS, Assistant U.S. Attorney (Benjamin H. Torrance, Assistant U.S. Attorney, on the brief), for Preet Bharara, United  [**2] States Attorney of the Southern District of New York, New York, NY, and Jocelyn Samuels, Acting Assistant Attorney General (Dennis J. Dimsey and Sasha Samberg-Champion, Attorneys), Civil Rights Division, U.S. Department of Justice, for Amicus Curiae United States of America.</w:t>
      </w:r>
    </w:p>
    <w:p w14:paraId="48A7F72D" w14:textId="77777777" w:rsidR="002D0E71" w:rsidRDefault="00000000">
      <w:pPr>
        <w:pStyle w:val="Normal42"/>
        <w:widowControl w:val="0"/>
        <w:spacing w:before="240" w:line="260" w:lineRule="atLeast"/>
      </w:pPr>
      <w:bookmarkStart w:id="6252" w:name="Judges_41"/>
      <w:bookmarkEnd w:id="6252"/>
      <w:r>
        <w:rPr>
          <w:rFonts w:ascii="Arial" w:eastAsia="Arial" w:hAnsi="Arial" w:cs="Arial"/>
          <w:b/>
          <w:color w:val="000000"/>
          <w:sz w:val="20"/>
        </w:rPr>
        <w:t>Judges:</w:t>
      </w:r>
      <w:r>
        <w:rPr>
          <w:rFonts w:ascii="Arial" w:eastAsia="Arial" w:hAnsi="Arial" w:cs="Arial"/>
          <w:color w:val="000000"/>
          <w:sz w:val="20"/>
        </w:rPr>
        <w:t> Before: CABRANES, HALL, and CHIN, Circuit Judges.</w:t>
      </w:r>
    </w:p>
    <w:p w14:paraId="6EC26431" w14:textId="77777777" w:rsidR="002D0E71" w:rsidRDefault="00000000">
      <w:pPr>
        <w:pStyle w:val="Normal42"/>
        <w:widowControl w:val="0"/>
        <w:spacing w:before="240" w:line="260" w:lineRule="atLeast"/>
      </w:pPr>
      <w:bookmarkStart w:id="6253" w:name="Opinion_by_30"/>
      <w:bookmarkEnd w:id="6253"/>
      <w:r>
        <w:rPr>
          <w:rFonts w:ascii="Arial" w:eastAsia="Arial" w:hAnsi="Arial" w:cs="Arial"/>
          <w:b/>
          <w:color w:val="000000"/>
          <w:sz w:val="20"/>
        </w:rPr>
        <w:t>Opinion by:</w:t>
      </w:r>
      <w:r>
        <w:rPr>
          <w:rFonts w:ascii="Arial" w:eastAsia="Arial" w:hAnsi="Arial" w:cs="Arial"/>
          <w:color w:val="000000"/>
          <w:sz w:val="20"/>
        </w:rPr>
        <w:t> CHIN</w:t>
      </w:r>
    </w:p>
    <w:p w14:paraId="328AACC1" w14:textId="77777777" w:rsidR="002D0E71" w:rsidRDefault="00000000">
      <w:pPr>
        <w:pStyle w:val="Normal42"/>
        <w:keepNext/>
        <w:widowControl w:val="0"/>
        <w:spacing w:before="240" w:line="340" w:lineRule="atLeast"/>
      </w:pPr>
      <w:bookmarkStart w:id="6254" w:name="Opinion_41"/>
      <w:bookmarkEnd w:id="6254"/>
      <w:r>
        <w:rPr>
          <w:rFonts w:ascii="Arial" w:eastAsia="Arial" w:hAnsi="Arial" w:cs="Arial"/>
          <w:b/>
          <w:color w:val="000000"/>
          <w:sz w:val="28"/>
        </w:rPr>
        <w:t>Opinion</w:t>
      </w:r>
    </w:p>
    <w:p w14:paraId="0D1232D2" w14:textId="2380BE16" w:rsidR="002D0E71" w:rsidRDefault="002939DF">
      <w:pPr>
        <w:pStyle w:val="Normal42"/>
        <w:spacing w:line="60" w:lineRule="exact"/>
      </w:pPr>
      <w:r>
        <w:rPr>
          <w:noProof/>
        </w:rPr>
        <mc:AlternateContent>
          <mc:Choice Requires="wps">
            <w:drawing>
              <wp:anchor distT="0" distB="0" distL="114300" distR="114300" simplePos="0" relativeHeight="251749376" behindDoc="0" locked="0" layoutInCell="1" allowOverlap="1" wp14:anchorId="64915635" wp14:editId="152E124D">
                <wp:simplePos x="0" y="0"/>
                <wp:positionH relativeFrom="column">
                  <wp:posOffset>0</wp:posOffset>
                </wp:positionH>
                <wp:positionV relativeFrom="paragraph">
                  <wp:posOffset>25400</wp:posOffset>
                </wp:positionV>
                <wp:extent cx="3187700" cy="0"/>
                <wp:effectExtent l="19050" t="15875" r="12700" b="12700"/>
                <wp:wrapTopAndBottom/>
                <wp:docPr id="721205523"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D52560" id="Line 95"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E345971" w14:textId="77777777" w:rsidR="002D0E71" w:rsidRDefault="002D0E71">
      <w:pPr>
        <w:pStyle w:val="Normal42"/>
      </w:pPr>
    </w:p>
    <w:p w14:paraId="0957EB8B" w14:textId="77777777" w:rsidR="002D0E71" w:rsidRDefault="00000000">
      <w:pPr>
        <w:pStyle w:val="Normal42"/>
        <w:widowControl w:val="0"/>
        <w:spacing w:before="200" w:line="260" w:lineRule="atLeast"/>
        <w:jc w:val="both"/>
      </w:pPr>
      <w:bookmarkStart w:id="6255" w:name="Bookmark_para_2_41"/>
      <w:bookmarkEnd w:id="6255"/>
      <w:r>
        <w:rPr>
          <w:rFonts w:ascii="Arial" w:eastAsia="Arial" w:hAnsi="Arial" w:cs="Arial"/>
          <w:color w:val="000000"/>
          <w:sz w:val="20"/>
        </w:rPr>
        <w:t xml:space="preserve"> [*191]  </w:t>
      </w:r>
      <w:r>
        <w:rPr>
          <w:rFonts w:ascii="Arial" w:eastAsia="Arial" w:hAnsi="Arial" w:cs="Arial"/>
          <w:smallCaps/>
          <w:color w:val="000000"/>
          <w:sz w:val="20"/>
        </w:rPr>
        <w:t>Chin</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w:t>
      </w:r>
    </w:p>
    <w:p w14:paraId="0CF3DC69" w14:textId="77777777" w:rsidR="002D0E71" w:rsidRDefault="00000000">
      <w:pPr>
        <w:pStyle w:val="Normal42"/>
        <w:widowControl w:val="0"/>
        <w:spacing w:before="200" w:line="260" w:lineRule="atLeast"/>
        <w:jc w:val="both"/>
      </w:pPr>
      <w:bookmarkStart w:id="6256" w:name="Bookmark_para_3_41"/>
      <w:bookmarkEnd w:id="6256"/>
      <w:r>
        <w:rPr>
          <w:rFonts w:ascii="Arial" w:eastAsia="Arial" w:hAnsi="Arial" w:cs="Arial"/>
          <w:color w:val="000000"/>
          <w:sz w:val="20"/>
        </w:rPr>
        <w:t>The Board of Elections in the City of New York (the "BOE") is responsible for identifying and designating poll sites that are accessible to voters with disabilities in New York City. In this case, plaintiffs-appellees, non-profit organizations representing people with mobility or vision disabilities (collectively "plaintiffs"), allege that BOE is failing to provide them with meaningful access to its voting program, in violation of Section 504 of the Rehabilitation Act of 1973 (the "Rehabilitation Act"), 29 U.S.C. § 794(a), and Title II of the Americans with Disabilities Act of 1990 (the "ADA"), 42 U.S.C. § 12132.</w:t>
      </w:r>
    </w:p>
    <w:p w14:paraId="025B625E" w14:textId="77777777" w:rsidR="002D0E71" w:rsidRDefault="00000000">
      <w:pPr>
        <w:pStyle w:val="Normal42"/>
        <w:widowControl w:val="0"/>
        <w:spacing w:before="200" w:line="260" w:lineRule="atLeast"/>
        <w:jc w:val="both"/>
      </w:pPr>
      <w:bookmarkStart w:id="6257" w:name="Bookmark_para_4_41"/>
      <w:bookmarkEnd w:id="6257"/>
      <w:r>
        <w:rPr>
          <w:rFonts w:ascii="Arial" w:eastAsia="Arial" w:hAnsi="Arial" w:cs="Arial"/>
          <w:color w:val="000000"/>
          <w:sz w:val="20"/>
        </w:rPr>
        <w:t xml:space="preserve">The district court (Batts, </w:t>
      </w:r>
      <w:r>
        <w:rPr>
          <w:rFonts w:ascii="Arial" w:eastAsia="Arial" w:hAnsi="Arial" w:cs="Arial"/>
          <w:i/>
          <w:color w:val="000000"/>
          <w:sz w:val="20"/>
        </w:rPr>
        <w:t>J</w:t>
      </w:r>
      <w:r>
        <w:rPr>
          <w:rFonts w:ascii="Arial" w:eastAsia="Arial" w:hAnsi="Arial" w:cs="Arial"/>
          <w:color w:val="000000"/>
          <w:sz w:val="20"/>
        </w:rPr>
        <w:t>.) concluded that pervasive and recurring barriers to access exist at poll sites operated by BOE and granted plaintiffs' motion for summary judgment. After giving the parties the opportunity to develop and  [**3] propose a joint plan for relief, the district court ordered a remedial plan to address BOE's violations of federal law. We conclude that the district court properly granted plaintiffs' motion for summary judgment. Moreover, we find that the district court did not abuse its discretion in ordering the remedial plan. Accordingly, we affirm.</w:t>
      </w:r>
    </w:p>
    <w:p w14:paraId="06D968CC" w14:textId="77777777" w:rsidR="002D0E71" w:rsidRDefault="00000000">
      <w:pPr>
        <w:pStyle w:val="Normal42"/>
        <w:widowControl w:val="0"/>
        <w:spacing w:before="240" w:line="260" w:lineRule="atLeast"/>
      </w:pPr>
      <w:r>
        <w:br/>
      </w:r>
      <w:r>
        <w:rPr>
          <w:rFonts w:ascii="Arial" w:eastAsia="Arial" w:hAnsi="Arial" w:cs="Arial"/>
          <w:b/>
          <w:i/>
          <w:color w:val="000000"/>
          <w:sz w:val="20"/>
        </w:rPr>
        <w:t>STATEMENT OF THE CASE</w:t>
      </w:r>
    </w:p>
    <w:p w14:paraId="5D9619E0" w14:textId="77777777" w:rsidR="002D0E71" w:rsidRDefault="00000000">
      <w:pPr>
        <w:pStyle w:val="Normal42"/>
        <w:widowControl w:val="0"/>
        <w:spacing w:before="240" w:line="260" w:lineRule="atLeast"/>
      </w:pPr>
      <w:r>
        <w:br/>
      </w:r>
      <w:r>
        <w:rPr>
          <w:rFonts w:ascii="Arial" w:eastAsia="Arial" w:hAnsi="Arial" w:cs="Arial"/>
          <w:b/>
          <w:color w:val="000000"/>
          <w:sz w:val="20"/>
        </w:rPr>
        <w:t xml:space="preserve">A. </w:t>
      </w:r>
      <w:r>
        <w:rPr>
          <w:rFonts w:ascii="Arial" w:eastAsia="Arial" w:hAnsi="Arial" w:cs="Arial"/>
          <w:b/>
          <w:i/>
          <w:color w:val="000000"/>
          <w:sz w:val="20"/>
        </w:rPr>
        <w:t>The Facts</w:t>
      </w:r>
    </w:p>
    <w:p w14:paraId="626B86F2" w14:textId="77777777" w:rsidR="002D0E71" w:rsidRDefault="00000000">
      <w:pPr>
        <w:pStyle w:val="Normal42"/>
        <w:widowControl w:val="0"/>
        <w:spacing w:before="200" w:line="260" w:lineRule="atLeast"/>
        <w:jc w:val="both"/>
      </w:pPr>
      <w:bookmarkStart w:id="6258" w:name="Bookmark_para_5_41"/>
      <w:bookmarkStart w:id="6259" w:name="Bookmark_I5CBNK7K2N1R3N0020000400"/>
      <w:bookmarkEnd w:id="6258"/>
      <w:bookmarkEnd w:id="6259"/>
      <w:r>
        <w:rPr>
          <w:rFonts w:ascii="Arial" w:eastAsia="Arial" w:hAnsi="Arial" w:cs="Arial"/>
          <w:color w:val="000000"/>
          <w:sz w:val="20"/>
        </w:rPr>
        <w:t xml:space="preserve">As the district court noted, the facts set forth below are not in substantial dispute. </w:t>
      </w:r>
      <w:r>
        <w:rPr>
          <w:rFonts w:ascii="Arial" w:eastAsia="Arial" w:hAnsi="Arial" w:cs="Arial"/>
          <w:i/>
          <w:color w:val="000000"/>
          <w:sz w:val="20"/>
        </w:rPr>
        <w:t xml:space="preserve">See </w:t>
      </w:r>
      <w:bookmarkStart w:id="6260" w:name="Bookmark_I5CBNK7K2N1R3N0010000400"/>
      <w:bookmarkEnd w:id="6260"/>
      <w:r>
        <w:rPr>
          <w:rFonts w:ascii="Arial" w:eastAsia="Arial" w:hAnsi="Arial" w:cs="Arial"/>
          <w:i/>
          <w:color w:val="000000"/>
          <w:sz w:val="20"/>
        </w:rPr>
        <w:t>United Spinal Ass'n v. Bd. of Elections in the City of New York</w:t>
      </w:r>
      <w:r>
        <w:rPr>
          <w:rFonts w:ascii="Arial" w:eastAsia="Arial" w:hAnsi="Arial" w:cs="Arial"/>
          <w:color w:val="000000"/>
          <w:sz w:val="20"/>
        </w:rPr>
        <w:t>, 882 F. Supp. 2d 615, 617 (S.D.N.Y. 2012).</w:t>
      </w:r>
      <w:r>
        <w:rPr>
          <w:rFonts w:ascii="Arial" w:eastAsia="Arial" w:hAnsi="Arial" w:cs="Arial"/>
          <w:vertAlign w:val="superscript"/>
        </w:rPr>
        <w:footnoteReference w:customMarkFollows="1" w:id="255"/>
        <w:t>1</w:t>
      </w:r>
    </w:p>
    <w:p w14:paraId="5224E800" w14:textId="77777777" w:rsidR="002D0E71" w:rsidRDefault="00000000">
      <w:pPr>
        <w:pStyle w:val="Normal42"/>
        <w:widowControl w:val="0"/>
        <w:spacing w:before="240" w:line="260" w:lineRule="atLeast"/>
      </w:pPr>
      <w:r>
        <w:br/>
      </w:r>
      <w:r>
        <w:rPr>
          <w:rFonts w:ascii="Arial" w:eastAsia="Arial" w:hAnsi="Arial" w:cs="Arial"/>
          <w:color w:val="000000"/>
          <w:sz w:val="20"/>
        </w:rPr>
        <w:t xml:space="preserve"> [*192]  </w:t>
      </w:r>
      <w:r>
        <w:rPr>
          <w:rFonts w:ascii="Arial" w:eastAsia="Arial" w:hAnsi="Arial" w:cs="Arial"/>
          <w:b/>
          <w:color w:val="000000"/>
          <w:sz w:val="20"/>
        </w:rPr>
        <w:t xml:space="preserve">1. </w:t>
      </w:r>
      <w:r>
        <w:rPr>
          <w:rFonts w:ascii="Arial" w:eastAsia="Arial" w:hAnsi="Arial" w:cs="Arial"/>
          <w:b/>
          <w:i/>
          <w:color w:val="000000"/>
          <w:sz w:val="20"/>
        </w:rPr>
        <w:t>New York Voting Laws</w:t>
      </w:r>
    </w:p>
    <w:p w14:paraId="6CE52C07" w14:textId="77777777" w:rsidR="002D0E71" w:rsidRDefault="00000000">
      <w:pPr>
        <w:pStyle w:val="Normal42"/>
        <w:widowControl w:val="0"/>
        <w:spacing w:before="200" w:line="260" w:lineRule="atLeast"/>
        <w:jc w:val="both"/>
      </w:pPr>
      <w:bookmarkStart w:id="6262" w:name="Bookmark_para_6_41"/>
      <w:bookmarkStart w:id="6263" w:name="Bookmark_LNHNREFclscc1_36"/>
      <w:bookmarkEnd w:id="6262"/>
      <w:bookmarkEnd w:id="6263"/>
      <w:r>
        <w:rPr>
          <w:rFonts w:ascii="Arial" w:eastAsia="Arial" w:hAnsi="Arial" w:cs="Arial"/>
          <w:color w:val="000000"/>
          <w:sz w:val="20"/>
        </w:rPr>
        <w:t xml:space="preserve">BOE is responsible for identifying and designating polling places that are accessible to voters with disabilities, and ensuring compliance with accessibility standards. N.Y. Elec. Law § 4-104(1). Under New York law, an individual with a disability may vote (1) in person on election day at her assigned polling place; (2) in person on election day at an alternative, accessible polling place, provided that the  [**4] candidates and ballot proposals on the ballot at the alternative location are the same as those on the ballot at the assigned polling place; or (3) by absentee ballot if she is unable to appear at the assigned polling place. </w:t>
      </w:r>
      <w:r>
        <w:rPr>
          <w:rFonts w:ascii="Arial" w:eastAsia="Arial" w:hAnsi="Arial" w:cs="Arial"/>
          <w:i/>
          <w:color w:val="000000"/>
          <w:sz w:val="20"/>
        </w:rPr>
        <w:t>Id</w:t>
      </w:r>
      <w:r>
        <w:rPr>
          <w:rFonts w:ascii="Arial" w:eastAsia="Arial" w:hAnsi="Arial" w:cs="Arial"/>
          <w:color w:val="000000"/>
          <w:sz w:val="20"/>
        </w:rPr>
        <w:t>. §§ 5-601, 8-400(1)(b).</w:t>
      </w:r>
    </w:p>
    <w:p w14:paraId="2ED6F531" w14:textId="77777777" w:rsidR="002D0E71" w:rsidRDefault="00000000">
      <w:pPr>
        <w:pStyle w:val="Normal42"/>
        <w:widowControl w:val="0"/>
        <w:spacing w:before="200" w:line="260" w:lineRule="atLeast"/>
        <w:jc w:val="both"/>
      </w:pPr>
      <w:bookmarkStart w:id="6264" w:name="Bookmark_para_7_40"/>
      <w:bookmarkStart w:id="6265" w:name="Bookmark_LNHNREFclscc2_36"/>
      <w:bookmarkEnd w:id="6264"/>
      <w:bookmarkEnd w:id="6265"/>
      <w:r>
        <w:rPr>
          <w:rFonts w:ascii="Arial" w:eastAsia="Arial" w:hAnsi="Arial" w:cs="Arial"/>
          <w:color w:val="000000"/>
          <w:sz w:val="20"/>
        </w:rPr>
        <w:t xml:space="preserve">To vote at an alternative, accessible polling location, an individual must submit a written application to transfer her registration at least fourteen days before the election. </w:t>
      </w:r>
      <w:r>
        <w:rPr>
          <w:rFonts w:ascii="Arial" w:eastAsia="Arial" w:hAnsi="Arial" w:cs="Arial"/>
          <w:i/>
          <w:color w:val="000000"/>
          <w:sz w:val="20"/>
        </w:rPr>
        <w:t>Id</w:t>
      </w:r>
      <w:r>
        <w:rPr>
          <w:rFonts w:ascii="Arial" w:eastAsia="Arial" w:hAnsi="Arial" w:cs="Arial"/>
          <w:color w:val="000000"/>
          <w:sz w:val="20"/>
        </w:rPr>
        <w:t xml:space="preserve">. § 5-601(2). Ten days before the election, BOE must provide the voter with information as to the location of the election district to which her records have been transferred, or inform the voter that there is no alternative, accessible polling place. </w:t>
      </w:r>
      <w:r>
        <w:rPr>
          <w:rFonts w:ascii="Arial" w:eastAsia="Arial" w:hAnsi="Arial" w:cs="Arial"/>
          <w:i/>
          <w:color w:val="000000"/>
          <w:sz w:val="20"/>
        </w:rPr>
        <w:t>Id</w:t>
      </w:r>
      <w:r>
        <w:rPr>
          <w:rFonts w:ascii="Arial" w:eastAsia="Arial" w:hAnsi="Arial" w:cs="Arial"/>
          <w:color w:val="000000"/>
          <w:sz w:val="20"/>
        </w:rPr>
        <w:t xml:space="preserve">. § 5-601(7). If there is no alternative polling place available, BOE must treat the voter's application as an application for an absentee ballot for the election. </w:t>
      </w:r>
      <w:r>
        <w:rPr>
          <w:rFonts w:ascii="Arial" w:eastAsia="Arial" w:hAnsi="Arial" w:cs="Arial"/>
          <w:i/>
          <w:color w:val="000000"/>
          <w:sz w:val="20"/>
        </w:rPr>
        <w:t>Id</w:t>
      </w:r>
      <w:r>
        <w:rPr>
          <w:rFonts w:ascii="Arial" w:eastAsia="Arial" w:hAnsi="Arial" w:cs="Arial"/>
          <w:color w:val="000000"/>
          <w:sz w:val="20"/>
        </w:rPr>
        <w:t>. § 5-601(8).</w:t>
      </w:r>
    </w:p>
    <w:p w14:paraId="07891AF7" w14:textId="77777777" w:rsidR="002D0E71" w:rsidRDefault="00000000">
      <w:pPr>
        <w:pStyle w:val="Normal42"/>
        <w:widowControl w:val="0"/>
        <w:spacing w:before="200" w:line="260" w:lineRule="atLeast"/>
        <w:jc w:val="both"/>
      </w:pPr>
      <w:bookmarkStart w:id="6266" w:name="Bookmark_para_8_40"/>
      <w:bookmarkEnd w:id="6266"/>
      <w:r>
        <w:rPr>
          <w:rFonts w:ascii="Arial" w:eastAsia="Arial" w:hAnsi="Arial" w:cs="Arial"/>
          <w:color w:val="000000"/>
          <w:sz w:val="20"/>
        </w:rPr>
        <w:t xml:space="preserve">To apply for an absentee ballot, a voter must submit an application by mail at least seven days or by hand at least one day before the election, stating, in part, that she is "unable to appear at a polling place because of . . . physical disability." </w:t>
      </w:r>
      <w:r>
        <w:rPr>
          <w:rFonts w:ascii="Arial" w:eastAsia="Arial" w:hAnsi="Arial" w:cs="Arial"/>
          <w:i/>
          <w:color w:val="000000"/>
          <w:sz w:val="20"/>
        </w:rPr>
        <w:t>Id</w:t>
      </w:r>
      <w:r>
        <w:rPr>
          <w:rFonts w:ascii="Arial" w:eastAsia="Arial" w:hAnsi="Arial" w:cs="Arial"/>
          <w:color w:val="000000"/>
          <w:sz w:val="20"/>
        </w:rPr>
        <w:t xml:space="preserve">. §§ 8-400(2)(c), 8-400(3)(c)(ii). Such an individual may also apply for the "right  [**5] to receive an absentee ballot for each election thereafter . . . without further application." </w:t>
      </w:r>
      <w:r>
        <w:rPr>
          <w:rFonts w:ascii="Arial" w:eastAsia="Arial" w:hAnsi="Arial" w:cs="Arial"/>
          <w:i/>
          <w:color w:val="000000"/>
          <w:sz w:val="20"/>
        </w:rPr>
        <w:t>Id</w:t>
      </w:r>
      <w:r>
        <w:rPr>
          <w:rFonts w:ascii="Arial" w:eastAsia="Arial" w:hAnsi="Arial" w:cs="Arial"/>
          <w:color w:val="000000"/>
          <w:sz w:val="20"/>
        </w:rPr>
        <w:t>. § 8-400(4).</w:t>
      </w:r>
    </w:p>
    <w:p w14:paraId="31DC381E" w14:textId="77777777" w:rsidR="002D0E71" w:rsidRDefault="00000000">
      <w:pPr>
        <w:pStyle w:val="Normal42"/>
        <w:widowControl w:val="0"/>
        <w:spacing w:before="240" w:line="260" w:lineRule="atLeast"/>
      </w:pPr>
      <w:r>
        <w:br/>
      </w:r>
      <w:r>
        <w:rPr>
          <w:rFonts w:ascii="Arial" w:eastAsia="Arial" w:hAnsi="Arial" w:cs="Arial"/>
          <w:b/>
          <w:color w:val="000000"/>
          <w:sz w:val="20"/>
        </w:rPr>
        <w:t xml:space="preserve">2. </w:t>
      </w:r>
      <w:r>
        <w:rPr>
          <w:rFonts w:ascii="Arial" w:eastAsia="Arial" w:hAnsi="Arial" w:cs="Arial"/>
          <w:b/>
          <w:i/>
          <w:color w:val="000000"/>
          <w:sz w:val="20"/>
        </w:rPr>
        <w:t>BOE's Designation and Operation of Poll Sites</w:t>
      </w:r>
    </w:p>
    <w:p w14:paraId="6861AE30" w14:textId="77777777" w:rsidR="002D0E71" w:rsidRDefault="00000000">
      <w:pPr>
        <w:pStyle w:val="Normal42"/>
        <w:widowControl w:val="0"/>
        <w:spacing w:before="200" w:line="260" w:lineRule="atLeast"/>
        <w:jc w:val="both"/>
      </w:pPr>
      <w:bookmarkStart w:id="6267" w:name="Bookmark_para_9_40"/>
      <w:bookmarkEnd w:id="6267"/>
      <w:r>
        <w:rPr>
          <w:rFonts w:ascii="Arial" w:eastAsia="Arial" w:hAnsi="Arial" w:cs="Arial"/>
          <w:color w:val="000000"/>
          <w:sz w:val="20"/>
        </w:rPr>
        <w:t>BOE does not own any facilities that serve as poll sites. Instead, it designates as poll sites facilities owned either by a private entity or by another governmental agency. Prior to election days, at least 30% of the locations in New York City that BOE designates as poll sites are structurally inaccessible to individuals with disabilities. BOE is currently in the process of surveying each poll site to determine its accessibility.</w:t>
      </w:r>
    </w:p>
    <w:p w14:paraId="066458BC" w14:textId="77777777" w:rsidR="002D0E71" w:rsidRDefault="00000000">
      <w:pPr>
        <w:pStyle w:val="Normal42"/>
        <w:widowControl w:val="0"/>
        <w:spacing w:before="200" w:line="260" w:lineRule="atLeast"/>
        <w:jc w:val="both"/>
      </w:pPr>
      <w:bookmarkStart w:id="6268" w:name="Bookmark_para_10_39"/>
      <w:bookmarkEnd w:id="6268"/>
      <w:r>
        <w:rPr>
          <w:rFonts w:ascii="Arial" w:eastAsia="Arial" w:hAnsi="Arial" w:cs="Arial"/>
          <w:color w:val="000000"/>
          <w:sz w:val="20"/>
        </w:rPr>
        <w:t>In an effort to address barriers to access on election days, BOE attempts to use temporary measures to make these locations accessible. Moreover, BOE includes a section in its Poll Worker's Manual to inform poll workers about accessibility issues. BOE also employs teams of Assembly District ("AD") monitors, trained in disability issues and charged with ensuring that poll sites are operated in accordance with all applicable standards, to visit poll sites at least twice on election days.</w:t>
      </w:r>
    </w:p>
    <w:p w14:paraId="52ACC9FC" w14:textId="77777777" w:rsidR="002D0E71" w:rsidRDefault="00000000">
      <w:pPr>
        <w:pStyle w:val="Normal42"/>
        <w:widowControl w:val="0"/>
        <w:spacing w:before="240" w:line="260" w:lineRule="atLeast"/>
      </w:pPr>
      <w:r>
        <w:br/>
      </w:r>
      <w:r>
        <w:rPr>
          <w:rFonts w:ascii="Arial" w:eastAsia="Arial" w:hAnsi="Arial" w:cs="Arial"/>
          <w:b/>
          <w:color w:val="000000"/>
          <w:sz w:val="20"/>
        </w:rPr>
        <w:t xml:space="preserve">3. </w:t>
      </w:r>
      <w:r>
        <w:rPr>
          <w:rFonts w:ascii="Arial" w:eastAsia="Arial" w:hAnsi="Arial" w:cs="Arial"/>
          <w:b/>
          <w:i/>
          <w:color w:val="000000"/>
          <w:sz w:val="20"/>
        </w:rPr>
        <w:t>Barriers to Access at New York City Polling Places</w:t>
      </w:r>
    </w:p>
    <w:p w14:paraId="49CDB066" w14:textId="77777777" w:rsidR="002D0E71" w:rsidRDefault="00000000">
      <w:pPr>
        <w:pStyle w:val="Normal42"/>
        <w:widowControl w:val="0"/>
        <w:spacing w:before="200" w:line="260" w:lineRule="atLeast"/>
        <w:jc w:val="both"/>
      </w:pPr>
      <w:bookmarkStart w:id="6269" w:name="Bookmark_para_11_39"/>
      <w:bookmarkEnd w:id="6269"/>
      <w:r>
        <w:rPr>
          <w:rFonts w:ascii="Arial" w:eastAsia="Arial" w:hAnsi="Arial" w:cs="Arial"/>
          <w:color w:val="000000"/>
          <w:sz w:val="20"/>
        </w:rPr>
        <w:t>Since 2003, the Center for Independence of the Disabled, New York  [**6] ("CIDNY"), an entity designated by the State of New York to train and certify poll site surveyors in accessibility issues, has conducted inspections of a random sample of BOE's poll sites on election days. CIDNY trains its staff and volunteer surveyors to use a checklist consistent with the United States Department of Justice's ADA Checklist for Polling Places. According to survey data from election days in 2008 to 2011, 80% or more of the polling sites surveyed contained at least one physical barrier to access.</w:t>
      </w:r>
      <w:r>
        <w:rPr>
          <w:rFonts w:ascii="Arial" w:eastAsia="Arial" w:hAnsi="Arial" w:cs="Arial"/>
          <w:vertAlign w:val="superscript"/>
        </w:rPr>
        <w:footnoteReference w:customMarkFollows="1" w:id="256"/>
        <w:t>2</w:t>
      </w:r>
      <w:r>
        <w:rPr>
          <w:rFonts w:ascii="Arial" w:eastAsia="Arial" w:hAnsi="Arial" w:cs="Arial"/>
          <w:color w:val="000000"/>
          <w:sz w:val="20"/>
        </w:rPr>
        <w:t xml:space="preserve"> These barriers include those relating  [*193]  to ramps, entryways, pathways, interior spaces at poll sites, and missing or misplaced signage.</w:t>
      </w:r>
    </w:p>
    <w:p w14:paraId="72F50973" w14:textId="77777777" w:rsidR="002D0E71" w:rsidRDefault="00000000">
      <w:pPr>
        <w:pStyle w:val="Normal42"/>
        <w:widowControl w:val="0"/>
        <w:spacing w:before="200" w:line="260" w:lineRule="atLeast"/>
        <w:jc w:val="both"/>
      </w:pPr>
      <w:bookmarkStart w:id="6271" w:name="Bookmark_para_12_38"/>
      <w:bookmarkEnd w:id="6271"/>
      <w:r>
        <w:rPr>
          <w:rFonts w:ascii="Arial" w:eastAsia="Arial" w:hAnsi="Arial" w:cs="Arial"/>
          <w:color w:val="000000"/>
          <w:sz w:val="20"/>
        </w:rPr>
        <w:t>The deposition testimony of surveyors and individuals with disabilities confirms that barriers to access exist on election days that make it difficult for  [**7] disabled voters to cast their ballots in person. For example, in 2010 Rima McCoy, the Voting Rights Director for CIDNY from July 2008 to December 2011, inspected, among others sites, the poll site located at P.S. 13 in Queens. When she arrived at P.S. 13 there was no sign at the inaccessible main entrance to direct disabled voters to the accessible entrance. After she located the accessible entrance on her own, she found that the door was locked and the bell did not work. Once inside, McCoy observed that there was no signage from the accessible entrance to direct voters to the voting area or to inform them on which floor the voting area was located. Further, the placement of the ADA privacy booth in the voting area made the booth inaccessible to wheelchair users.</w:t>
      </w:r>
    </w:p>
    <w:p w14:paraId="3D787D29" w14:textId="77777777" w:rsidR="002D0E71" w:rsidRDefault="00000000">
      <w:pPr>
        <w:pStyle w:val="Normal42"/>
        <w:widowControl w:val="0"/>
        <w:spacing w:before="200" w:line="260" w:lineRule="atLeast"/>
        <w:jc w:val="both"/>
      </w:pPr>
      <w:bookmarkStart w:id="6272" w:name="Bookmark_para_13_38"/>
      <w:bookmarkEnd w:id="6272"/>
      <w:r>
        <w:rPr>
          <w:rFonts w:ascii="Arial" w:eastAsia="Arial" w:hAnsi="Arial" w:cs="Arial"/>
          <w:color w:val="000000"/>
          <w:sz w:val="20"/>
        </w:rPr>
        <w:t xml:space="preserve">Denise McQuade, a registered voter who uses a wheelchair for mobility, encountered barriers to access during the September 2010 election at P.S. 102 in Bay Ridge. The ramp at P.S. 102 was "extremely steep -- like a ski slope." J.A. 728. McQuade was "very frightened to use [it] because there was no landing at the top of the ramp," and this made it impossible for her to exit the building safely without assistance. </w:t>
      </w:r>
      <w:r>
        <w:rPr>
          <w:rFonts w:ascii="Arial" w:eastAsia="Arial" w:hAnsi="Arial" w:cs="Arial"/>
          <w:i/>
          <w:color w:val="000000"/>
          <w:sz w:val="20"/>
        </w:rPr>
        <w:t>Id</w:t>
      </w:r>
      <w:r>
        <w:rPr>
          <w:rFonts w:ascii="Arial" w:eastAsia="Arial" w:hAnsi="Arial" w:cs="Arial"/>
          <w:color w:val="000000"/>
          <w:sz w:val="20"/>
        </w:rPr>
        <w:t>. Although  [**8] she was able to vote with the help of her husband and a police officer, she was afraid to go back to vote in subsequent elections. Accordingly, she used an absentee ballot in the November 2011 election.</w:t>
      </w:r>
    </w:p>
    <w:p w14:paraId="52665573" w14:textId="77777777" w:rsidR="002D0E71" w:rsidRDefault="00000000">
      <w:pPr>
        <w:pStyle w:val="Normal42"/>
        <w:widowControl w:val="0"/>
        <w:spacing w:before="200" w:line="260" w:lineRule="atLeast"/>
        <w:jc w:val="both"/>
      </w:pPr>
      <w:bookmarkStart w:id="6273" w:name="Bookmark_para_14_37"/>
      <w:bookmarkEnd w:id="6273"/>
      <w:r>
        <w:rPr>
          <w:rFonts w:ascii="Arial" w:eastAsia="Arial" w:hAnsi="Arial" w:cs="Arial"/>
          <w:color w:val="000000"/>
          <w:sz w:val="20"/>
        </w:rPr>
        <w:t>Voters with vision impairments also encountered barriers to access. For example, Paula Wolff, an individual who is legally blind, was unable to privately cast her vote in the November 2011 election. Some 90% of residents at her polling place, Selis Manor, are blind. Though Selis Manor is required to have two Ballot Marking Device ("BMD") machines for voters with disabilities, there was only one BMD machine during the November 2011 election and it was not working. Despite calls by poll workers to BOE regarding the malfunctioning machine, the machine was never repaired. Accordingly, visually disabled voters needed poll workers to read and mark their ballots for them.</w:t>
      </w:r>
    </w:p>
    <w:p w14:paraId="3AE90886" w14:textId="77777777" w:rsidR="002D0E71" w:rsidRDefault="00000000">
      <w:pPr>
        <w:pStyle w:val="Normal42"/>
        <w:widowControl w:val="0"/>
        <w:spacing w:before="200" w:line="260" w:lineRule="atLeast"/>
        <w:jc w:val="both"/>
      </w:pPr>
      <w:bookmarkStart w:id="6274" w:name="Bookmark_para_15_36"/>
      <w:bookmarkEnd w:id="6274"/>
      <w:r>
        <w:rPr>
          <w:rFonts w:ascii="Arial" w:eastAsia="Arial" w:hAnsi="Arial" w:cs="Arial"/>
          <w:color w:val="000000"/>
          <w:sz w:val="20"/>
        </w:rPr>
        <w:t>As its own information reflects, many of BOE's poll sites are inaccessible on election days. BOE acknowledges that at least two of its poll sites are fully inaccessible. Further, its call incident logs and reports from election days indicate that other sites were missing ramps and other accessibility equipment. Despite being  [**9] notified of accessibility issues, BOE consistently did not respond to or remedy the problems of which it was made aware. Although BOE plans for AD monitors to visit all poll sites, its own documentation shows that many AD monitors did not visit their planned sites on election days.</w:t>
      </w:r>
    </w:p>
    <w:p w14:paraId="18F8DE2A" w14:textId="77777777" w:rsidR="002D0E71" w:rsidRDefault="00000000">
      <w:pPr>
        <w:pStyle w:val="Normal42"/>
        <w:widowControl w:val="0"/>
        <w:spacing w:before="200" w:line="260" w:lineRule="atLeast"/>
        <w:jc w:val="both"/>
      </w:pPr>
      <w:bookmarkStart w:id="6275" w:name="Bookmark_para_16_35"/>
      <w:bookmarkEnd w:id="6275"/>
      <w:r>
        <w:rPr>
          <w:rFonts w:ascii="Arial" w:eastAsia="Arial" w:hAnsi="Arial" w:cs="Arial"/>
          <w:color w:val="000000"/>
          <w:sz w:val="20"/>
        </w:rPr>
        <w:t xml:space="preserve">BOE does not have an ADA coordinator or someone designated as primarily responsible for ensuring compliance with the ADA, as required by federal regulations. </w:t>
      </w:r>
      <w:r>
        <w:rPr>
          <w:rFonts w:ascii="Arial" w:eastAsia="Arial" w:hAnsi="Arial" w:cs="Arial"/>
          <w:i/>
          <w:color w:val="000000"/>
          <w:sz w:val="20"/>
        </w:rPr>
        <w:t>See</w:t>
      </w:r>
      <w:r>
        <w:rPr>
          <w:rFonts w:ascii="Arial" w:eastAsia="Arial" w:hAnsi="Arial" w:cs="Arial"/>
          <w:color w:val="000000"/>
          <w:sz w:val="20"/>
        </w:rPr>
        <w:t xml:space="preserve"> 28 C.F.R. § 35.107(a). Nor does BOE have an accessibility transition plan for the poll sites that it designates. </w:t>
      </w:r>
      <w:r>
        <w:rPr>
          <w:rFonts w:ascii="Arial" w:eastAsia="Arial" w:hAnsi="Arial" w:cs="Arial"/>
          <w:i/>
          <w:color w:val="000000"/>
          <w:sz w:val="20"/>
        </w:rPr>
        <w:t>See id</w:t>
      </w:r>
      <w:r>
        <w:rPr>
          <w:rFonts w:ascii="Arial" w:eastAsia="Arial" w:hAnsi="Arial" w:cs="Arial"/>
          <w:color w:val="000000"/>
          <w:sz w:val="20"/>
        </w:rPr>
        <w:t>. § 35.150.</w:t>
      </w:r>
    </w:p>
    <w:p w14:paraId="1E6FB0CD" w14:textId="77777777" w:rsidR="002D0E71" w:rsidRDefault="00000000">
      <w:pPr>
        <w:pStyle w:val="Normal42"/>
        <w:widowControl w:val="0"/>
        <w:spacing w:before="240" w:line="260" w:lineRule="atLeast"/>
      </w:pPr>
      <w:r>
        <w:br/>
      </w:r>
      <w:r>
        <w:rPr>
          <w:rFonts w:ascii="Arial" w:eastAsia="Arial" w:hAnsi="Arial" w:cs="Arial"/>
          <w:color w:val="000000"/>
          <w:sz w:val="20"/>
        </w:rPr>
        <w:t xml:space="preserve"> [*194]  </w:t>
      </w:r>
      <w:r>
        <w:rPr>
          <w:rFonts w:ascii="Arial" w:eastAsia="Arial" w:hAnsi="Arial" w:cs="Arial"/>
          <w:b/>
          <w:color w:val="000000"/>
          <w:sz w:val="20"/>
        </w:rPr>
        <w:t xml:space="preserve">B. </w:t>
      </w:r>
      <w:r>
        <w:rPr>
          <w:rFonts w:ascii="Arial" w:eastAsia="Arial" w:hAnsi="Arial" w:cs="Arial"/>
          <w:b/>
          <w:i/>
          <w:color w:val="000000"/>
          <w:sz w:val="20"/>
        </w:rPr>
        <w:t>Proceedings Below</w:t>
      </w:r>
    </w:p>
    <w:p w14:paraId="3DDE5D26" w14:textId="77777777" w:rsidR="002D0E71" w:rsidRDefault="00000000">
      <w:pPr>
        <w:pStyle w:val="Normal42"/>
        <w:widowControl w:val="0"/>
        <w:spacing w:before="200" w:line="260" w:lineRule="atLeast"/>
        <w:jc w:val="both"/>
      </w:pPr>
      <w:bookmarkStart w:id="6276" w:name="Bookmark_para_17_34"/>
      <w:bookmarkEnd w:id="6276"/>
      <w:r>
        <w:rPr>
          <w:rFonts w:ascii="Arial" w:eastAsia="Arial" w:hAnsi="Arial" w:cs="Arial"/>
          <w:color w:val="000000"/>
          <w:sz w:val="20"/>
        </w:rPr>
        <w:t>On July 26, 2010, plaintiffs filed a complaint against BOE alleging that it discriminated against individuals with disabilities in violation of the ADA and Section 504 by operating polling places with barriers to access. The district court denied plaintiffs' motion for a preliminary injunction. After the parties completed discovery, plaintiffs moved for summary judgment seeking declaratory relief.</w:t>
      </w:r>
    </w:p>
    <w:p w14:paraId="16A848E2" w14:textId="77777777" w:rsidR="002D0E71" w:rsidRDefault="00000000">
      <w:pPr>
        <w:pStyle w:val="Normal42"/>
        <w:widowControl w:val="0"/>
        <w:spacing w:before="200" w:line="260" w:lineRule="atLeast"/>
        <w:jc w:val="both"/>
      </w:pPr>
      <w:bookmarkStart w:id="6277" w:name="Bookmark_para_18_34"/>
      <w:bookmarkStart w:id="6278" w:name="Bookmark_I5CBNK7K2N1R3N0040000400"/>
      <w:bookmarkEnd w:id="6277"/>
      <w:bookmarkEnd w:id="6278"/>
      <w:r>
        <w:rPr>
          <w:rFonts w:ascii="Arial" w:eastAsia="Arial" w:hAnsi="Arial" w:cs="Arial"/>
          <w:color w:val="000000"/>
          <w:sz w:val="20"/>
        </w:rPr>
        <w:t xml:space="preserve">In a memorandum and order dated August 8, 2012, the district court granted plaintiffs' motion for summary judgment. </w:t>
      </w:r>
      <w:bookmarkStart w:id="6279" w:name="Bookmark_I5CBNK7K28T5350010000400"/>
      <w:bookmarkStart w:id="6280" w:name="Bookmark_I5CBNK7K2N1R3N0030000400"/>
      <w:bookmarkEnd w:id="6279"/>
      <w:bookmarkEnd w:id="6280"/>
      <w:r>
        <w:rPr>
          <w:rFonts w:ascii="Arial" w:eastAsia="Arial" w:hAnsi="Arial" w:cs="Arial"/>
          <w:i/>
          <w:color w:val="000000"/>
          <w:sz w:val="20"/>
        </w:rPr>
        <w:t>United Spinal Ass'n</w:t>
      </w:r>
      <w:r>
        <w:rPr>
          <w:rFonts w:ascii="Arial" w:eastAsia="Arial" w:hAnsi="Arial" w:cs="Arial"/>
          <w:color w:val="000000"/>
          <w:sz w:val="20"/>
        </w:rPr>
        <w:t xml:space="preserve">, 882 F. Supp. 2d at 627. </w:t>
      </w:r>
      <w:bookmarkStart w:id="6281" w:name="Bookmark_I5CBNK7K28T5350030000400"/>
      <w:bookmarkEnd w:id="6281"/>
      <w:r>
        <w:rPr>
          <w:rFonts w:ascii="Arial" w:eastAsia="Arial" w:hAnsi="Arial" w:cs="Arial"/>
          <w:color w:val="000000"/>
          <w:sz w:val="20"/>
        </w:rPr>
        <w:t xml:space="preserve">As an initial matter, the district court rejected  [**10] BOE's argument that plaintiffs' claims fail because there was no evidence that any voter had been deprived of the right to participate in an election. </w:t>
      </w:r>
      <w:bookmarkStart w:id="6282" w:name="Bookmark_I5CBNK7K28T5350030000400_2"/>
      <w:bookmarkStart w:id="6283" w:name="Bookmark_I5CBNK7K28T5350010000400_2"/>
      <w:bookmarkStart w:id="6284" w:name="Bookmark_I5CBNK7K28T5350050000400"/>
      <w:bookmarkStart w:id="6285" w:name="Bookmark_I5CBNK7K2N1R3N0050000400"/>
      <w:bookmarkEnd w:id="6282"/>
      <w:bookmarkEnd w:id="6283"/>
      <w:bookmarkEnd w:id="6284"/>
      <w:bookmarkEnd w:id="6285"/>
      <w:r>
        <w:rPr>
          <w:rFonts w:ascii="Arial" w:eastAsia="Arial" w:hAnsi="Arial" w:cs="Arial"/>
          <w:i/>
          <w:color w:val="000000"/>
          <w:sz w:val="20"/>
        </w:rPr>
        <w:t>Id</w:t>
      </w:r>
      <w:r>
        <w:rPr>
          <w:rFonts w:ascii="Arial" w:eastAsia="Arial" w:hAnsi="Arial" w:cs="Arial"/>
          <w:color w:val="000000"/>
          <w:sz w:val="20"/>
        </w:rPr>
        <w:t xml:space="preserve">. at 623. </w:t>
      </w:r>
      <w:bookmarkStart w:id="6286" w:name="Bookmark_I5CBNK7K28T5350050000400_2"/>
      <w:bookmarkEnd w:id="6286"/>
      <w:r>
        <w:rPr>
          <w:rFonts w:ascii="Arial" w:eastAsia="Arial" w:hAnsi="Arial" w:cs="Arial"/>
          <w:color w:val="000000"/>
          <w:sz w:val="20"/>
        </w:rPr>
        <w:t xml:space="preserve">The district court found that there was "no genuine dispute of material fact as to the existence of pervasive and recurring barriers to accessibility on election days at poll sites designated by the BOE." </w:t>
      </w:r>
      <w:bookmarkStart w:id="6287" w:name="Bookmark_I5CBNK7K28T5350020000400"/>
      <w:bookmarkEnd w:id="6287"/>
      <w:r>
        <w:rPr>
          <w:rFonts w:ascii="Arial" w:eastAsia="Arial" w:hAnsi="Arial" w:cs="Arial"/>
          <w:i/>
          <w:color w:val="000000"/>
          <w:sz w:val="20"/>
        </w:rPr>
        <w:t>Id</w:t>
      </w:r>
      <w:r>
        <w:rPr>
          <w:rFonts w:ascii="Arial" w:eastAsia="Arial" w:hAnsi="Arial" w:cs="Arial"/>
          <w:color w:val="000000"/>
          <w:sz w:val="20"/>
        </w:rPr>
        <w:t xml:space="preserve">. at 624. </w:t>
      </w:r>
      <w:bookmarkStart w:id="6288" w:name="Bookmark_I5CBNK7K28T5350050000400_3"/>
      <w:bookmarkEnd w:id="6288"/>
      <w:r>
        <w:rPr>
          <w:rFonts w:ascii="Arial" w:eastAsia="Arial" w:hAnsi="Arial" w:cs="Arial"/>
          <w:color w:val="000000"/>
          <w:sz w:val="20"/>
        </w:rPr>
        <w:t xml:space="preserve">Moreover, the district court rejected BOE's argument that it accommodates voters with disabilities by (1) offering those assigned to inaccessible poll sites an opportunity to transfer their registration and (2) addressing barriers as they are made aware of them on election days. </w:t>
      </w:r>
      <w:bookmarkStart w:id="6289" w:name="Bookmark_I5CBNK7K28T5350040000400"/>
      <w:bookmarkEnd w:id="6289"/>
      <w:r>
        <w:rPr>
          <w:rFonts w:ascii="Arial" w:eastAsia="Arial" w:hAnsi="Arial" w:cs="Arial"/>
          <w:i/>
          <w:color w:val="000000"/>
          <w:sz w:val="20"/>
        </w:rPr>
        <w:t>Id</w:t>
      </w:r>
      <w:r>
        <w:rPr>
          <w:rFonts w:ascii="Arial" w:eastAsia="Arial" w:hAnsi="Arial" w:cs="Arial"/>
          <w:color w:val="000000"/>
          <w:sz w:val="20"/>
        </w:rPr>
        <w:t>. at 627.</w:t>
      </w:r>
    </w:p>
    <w:p w14:paraId="5100C3EB" w14:textId="77777777" w:rsidR="002D0E71" w:rsidRDefault="00000000">
      <w:pPr>
        <w:pStyle w:val="Normal42"/>
        <w:widowControl w:val="0"/>
        <w:spacing w:before="200" w:line="260" w:lineRule="atLeast"/>
        <w:jc w:val="both"/>
      </w:pPr>
      <w:bookmarkStart w:id="6290" w:name="Bookmark_para_19_34"/>
      <w:bookmarkEnd w:id="6290"/>
      <w:r>
        <w:rPr>
          <w:rFonts w:ascii="Arial" w:eastAsia="Arial" w:hAnsi="Arial" w:cs="Arial"/>
          <w:color w:val="000000"/>
          <w:sz w:val="20"/>
        </w:rPr>
        <w:t>Shortly after granting plaintiffs' motion for summary judgment, the district court ordered the parties to confer and develop potential remedies. Accordingly, plaintiffs met with BOE and proposed a framework for remedial relief. BOE did not respond with feedback or propose a plan of its own. At the hearing on August 27, 2012, BOE offered information about how it was trying to address accessibility issues for the upcoming elections in September and November 2012, including assigning poll site coordinators to each poll site, attempting  [**11] to survey every poll site in New York City, and providing additional signage at poll sites. BOE also expressed concerns about its ability to hire additional staff and CIDNY's potential oversight in any remedial plan. The district court again ordered parties to discuss a possible remedial plan and scheduled another hearing.</w:t>
      </w:r>
    </w:p>
    <w:p w14:paraId="2568E298" w14:textId="77777777" w:rsidR="002D0E71" w:rsidRDefault="00000000">
      <w:pPr>
        <w:pStyle w:val="Normal42"/>
        <w:widowControl w:val="0"/>
        <w:spacing w:before="200" w:line="260" w:lineRule="atLeast"/>
        <w:jc w:val="both"/>
      </w:pPr>
      <w:bookmarkStart w:id="6291" w:name="Bookmark_para_20_32"/>
      <w:bookmarkEnd w:id="6291"/>
      <w:r>
        <w:rPr>
          <w:rFonts w:ascii="Arial" w:eastAsia="Arial" w:hAnsi="Arial" w:cs="Arial"/>
          <w:color w:val="000000"/>
          <w:sz w:val="20"/>
        </w:rPr>
        <w:t>At the hearing on September 10, 2012, BOE described changes that it planned to make for the upcoming primary election that week. Specifically, BOE planned to provide poll site coordinators with special instructions regarding poll site accessibility, a survey instrument to assess whether the site was ADA compliant throughout the day, and an ADA journal to record their observations. Further, each poll site would receive a five-foot chain to measure areas and ensure that wheelchairs users had adequate space. Teams of AD monitors would also visit poll sites throughout the day. Plaintiffs opined that the proposed changes were not sufficient to remedy the systemic violations. After listening to and reviewing BOE's proposals, the district court determined that it wanted to assess their effectiveness at a sample of poll sites in the upcoming September 2012 Primary Election  [**12] (the "September 2012 Election"). Accordingly, the district court asked the parties to confer and generate a list of 37 to 40 poll sites that had had an accessibility problem for more than one year. The district court requested that the accessibility data from these poll sites be available by the next conference.</w:t>
      </w:r>
    </w:p>
    <w:p w14:paraId="43C99AFD" w14:textId="77777777" w:rsidR="002D0E71" w:rsidRDefault="00000000">
      <w:pPr>
        <w:pStyle w:val="Normal42"/>
        <w:widowControl w:val="0"/>
        <w:spacing w:before="200" w:line="260" w:lineRule="atLeast"/>
        <w:jc w:val="both"/>
      </w:pPr>
      <w:bookmarkStart w:id="6292" w:name="Bookmark_para_21_31"/>
      <w:bookmarkEnd w:id="6292"/>
      <w:r>
        <w:rPr>
          <w:rFonts w:ascii="Arial" w:eastAsia="Arial" w:hAnsi="Arial" w:cs="Arial"/>
          <w:color w:val="000000"/>
          <w:sz w:val="20"/>
        </w:rPr>
        <w:t>On October 11, 2012, the Department of Justice ("DOJ") appeared, pursuant to 28 U.S.C. § 517,</w:t>
      </w:r>
      <w:r>
        <w:rPr>
          <w:rFonts w:ascii="Arial" w:eastAsia="Arial" w:hAnsi="Arial" w:cs="Arial"/>
          <w:vertAlign w:val="superscript"/>
        </w:rPr>
        <w:footnoteReference w:customMarkFollows="1" w:id="257"/>
        <w:t>3</w:t>
      </w:r>
      <w:r>
        <w:rPr>
          <w:rFonts w:ascii="Arial" w:eastAsia="Arial" w:hAnsi="Arial" w:cs="Arial"/>
          <w:color w:val="000000"/>
          <w:sz w:val="20"/>
        </w:rPr>
        <w:t xml:space="preserve"> and submitted a proposed [*195]  order for a remedial plan, modeled after a settlement agreement the DOJ had entered into with the City of Philadelphia (the "DOJ proposed order").</w:t>
      </w:r>
    </w:p>
    <w:p w14:paraId="284BB779" w14:textId="77777777" w:rsidR="002D0E71" w:rsidRDefault="00000000">
      <w:pPr>
        <w:pStyle w:val="Normal42"/>
        <w:widowControl w:val="0"/>
        <w:spacing w:before="200" w:line="260" w:lineRule="atLeast"/>
        <w:jc w:val="both"/>
      </w:pPr>
      <w:bookmarkStart w:id="6295" w:name="Bookmark_para_22_31"/>
      <w:bookmarkEnd w:id="6295"/>
      <w:r>
        <w:rPr>
          <w:rFonts w:ascii="Arial" w:eastAsia="Arial" w:hAnsi="Arial" w:cs="Arial"/>
          <w:color w:val="000000"/>
          <w:sz w:val="20"/>
        </w:rPr>
        <w:t>At a third hearing on October 15, 2012, BOE discussed the data related to accessibility issues that it collected during the September 2012 Election. Out of the 35 poll sites the parties agreed to monitor, BOE reported that 22 of them had at least one barrier to access. BOE was unable to address many of  [**13] the problems that were reported throughout the day, and it was unable to determine whether the problems had been rectified from the data that it collected.</w:t>
      </w:r>
    </w:p>
    <w:p w14:paraId="7BCA7572" w14:textId="77777777" w:rsidR="002D0E71" w:rsidRDefault="00000000">
      <w:pPr>
        <w:pStyle w:val="Normal42"/>
        <w:widowControl w:val="0"/>
        <w:spacing w:before="200" w:line="260" w:lineRule="atLeast"/>
        <w:jc w:val="both"/>
      </w:pPr>
      <w:bookmarkStart w:id="6296" w:name="Bookmark_para_23_30"/>
      <w:bookmarkEnd w:id="6296"/>
      <w:r>
        <w:rPr>
          <w:rFonts w:ascii="Arial" w:eastAsia="Arial" w:hAnsi="Arial" w:cs="Arial"/>
          <w:color w:val="000000"/>
          <w:sz w:val="20"/>
        </w:rPr>
        <w:t>A representative of DOJ described the DOJ proposed order. After hearing BOE's concerns, the district court stated its intent to sign an order similar to the DOJ proposed order. It gave BOE the opportunity to confer with DOJ and plaintiffs to suggest changes to the DOJ proposed order, and asked the parties to submit a new proposed remedial order based on BOE's requests. The record does not indicate that another plan was submitted.</w:t>
      </w:r>
    </w:p>
    <w:p w14:paraId="2108841C" w14:textId="77777777" w:rsidR="002D0E71" w:rsidRDefault="00000000">
      <w:pPr>
        <w:pStyle w:val="Normal42"/>
        <w:widowControl w:val="0"/>
        <w:spacing w:before="200" w:line="260" w:lineRule="atLeast"/>
        <w:jc w:val="both"/>
      </w:pPr>
      <w:bookmarkStart w:id="6297" w:name="Bookmark_para_24_30"/>
      <w:bookmarkEnd w:id="6297"/>
      <w:r>
        <w:rPr>
          <w:rFonts w:ascii="Arial" w:eastAsia="Arial" w:hAnsi="Arial" w:cs="Arial"/>
          <w:color w:val="000000"/>
          <w:sz w:val="20"/>
        </w:rPr>
        <w:t>In an order dated October 18, 2012 (the "remedial order"), the district court issued a remedial plan. The district court referred oversight of the implementation of the remedial order to Magistrate Judge Pitman.</w:t>
      </w:r>
    </w:p>
    <w:p w14:paraId="5EC0FD03" w14:textId="77777777" w:rsidR="002D0E71" w:rsidRDefault="00000000">
      <w:pPr>
        <w:pStyle w:val="Normal42"/>
        <w:widowControl w:val="0"/>
        <w:spacing w:before="200" w:line="260" w:lineRule="atLeast"/>
        <w:jc w:val="both"/>
      </w:pPr>
      <w:bookmarkStart w:id="6298" w:name="Bookmark_para_25_30"/>
      <w:bookmarkEnd w:id="6298"/>
      <w:r>
        <w:rPr>
          <w:rFonts w:ascii="Arial" w:eastAsia="Arial" w:hAnsi="Arial" w:cs="Arial"/>
          <w:color w:val="000000"/>
          <w:sz w:val="20"/>
        </w:rPr>
        <w:t>The remedial order, based on the DOJ proposed order, provides for the following: BOE is to designate one of its existing poll site workers at every poll site as the on-site Americans with Disabilities Act Coordinator, to be trained by CIDNY for the November 6, 2012 General Election and a third-party mutually agreed upon by the parties for elections thereafter. BOE is to contract with CIDNY to develop  [**14] a poll-site accessibility checklist. The on-site accessibility coordinators shall use the checklist to document any accessibility complaints received on election days and, based on this data, BOE is to submit a report 45 days after an election day.</w:t>
      </w:r>
    </w:p>
    <w:p w14:paraId="2CB749F0" w14:textId="77777777" w:rsidR="002D0E71" w:rsidRDefault="00000000">
      <w:pPr>
        <w:pStyle w:val="Normal42"/>
        <w:widowControl w:val="0"/>
        <w:spacing w:before="200" w:line="260" w:lineRule="atLeast"/>
        <w:jc w:val="both"/>
      </w:pPr>
      <w:bookmarkStart w:id="6299" w:name="Bookmark_para_26_29"/>
      <w:bookmarkEnd w:id="6299"/>
      <w:r>
        <w:rPr>
          <w:rFonts w:ascii="Arial" w:eastAsia="Arial" w:hAnsi="Arial" w:cs="Arial"/>
          <w:color w:val="000000"/>
          <w:sz w:val="20"/>
        </w:rPr>
        <w:t>Further, the remedial order mandates that AD monitors visit each polling site twice on election days to assess the accessibility of the poll site, take steps to assist on-site poll workers to remedy any access barriers at the site, and document the results.</w:t>
      </w:r>
    </w:p>
    <w:p w14:paraId="0E9C3A9B" w14:textId="77777777" w:rsidR="002D0E71" w:rsidRDefault="00000000">
      <w:pPr>
        <w:pStyle w:val="Normal42"/>
        <w:widowControl w:val="0"/>
        <w:spacing w:before="200" w:line="260" w:lineRule="atLeast"/>
        <w:jc w:val="both"/>
      </w:pPr>
      <w:bookmarkStart w:id="6300" w:name="Bookmark_para_27_29"/>
      <w:bookmarkEnd w:id="6300"/>
      <w:r>
        <w:rPr>
          <w:rFonts w:ascii="Arial" w:eastAsia="Arial" w:hAnsi="Arial" w:cs="Arial"/>
          <w:color w:val="000000"/>
          <w:sz w:val="20"/>
        </w:rPr>
        <w:t>To improve poll site accessibility over the long term, the remedial order also mandates that BOE contract with an independent third-party with expertise in voting accessibility (the "Third Party Expert"). The remedial order provides that the parties are to confer to select the Third Party Expert, and in the event they disagree, the parties are to submit their recommendations to Magistrate Judge Pitman, who will then make the selection.</w:t>
      </w:r>
      <w:r>
        <w:rPr>
          <w:rFonts w:ascii="Arial" w:eastAsia="Arial" w:hAnsi="Arial" w:cs="Arial"/>
          <w:vertAlign w:val="superscript"/>
        </w:rPr>
        <w:footnoteReference w:customMarkFollows="1" w:id="258"/>
        <w:t>4</w:t>
      </w:r>
      <w:r>
        <w:rPr>
          <w:rFonts w:ascii="Arial" w:eastAsia="Arial" w:hAnsi="Arial" w:cs="Arial"/>
          <w:color w:val="000000"/>
          <w:sz w:val="20"/>
        </w:rPr>
        <w:t xml:space="preserve"> The Third Party Expert is responsible for surveying the poll sites in New York City and providing a report on poll site accessibility to the parties and Magistrate Judge Pitman. The Third-Party Expert report is to include recommendations as to how specific  [**15] poll sites may be temporarily modified to make them accessible. If the Third Party Expert concludes that a poll site cannot be reasonably modified, BOE must report to plaintiffs and the Third Party Expert whether the polling site can [*196]  be relocated or made temporarily accessible.</w:t>
      </w:r>
    </w:p>
    <w:p w14:paraId="1A810B8D" w14:textId="77777777" w:rsidR="002D0E71" w:rsidRDefault="00000000">
      <w:pPr>
        <w:pStyle w:val="Normal42"/>
        <w:widowControl w:val="0"/>
        <w:spacing w:before="200" w:line="260" w:lineRule="atLeast"/>
        <w:jc w:val="both"/>
      </w:pPr>
      <w:bookmarkStart w:id="6302" w:name="Bookmark_para_28_26"/>
      <w:bookmarkEnd w:id="6302"/>
      <w:r>
        <w:rPr>
          <w:rFonts w:ascii="Arial" w:eastAsia="Arial" w:hAnsi="Arial" w:cs="Arial"/>
          <w:color w:val="000000"/>
          <w:sz w:val="20"/>
        </w:rPr>
        <w:t>The remedial order mandates that BOE implement the Third Party Expert's recommendations unless BOE concludes "it cannot reasonably implement a recommendation," "relocation of the polling site to an alternate location is a more appropriate response to the recommendation," or "a polling site cannot be relocated." Order, October 18, 2012, ECF No. 119, at 11. If BOE so concludes, it is to confer with the Third Party Expert and plaintiffs about alternative measures to address accessibility. If BOE, plaintiffs, and the Third Party Expert are unable to agree as to the implementation of a recommendation, BOE may petition Judge Pitman for relief pursuant to Federal Rule of Civil Procedure 60,  [**16] subject to appeal in the normal course. The Third Party Expert is to train BOE employees to determine whether a poll site is accessible.</w:t>
      </w:r>
    </w:p>
    <w:p w14:paraId="63A4DF63" w14:textId="77777777" w:rsidR="002D0E71" w:rsidRDefault="00000000">
      <w:pPr>
        <w:pStyle w:val="Normal42"/>
        <w:widowControl w:val="0"/>
        <w:spacing w:before="200" w:line="260" w:lineRule="atLeast"/>
        <w:jc w:val="both"/>
      </w:pPr>
      <w:bookmarkStart w:id="6303" w:name="Bookmark_para_29_25"/>
      <w:bookmarkEnd w:id="6303"/>
      <w:r>
        <w:rPr>
          <w:rFonts w:ascii="Arial" w:eastAsia="Arial" w:hAnsi="Arial" w:cs="Arial"/>
          <w:color w:val="000000"/>
          <w:sz w:val="20"/>
        </w:rPr>
        <w:t>The remedial order provides that parties may petition the district court to modify it at any time.</w:t>
      </w:r>
      <w:r>
        <w:rPr>
          <w:rFonts w:ascii="Arial" w:eastAsia="Arial" w:hAnsi="Arial" w:cs="Arial"/>
          <w:vertAlign w:val="superscript"/>
        </w:rPr>
        <w:footnoteReference w:customMarkFollows="1" w:id="259"/>
        <w:t>5</w:t>
      </w:r>
      <w:r>
        <w:rPr>
          <w:rFonts w:ascii="Arial" w:eastAsia="Arial" w:hAnsi="Arial" w:cs="Arial"/>
          <w:color w:val="000000"/>
          <w:sz w:val="20"/>
        </w:rPr>
        <w:t xml:space="preserve"> Moreover, it provides that the district court shall maintain jurisdiction over the implementation of the remedial order through December 16, 2016.</w:t>
      </w:r>
    </w:p>
    <w:p w14:paraId="471AB786" w14:textId="77777777" w:rsidR="002D0E71" w:rsidRDefault="00000000">
      <w:pPr>
        <w:pStyle w:val="Normal42"/>
        <w:widowControl w:val="0"/>
        <w:spacing w:before="200" w:line="260" w:lineRule="atLeast"/>
        <w:jc w:val="both"/>
      </w:pPr>
      <w:bookmarkStart w:id="6305" w:name="Bookmark_para_30_24"/>
      <w:bookmarkEnd w:id="6305"/>
      <w:r>
        <w:rPr>
          <w:rFonts w:ascii="Arial" w:eastAsia="Arial" w:hAnsi="Arial" w:cs="Arial"/>
          <w:color w:val="000000"/>
          <w:sz w:val="20"/>
        </w:rPr>
        <w:t>This appeal followed.</w:t>
      </w:r>
    </w:p>
    <w:p w14:paraId="66FF725C" w14:textId="77777777" w:rsidR="002D0E71" w:rsidRDefault="00000000">
      <w:pPr>
        <w:pStyle w:val="Normal42"/>
        <w:widowControl w:val="0"/>
        <w:spacing w:before="240" w:line="260" w:lineRule="atLeast"/>
      </w:pPr>
      <w:r>
        <w:br/>
      </w:r>
      <w:r>
        <w:rPr>
          <w:rFonts w:ascii="Arial" w:eastAsia="Arial" w:hAnsi="Arial" w:cs="Arial"/>
          <w:b/>
          <w:i/>
          <w:color w:val="000000"/>
          <w:sz w:val="20"/>
        </w:rPr>
        <w:t>DISCUSSION</w:t>
      </w:r>
    </w:p>
    <w:p w14:paraId="70D315BA" w14:textId="77777777" w:rsidR="002D0E71" w:rsidRDefault="00000000">
      <w:pPr>
        <w:pStyle w:val="Normal42"/>
        <w:widowControl w:val="0"/>
        <w:spacing w:before="240" w:line="260" w:lineRule="atLeast"/>
      </w:pPr>
      <w:r>
        <w:br/>
      </w:r>
      <w:r>
        <w:rPr>
          <w:rFonts w:ascii="Arial" w:eastAsia="Arial" w:hAnsi="Arial" w:cs="Arial"/>
          <w:b/>
          <w:color w:val="000000"/>
          <w:sz w:val="20"/>
        </w:rPr>
        <w:t xml:space="preserve">A. </w:t>
      </w:r>
      <w:r>
        <w:rPr>
          <w:rFonts w:ascii="Arial" w:eastAsia="Arial" w:hAnsi="Arial" w:cs="Arial"/>
          <w:b/>
          <w:i/>
          <w:color w:val="000000"/>
          <w:sz w:val="20"/>
        </w:rPr>
        <w:t>Applicable Law</w:t>
      </w:r>
    </w:p>
    <w:p w14:paraId="6CF56665" w14:textId="77777777" w:rsidR="002D0E71" w:rsidRDefault="00000000">
      <w:pPr>
        <w:pStyle w:val="Normal42"/>
        <w:widowControl w:val="0"/>
        <w:spacing w:before="200" w:line="260" w:lineRule="atLeast"/>
        <w:jc w:val="both"/>
      </w:pPr>
      <w:bookmarkStart w:id="6306" w:name="Bookmark_para_31_23"/>
      <w:bookmarkStart w:id="6307" w:name="Bookmark_I5CBNK7K2HM6HF0020000400"/>
      <w:bookmarkStart w:id="6308" w:name="Bookmark_LNHNREFclscc4_35"/>
      <w:bookmarkEnd w:id="6306"/>
      <w:bookmarkEnd w:id="6307"/>
      <w:bookmarkEnd w:id="6308"/>
      <w:r>
        <w:rPr>
          <w:rFonts w:ascii="Arial" w:eastAsia="Arial" w:hAnsi="Arial" w:cs="Arial"/>
          <w:color w:val="000000"/>
          <w:sz w:val="20"/>
        </w:rPr>
        <w:t xml:space="preserve">"We review an order granting summary judgment </w:t>
      </w:r>
      <w:r>
        <w:rPr>
          <w:rFonts w:ascii="Arial" w:eastAsia="Arial" w:hAnsi="Arial" w:cs="Arial"/>
          <w:i/>
          <w:color w:val="000000"/>
          <w:sz w:val="20"/>
        </w:rPr>
        <w:t>de novo</w:t>
      </w:r>
      <w:r>
        <w:rPr>
          <w:rFonts w:ascii="Arial" w:eastAsia="Arial" w:hAnsi="Arial" w:cs="Arial"/>
          <w:color w:val="000000"/>
          <w:sz w:val="20"/>
        </w:rPr>
        <w:t xml:space="preserve"> and resolve all ambiguities and draw all permissible factual inferences in favor of the party against whom summary judgment is sought." </w:t>
      </w:r>
      <w:bookmarkStart w:id="6309" w:name="Bookmark_I5CBNK7K2HM6HF0010000400"/>
      <w:bookmarkEnd w:id="6309"/>
      <w:r>
        <w:rPr>
          <w:rFonts w:ascii="Arial" w:eastAsia="Arial" w:hAnsi="Arial" w:cs="Arial"/>
          <w:i/>
          <w:color w:val="000000"/>
          <w:sz w:val="20"/>
        </w:rPr>
        <w:t>Lederman v. New York City Dep't of Parks &amp; Recreation</w:t>
      </w:r>
      <w:r>
        <w:rPr>
          <w:rFonts w:ascii="Arial" w:eastAsia="Arial" w:hAnsi="Arial" w:cs="Arial"/>
          <w:color w:val="000000"/>
          <w:sz w:val="20"/>
        </w:rPr>
        <w:t>, 731 F.3d 199, 202 (2d Cir. 2013) (internal quotation marks and alterations omitted).</w:t>
      </w:r>
    </w:p>
    <w:p w14:paraId="1D662B34" w14:textId="77777777" w:rsidR="002D0E71" w:rsidRDefault="00000000">
      <w:pPr>
        <w:pStyle w:val="Normal42"/>
        <w:widowControl w:val="0"/>
        <w:spacing w:before="200" w:line="260" w:lineRule="atLeast"/>
        <w:jc w:val="both"/>
      </w:pPr>
      <w:bookmarkStart w:id="6310" w:name="Bookmark_para_32_22"/>
      <w:bookmarkStart w:id="6311" w:name="Bookmark_I5CBNK7K2HM6HF0040000400"/>
      <w:bookmarkStart w:id="6312" w:name="Bookmark_LNHNREFclscc5_35"/>
      <w:bookmarkEnd w:id="6310"/>
      <w:bookmarkEnd w:id="6311"/>
      <w:bookmarkEnd w:id="6312"/>
      <w:r>
        <w:rPr>
          <w:rFonts w:ascii="Arial" w:eastAsia="Arial" w:hAnsi="Arial" w:cs="Arial"/>
          <w:color w:val="000000"/>
          <w:sz w:val="20"/>
        </w:rPr>
        <w:t xml:space="preserve">We review a district court's decision to award injunctive relief for abuse of discretion. </w:t>
      </w:r>
      <w:r>
        <w:rPr>
          <w:rFonts w:ascii="Arial" w:eastAsia="Arial" w:hAnsi="Arial" w:cs="Arial"/>
          <w:i/>
          <w:color w:val="000000"/>
          <w:sz w:val="20"/>
        </w:rPr>
        <w:t xml:space="preserve">See </w:t>
      </w:r>
      <w:bookmarkStart w:id="6313" w:name="Bookmark_I5CBNK7K2HM6HF0030000400"/>
      <w:bookmarkEnd w:id="6313"/>
      <w:r>
        <w:rPr>
          <w:rFonts w:ascii="Arial" w:eastAsia="Arial" w:hAnsi="Arial" w:cs="Arial"/>
          <w:i/>
          <w:color w:val="000000"/>
          <w:sz w:val="20"/>
        </w:rPr>
        <w:t>Henrietta D. v. Bloomberg</w:t>
      </w:r>
      <w:r>
        <w:rPr>
          <w:rFonts w:ascii="Arial" w:eastAsia="Arial" w:hAnsi="Arial" w:cs="Arial"/>
          <w:color w:val="000000"/>
          <w:sz w:val="20"/>
        </w:rPr>
        <w:t>, 331 F.3d 261, 290 (2d Cir. 2003).</w:t>
      </w:r>
    </w:p>
    <w:p w14:paraId="73941CC4" w14:textId="77777777" w:rsidR="002D0E71" w:rsidRDefault="00000000">
      <w:pPr>
        <w:pStyle w:val="Normal42"/>
        <w:widowControl w:val="0"/>
        <w:spacing w:before="240" w:line="260" w:lineRule="atLeast"/>
      </w:pPr>
      <w:r>
        <w:br/>
      </w:r>
      <w:r>
        <w:rPr>
          <w:rFonts w:ascii="Arial" w:eastAsia="Arial" w:hAnsi="Arial" w:cs="Arial"/>
          <w:b/>
          <w:color w:val="000000"/>
          <w:sz w:val="20"/>
        </w:rPr>
        <w:t xml:space="preserve">1. </w:t>
      </w:r>
      <w:r>
        <w:rPr>
          <w:rFonts w:ascii="Arial" w:eastAsia="Arial" w:hAnsi="Arial" w:cs="Arial"/>
          <w:b/>
          <w:i/>
          <w:color w:val="000000"/>
          <w:sz w:val="20"/>
        </w:rPr>
        <w:t>Section 504 of the Rehabilitation Act and Title II of the ADA</w:t>
      </w:r>
    </w:p>
    <w:p w14:paraId="142071DC" w14:textId="77777777" w:rsidR="002D0E71" w:rsidRDefault="00000000">
      <w:pPr>
        <w:pStyle w:val="Normal42"/>
        <w:widowControl w:val="0"/>
        <w:spacing w:before="200" w:line="260" w:lineRule="atLeast"/>
        <w:jc w:val="both"/>
      </w:pPr>
      <w:bookmarkStart w:id="6314" w:name="Bookmark_para_33_21"/>
      <w:bookmarkStart w:id="6315" w:name="Bookmark_I5CBNK7K2N1R3P0010000400"/>
      <w:bookmarkEnd w:id="6314"/>
      <w:bookmarkEnd w:id="6315"/>
      <w:r>
        <w:rPr>
          <w:rFonts w:ascii="Arial" w:eastAsia="Arial" w:hAnsi="Arial" w:cs="Arial"/>
          <w:color w:val="000000"/>
          <w:sz w:val="20"/>
        </w:rPr>
        <w:t>Section 504  [**17] </w:t>
      </w:r>
      <w:bookmarkStart w:id="6316" w:name="Bookmark_LNHNREFclscc6_34"/>
      <w:bookmarkEnd w:id="6316"/>
      <w:r>
        <w:rPr>
          <w:rFonts w:ascii="Arial" w:eastAsia="Arial" w:hAnsi="Arial" w:cs="Arial"/>
          <w:color w:val="000000"/>
          <w:sz w:val="20"/>
        </w:rPr>
        <w:t xml:space="preserve">of the Rehabilitation Act "prohibits programs and activities receiving federal financial assistance from excluding, denying benefits to, or discriminating against 'otherwise qualified'" individuals with a disability. </w:t>
      </w:r>
      <w:bookmarkStart w:id="6317" w:name="Bookmark_I5CBNK7K2N1R3P0030000400"/>
      <w:bookmarkStart w:id="6318" w:name="Bookmark_I5CBNK7K2HM6HF0050000400"/>
      <w:bookmarkEnd w:id="6317"/>
      <w:bookmarkEnd w:id="6318"/>
      <w:r>
        <w:rPr>
          <w:rFonts w:ascii="Arial" w:eastAsia="Arial" w:hAnsi="Arial" w:cs="Arial"/>
          <w:i/>
          <w:color w:val="000000"/>
          <w:sz w:val="20"/>
        </w:rPr>
        <w:t>McElwee v. Cnty. of Orange</w:t>
      </w:r>
      <w:r>
        <w:rPr>
          <w:rFonts w:ascii="Arial" w:eastAsia="Arial" w:hAnsi="Arial" w:cs="Arial"/>
          <w:color w:val="000000"/>
          <w:sz w:val="20"/>
        </w:rPr>
        <w:t xml:space="preserve">, 700 F.3d 635, 640 (2d Cir. 2012) (quoting 29 U.S.C. § 794(a)). Title II of the ADA likewise provides that "no qualified individual with a disability shall, by reason of such disability, be excluded from participation in or be denied the benefits of the services, programs, or activities of a public entity, or be subjected to discrimination by any such entity." 42 U.S.C. § 12132. </w:t>
      </w:r>
      <w:bookmarkStart w:id="6319" w:name="Bookmark_I5CBNK7K2N1R3P0030000400_2"/>
      <w:bookmarkEnd w:id="6319"/>
      <w:r>
        <w:rPr>
          <w:rFonts w:ascii="Arial" w:eastAsia="Arial" w:hAnsi="Arial" w:cs="Arial"/>
          <w:color w:val="000000"/>
          <w:sz w:val="20"/>
        </w:rPr>
        <w:t xml:space="preserve">As the "standards adopted by the two statutes are nearly identical, we consider the merits of these claims together." </w:t>
      </w:r>
      <w:bookmarkStart w:id="6320" w:name="Bookmark_I5CBNK7K2N1R3P0020000400"/>
      <w:bookmarkEnd w:id="6320"/>
      <w:r>
        <w:rPr>
          <w:rFonts w:ascii="Arial" w:eastAsia="Arial" w:hAnsi="Arial" w:cs="Arial"/>
          <w:i/>
          <w:color w:val="000000"/>
          <w:sz w:val="20"/>
        </w:rPr>
        <w:t>McElwee</w:t>
      </w:r>
      <w:r>
        <w:rPr>
          <w:rFonts w:ascii="Arial" w:eastAsia="Arial" w:hAnsi="Arial" w:cs="Arial"/>
          <w:color w:val="000000"/>
          <w:sz w:val="20"/>
        </w:rPr>
        <w:t>, 700 F.3d at 640.</w:t>
      </w:r>
    </w:p>
    <w:p w14:paraId="3BBCB2B4" w14:textId="77777777" w:rsidR="002D0E71" w:rsidRDefault="00000000">
      <w:pPr>
        <w:pStyle w:val="Normal42"/>
        <w:widowControl w:val="0"/>
        <w:spacing w:before="200" w:line="260" w:lineRule="atLeast"/>
        <w:jc w:val="both"/>
      </w:pPr>
      <w:bookmarkStart w:id="6321" w:name="Bookmark_para_34_20"/>
      <w:bookmarkStart w:id="6322" w:name="Bookmark_LNHNREFclscc7_33"/>
      <w:bookmarkEnd w:id="6321"/>
      <w:bookmarkEnd w:id="6322"/>
      <w:r>
        <w:rPr>
          <w:rFonts w:ascii="Arial" w:eastAsia="Arial" w:hAnsi="Arial" w:cs="Arial"/>
          <w:color w:val="000000"/>
          <w:sz w:val="20"/>
        </w:rPr>
        <w:t>To establish a violation under Section 504 or Title II, a plaintiff must demonstrate that "(1) he is a qualified individual with a disability;</w:t>
      </w:r>
      <w:r>
        <w:rPr>
          <w:rFonts w:ascii="Arial" w:eastAsia="Arial" w:hAnsi="Arial" w:cs="Arial"/>
          <w:vertAlign w:val="superscript"/>
        </w:rPr>
        <w:footnoteReference w:customMarkFollows="1" w:id="260"/>
        <w:t>6</w:t>
      </w:r>
      <w:r>
        <w:rPr>
          <w:rFonts w:ascii="Arial" w:eastAsia="Arial" w:hAnsi="Arial" w:cs="Arial"/>
          <w:color w:val="000000"/>
          <w:sz w:val="20"/>
        </w:rPr>
        <w:t xml:space="preserve"> (2) the defendant is subject to one of the Acts; and (3) he was denied the opportunity to participate in or  [*197]  benefit from the defendant's services, programs, or activities, or was otherwise discriminated against by the defendant because of his disability." </w:t>
      </w:r>
      <w:r>
        <w:rPr>
          <w:rFonts w:ascii="Arial" w:eastAsia="Arial" w:hAnsi="Arial" w:cs="Arial"/>
          <w:i/>
          <w:color w:val="000000"/>
          <w:sz w:val="20"/>
        </w:rPr>
        <w:t>Id</w:t>
      </w:r>
      <w:r>
        <w:rPr>
          <w:rFonts w:ascii="Arial" w:eastAsia="Arial" w:hAnsi="Arial" w:cs="Arial"/>
          <w:color w:val="000000"/>
          <w:sz w:val="20"/>
        </w:rPr>
        <w:t>.</w:t>
      </w:r>
    </w:p>
    <w:p w14:paraId="51207C8E" w14:textId="77777777" w:rsidR="002D0E71" w:rsidRDefault="00000000">
      <w:pPr>
        <w:pStyle w:val="Normal42"/>
        <w:widowControl w:val="0"/>
        <w:spacing w:before="200" w:line="260" w:lineRule="atLeast"/>
        <w:jc w:val="both"/>
      </w:pPr>
      <w:bookmarkStart w:id="6325" w:name="Bookmark_para_35_20"/>
      <w:bookmarkStart w:id="6326" w:name="Bookmark_I0DPX6JTY00000BPVKF002KC"/>
      <w:bookmarkStart w:id="6327" w:name="Bookmark_I5CBNK7K2N1R3P0050000400"/>
      <w:bookmarkStart w:id="6328" w:name="Bookmark_LNHNREFclscc9_30"/>
      <w:bookmarkEnd w:id="6325"/>
      <w:bookmarkEnd w:id="6326"/>
      <w:bookmarkEnd w:id="6327"/>
      <w:bookmarkEnd w:id="6328"/>
      <w:r>
        <w:rPr>
          <w:rFonts w:ascii="Arial" w:eastAsia="Arial" w:hAnsi="Arial" w:cs="Arial"/>
          <w:color w:val="000000"/>
          <w:sz w:val="20"/>
        </w:rPr>
        <w:t xml:space="preserve">A public entity discriminates against a qualified individual with a disability when it fails to provide "meaningful access" to its benefits, programs, or services. </w:t>
      </w:r>
      <w:bookmarkStart w:id="6329" w:name="Bookmark_I5CBNK7K28T5360040000400"/>
      <w:bookmarkStart w:id="6330" w:name="Bookmark_I5CBNK7K2N1R3P0040000400"/>
      <w:bookmarkEnd w:id="6329"/>
      <w:bookmarkEnd w:id="6330"/>
      <w:r>
        <w:rPr>
          <w:rFonts w:ascii="Arial" w:eastAsia="Arial" w:hAnsi="Arial" w:cs="Arial"/>
          <w:i/>
          <w:color w:val="000000"/>
          <w:sz w:val="20"/>
        </w:rPr>
        <w:t>Id</w:t>
      </w:r>
      <w:r>
        <w:rPr>
          <w:rFonts w:ascii="Arial" w:eastAsia="Arial" w:hAnsi="Arial" w:cs="Arial"/>
          <w:color w:val="000000"/>
          <w:sz w:val="20"/>
        </w:rPr>
        <w:t xml:space="preserve">. at 641; </w:t>
      </w:r>
      <w:r>
        <w:rPr>
          <w:rFonts w:ascii="Arial" w:eastAsia="Arial" w:hAnsi="Arial" w:cs="Arial"/>
          <w:i/>
          <w:color w:val="000000"/>
          <w:sz w:val="20"/>
        </w:rPr>
        <w:t xml:space="preserve">accord </w:t>
      </w:r>
      <w:bookmarkStart w:id="6331" w:name="Bookmark_I5CBNK7K28T5360010000400"/>
      <w:bookmarkEnd w:id="6331"/>
      <w:r>
        <w:rPr>
          <w:rFonts w:ascii="Arial" w:eastAsia="Arial" w:hAnsi="Arial" w:cs="Arial"/>
          <w:i/>
          <w:color w:val="000000"/>
          <w:sz w:val="20"/>
        </w:rPr>
        <w:t>Henrietta D</w:t>
      </w:r>
      <w:r>
        <w:rPr>
          <w:rFonts w:ascii="Arial" w:eastAsia="Arial" w:hAnsi="Arial" w:cs="Arial"/>
          <w:color w:val="000000"/>
          <w:sz w:val="20"/>
        </w:rPr>
        <w:t xml:space="preserve">., 331 F.3d at 273. </w:t>
      </w:r>
      <w:bookmarkStart w:id="6332" w:name="Bookmark_I5CBNK7K28T5370010000400"/>
      <w:bookmarkEnd w:id="6332"/>
      <w:r>
        <w:rPr>
          <w:rFonts w:ascii="Arial" w:eastAsia="Arial" w:hAnsi="Arial" w:cs="Arial"/>
          <w:color w:val="000000"/>
          <w:sz w:val="20"/>
        </w:rPr>
        <w:t xml:space="preserve">Individuals may be deprived of meaningful access to public programs due to architectural barriers or a public entity's failure to modify existing facilities and practices. </w:t>
      </w:r>
      <w:bookmarkStart w:id="6333" w:name="Bookmark_I5CBNK7K28T5370010000400_2"/>
      <w:bookmarkStart w:id="6334" w:name="Bookmark_I5CBNK7K28T5360040000400_2"/>
      <w:bookmarkStart w:id="6335" w:name="Bookmark_I5CBNK7K28T5370030000400"/>
      <w:bookmarkEnd w:id="6333"/>
      <w:bookmarkEnd w:id="6334"/>
      <w:bookmarkEnd w:id="6335"/>
      <w:r>
        <w:rPr>
          <w:rFonts w:ascii="Arial" w:eastAsia="Arial" w:hAnsi="Arial" w:cs="Arial"/>
          <w:color w:val="000000"/>
          <w:sz w:val="20"/>
        </w:rPr>
        <w:t xml:space="preserve">Indeed, "elimination of architectural barriers was one of the central aims of the [Rehabilitation] Act." </w:t>
      </w:r>
      <w:bookmarkStart w:id="6336" w:name="Bookmark_I5CBNK7K28T5360030000400"/>
      <w:bookmarkEnd w:id="6336"/>
      <w:r>
        <w:rPr>
          <w:rFonts w:ascii="Arial" w:eastAsia="Arial" w:hAnsi="Arial" w:cs="Arial"/>
          <w:i/>
          <w:color w:val="000000"/>
          <w:sz w:val="20"/>
        </w:rPr>
        <w:t>Alexander v. Choate</w:t>
      </w:r>
      <w:r>
        <w:rPr>
          <w:rFonts w:ascii="Arial" w:eastAsia="Arial" w:hAnsi="Arial" w:cs="Arial"/>
          <w:color w:val="000000"/>
          <w:sz w:val="20"/>
        </w:rPr>
        <w:t xml:space="preserve">, 469 U.S. 287, 297, 105 S. Ct. 712, 83 L. Ed. 2d 661 (1985). </w:t>
      </w:r>
      <w:bookmarkStart w:id="6337" w:name="Bookmark_I5CBNK7K28T5370030000400_2"/>
      <w:bookmarkEnd w:id="6337"/>
      <w:r>
        <w:rPr>
          <w:rFonts w:ascii="Arial" w:eastAsia="Arial" w:hAnsi="Arial" w:cs="Arial"/>
          <w:color w:val="000000"/>
          <w:sz w:val="20"/>
        </w:rPr>
        <w:t>The purpose of Title II of the ADA reflects similar concerns.</w:t>
      </w:r>
      <w:r>
        <w:rPr>
          <w:rFonts w:ascii="Arial" w:eastAsia="Arial" w:hAnsi="Arial" w:cs="Arial"/>
          <w:vertAlign w:val="superscript"/>
        </w:rPr>
        <w:footnoteReference w:customMarkFollows="1" w:id="261"/>
        <w:t>7</w:t>
      </w:r>
      <w:r>
        <w:rPr>
          <w:rFonts w:ascii="Arial" w:eastAsia="Arial" w:hAnsi="Arial" w:cs="Arial"/>
          <w:color w:val="000000"/>
          <w:sz w:val="20"/>
        </w:rPr>
        <w:t xml:space="preserve"> Specifically, </w:t>
      </w:r>
      <w:bookmarkStart w:id="6340" w:name="Bookmark_LNHNREFclscc10_30"/>
      <w:bookmarkEnd w:id="6340"/>
      <w:r>
        <w:rPr>
          <w:rFonts w:ascii="Arial" w:eastAsia="Arial" w:hAnsi="Arial" w:cs="Arial"/>
          <w:color w:val="000000"/>
          <w:sz w:val="20"/>
        </w:rPr>
        <w:t xml:space="preserve">"[r]ecognizing that failure to accommodate persons with disabilities will often have the same practical effect as outright exclusion, Congress required the States to take reasonable measures to remove architectural and other barriers to accessibility." </w:t>
      </w:r>
      <w:bookmarkStart w:id="6341" w:name="Bookmark_I5CBNK7K28T5360050000400"/>
      <w:bookmarkEnd w:id="6341"/>
      <w:r>
        <w:rPr>
          <w:rFonts w:ascii="Arial" w:eastAsia="Arial" w:hAnsi="Arial" w:cs="Arial"/>
          <w:i/>
          <w:color w:val="000000"/>
          <w:sz w:val="20"/>
        </w:rPr>
        <w:t>Tennessee v. Lane</w:t>
      </w:r>
      <w:r>
        <w:rPr>
          <w:rFonts w:ascii="Arial" w:eastAsia="Arial" w:hAnsi="Arial" w:cs="Arial"/>
          <w:color w:val="000000"/>
          <w:sz w:val="20"/>
        </w:rPr>
        <w:t xml:space="preserve">, 541 U.S. 509, 531, 124 S. Ct. 1978, 158 L. Ed. 2d 820 (2004). </w:t>
      </w:r>
      <w:bookmarkStart w:id="6342" w:name="Bookmark_I5CBNK7K28T5370030000400_3"/>
      <w:bookmarkEnd w:id="6342"/>
      <w:r>
        <w:rPr>
          <w:rFonts w:ascii="Arial" w:eastAsia="Arial" w:hAnsi="Arial" w:cs="Arial"/>
          <w:color w:val="000000"/>
          <w:sz w:val="20"/>
        </w:rPr>
        <w:t> [**19] DOJ's implementing regulations explicitly prohibit a public entity from denying individuals with disabilities access to its services because its "facilities are inaccessible to or unusable by [such individuals]." 28 C.F.R. § 35.149.</w:t>
      </w:r>
      <w:r>
        <w:rPr>
          <w:rFonts w:ascii="Arial" w:eastAsia="Arial" w:hAnsi="Arial" w:cs="Arial"/>
          <w:vertAlign w:val="superscript"/>
        </w:rPr>
        <w:footnoteReference w:customMarkFollows="1" w:id="262"/>
        <w:t>8</w:t>
      </w:r>
      <w:r>
        <w:rPr>
          <w:rFonts w:ascii="Arial" w:eastAsia="Arial" w:hAnsi="Arial" w:cs="Arial"/>
          <w:color w:val="000000"/>
          <w:sz w:val="20"/>
        </w:rPr>
        <w:t xml:space="preserve"> Accordingly, public entities "shall operate each service, program, or activity, so that the service, program, or activity, when viewed in its entirety, is readily accessible to and usable by individuals with disabilities." </w:t>
      </w:r>
      <w:r>
        <w:rPr>
          <w:rFonts w:ascii="Arial" w:eastAsia="Arial" w:hAnsi="Arial" w:cs="Arial"/>
          <w:i/>
          <w:color w:val="000000"/>
          <w:sz w:val="20"/>
        </w:rPr>
        <w:t>Id</w:t>
      </w:r>
      <w:r>
        <w:rPr>
          <w:rFonts w:ascii="Arial" w:eastAsia="Arial" w:hAnsi="Arial" w:cs="Arial"/>
          <w:color w:val="000000"/>
          <w:sz w:val="20"/>
        </w:rPr>
        <w:t>. § 35.150(a).</w:t>
      </w:r>
    </w:p>
    <w:p w14:paraId="66573344" w14:textId="77777777" w:rsidR="002D0E71" w:rsidRDefault="00000000">
      <w:pPr>
        <w:pStyle w:val="Normal42"/>
        <w:widowControl w:val="0"/>
        <w:spacing w:before="200" w:line="260" w:lineRule="atLeast"/>
        <w:jc w:val="both"/>
      </w:pPr>
      <w:bookmarkStart w:id="6345" w:name="Bookmark_para_36_20"/>
      <w:bookmarkStart w:id="6346" w:name="Bookmark_I5CBNK7K28T5370050000400"/>
      <w:bookmarkStart w:id="6347" w:name="Bookmark_I5CBNK7K2SF7T60020000400"/>
      <w:bookmarkStart w:id="6348" w:name="Bookmark_LNHNREFclscc12_22"/>
      <w:bookmarkEnd w:id="6345"/>
      <w:bookmarkEnd w:id="6346"/>
      <w:bookmarkEnd w:id="6347"/>
      <w:bookmarkEnd w:id="6348"/>
      <w:r>
        <w:rPr>
          <w:rFonts w:ascii="Arial" w:eastAsia="Arial" w:hAnsi="Arial" w:cs="Arial"/>
          <w:color w:val="000000"/>
          <w:sz w:val="20"/>
        </w:rPr>
        <w:t xml:space="preserve">To assure meaningful access, "reasonable accommodations  [**20] in the grantee's program . . . may have to be made." </w:t>
      </w:r>
      <w:bookmarkStart w:id="6349" w:name="Bookmark_I5CBNK7K28T5370040000400"/>
      <w:bookmarkEnd w:id="6349"/>
      <w:r>
        <w:rPr>
          <w:rFonts w:ascii="Arial" w:eastAsia="Arial" w:hAnsi="Arial" w:cs="Arial"/>
          <w:i/>
          <w:color w:val="000000"/>
          <w:sz w:val="20"/>
        </w:rPr>
        <w:t>Henrietta D</w:t>
      </w:r>
      <w:r>
        <w:rPr>
          <w:rFonts w:ascii="Arial" w:eastAsia="Arial" w:hAnsi="Arial" w:cs="Arial"/>
          <w:color w:val="000000"/>
          <w:sz w:val="20"/>
        </w:rPr>
        <w:t xml:space="preserve">., 331 F.3d at 273 (internal quotation marks omitted). </w:t>
      </w:r>
      <w:bookmarkStart w:id="6350" w:name="Bookmark_I0DPX6JV42V000BPVKF002KD"/>
      <w:bookmarkStart w:id="6351" w:name="Bookmark_I5CBNK7K2SF7T60040000400"/>
      <w:bookmarkEnd w:id="6350"/>
      <w:bookmarkEnd w:id="6351"/>
      <w:r>
        <w:rPr>
          <w:rFonts w:ascii="Arial" w:eastAsia="Arial" w:hAnsi="Arial" w:cs="Arial"/>
          <w:color w:val="000000"/>
          <w:sz w:val="20"/>
        </w:rPr>
        <w:t xml:space="preserve">Of course, a public entity does not need to "employ any and all means to make" services accessible. </w:t>
      </w:r>
      <w:bookmarkStart w:id="6352" w:name="Bookmark_I5CBNK7K2SF7T60010000400"/>
      <w:bookmarkEnd w:id="6352"/>
      <w:r>
        <w:rPr>
          <w:rFonts w:ascii="Arial" w:eastAsia="Arial" w:hAnsi="Arial" w:cs="Arial"/>
          <w:i/>
          <w:color w:val="000000"/>
          <w:sz w:val="20"/>
        </w:rPr>
        <w:t>Lane</w:t>
      </w:r>
      <w:r>
        <w:rPr>
          <w:rFonts w:ascii="Arial" w:eastAsia="Arial" w:hAnsi="Arial" w:cs="Arial"/>
          <w:color w:val="000000"/>
          <w:sz w:val="20"/>
        </w:rPr>
        <w:t xml:space="preserve">, 541 U.S. at 531-32. </w:t>
      </w:r>
      <w:bookmarkStart w:id="6353" w:name="Bookmark_I5CBNK7K2SF7T60040000400_2"/>
      <w:bookmarkEnd w:id="6353"/>
      <w:r>
        <w:rPr>
          <w:rFonts w:ascii="Arial" w:eastAsia="Arial" w:hAnsi="Arial" w:cs="Arial"/>
          <w:color w:val="000000"/>
          <w:sz w:val="20"/>
        </w:rPr>
        <w:t xml:space="preserve">Instead, the Acts "require[ ] only reasonable modifications that would not fundamentally alter the nature of the service provided," or "impose an undue financial or administrative burden." </w:t>
      </w:r>
      <w:bookmarkStart w:id="6354" w:name="Bookmark_I5CBNK7K2SF7T60030000400"/>
      <w:bookmarkEnd w:id="6354"/>
      <w:r>
        <w:rPr>
          <w:rFonts w:ascii="Arial" w:eastAsia="Arial" w:hAnsi="Arial" w:cs="Arial"/>
          <w:i/>
          <w:color w:val="000000"/>
          <w:sz w:val="20"/>
        </w:rPr>
        <w:t>Id</w:t>
      </w:r>
      <w:r>
        <w:rPr>
          <w:rFonts w:ascii="Arial" w:eastAsia="Arial" w:hAnsi="Arial" w:cs="Arial"/>
          <w:color w:val="000000"/>
          <w:sz w:val="20"/>
        </w:rPr>
        <w:t xml:space="preserve">. at 532 (internal quotation marks omitted); </w:t>
      </w:r>
      <w:r>
        <w:rPr>
          <w:rFonts w:ascii="Arial" w:eastAsia="Arial" w:hAnsi="Arial" w:cs="Arial"/>
          <w:i/>
          <w:color w:val="000000"/>
          <w:sz w:val="20"/>
        </w:rPr>
        <w:t xml:space="preserve">see also </w:t>
      </w:r>
      <w:bookmarkStart w:id="6355" w:name="Bookmark_I5CBNK7K2SF7T60050000400"/>
      <w:bookmarkEnd w:id="6355"/>
      <w:r>
        <w:rPr>
          <w:rFonts w:ascii="Arial" w:eastAsia="Arial" w:hAnsi="Arial" w:cs="Arial"/>
          <w:i/>
          <w:color w:val="000000"/>
          <w:sz w:val="20"/>
        </w:rPr>
        <w:t>Henrietta D</w:t>
      </w:r>
      <w:r>
        <w:rPr>
          <w:rFonts w:ascii="Arial" w:eastAsia="Arial" w:hAnsi="Arial" w:cs="Arial"/>
          <w:color w:val="000000"/>
          <w:sz w:val="20"/>
        </w:rPr>
        <w:t>., 331 F.3d at 281.</w:t>
      </w:r>
    </w:p>
    <w:p w14:paraId="3A56B62F" w14:textId="77777777" w:rsidR="002D0E71" w:rsidRDefault="00000000">
      <w:pPr>
        <w:pStyle w:val="Normal42"/>
        <w:widowControl w:val="0"/>
        <w:spacing w:before="200" w:line="260" w:lineRule="atLeast"/>
        <w:jc w:val="both"/>
      </w:pPr>
      <w:bookmarkStart w:id="6356" w:name="Bookmark_para_37_20"/>
      <w:bookmarkStart w:id="6357" w:name="Bookmark_I5CBNK7K2SF7T70030000400"/>
      <w:bookmarkEnd w:id="6356"/>
      <w:bookmarkEnd w:id="6357"/>
      <w:r>
        <w:rPr>
          <w:rFonts w:ascii="Arial" w:eastAsia="Arial" w:hAnsi="Arial" w:cs="Arial"/>
          <w:color w:val="000000"/>
          <w:sz w:val="20"/>
        </w:rPr>
        <w:t xml:space="preserve">As the Supreme Court has recognized, </w:t>
      </w:r>
      <w:bookmarkStart w:id="6358" w:name="Bookmark_LNHNREFclscc13_19"/>
      <w:bookmarkEnd w:id="6358"/>
      <w:r>
        <w:rPr>
          <w:rFonts w:ascii="Arial" w:eastAsia="Arial" w:hAnsi="Arial" w:cs="Arial"/>
          <w:color w:val="000000"/>
          <w:sz w:val="20"/>
        </w:rPr>
        <w:t xml:space="preserve">Title II's implementing regulations provide a "number of ways" to satisfy the "reasonable modification requirement." </w:t>
      </w:r>
      <w:bookmarkStart w:id="6359" w:name="Bookmark_I5CBNK7K2SF7T70020000400"/>
      <w:bookmarkEnd w:id="6359"/>
      <w:r>
        <w:rPr>
          <w:rFonts w:ascii="Arial" w:eastAsia="Arial" w:hAnsi="Arial" w:cs="Arial"/>
          <w:i/>
          <w:color w:val="000000"/>
          <w:sz w:val="20"/>
        </w:rPr>
        <w:t>Lane</w:t>
      </w:r>
      <w:r>
        <w:rPr>
          <w:rFonts w:ascii="Arial" w:eastAsia="Arial" w:hAnsi="Arial" w:cs="Arial"/>
          <w:color w:val="000000"/>
          <w:sz w:val="20"/>
        </w:rPr>
        <w:t>, 541 U.S. at 532. For example, the regulations explain that "[a] public entity may comply with the [relevant] requirements . . . through such means as redesign or acquisition of equipment, reassignment of services to accessible buildings, assignment of aides to beneficiaries, . . . [and] alteration of existing facilities." 28 C.F.R. § 35.150(b)(1). Importantly, "[a] public entity is not required to make structural changes in existing facilities where other methods are effective in achieving compliance" with its obligations.  [**21] </w:t>
      </w:r>
      <w:r>
        <w:rPr>
          <w:rFonts w:ascii="Arial" w:eastAsia="Arial" w:hAnsi="Arial" w:cs="Arial"/>
          <w:i/>
          <w:color w:val="000000"/>
          <w:sz w:val="20"/>
        </w:rPr>
        <w:t>Id</w:t>
      </w:r>
      <w:r>
        <w:rPr>
          <w:rFonts w:ascii="Arial" w:eastAsia="Arial" w:hAnsi="Arial" w:cs="Arial"/>
          <w:color w:val="000000"/>
          <w:sz w:val="20"/>
        </w:rPr>
        <w:t xml:space="preserve">. Further, "[i]n choosing among available methods for meeting [accessibility] requirements, a public entity shall give priority to those methods that offer services, programs, and activities to qualified individuals [*198]  with disabilities in the most integrated setting appropriate." </w:t>
      </w:r>
      <w:r>
        <w:rPr>
          <w:rFonts w:ascii="Arial" w:eastAsia="Arial" w:hAnsi="Arial" w:cs="Arial"/>
          <w:i/>
          <w:color w:val="000000"/>
          <w:sz w:val="20"/>
        </w:rPr>
        <w:t>Id</w:t>
      </w:r>
      <w:r>
        <w:rPr>
          <w:rFonts w:ascii="Arial" w:eastAsia="Arial" w:hAnsi="Arial" w:cs="Arial"/>
          <w:color w:val="000000"/>
          <w:sz w:val="20"/>
        </w:rPr>
        <w:t>.</w:t>
      </w:r>
    </w:p>
    <w:p w14:paraId="2B97F3EE" w14:textId="77777777" w:rsidR="002D0E71" w:rsidRDefault="00000000">
      <w:pPr>
        <w:pStyle w:val="Normal42"/>
        <w:widowControl w:val="0"/>
        <w:spacing w:before="240" w:line="260" w:lineRule="atLeast"/>
      </w:pPr>
      <w:r>
        <w:br/>
      </w:r>
      <w:r>
        <w:rPr>
          <w:rFonts w:ascii="Arial" w:eastAsia="Arial" w:hAnsi="Arial" w:cs="Arial"/>
          <w:b/>
          <w:color w:val="000000"/>
          <w:sz w:val="20"/>
        </w:rPr>
        <w:t xml:space="preserve">2. </w:t>
      </w:r>
      <w:r>
        <w:rPr>
          <w:rFonts w:ascii="Arial" w:eastAsia="Arial" w:hAnsi="Arial" w:cs="Arial"/>
          <w:b/>
          <w:i/>
          <w:color w:val="000000"/>
          <w:sz w:val="20"/>
        </w:rPr>
        <w:t>Injunctive Relief</w:t>
      </w:r>
    </w:p>
    <w:p w14:paraId="7F75B68B" w14:textId="77777777" w:rsidR="002D0E71" w:rsidRDefault="00000000">
      <w:pPr>
        <w:pStyle w:val="Normal42"/>
        <w:widowControl w:val="0"/>
        <w:spacing w:before="200" w:line="260" w:lineRule="atLeast"/>
        <w:jc w:val="both"/>
      </w:pPr>
      <w:bookmarkStart w:id="6360" w:name="Bookmark_para_38_18"/>
      <w:bookmarkStart w:id="6361" w:name="Bookmark_I5CBNK7K2SF7T70050000400"/>
      <w:bookmarkStart w:id="6362" w:name="Bookmark_I5CBNK7K2D6NXP0020000400"/>
      <w:bookmarkStart w:id="6363" w:name="Bookmark_I5CBNK7K2D6NXP0040000400"/>
      <w:bookmarkStart w:id="6364" w:name="Bookmark_LNHNREFclscc14_14"/>
      <w:bookmarkEnd w:id="6360"/>
      <w:bookmarkEnd w:id="6361"/>
      <w:bookmarkEnd w:id="6362"/>
      <w:bookmarkEnd w:id="6363"/>
      <w:bookmarkEnd w:id="6364"/>
      <w:r>
        <w:rPr>
          <w:rFonts w:ascii="Arial" w:eastAsia="Arial" w:hAnsi="Arial" w:cs="Arial"/>
          <w:color w:val="000000"/>
          <w:sz w:val="20"/>
        </w:rPr>
        <w:t xml:space="preserve">"[A]bsent clear direction to the contrary by Congress, the federal courts have the power to award any appropriate relief in a cognizable cause of action brought pursuant to a federal statute." </w:t>
      </w:r>
      <w:bookmarkStart w:id="6365" w:name="Bookmark_I5CBNK7K2SF7T70040000400"/>
      <w:bookmarkEnd w:id="6365"/>
      <w:r>
        <w:rPr>
          <w:rFonts w:ascii="Arial" w:eastAsia="Arial" w:hAnsi="Arial" w:cs="Arial"/>
          <w:i/>
          <w:color w:val="000000"/>
          <w:sz w:val="20"/>
        </w:rPr>
        <w:t>Franklin v. Gwinnett Cnty. Pub. Schs</w:t>
      </w:r>
      <w:r>
        <w:rPr>
          <w:rFonts w:ascii="Arial" w:eastAsia="Arial" w:hAnsi="Arial" w:cs="Arial"/>
          <w:color w:val="000000"/>
          <w:sz w:val="20"/>
        </w:rPr>
        <w:t xml:space="preserve">., 503 U.S. 60, 70-71, 112 S. Ct. 1028, 117 L. Ed. 2d 208 (1992). If local authorities "fail in their affirmative obligations" under federal law, "the scope of a district court's equitable powers . . . is broad, for breadth and flexibility are inherent in equitable remedies." </w:t>
      </w:r>
      <w:bookmarkStart w:id="6366" w:name="Bookmark_I5CBNK7K2D6NXP0010000400"/>
      <w:bookmarkEnd w:id="6366"/>
      <w:r>
        <w:rPr>
          <w:rFonts w:ascii="Arial" w:eastAsia="Arial" w:hAnsi="Arial" w:cs="Arial"/>
          <w:i/>
          <w:color w:val="000000"/>
          <w:sz w:val="20"/>
        </w:rPr>
        <w:t>Swann v. Charlotte-Mecklenburg Bd. of Educ</w:t>
      </w:r>
      <w:r>
        <w:rPr>
          <w:rFonts w:ascii="Arial" w:eastAsia="Arial" w:hAnsi="Arial" w:cs="Arial"/>
          <w:color w:val="000000"/>
          <w:sz w:val="20"/>
        </w:rPr>
        <w:t xml:space="preserve">., 402 U.S. 1, 15, 91 S. Ct. 1267, 28 L. Ed. 2d 554 (1971). Indeed, a "district court has 'not merely the power but the duty to render a decree which will so far as possible eliminate the discriminatory effects of the past as well as bar like discrimination in the future.'" </w:t>
      </w:r>
      <w:bookmarkStart w:id="6367" w:name="Bookmark_I5CBNK7K2D6NXP0030000400"/>
      <w:bookmarkEnd w:id="6367"/>
      <w:r>
        <w:rPr>
          <w:rFonts w:ascii="Arial" w:eastAsia="Arial" w:hAnsi="Arial" w:cs="Arial"/>
          <w:i/>
          <w:color w:val="000000"/>
          <w:sz w:val="20"/>
        </w:rPr>
        <w:t>United States v. Yonkers Bd. of Educ</w:t>
      </w:r>
      <w:r>
        <w:rPr>
          <w:rFonts w:ascii="Arial" w:eastAsia="Arial" w:hAnsi="Arial" w:cs="Arial"/>
          <w:color w:val="000000"/>
          <w:sz w:val="20"/>
        </w:rPr>
        <w:t xml:space="preserve">., 837 F.2d 1181, 1236 (2d Cir. 1987) (quoting </w:t>
      </w:r>
      <w:bookmarkStart w:id="6368" w:name="Bookmark_I5CBNK7K2D6NXP0050000400"/>
      <w:bookmarkEnd w:id="6368"/>
      <w:r>
        <w:rPr>
          <w:rFonts w:ascii="Arial" w:eastAsia="Arial" w:hAnsi="Arial" w:cs="Arial"/>
          <w:i/>
          <w:color w:val="000000"/>
          <w:sz w:val="20"/>
        </w:rPr>
        <w:t>Louisiana v. United States</w:t>
      </w:r>
      <w:r>
        <w:rPr>
          <w:rFonts w:ascii="Arial" w:eastAsia="Arial" w:hAnsi="Arial" w:cs="Arial"/>
          <w:color w:val="000000"/>
          <w:sz w:val="20"/>
        </w:rPr>
        <w:t>, 380 U.S. 145, 154, 85 S. Ct. 817, 13 L. Ed. 2d 709 (1965)).</w:t>
      </w:r>
    </w:p>
    <w:p w14:paraId="61E8DE77" w14:textId="77777777" w:rsidR="002D0E71" w:rsidRDefault="00000000">
      <w:pPr>
        <w:pStyle w:val="Normal42"/>
        <w:widowControl w:val="0"/>
        <w:spacing w:before="200" w:line="260" w:lineRule="atLeast"/>
        <w:jc w:val="both"/>
      </w:pPr>
      <w:bookmarkStart w:id="6369" w:name="Bookmark_para_39_18"/>
      <w:bookmarkStart w:id="6370" w:name="Bookmark_I5CBNK7K2HM6HG0030000400"/>
      <w:bookmarkStart w:id="6371" w:name="Bookmark_I0DPX6JVG8J000BPVKF002KG"/>
      <w:bookmarkStart w:id="6372" w:name="Bookmark_I5CBNK7K2D6NXR0040000400"/>
      <w:bookmarkStart w:id="6373" w:name="Bookmark_I0DPX6JVM3P000BPVKF002KH"/>
      <w:bookmarkStart w:id="6374" w:name="Bookmark_I5CBNK7K2N1R3R0010000400"/>
      <w:bookmarkEnd w:id="6369"/>
      <w:bookmarkEnd w:id="6370"/>
      <w:bookmarkEnd w:id="6371"/>
      <w:bookmarkEnd w:id="6372"/>
      <w:bookmarkEnd w:id="6373"/>
      <w:bookmarkEnd w:id="6374"/>
      <w:r>
        <w:rPr>
          <w:rFonts w:ascii="Arial" w:eastAsia="Arial" w:hAnsi="Arial" w:cs="Arial"/>
          <w:color w:val="000000"/>
          <w:sz w:val="20"/>
        </w:rPr>
        <w:t xml:space="preserve">Although  [**22] the "'remedial powers of [a district court] must be adequate to the task, . . . they are not unlimited.'" </w:t>
      </w:r>
      <w:bookmarkStart w:id="6375" w:name="Bookmark_I5CBNK7K2HM6HG0020000400"/>
      <w:bookmarkEnd w:id="6375"/>
      <w:r>
        <w:rPr>
          <w:rFonts w:ascii="Arial" w:eastAsia="Arial" w:hAnsi="Arial" w:cs="Arial"/>
          <w:i/>
          <w:color w:val="000000"/>
          <w:sz w:val="20"/>
        </w:rPr>
        <w:t>Missouri v. Jenkins</w:t>
      </w:r>
      <w:r>
        <w:rPr>
          <w:rFonts w:ascii="Arial" w:eastAsia="Arial" w:hAnsi="Arial" w:cs="Arial"/>
          <w:color w:val="000000"/>
          <w:sz w:val="20"/>
        </w:rPr>
        <w:t xml:space="preserve">, 495 U.S. 33, 51, 110 S. Ct. 1651, 109 L. Ed. 2d 31 (1990) (quoting </w:t>
      </w:r>
      <w:bookmarkStart w:id="6376" w:name="Bookmark_I5CBNK7K2HM6HG0040000400"/>
      <w:bookmarkEnd w:id="6376"/>
      <w:r>
        <w:rPr>
          <w:rFonts w:ascii="Arial" w:eastAsia="Arial" w:hAnsi="Arial" w:cs="Arial"/>
          <w:i/>
          <w:color w:val="000000"/>
          <w:sz w:val="20"/>
        </w:rPr>
        <w:t>Whitcomb v. Chavis</w:t>
      </w:r>
      <w:r>
        <w:rPr>
          <w:rFonts w:ascii="Arial" w:eastAsia="Arial" w:hAnsi="Arial" w:cs="Arial"/>
          <w:color w:val="000000"/>
          <w:sz w:val="20"/>
        </w:rPr>
        <w:t xml:space="preserve">, 403 U.S. 124, 161, 91 S. Ct. 1858, 29 L. Ed. 2d 363 (1971)); </w:t>
      </w:r>
      <w:r>
        <w:rPr>
          <w:rFonts w:ascii="Arial" w:eastAsia="Arial" w:hAnsi="Arial" w:cs="Arial"/>
          <w:i/>
          <w:color w:val="000000"/>
          <w:sz w:val="20"/>
        </w:rPr>
        <w:t xml:space="preserve">see also </w:t>
      </w:r>
      <w:bookmarkStart w:id="6377" w:name="Bookmark_I5CBNK7K2D6NXR0010000400"/>
      <w:bookmarkEnd w:id="6377"/>
      <w:r>
        <w:rPr>
          <w:rFonts w:ascii="Arial" w:eastAsia="Arial" w:hAnsi="Arial" w:cs="Arial"/>
          <w:i/>
          <w:color w:val="000000"/>
          <w:sz w:val="20"/>
        </w:rPr>
        <w:t>Yonkers</w:t>
      </w:r>
      <w:r>
        <w:rPr>
          <w:rFonts w:ascii="Arial" w:eastAsia="Arial" w:hAnsi="Arial" w:cs="Arial"/>
          <w:color w:val="000000"/>
          <w:sz w:val="20"/>
        </w:rPr>
        <w:t xml:space="preserve">, 837 F.2d at 1235. A district court must "tailor [a] remedy to fit the nature and extent of the violation." </w:t>
      </w:r>
      <w:bookmarkStart w:id="6378" w:name="Bookmark_I5CBNK7K2D6NXR0030000400"/>
      <w:bookmarkEnd w:id="6378"/>
      <w:r>
        <w:rPr>
          <w:rFonts w:ascii="Arial" w:eastAsia="Arial" w:hAnsi="Arial" w:cs="Arial"/>
          <w:i/>
          <w:color w:val="000000"/>
          <w:sz w:val="20"/>
        </w:rPr>
        <w:t>Yonkers</w:t>
      </w:r>
      <w:r>
        <w:rPr>
          <w:rFonts w:ascii="Arial" w:eastAsia="Arial" w:hAnsi="Arial" w:cs="Arial"/>
          <w:color w:val="000000"/>
          <w:sz w:val="20"/>
        </w:rPr>
        <w:t xml:space="preserve">, 837 F.2d at 1235. Moreover, in accordance with principles of federalism, "one of the most important considerations governing the exercise of equitable power is a proper respect for the integrity and function of local government institutions." </w:t>
      </w:r>
      <w:bookmarkStart w:id="6379" w:name="Bookmark_I5CBNK7K2D6NXR0050000400"/>
      <w:bookmarkEnd w:id="6379"/>
      <w:r>
        <w:rPr>
          <w:rFonts w:ascii="Arial" w:eastAsia="Arial" w:hAnsi="Arial" w:cs="Arial"/>
          <w:i/>
          <w:color w:val="000000"/>
          <w:sz w:val="20"/>
        </w:rPr>
        <w:t>Jenkins</w:t>
      </w:r>
      <w:r>
        <w:rPr>
          <w:rFonts w:ascii="Arial" w:eastAsia="Arial" w:hAnsi="Arial" w:cs="Arial"/>
          <w:color w:val="000000"/>
          <w:sz w:val="20"/>
        </w:rPr>
        <w:t>, 495 U.S. at 51.</w:t>
      </w:r>
    </w:p>
    <w:p w14:paraId="3DAB71B1" w14:textId="77777777" w:rsidR="002D0E71" w:rsidRDefault="00000000">
      <w:pPr>
        <w:pStyle w:val="Normal42"/>
        <w:widowControl w:val="0"/>
        <w:spacing w:before="240" w:line="260" w:lineRule="atLeast"/>
      </w:pPr>
      <w:r>
        <w:br/>
      </w:r>
      <w:r>
        <w:rPr>
          <w:rFonts w:ascii="Arial" w:eastAsia="Arial" w:hAnsi="Arial" w:cs="Arial"/>
          <w:b/>
          <w:color w:val="000000"/>
          <w:sz w:val="20"/>
        </w:rPr>
        <w:t xml:space="preserve">B. </w:t>
      </w:r>
      <w:r>
        <w:rPr>
          <w:rFonts w:ascii="Arial" w:eastAsia="Arial" w:hAnsi="Arial" w:cs="Arial"/>
          <w:b/>
          <w:i/>
          <w:color w:val="000000"/>
          <w:sz w:val="20"/>
        </w:rPr>
        <w:t>Application</w:t>
      </w:r>
    </w:p>
    <w:p w14:paraId="753573CE" w14:textId="77777777" w:rsidR="002D0E71" w:rsidRDefault="00000000">
      <w:pPr>
        <w:pStyle w:val="Normal42"/>
        <w:widowControl w:val="0"/>
        <w:spacing w:before="200" w:line="260" w:lineRule="atLeast"/>
        <w:jc w:val="both"/>
      </w:pPr>
      <w:bookmarkStart w:id="6380" w:name="Bookmark_para_40_18"/>
      <w:bookmarkEnd w:id="6380"/>
      <w:r>
        <w:rPr>
          <w:rFonts w:ascii="Arial" w:eastAsia="Arial" w:hAnsi="Arial" w:cs="Arial"/>
          <w:color w:val="000000"/>
          <w:sz w:val="20"/>
        </w:rPr>
        <w:t>First, we consider whether BOE is liable under Section 504 and Title II for the systemic failure to provide meaningful access to individuals with disabilities. Second, we consider whether the remedial order was a proper exercise of the district court's discretion to grant equitable relief.</w:t>
      </w:r>
    </w:p>
    <w:p w14:paraId="1EA8A43E" w14:textId="77777777" w:rsidR="002D0E71" w:rsidRDefault="00000000">
      <w:pPr>
        <w:pStyle w:val="Normal42"/>
        <w:widowControl w:val="0"/>
        <w:spacing w:before="240" w:line="260" w:lineRule="atLeast"/>
      </w:pPr>
      <w:r>
        <w:br/>
      </w:r>
      <w:r>
        <w:rPr>
          <w:rFonts w:ascii="Arial" w:eastAsia="Arial" w:hAnsi="Arial" w:cs="Arial"/>
          <w:b/>
          <w:color w:val="000000"/>
          <w:sz w:val="20"/>
        </w:rPr>
        <w:t xml:space="preserve">1. </w:t>
      </w:r>
      <w:r>
        <w:rPr>
          <w:rFonts w:ascii="Arial" w:eastAsia="Arial" w:hAnsi="Arial" w:cs="Arial"/>
          <w:b/>
          <w:i/>
          <w:color w:val="000000"/>
          <w:sz w:val="20"/>
        </w:rPr>
        <w:t>Violations of Section 504 and Title II</w:t>
      </w:r>
    </w:p>
    <w:p w14:paraId="46B1A27C" w14:textId="77777777" w:rsidR="002D0E71" w:rsidRDefault="00000000">
      <w:pPr>
        <w:pStyle w:val="Normal42"/>
        <w:widowControl w:val="0"/>
        <w:spacing w:before="200" w:line="260" w:lineRule="atLeast"/>
        <w:jc w:val="both"/>
      </w:pPr>
      <w:bookmarkStart w:id="6381" w:name="Bookmark_para_41_17"/>
      <w:bookmarkEnd w:id="6381"/>
      <w:r>
        <w:rPr>
          <w:rFonts w:ascii="Arial" w:eastAsia="Arial" w:hAnsi="Arial" w:cs="Arial"/>
          <w:color w:val="000000"/>
          <w:sz w:val="20"/>
        </w:rPr>
        <w:t>BOE does not dispute that the voters plaintiffs represent are qualified individuals with disabilities or that it is a public entity that receives federal funding. It challenges only the district court's holding with respect to the third element of  [**23] a violation, whether plaintiffs were denied benefits or otherwise discriminated against because of their disabilities. Two inquiries are presented: First, whether BOE denies voters with mobility and vision disabilities meaningful access to its program and services; and second, whether BOE has failed to provide plaintiffs with a reasonable accommodation.</w:t>
      </w:r>
    </w:p>
    <w:p w14:paraId="27B33F39" w14:textId="77777777" w:rsidR="002D0E71" w:rsidRDefault="00000000">
      <w:pPr>
        <w:pStyle w:val="Normal42"/>
        <w:widowControl w:val="0"/>
        <w:spacing w:before="240" w:line="260" w:lineRule="atLeast"/>
      </w:pPr>
      <w:r>
        <w:br/>
      </w:r>
      <w:r>
        <w:rPr>
          <w:rFonts w:ascii="Arial" w:eastAsia="Arial" w:hAnsi="Arial" w:cs="Arial"/>
          <w:b/>
          <w:color w:val="000000"/>
          <w:sz w:val="20"/>
        </w:rPr>
        <w:t xml:space="preserve">a. </w:t>
      </w:r>
      <w:r>
        <w:rPr>
          <w:rFonts w:ascii="Arial" w:eastAsia="Arial" w:hAnsi="Arial" w:cs="Arial"/>
          <w:b/>
          <w:i/>
          <w:color w:val="000000"/>
          <w:sz w:val="20"/>
        </w:rPr>
        <w:t>Barriers to Meaningful Access</w:t>
      </w:r>
    </w:p>
    <w:p w14:paraId="228D2ED2" w14:textId="77777777" w:rsidR="002D0E71" w:rsidRDefault="00000000">
      <w:pPr>
        <w:pStyle w:val="Normal42"/>
        <w:widowControl w:val="0"/>
        <w:spacing w:before="200" w:line="260" w:lineRule="atLeast"/>
        <w:jc w:val="both"/>
      </w:pPr>
      <w:bookmarkStart w:id="6382" w:name="Bookmark_para_42_14"/>
      <w:bookmarkStart w:id="6383" w:name="Bookmark_I5CBNK7K2N1R3R0030000400"/>
      <w:bookmarkStart w:id="6384" w:name="Bookmark_I5CBNK7K28T5380040000400"/>
      <w:bookmarkEnd w:id="6382"/>
      <w:bookmarkEnd w:id="6383"/>
      <w:bookmarkEnd w:id="6384"/>
      <w:r>
        <w:rPr>
          <w:rFonts w:ascii="Arial" w:eastAsia="Arial" w:hAnsi="Arial" w:cs="Arial"/>
          <w:color w:val="000000"/>
          <w:sz w:val="20"/>
        </w:rPr>
        <w:t xml:space="preserve">As an initial matter, BOE contends that "[b]ecause plaintiffs cannot show that any voter has been deprived of the right to participate in an election as a result of barriers to accessibility at a poll site, plaintiffs' claims fail." Appellant's Br. at 30. </w:t>
      </w:r>
      <w:bookmarkStart w:id="6385" w:name="Bookmark_LNHNREFclscc15_12"/>
      <w:bookmarkEnd w:id="6385"/>
      <w:r>
        <w:rPr>
          <w:rFonts w:ascii="Arial" w:eastAsia="Arial" w:hAnsi="Arial" w:cs="Arial"/>
          <w:color w:val="000000"/>
          <w:sz w:val="20"/>
        </w:rPr>
        <w:t xml:space="preserve">Plaintiffs need not, however, prove that they have been disenfranchised or otherwise "completely prevented from enjoying a service, program, or activity" to establish discrimination under Section 504 or Title II. </w:t>
      </w:r>
      <w:bookmarkStart w:id="6386" w:name="Bookmark_I5CBNK7K2N1R3R0020000400"/>
      <w:bookmarkEnd w:id="6386"/>
      <w:r>
        <w:rPr>
          <w:rFonts w:ascii="Arial" w:eastAsia="Arial" w:hAnsi="Arial" w:cs="Arial"/>
          <w:i/>
          <w:color w:val="000000"/>
          <w:sz w:val="20"/>
        </w:rPr>
        <w:t>Shotz v. Cates</w:t>
      </w:r>
      <w:r>
        <w:rPr>
          <w:rFonts w:ascii="Arial" w:eastAsia="Arial" w:hAnsi="Arial" w:cs="Arial"/>
          <w:color w:val="000000"/>
          <w:sz w:val="20"/>
        </w:rPr>
        <w:t>, 256 F.3d 1077, 1080 (11th Cir. 2001).</w:t>
      </w:r>
      <w:r>
        <w:rPr>
          <w:rFonts w:ascii="Arial" w:eastAsia="Arial" w:hAnsi="Arial" w:cs="Arial"/>
          <w:vertAlign w:val="superscript"/>
        </w:rPr>
        <w:footnoteReference w:customMarkFollows="1" w:id="263"/>
        <w:t>9</w:t>
      </w:r>
      <w:r>
        <w:rPr>
          <w:rFonts w:ascii="Arial" w:eastAsia="Arial" w:hAnsi="Arial" w:cs="Arial"/>
          <w:color w:val="000000"/>
          <w:sz w:val="20"/>
        </w:rPr>
        <w:t xml:space="preserve"> Rather, plaintiffs must [*199]  show that BOE has failed to "provide[ ] [them] with meaningful access to the benefit that [it] offers." </w:t>
      </w:r>
      <w:bookmarkStart w:id="6390" w:name="Bookmark_I5CBNK7K2N1R3R0040000400"/>
      <w:bookmarkEnd w:id="6390"/>
      <w:r>
        <w:rPr>
          <w:rFonts w:ascii="Arial" w:eastAsia="Arial" w:hAnsi="Arial" w:cs="Arial"/>
          <w:i/>
          <w:color w:val="000000"/>
          <w:sz w:val="20"/>
        </w:rPr>
        <w:t>Choate</w:t>
      </w:r>
      <w:r>
        <w:rPr>
          <w:rFonts w:ascii="Arial" w:eastAsia="Arial" w:hAnsi="Arial" w:cs="Arial"/>
          <w:color w:val="000000"/>
          <w:sz w:val="20"/>
        </w:rPr>
        <w:t xml:space="preserve">, 469 U.S. at 301; </w:t>
      </w:r>
      <w:r>
        <w:rPr>
          <w:rFonts w:ascii="Arial" w:eastAsia="Arial" w:hAnsi="Arial" w:cs="Arial"/>
          <w:i/>
          <w:color w:val="000000"/>
          <w:sz w:val="20"/>
        </w:rPr>
        <w:t xml:space="preserve">see also </w:t>
      </w:r>
      <w:bookmarkStart w:id="6391" w:name="Bookmark_I5CBNK7K28T5380010000400"/>
      <w:bookmarkEnd w:id="6391"/>
      <w:r>
        <w:rPr>
          <w:rFonts w:ascii="Arial" w:eastAsia="Arial" w:hAnsi="Arial" w:cs="Arial"/>
          <w:i/>
          <w:color w:val="000000"/>
          <w:sz w:val="20"/>
        </w:rPr>
        <w:t>Henrietta D</w:t>
      </w:r>
      <w:r>
        <w:rPr>
          <w:rFonts w:ascii="Arial" w:eastAsia="Arial" w:hAnsi="Arial" w:cs="Arial"/>
          <w:color w:val="000000"/>
          <w:sz w:val="20"/>
        </w:rPr>
        <w:t>., 331 F.3d at 273 (explaining that the relevant inquiry is "whether those with disabilities are as a practical matter  [**24] able to access benefits to which they are legally entitled").</w:t>
      </w:r>
    </w:p>
    <w:p w14:paraId="1D4A0236" w14:textId="77777777" w:rsidR="002D0E71" w:rsidRDefault="00000000">
      <w:pPr>
        <w:pStyle w:val="Normal42"/>
        <w:widowControl w:val="0"/>
        <w:spacing w:before="200" w:line="260" w:lineRule="atLeast"/>
        <w:jc w:val="both"/>
      </w:pPr>
      <w:bookmarkStart w:id="6392" w:name="Bookmark_para_43_14"/>
      <w:bookmarkStart w:id="6393" w:name="Bookmark_I0DPX6JVT6J000BPVKF002KJ"/>
      <w:bookmarkStart w:id="6394" w:name="Bookmark_I0DPX6JW09D000BPVKF002KK"/>
      <w:bookmarkStart w:id="6395" w:name="Bookmark_I5CBNK7M2N1R400030000400"/>
      <w:bookmarkEnd w:id="6392"/>
      <w:bookmarkEnd w:id="6393"/>
      <w:bookmarkEnd w:id="6394"/>
      <w:bookmarkEnd w:id="6395"/>
      <w:r>
        <w:rPr>
          <w:rFonts w:ascii="Arial" w:eastAsia="Arial" w:hAnsi="Arial" w:cs="Arial"/>
          <w:color w:val="000000"/>
          <w:sz w:val="20"/>
        </w:rPr>
        <w:t xml:space="preserve">Here, the relevant benefit is the opportunity to fully participate in BOE's voting program. This includes the option to cast a private ballot on election days. </w:t>
      </w:r>
      <w:r>
        <w:rPr>
          <w:rFonts w:ascii="Arial" w:eastAsia="Arial" w:hAnsi="Arial" w:cs="Arial"/>
          <w:i/>
          <w:color w:val="000000"/>
          <w:sz w:val="20"/>
        </w:rPr>
        <w:t>See</w:t>
      </w:r>
      <w:r>
        <w:rPr>
          <w:rFonts w:ascii="Arial" w:eastAsia="Arial" w:hAnsi="Arial" w:cs="Arial"/>
          <w:color w:val="000000"/>
          <w:sz w:val="20"/>
        </w:rPr>
        <w:t xml:space="preserve"> N.Y. Elec. Law § 5-601. Indeed, to assume the benefit is anything less -- such as merely the opportunity to vote at some time and in some way -- would render meaningless the mandate that public entities may not "afford[ ] persons with disabilities services that are not equal to that afforded others." </w:t>
      </w:r>
      <w:bookmarkStart w:id="6396" w:name="Bookmark_I5CBNK7M2N1R400020000400"/>
      <w:bookmarkEnd w:id="6396"/>
      <w:r>
        <w:rPr>
          <w:rFonts w:ascii="Arial" w:eastAsia="Arial" w:hAnsi="Arial" w:cs="Arial"/>
          <w:i/>
          <w:color w:val="000000"/>
          <w:sz w:val="20"/>
        </w:rPr>
        <w:t>Henrietta D</w:t>
      </w:r>
      <w:r>
        <w:rPr>
          <w:rFonts w:ascii="Arial" w:eastAsia="Arial" w:hAnsi="Arial" w:cs="Arial"/>
          <w:color w:val="000000"/>
          <w:sz w:val="20"/>
        </w:rPr>
        <w:t xml:space="preserve">., 331 F.3d at 274 (internal quotation and citation omitted); </w:t>
      </w:r>
      <w:r>
        <w:rPr>
          <w:rFonts w:ascii="Arial" w:eastAsia="Arial" w:hAnsi="Arial" w:cs="Arial"/>
          <w:i/>
          <w:color w:val="000000"/>
          <w:sz w:val="20"/>
        </w:rPr>
        <w:t xml:space="preserve">see also </w:t>
      </w:r>
      <w:bookmarkStart w:id="6397" w:name="Bookmark_I5CBNK7M2N1R400040000400"/>
      <w:bookmarkEnd w:id="6397"/>
      <w:r>
        <w:rPr>
          <w:rFonts w:ascii="Arial" w:eastAsia="Arial" w:hAnsi="Arial" w:cs="Arial"/>
          <w:i/>
          <w:color w:val="000000"/>
          <w:sz w:val="20"/>
        </w:rPr>
        <w:t>Choate</w:t>
      </w:r>
      <w:r>
        <w:rPr>
          <w:rFonts w:ascii="Arial" w:eastAsia="Arial" w:hAnsi="Arial" w:cs="Arial"/>
          <w:color w:val="000000"/>
          <w:sz w:val="20"/>
        </w:rPr>
        <w:t>, 469 U.S. at 304 ("Section 504 seeks  [**25] to assure evenhanded treatment and the opportunity for handicapped individuals to participate in and benefit from programs receiving federal assistance.").</w:t>
      </w:r>
    </w:p>
    <w:p w14:paraId="3B4395E1" w14:textId="77777777" w:rsidR="002D0E71" w:rsidRDefault="00000000">
      <w:pPr>
        <w:pStyle w:val="Normal42"/>
        <w:widowControl w:val="0"/>
        <w:spacing w:before="200" w:line="260" w:lineRule="atLeast"/>
        <w:jc w:val="both"/>
      </w:pPr>
      <w:bookmarkStart w:id="6398" w:name="Bookmark_para_44_11"/>
      <w:bookmarkEnd w:id="6398"/>
      <w:r>
        <w:rPr>
          <w:rFonts w:ascii="Arial" w:eastAsia="Arial" w:hAnsi="Arial" w:cs="Arial"/>
          <w:color w:val="000000"/>
          <w:sz w:val="20"/>
        </w:rPr>
        <w:t>By designating inaccessible poll sites and failing to assure their accessibility through temporary equipment, procedures, and policies on election days, BOE denies plaintiffs meaningful access to its voting program. The surveys plaintiffs submitted show that year after year more than 80% of poll sites that are inspected contain at least one barrier that may prevent a person with a disability from accessing his or her assigned polling place.</w:t>
      </w:r>
      <w:r>
        <w:rPr>
          <w:rFonts w:ascii="Arial" w:eastAsia="Arial" w:hAnsi="Arial" w:cs="Arial"/>
          <w:vertAlign w:val="superscript"/>
        </w:rPr>
        <w:footnoteReference w:customMarkFollows="1" w:id="264"/>
        <w:t>10</w:t>
      </w:r>
      <w:r>
        <w:rPr>
          <w:rFonts w:ascii="Arial" w:eastAsia="Arial" w:hAnsi="Arial" w:cs="Arial"/>
          <w:color w:val="000000"/>
          <w:sz w:val="20"/>
        </w:rPr>
        <w:t xml:space="preserve"> As discussed above, these barriers include dangerous ramps at entrances deemed "accessible," inadequate signage directing voters with disabilities to accessible entrances or voting areas, blocked entryways or pathways, and inaccessible interior spaces inside voting areas.</w:t>
      </w:r>
    </w:p>
    <w:p w14:paraId="2AD99E6C" w14:textId="77777777" w:rsidR="002D0E71" w:rsidRDefault="00000000">
      <w:pPr>
        <w:pStyle w:val="Normal42"/>
        <w:widowControl w:val="0"/>
        <w:spacing w:before="200" w:line="260" w:lineRule="atLeast"/>
        <w:jc w:val="both"/>
      </w:pPr>
      <w:bookmarkStart w:id="6404" w:name="Bookmark_para_45_10"/>
      <w:bookmarkEnd w:id="6404"/>
      <w:r>
        <w:rPr>
          <w:rFonts w:ascii="Arial" w:eastAsia="Arial" w:hAnsi="Arial" w:cs="Arial"/>
          <w:color w:val="000000"/>
          <w:sz w:val="20"/>
        </w:rPr>
        <w:t>Deposition testimony confirms that barriers exist, as documented in the surveys, and explains the practical effects that the barriers have on individuals with disabilities. For example, as discussed above, McQuade, a voter who uses a wheelchair for mobility, was unable to enter and exit her polling site without assistance from [*200]  her husband because of a non-compliant ADA ramp, among other things. After this experience, McQuade testified that she was "afraid to go back to try and vote [at her assigned polling place] during subsequent elections," and therefore "decided it would be safer for [her] to use an absentee ballot" even though she would "prefer to vote alongside [her] neighbors and with [her] community." J.A. at 729. Similarly, Wolff, an individual who is legally blind, could not read and mark her ballot independently because her polling site failed to maintain workable BMD machines. These voters' experiences, as well as others, demonstrate that barriers at poll sites effectively preclude or deter individuals with disabilities from casting a private ballot on election days.</w:t>
      </w:r>
    </w:p>
    <w:p w14:paraId="799F6C39" w14:textId="77777777" w:rsidR="002D0E71" w:rsidRDefault="00000000">
      <w:pPr>
        <w:pStyle w:val="Normal42"/>
        <w:widowControl w:val="0"/>
        <w:spacing w:before="200" w:line="260" w:lineRule="atLeast"/>
        <w:jc w:val="both"/>
      </w:pPr>
      <w:bookmarkStart w:id="6405" w:name="Bookmark_para_46_9"/>
      <w:bookmarkStart w:id="6406" w:name="Bookmark_I5CBNK7M2HM6HR0030000400"/>
      <w:bookmarkEnd w:id="6405"/>
      <w:bookmarkEnd w:id="6406"/>
      <w:r>
        <w:rPr>
          <w:rFonts w:ascii="Arial" w:eastAsia="Arial" w:hAnsi="Arial" w:cs="Arial"/>
          <w:color w:val="000000"/>
          <w:sz w:val="20"/>
        </w:rPr>
        <w:t xml:space="preserve">Although McQuade and Wolff were ultimately able to cast their vote with the fortuitous assistance of  [**28] others, </w:t>
      </w:r>
      <w:bookmarkStart w:id="6407" w:name="Bookmark_LNHNREFclscc16_10"/>
      <w:bookmarkEnd w:id="6407"/>
      <w:r>
        <w:rPr>
          <w:rFonts w:ascii="Arial" w:eastAsia="Arial" w:hAnsi="Arial" w:cs="Arial"/>
          <w:color w:val="000000"/>
          <w:sz w:val="20"/>
        </w:rPr>
        <w:t xml:space="preserve">the purpose of the Rehabilitation Act is "to empower individuals with disabilities to maximize employment, economic self-sufficiency, </w:t>
      </w:r>
      <w:r>
        <w:rPr>
          <w:rFonts w:ascii="Arial" w:eastAsia="Arial" w:hAnsi="Arial" w:cs="Arial"/>
          <w:i/>
          <w:color w:val="000000"/>
          <w:sz w:val="20"/>
        </w:rPr>
        <w:t>independence</w:t>
      </w:r>
      <w:r>
        <w:rPr>
          <w:rFonts w:ascii="Arial" w:eastAsia="Arial" w:hAnsi="Arial" w:cs="Arial"/>
          <w:color w:val="000000"/>
          <w:sz w:val="20"/>
        </w:rPr>
        <w:t xml:space="preserve">, and inclusion and integration into society." 29 U.S.C. § 701(b)(1) (emphasis added). </w:t>
      </w:r>
      <w:bookmarkStart w:id="6408" w:name="Bookmark_I5CBNK7M2HM6HR0050000400"/>
      <w:bookmarkEnd w:id="6408"/>
      <w:r>
        <w:rPr>
          <w:rFonts w:ascii="Arial" w:eastAsia="Arial" w:hAnsi="Arial" w:cs="Arial"/>
          <w:color w:val="000000"/>
          <w:sz w:val="20"/>
        </w:rPr>
        <w:t xml:space="preserve">Indeed, as we have noted, "[i]t is not enough to open the door for the handicapped . . . ; a ramp must be built so that the door can be reached." </w:t>
      </w:r>
      <w:bookmarkStart w:id="6409" w:name="Bookmark_I5CBNK7M2HM6HR0020000400"/>
      <w:bookmarkEnd w:id="6409"/>
      <w:r>
        <w:rPr>
          <w:rFonts w:ascii="Arial" w:eastAsia="Arial" w:hAnsi="Arial" w:cs="Arial"/>
          <w:i/>
          <w:color w:val="000000"/>
          <w:sz w:val="20"/>
        </w:rPr>
        <w:t>Dopico v. Goldschmidt</w:t>
      </w:r>
      <w:r>
        <w:rPr>
          <w:rFonts w:ascii="Arial" w:eastAsia="Arial" w:hAnsi="Arial" w:cs="Arial"/>
          <w:color w:val="000000"/>
          <w:sz w:val="20"/>
        </w:rPr>
        <w:t xml:space="preserve">, 687 F.2d 644, 652 (2d Cir. 1982) (internal quotation marks omitted). The right to vote should not be contingent on the happenstance that others are available to help. BOE's services were not "readily accessible" to McQuade and Wolff, and, moreover, McQuade was deterred from appearing at her poll site in subsequent elections. </w:t>
      </w:r>
      <w:bookmarkStart w:id="6410" w:name="Bookmark_I5CBNK7M2HM6HR0050000400_2"/>
      <w:bookmarkEnd w:id="6410"/>
      <w:r>
        <w:rPr>
          <w:rFonts w:ascii="Arial" w:eastAsia="Arial" w:hAnsi="Arial" w:cs="Arial"/>
          <w:color w:val="000000"/>
          <w:sz w:val="20"/>
        </w:rPr>
        <w:t xml:space="preserve">As we have held, "deterrence constitutes an injury under the ADA." </w:t>
      </w:r>
      <w:bookmarkStart w:id="6411" w:name="Bookmark_I5CBNK7M2HM6HR0040000400"/>
      <w:bookmarkEnd w:id="6411"/>
      <w:r>
        <w:rPr>
          <w:rFonts w:ascii="Arial" w:eastAsia="Arial" w:hAnsi="Arial" w:cs="Arial"/>
          <w:i/>
          <w:color w:val="000000"/>
          <w:sz w:val="20"/>
        </w:rPr>
        <w:t>Kreisler v. Second Ave. Diner Corp</w:t>
      </w:r>
      <w:r>
        <w:rPr>
          <w:rFonts w:ascii="Arial" w:eastAsia="Arial" w:hAnsi="Arial" w:cs="Arial"/>
          <w:color w:val="000000"/>
          <w:sz w:val="20"/>
        </w:rPr>
        <w:t>., 731 F.3d 184, 188 (2d Cir. 2013).</w:t>
      </w:r>
    </w:p>
    <w:p w14:paraId="7407C27C" w14:textId="77777777" w:rsidR="002D0E71" w:rsidRDefault="00000000">
      <w:pPr>
        <w:pStyle w:val="Normal42"/>
        <w:widowControl w:val="0"/>
        <w:spacing w:before="200" w:line="260" w:lineRule="atLeast"/>
        <w:jc w:val="both"/>
      </w:pPr>
      <w:bookmarkStart w:id="6412" w:name="Bookmark_para_47_9"/>
      <w:bookmarkEnd w:id="6412"/>
      <w:r>
        <w:rPr>
          <w:rFonts w:ascii="Arial" w:eastAsia="Arial" w:hAnsi="Arial" w:cs="Arial"/>
          <w:color w:val="000000"/>
          <w:sz w:val="20"/>
        </w:rPr>
        <w:t>BOE does not offer evidence to create a genuine issue of material fact as to whether barriers to access exist. To the contrary, its own call incident logs and reports confirm the existence of these barriers.</w:t>
      </w:r>
    </w:p>
    <w:p w14:paraId="68BD11F2" w14:textId="77777777" w:rsidR="002D0E71" w:rsidRDefault="00000000">
      <w:pPr>
        <w:pStyle w:val="Normal42"/>
        <w:widowControl w:val="0"/>
        <w:spacing w:before="240" w:line="260" w:lineRule="atLeast"/>
      </w:pPr>
      <w:r>
        <w:br/>
      </w:r>
      <w:r>
        <w:rPr>
          <w:rFonts w:ascii="Arial" w:eastAsia="Arial" w:hAnsi="Arial" w:cs="Arial"/>
          <w:b/>
          <w:color w:val="000000"/>
          <w:sz w:val="20"/>
        </w:rPr>
        <w:t xml:space="preserve">b. </w:t>
      </w:r>
      <w:r>
        <w:rPr>
          <w:rFonts w:ascii="Arial" w:eastAsia="Arial" w:hAnsi="Arial" w:cs="Arial"/>
          <w:b/>
          <w:i/>
          <w:color w:val="000000"/>
          <w:sz w:val="20"/>
        </w:rPr>
        <w:t>Reasonable Accommodations</w:t>
      </w:r>
    </w:p>
    <w:p w14:paraId="38665758" w14:textId="77777777" w:rsidR="002D0E71" w:rsidRDefault="00000000">
      <w:pPr>
        <w:pStyle w:val="Normal42"/>
        <w:widowControl w:val="0"/>
        <w:spacing w:before="200" w:line="260" w:lineRule="atLeast"/>
        <w:jc w:val="both"/>
      </w:pPr>
      <w:bookmarkStart w:id="6413" w:name="Bookmark_para_48_9"/>
      <w:bookmarkEnd w:id="6413"/>
      <w:r>
        <w:rPr>
          <w:rFonts w:ascii="Arial" w:eastAsia="Arial" w:hAnsi="Arial" w:cs="Arial"/>
          <w:color w:val="000000"/>
          <w:sz w:val="20"/>
        </w:rPr>
        <w:t>Nevertheless, BOE argues that it is not liable under the Acts because (1) there are no alternative,  [**29] accessible facilities to serve as poll sites; (2) it already offers individuals with disabilities reasonable accommodation by transferring individuals from inaccessible to accessible polling sites; and (3) plaintiffs have not demonstrated that other reasonable accommodations exist. At their core, these arguments misunderstand BOE's affirmative obligations under the statutes and the nature of the accommodations that plaintiffs seek. Accordingly, they fail.</w:t>
      </w:r>
    </w:p>
    <w:p w14:paraId="49318A0F" w14:textId="77777777" w:rsidR="002D0E71" w:rsidRDefault="00000000">
      <w:pPr>
        <w:pStyle w:val="Normal42"/>
        <w:widowControl w:val="0"/>
        <w:spacing w:before="200" w:line="260" w:lineRule="atLeast"/>
        <w:jc w:val="both"/>
      </w:pPr>
      <w:bookmarkStart w:id="6414" w:name="Bookmark_para_49_9"/>
      <w:bookmarkStart w:id="6415" w:name="Bookmark_I5CBNK7M28T3TV0020000400"/>
      <w:bookmarkEnd w:id="6414"/>
      <w:bookmarkEnd w:id="6415"/>
      <w:r>
        <w:rPr>
          <w:rFonts w:ascii="Arial" w:eastAsia="Arial" w:hAnsi="Arial" w:cs="Arial"/>
          <w:color w:val="000000"/>
          <w:sz w:val="20"/>
        </w:rPr>
        <w:t>BOE claims that because "no alternative facility exists to serve as a poll site, there is no reasonable accommodation that can be made that would afford a qualified individual the ability to vote at his or her regularly assigned poll site."</w:t>
      </w:r>
      <w:r>
        <w:rPr>
          <w:rFonts w:ascii="Arial" w:eastAsia="Arial" w:hAnsi="Arial" w:cs="Arial"/>
          <w:vertAlign w:val="superscript"/>
        </w:rPr>
        <w:footnoteReference w:customMarkFollows="1" w:id="265"/>
        <w:t>11</w:t>
      </w:r>
      <w:r>
        <w:rPr>
          <w:rFonts w:ascii="Arial" w:eastAsia="Arial" w:hAnsi="Arial" w:cs="Arial"/>
          <w:color w:val="000000"/>
          <w:sz w:val="20"/>
        </w:rPr>
        <w:t xml:space="preserve"> Appellant's Br. at 38. Even assuming, however, that "there is no existing facility that is accessible, available, and meets the requirements to serve as a poll site," </w:t>
      </w:r>
      <w:r>
        <w:rPr>
          <w:rFonts w:ascii="Arial" w:eastAsia="Arial" w:hAnsi="Arial" w:cs="Arial"/>
          <w:i/>
          <w:color w:val="000000"/>
          <w:sz w:val="20"/>
        </w:rPr>
        <w:t>id</w:t>
      </w:r>
      <w:r>
        <w:rPr>
          <w:rFonts w:ascii="Arial" w:eastAsia="Arial" w:hAnsi="Arial" w:cs="Arial"/>
          <w:color w:val="000000"/>
          <w:sz w:val="20"/>
        </w:rPr>
        <w:t xml:space="preserve">. at 34, </w:t>
      </w:r>
      <w:bookmarkStart w:id="6418" w:name="Bookmark_LNHNREFclscc17_10"/>
      <w:bookmarkEnd w:id="6418"/>
      <w:r>
        <w:rPr>
          <w:rFonts w:ascii="Arial" w:eastAsia="Arial" w:hAnsi="Arial" w:cs="Arial"/>
          <w:color w:val="000000"/>
          <w:sz w:val="20"/>
        </w:rPr>
        <w:t xml:space="preserve">DOJ's regulations make clear that the inaccessibility of existing facilities is not an excuse, but rather, a circumstance that requires a public entity to take reasonable active steps to ensure compliance with its  [*201]  obligations under Section 504 and Title II. Indeed, to find that BOE's responsibilities end where the very  [**30] discriminatory effects of architectural and other barriers to access begin would not only frustrate the "clear and comprehensive national mandate for the elimination of discrimination against individuals with disabilities," </w:t>
      </w:r>
      <w:bookmarkStart w:id="6419" w:name="Bookmark_I5CBNK7M28T3TV0010000400"/>
      <w:bookmarkEnd w:id="6419"/>
      <w:r>
        <w:rPr>
          <w:rFonts w:ascii="Arial" w:eastAsia="Arial" w:hAnsi="Arial" w:cs="Arial"/>
          <w:i/>
          <w:color w:val="000000"/>
          <w:sz w:val="20"/>
        </w:rPr>
        <w:t>Henrietta D</w:t>
      </w:r>
      <w:r>
        <w:rPr>
          <w:rFonts w:ascii="Arial" w:eastAsia="Arial" w:hAnsi="Arial" w:cs="Arial"/>
          <w:color w:val="000000"/>
          <w:sz w:val="20"/>
        </w:rPr>
        <w:t>., 331 F.3d at 272 (quoting 42 U.S.C. § 12101(b)(1)), but directly contradict the purpose of the Acts. While we agree that BOE is not expected to "create poll sites out of whole cloth," Appellant's Br. at 34, it is required to operate its voting program so that "when viewed in its entirety, [the program] is readily accessible to . . . individuals with disabilities." 28 C.F.R. § 35.150(a).</w:t>
      </w:r>
    </w:p>
    <w:p w14:paraId="0C8A390B" w14:textId="77777777" w:rsidR="002D0E71" w:rsidRDefault="00000000">
      <w:pPr>
        <w:pStyle w:val="Normal42"/>
        <w:widowControl w:val="0"/>
        <w:spacing w:before="200" w:line="260" w:lineRule="atLeast"/>
        <w:jc w:val="both"/>
      </w:pPr>
      <w:bookmarkStart w:id="6420" w:name="Bookmark_para_50_8"/>
      <w:bookmarkEnd w:id="6420"/>
      <w:r>
        <w:rPr>
          <w:rFonts w:ascii="Arial" w:eastAsia="Arial" w:hAnsi="Arial" w:cs="Arial"/>
          <w:color w:val="000000"/>
          <w:sz w:val="20"/>
        </w:rPr>
        <w:t xml:space="preserve">The steps required by the Acts include  [**31] the very accommodations that plaintiffs propose -- providing accessibility equipment and ramps, assigning individuals to assist those with disabilities, and relocating services to accessible locations. </w:t>
      </w:r>
      <w:r>
        <w:rPr>
          <w:rFonts w:ascii="Arial" w:eastAsia="Arial" w:hAnsi="Arial" w:cs="Arial"/>
          <w:i/>
          <w:color w:val="000000"/>
          <w:sz w:val="20"/>
        </w:rPr>
        <w:t>Id</w:t>
      </w:r>
      <w:r>
        <w:rPr>
          <w:rFonts w:ascii="Arial" w:eastAsia="Arial" w:hAnsi="Arial" w:cs="Arial"/>
          <w:color w:val="000000"/>
          <w:sz w:val="20"/>
        </w:rPr>
        <w:t>. at § 35.150(b). Moreover, the barriers that plaintiffs' evidence documents -- for example, missing or improperly placed accessibility equipment and locked doors at otherwise accessible entrances -- reflect systemic problems with BOE's preparation and operation of poll sites that are distinct from BOE's obligation to designate readily-accessible facilities prior to an election day. Accordingly, the fact that BOE cannot find alternative, accessible facilities to serve as poll sites is the start, not the end, of our inquiry as to whether BOE is liable under the Acts.</w:t>
      </w:r>
      <w:r>
        <w:rPr>
          <w:rFonts w:ascii="Arial" w:eastAsia="Arial" w:hAnsi="Arial" w:cs="Arial"/>
          <w:vertAlign w:val="superscript"/>
        </w:rPr>
        <w:footnoteReference w:customMarkFollows="1" w:id="266"/>
        <w:t>12</w:t>
      </w:r>
    </w:p>
    <w:p w14:paraId="2DBB1B70" w14:textId="77777777" w:rsidR="002D0E71" w:rsidRDefault="00000000">
      <w:pPr>
        <w:pStyle w:val="Normal42"/>
        <w:widowControl w:val="0"/>
        <w:spacing w:before="200" w:line="260" w:lineRule="atLeast"/>
        <w:jc w:val="both"/>
      </w:pPr>
      <w:bookmarkStart w:id="6422" w:name="Bookmark_para_51_7"/>
      <w:bookmarkEnd w:id="6422"/>
      <w:r>
        <w:rPr>
          <w:rFonts w:ascii="Arial" w:eastAsia="Arial" w:hAnsi="Arial" w:cs="Arial"/>
          <w:color w:val="000000"/>
          <w:sz w:val="20"/>
        </w:rPr>
        <w:t xml:space="preserve">BOE next argues that it already provides reasonable accommodations for voters with disabilities by (1) reassigning these voters from inaccessible to accessible poll sites and (2) remedying barriers to access as they are made aware of them on election days. While we recognize that reassigning voters may constitute a reasonable accommodation under some circumstances, </w:t>
      </w:r>
      <w:r>
        <w:rPr>
          <w:rFonts w:ascii="Arial" w:eastAsia="Arial" w:hAnsi="Arial" w:cs="Arial"/>
          <w:i/>
          <w:color w:val="000000"/>
          <w:sz w:val="20"/>
        </w:rPr>
        <w:t>see</w:t>
      </w:r>
      <w:r>
        <w:rPr>
          <w:rFonts w:ascii="Arial" w:eastAsia="Arial" w:hAnsi="Arial" w:cs="Arial"/>
          <w:color w:val="000000"/>
          <w:sz w:val="20"/>
        </w:rPr>
        <w:t xml:space="preserve"> 28 C.F.R. § 35.150(b), there is nothing in the record to show that this accommodation provides meaningful access in the circumstances here.</w:t>
      </w:r>
      <w:r>
        <w:rPr>
          <w:rFonts w:ascii="Arial" w:eastAsia="Arial" w:hAnsi="Arial" w:cs="Arial"/>
          <w:vertAlign w:val="superscript"/>
        </w:rPr>
        <w:footnoteReference w:customMarkFollows="1" w:id="267"/>
        <w:t>13</w:t>
      </w:r>
      <w:r>
        <w:rPr>
          <w:rFonts w:ascii="Arial" w:eastAsia="Arial" w:hAnsi="Arial" w:cs="Arial"/>
          <w:color w:val="000000"/>
          <w:sz w:val="20"/>
        </w:rPr>
        <w:t xml:space="preserve"> Moreover, plaintiffs' evidence and BOE's own records confirm that BOE's </w:t>
      </w:r>
      <w:r>
        <w:rPr>
          <w:rFonts w:ascii="Arial" w:eastAsia="Arial" w:hAnsi="Arial" w:cs="Arial"/>
          <w:i/>
          <w:color w:val="000000"/>
          <w:sz w:val="20"/>
        </w:rPr>
        <w:t>ad hoc</w:t>
      </w:r>
      <w:r>
        <w:rPr>
          <w:rFonts w:ascii="Arial" w:eastAsia="Arial" w:hAnsi="Arial" w:cs="Arial"/>
          <w:color w:val="000000"/>
          <w:sz w:val="20"/>
        </w:rPr>
        <w:t xml:space="preserve"> policy of remedying barriers to access as they occur is inadequate, especially as BOE does not respond to many accessibility issues even after they are brought to its attention.</w:t>
      </w:r>
    </w:p>
    <w:p w14:paraId="7E185341" w14:textId="77777777" w:rsidR="002D0E71" w:rsidRDefault="00000000">
      <w:pPr>
        <w:pStyle w:val="Normal42"/>
        <w:widowControl w:val="0"/>
        <w:spacing w:before="200" w:line="260" w:lineRule="atLeast"/>
        <w:jc w:val="both"/>
      </w:pPr>
      <w:bookmarkStart w:id="6424" w:name="Bookmark_para_52_5"/>
      <w:bookmarkStart w:id="6425" w:name="Bookmark_I5CBNK7M28T3TV0040000400"/>
      <w:bookmarkEnd w:id="6424"/>
      <w:bookmarkEnd w:id="6425"/>
      <w:r>
        <w:rPr>
          <w:rFonts w:ascii="Arial" w:eastAsia="Arial" w:hAnsi="Arial" w:cs="Arial"/>
          <w:color w:val="000000"/>
          <w:sz w:val="20"/>
        </w:rPr>
        <w:t xml:space="preserve"> [*202]  Finally, BOE contends that plaintiffs' claims fail because they have not demonstrated that reasonable accommodations exist. Plaintiffs have, however, made a </w:t>
      </w:r>
      <w:r>
        <w:rPr>
          <w:rFonts w:ascii="Arial" w:eastAsia="Arial" w:hAnsi="Arial" w:cs="Arial"/>
          <w:i/>
          <w:color w:val="000000"/>
          <w:sz w:val="20"/>
        </w:rPr>
        <w:t>prima facie</w:t>
      </w:r>
      <w:r>
        <w:rPr>
          <w:rFonts w:ascii="Arial" w:eastAsia="Arial" w:hAnsi="Arial" w:cs="Arial"/>
          <w:color w:val="000000"/>
          <w:sz w:val="20"/>
        </w:rPr>
        <w:t xml:space="preserve"> showing that the relief they obtained -- the district court's remedial order, which was fashioned after BOE had multiple opportunities to be heard -- "represents an attempt at reasonable accommodation" that "at its core  [**34] orders [BOE] to perform its statutory [obligations], and imposes some procedural mechanisms designed to effectuate this goal," </w:t>
      </w:r>
      <w:bookmarkStart w:id="6426" w:name="Bookmark_I5CBNK7M28T3TV0030000400"/>
      <w:bookmarkEnd w:id="6426"/>
      <w:r>
        <w:rPr>
          <w:rFonts w:ascii="Arial" w:eastAsia="Arial" w:hAnsi="Arial" w:cs="Arial"/>
          <w:i/>
          <w:color w:val="000000"/>
          <w:sz w:val="20"/>
        </w:rPr>
        <w:t>Henrietta D</w:t>
      </w:r>
      <w:r>
        <w:rPr>
          <w:rFonts w:ascii="Arial" w:eastAsia="Arial" w:hAnsi="Arial" w:cs="Arial"/>
          <w:color w:val="000000"/>
          <w:sz w:val="20"/>
        </w:rPr>
        <w:t>., 331 F.3d at 280, as discussed below.</w:t>
      </w:r>
      <w:r>
        <w:rPr>
          <w:rFonts w:ascii="Arial" w:eastAsia="Arial" w:hAnsi="Arial" w:cs="Arial"/>
          <w:vertAlign w:val="superscript"/>
        </w:rPr>
        <w:footnoteReference w:customMarkFollows="1" w:id="268"/>
        <w:t>14</w:t>
      </w:r>
    </w:p>
    <w:p w14:paraId="063ECDF7" w14:textId="77777777" w:rsidR="002D0E71" w:rsidRDefault="00000000">
      <w:pPr>
        <w:pStyle w:val="Normal42"/>
        <w:widowControl w:val="0"/>
        <w:spacing w:before="200" w:line="260" w:lineRule="atLeast"/>
        <w:jc w:val="both"/>
      </w:pPr>
      <w:bookmarkStart w:id="6428" w:name="Bookmark_para_53_5"/>
      <w:bookmarkStart w:id="6429" w:name="Bookmark_I0DPX6JW5D8000BPVKF002KM"/>
      <w:bookmarkStart w:id="6430" w:name="Bookmark_I5CBNK7M2SF7TJ0010000400"/>
      <w:bookmarkEnd w:id="6428"/>
      <w:bookmarkEnd w:id="6429"/>
      <w:bookmarkEnd w:id="6430"/>
      <w:r>
        <w:rPr>
          <w:rFonts w:ascii="Arial" w:eastAsia="Arial" w:hAnsi="Arial" w:cs="Arial"/>
          <w:color w:val="000000"/>
          <w:sz w:val="20"/>
        </w:rPr>
        <w:t xml:space="preserve">It is BOE's responsibility, then, to show that the accommodations plaintiffs propose would be unreasonable to implement. </w:t>
      </w:r>
      <w:bookmarkStart w:id="6431" w:name="Bookmark_I0DPX6JWBH4000BPVKF002KN"/>
      <w:bookmarkStart w:id="6432" w:name="Bookmark_I5CBNK7M2SF7TJ0030000400"/>
      <w:bookmarkStart w:id="6433" w:name="Bookmark_I5CBNK7M2SF7TJ0050000400"/>
      <w:bookmarkEnd w:id="6431"/>
      <w:bookmarkEnd w:id="6432"/>
      <w:bookmarkEnd w:id="6433"/>
      <w:r>
        <w:rPr>
          <w:rFonts w:ascii="Arial" w:eastAsia="Arial" w:hAnsi="Arial" w:cs="Arial"/>
          <w:i/>
          <w:color w:val="000000"/>
          <w:sz w:val="20"/>
        </w:rPr>
        <w:t xml:space="preserve">See </w:t>
      </w:r>
      <w:bookmarkStart w:id="6434" w:name="Bookmark_I5CBNK7M28T3TV0050000400"/>
      <w:bookmarkEnd w:id="6434"/>
      <w:r>
        <w:rPr>
          <w:rFonts w:ascii="Arial" w:eastAsia="Arial" w:hAnsi="Arial" w:cs="Arial"/>
          <w:i/>
          <w:color w:val="000000"/>
          <w:sz w:val="20"/>
        </w:rPr>
        <w:t>Henrietta D</w:t>
      </w:r>
      <w:r>
        <w:rPr>
          <w:rFonts w:ascii="Arial" w:eastAsia="Arial" w:hAnsi="Arial" w:cs="Arial"/>
          <w:color w:val="000000"/>
          <w:sz w:val="20"/>
        </w:rPr>
        <w:t xml:space="preserve">., 331 F.3d at 280 </w:t>
      </w:r>
      <w:bookmarkStart w:id="6435" w:name="Bookmark_LNHNREFclscc19_7"/>
      <w:bookmarkEnd w:id="6435"/>
      <w:r>
        <w:rPr>
          <w:rFonts w:ascii="Arial" w:eastAsia="Arial" w:hAnsi="Arial" w:cs="Arial"/>
          <w:color w:val="000000"/>
          <w:sz w:val="20"/>
        </w:rPr>
        <w:t xml:space="preserve">("[I]t is enough for the plaintiff to suggest the existence of a plausible accommodation, the costs of which, facially, do not clearly exceed its benefits," and once this is done "the risk of nonpersuasion falls on the defendant.") (internal quotation marks omitted). In particular, BOE must demonstrate that a proposed accommodation would "fundamentally alter the nature of [its voting program]" or "impose an undue financial or administrative burden" on its operation. </w:t>
      </w:r>
      <w:bookmarkStart w:id="6436" w:name="Bookmark_I5CBNK7M2SF7TJ0050000400_2"/>
      <w:bookmarkStart w:id="6437" w:name="Bookmark_I5CBNK7M2SF7TJ0030000400_2"/>
      <w:bookmarkStart w:id="6438" w:name="Bookmark_I5CBNK7M2SF7TJ0020000400"/>
      <w:bookmarkEnd w:id="6436"/>
      <w:bookmarkEnd w:id="6437"/>
      <w:bookmarkEnd w:id="6438"/>
      <w:r>
        <w:rPr>
          <w:rFonts w:ascii="Arial" w:eastAsia="Arial" w:hAnsi="Arial" w:cs="Arial"/>
          <w:i/>
          <w:color w:val="000000"/>
          <w:sz w:val="20"/>
        </w:rPr>
        <w:t>Lane</w:t>
      </w:r>
      <w:r>
        <w:rPr>
          <w:rFonts w:ascii="Arial" w:eastAsia="Arial" w:hAnsi="Arial" w:cs="Arial"/>
          <w:color w:val="000000"/>
          <w:sz w:val="20"/>
        </w:rPr>
        <w:t>, 541 U.S. at 532.</w:t>
      </w:r>
      <w:r>
        <w:rPr>
          <w:rFonts w:ascii="Arial" w:eastAsia="Arial" w:hAnsi="Arial" w:cs="Arial"/>
          <w:vertAlign w:val="superscript"/>
        </w:rPr>
        <w:footnoteReference w:customMarkFollows="1" w:id="269"/>
        <w:t>15</w:t>
      </w:r>
      <w:r>
        <w:rPr>
          <w:rFonts w:ascii="Arial" w:eastAsia="Arial" w:hAnsi="Arial" w:cs="Arial"/>
          <w:color w:val="000000"/>
          <w:sz w:val="20"/>
        </w:rPr>
        <w:t xml:space="preserve"> For the reasons discussed below, BOE has not made this showing.</w:t>
      </w:r>
    </w:p>
    <w:p w14:paraId="32703F31" w14:textId="77777777" w:rsidR="002D0E71" w:rsidRDefault="00000000">
      <w:pPr>
        <w:pStyle w:val="Normal42"/>
        <w:widowControl w:val="0"/>
        <w:spacing w:before="200" w:line="260" w:lineRule="atLeast"/>
        <w:jc w:val="both"/>
      </w:pPr>
      <w:bookmarkStart w:id="6442" w:name="Bookmark_para_54_3"/>
      <w:bookmarkEnd w:id="6442"/>
      <w:r>
        <w:rPr>
          <w:rFonts w:ascii="Arial" w:eastAsia="Arial" w:hAnsi="Arial" w:cs="Arial"/>
          <w:color w:val="000000"/>
          <w:sz w:val="20"/>
        </w:rPr>
        <w:t>In sum, we agree with the district court that the undisputed facts demonstrate that BOE fails to provide individuals with meaningful access to its voting program and that the proposed accommodations, as set forth in the remedial order discussed below, are reasonable and do not fundamentally alter BOE's voting program or impose an undue burden on its operation. Accordingly, we hold that the district court did not err in granting plaintiffs' motion for summary judgment.</w:t>
      </w:r>
    </w:p>
    <w:p w14:paraId="17351910" w14:textId="77777777" w:rsidR="002D0E71" w:rsidRDefault="00000000">
      <w:pPr>
        <w:pStyle w:val="Normal42"/>
        <w:widowControl w:val="0"/>
        <w:spacing w:before="240" w:line="260" w:lineRule="atLeast"/>
      </w:pPr>
      <w:r>
        <w:br/>
      </w:r>
      <w:r>
        <w:rPr>
          <w:rFonts w:ascii="Arial" w:eastAsia="Arial" w:hAnsi="Arial" w:cs="Arial"/>
          <w:b/>
          <w:color w:val="000000"/>
          <w:sz w:val="20"/>
        </w:rPr>
        <w:t xml:space="preserve">2. </w:t>
      </w:r>
      <w:r>
        <w:rPr>
          <w:rFonts w:ascii="Arial" w:eastAsia="Arial" w:hAnsi="Arial" w:cs="Arial"/>
          <w:b/>
          <w:i/>
          <w:color w:val="000000"/>
          <w:sz w:val="20"/>
        </w:rPr>
        <w:t>Injunctive Relief</w:t>
      </w:r>
    </w:p>
    <w:p w14:paraId="6B0F419E" w14:textId="77777777" w:rsidR="002D0E71" w:rsidRDefault="00000000">
      <w:pPr>
        <w:pStyle w:val="Normal42"/>
        <w:widowControl w:val="0"/>
        <w:spacing w:before="200" w:line="260" w:lineRule="atLeast"/>
        <w:jc w:val="both"/>
      </w:pPr>
      <w:bookmarkStart w:id="6443" w:name="Bookmark_para_55_3"/>
      <w:bookmarkEnd w:id="6443"/>
      <w:r>
        <w:rPr>
          <w:rFonts w:ascii="Arial" w:eastAsia="Arial" w:hAnsi="Arial" w:cs="Arial"/>
          <w:color w:val="000000"/>
          <w:sz w:val="20"/>
        </w:rPr>
        <w:t>We turn to the issue of relief, and conclude that the district court did not abuse its discretion in awarding plaintiffs injunctive relief.</w:t>
      </w:r>
    </w:p>
    <w:p w14:paraId="43553D30" w14:textId="77777777" w:rsidR="002D0E71" w:rsidRDefault="00000000">
      <w:pPr>
        <w:pStyle w:val="Normal42"/>
        <w:widowControl w:val="0"/>
        <w:spacing w:before="200" w:line="260" w:lineRule="atLeast"/>
        <w:jc w:val="both"/>
      </w:pPr>
      <w:bookmarkStart w:id="6444" w:name="Bookmark_para_56_3"/>
      <w:bookmarkStart w:id="6445" w:name="Bookmark_I5CBNK7M2SF7TK0040000400"/>
      <w:bookmarkStart w:id="6446" w:name="Bookmark_I5CBNK7M2N1R450030000400"/>
      <w:bookmarkStart w:id="6447" w:name="Bookmark_LNHNREFclscc20_7"/>
      <w:bookmarkEnd w:id="6444"/>
      <w:bookmarkEnd w:id="6445"/>
      <w:bookmarkEnd w:id="6446"/>
      <w:bookmarkEnd w:id="6447"/>
      <w:r>
        <w:rPr>
          <w:rFonts w:ascii="Arial" w:eastAsia="Arial" w:hAnsi="Arial" w:cs="Arial"/>
          <w:color w:val="000000"/>
          <w:sz w:val="20"/>
        </w:rPr>
        <w:t xml:space="preserve">As Congress did not express any intent to limit the remedies available under Title II or Section 504, equitable relief was proper for the district court to consider. </w:t>
      </w:r>
      <w:r>
        <w:rPr>
          <w:rFonts w:ascii="Arial" w:eastAsia="Arial" w:hAnsi="Arial" w:cs="Arial"/>
          <w:i/>
          <w:color w:val="000000"/>
          <w:sz w:val="20"/>
        </w:rPr>
        <w:t xml:space="preserve">See </w:t>
      </w:r>
      <w:bookmarkStart w:id="6448" w:name="Bookmark_I5CBNK7M2SF7TK0030000400"/>
      <w:bookmarkEnd w:id="6448"/>
      <w:r>
        <w:rPr>
          <w:rFonts w:ascii="Arial" w:eastAsia="Arial" w:hAnsi="Arial" w:cs="Arial"/>
          <w:i/>
          <w:color w:val="000000"/>
          <w:sz w:val="20"/>
        </w:rPr>
        <w:t>Franklin</w:t>
      </w:r>
      <w:r>
        <w:rPr>
          <w:rFonts w:ascii="Arial" w:eastAsia="Arial" w:hAnsi="Arial" w:cs="Arial"/>
          <w:color w:val="000000"/>
          <w:sz w:val="20"/>
        </w:rPr>
        <w:t xml:space="preserve">, 503 U.S. at 70-71; </w:t>
      </w:r>
      <w:r>
        <w:rPr>
          <w:rFonts w:ascii="Arial" w:eastAsia="Arial" w:hAnsi="Arial" w:cs="Arial"/>
          <w:i/>
          <w:color w:val="000000"/>
          <w:sz w:val="20"/>
        </w:rPr>
        <w:t xml:space="preserve">cf. </w:t>
      </w:r>
      <w:bookmarkStart w:id="6449" w:name="Bookmark_I5CBNK7M2SF7TK0050000400"/>
      <w:bookmarkEnd w:id="6449"/>
      <w:r>
        <w:rPr>
          <w:rFonts w:ascii="Arial" w:eastAsia="Arial" w:hAnsi="Arial" w:cs="Arial"/>
          <w:i/>
          <w:color w:val="000000"/>
          <w:sz w:val="20"/>
        </w:rPr>
        <w:t>Henrietta D</w:t>
      </w:r>
      <w:r>
        <w:rPr>
          <w:rFonts w:ascii="Arial" w:eastAsia="Arial" w:hAnsi="Arial" w:cs="Arial"/>
          <w:color w:val="000000"/>
          <w:sz w:val="20"/>
        </w:rPr>
        <w:t xml:space="preserve">., 331 F.3d at 280-84. </w:t>
      </w:r>
      <w:bookmarkStart w:id="6450" w:name="Bookmark_I5CBNK7M2N1R450050000400"/>
      <w:bookmarkEnd w:id="6450"/>
      <w:r>
        <w:rPr>
          <w:rFonts w:ascii="Arial" w:eastAsia="Arial" w:hAnsi="Arial" w:cs="Arial"/>
          <w:color w:val="000000"/>
          <w:sz w:val="20"/>
        </w:rPr>
        <w:t xml:space="preserve"> [**36] Nevertheless, the district court's "remedial powers . . . are not unlimited." </w:t>
      </w:r>
      <w:bookmarkStart w:id="6451" w:name="Bookmark_I5CBNK7M2N1R450020000400"/>
      <w:bookmarkEnd w:id="6451"/>
      <w:r>
        <w:rPr>
          <w:rFonts w:ascii="Arial" w:eastAsia="Arial" w:hAnsi="Arial" w:cs="Arial"/>
          <w:i/>
          <w:color w:val="000000"/>
          <w:sz w:val="20"/>
        </w:rPr>
        <w:t>Jenkins</w:t>
      </w:r>
      <w:r>
        <w:rPr>
          <w:rFonts w:ascii="Arial" w:eastAsia="Arial" w:hAnsi="Arial" w:cs="Arial"/>
          <w:color w:val="000000"/>
          <w:sz w:val="20"/>
        </w:rPr>
        <w:t xml:space="preserve">, 495 U.S. at 51 (internal quotation marks omitted). </w:t>
      </w:r>
      <w:bookmarkStart w:id="6452" w:name="Bookmark_I5CBNK7M2N1R450050000400_2"/>
      <w:bookmarkEnd w:id="6452"/>
      <w:r>
        <w:rPr>
          <w:rFonts w:ascii="Arial" w:eastAsia="Arial" w:hAnsi="Arial" w:cs="Arial"/>
          <w:color w:val="000000"/>
          <w:sz w:val="20"/>
        </w:rPr>
        <w:t xml:space="preserve">Accordingly, while equitable relief under the Acts is possible, this threshold determination is only part of the inquiry. We must consider whether the remedial order is "tailor[ed] to fit the nature and extent of the violation," </w:t>
      </w:r>
      <w:bookmarkStart w:id="6453" w:name="Bookmark_I5CBNK7M2N1R450040000400"/>
      <w:bookmarkEnd w:id="6453"/>
      <w:r>
        <w:rPr>
          <w:rFonts w:ascii="Arial" w:eastAsia="Arial" w:hAnsi="Arial" w:cs="Arial"/>
          <w:i/>
          <w:color w:val="000000"/>
          <w:sz w:val="20"/>
        </w:rPr>
        <w:t>Yonkers</w:t>
      </w:r>
      <w:r>
        <w:rPr>
          <w:rFonts w:ascii="Arial" w:eastAsia="Arial" w:hAnsi="Arial" w:cs="Arial"/>
          <w:color w:val="000000"/>
          <w:sz w:val="20"/>
        </w:rPr>
        <w:t xml:space="preserve">, 837 F.2d at 1235, and whether the "exercise of equitable power [reflects] a proper respect for the integrity and function of local government institutions," </w:t>
      </w:r>
      <w:bookmarkStart w:id="6454" w:name="Bookmark_I5CBNK7M28T3TW0010000400"/>
      <w:bookmarkEnd w:id="6454"/>
      <w:r>
        <w:rPr>
          <w:rFonts w:ascii="Arial" w:eastAsia="Arial" w:hAnsi="Arial" w:cs="Arial"/>
          <w:i/>
          <w:color w:val="000000"/>
          <w:sz w:val="20"/>
        </w:rPr>
        <w:t>Jenkins</w:t>
      </w:r>
      <w:r>
        <w:rPr>
          <w:rFonts w:ascii="Arial" w:eastAsia="Arial" w:hAnsi="Arial" w:cs="Arial"/>
          <w:color w:val="000000"/>
          <w:sz w:val="20"/>
        </w:rPr>
        <w:t>, 495 U.S. at 51. We address these considerations in turn.</w:t>
      </w:r>
    </w:p>
    <w:p w14:paraId="38193EC4" w14:textId="77777777" w:rsidR="002D0E71" w:rsidRDefault="00000000">
      <w:pPr>
        <w:pStyle w:val="Normal42"/>
        <w:widowControl w:val="0"/>
        <w:spacing w:before="240" w:line="260" w:lineRule="atLeast"/>
      </w:pPr>
      <w:r>
        <w:br/>
      </w:r>
      <w:r>
        <w:rPr>
          <w:rFonts w:ascii="Arial" w:eastAsia="Arial" w:hAnsi="Arial" w:cs="Arial"/>
          <w:b/>
          <w:color w:val="000000"/>
          <w:sz w:val="20"/>
        </w:rPr>
        <w:t xml:space="preserve">a. </w:t>
      </w:r>
      <w:r>
        <w:rPr>
          <w:rFonts w:ascii="Arial" w:eastAsia="Arial" w:hAnsi="Arial" w:cs="Arial"/>
          <w:b/>
          <w:i/>
          <w:color w:val="000000"/>
          <w:sz w:val="20"/>
        </w:rPr>
        <w:t>Tailored to Fit the Nature and Extent of BOE's Violations</w:t>
      </w:r>
    </w:p>
    <w:p w14:paraId="3B89C75C" w14:textId="77777777" w:rsidR="002D0E71" w:rsidRDefault="00000000">
      <w:pPr>
        <w:pStyle w:val="Normal42"/>
        <w:widowControl w:val="0"/>
        <w:spacing w:before="200" w:line="260" w:lineRule="atLeast"/>
        <w:jc w:val="both"/>
      </w:pPr>
      <w:bookmarkStart w:id="6455" w:name="Bookmark_para_57_3"/>
      <w:bookmarkStart w:id="6456" w:name="Bookmark_I5CBNK7M28T3TW0040000400"/>
      <w:bookmarkEnd w:id="6455"/>
      <w:bookmarkEnd w:id="6456"/>
      <w:r>
        <w:rPr>
          <w:rFonts w:ascii="Arial" w:eastAsia="Arial" w:hAnsi="Arial" w:cs="Arial"/>
          <w:color w:val="000000"/>
          <w:sz w:val="20"/>
        </w:rPr>
        <w:t xml:space="preserve">First, we find that the remedial order is "tailor[ed] . . . to fit the nature and extent  [*203]  of [BOE's] violation[s]." </w:t>
      </w:r>
      <w:bookmarkStart w:id="6457" w:name="Bookmark_I5CBNK7M28T3TW0030000400"/>
      <w:bookmarkEnd w:id="6457"/>
      <w:r>
        <w:rPr>
          <w:rFonts w:ascii="Arial" w:eastAsia="Arial" w:hAnsi="Arial" w:cs="Arial"/>
          <w:i/>
          <w:color w:val="000000"/>
          <w:sz w:val="20"/>
        </w:rPr>
        <w:t>Yonkers</w:t>
      </w:r>
      <w:r>
        <w:rPr>
          <w:rFonts w:ascii="Arial" w:eastAsia="Arial" w:hAnsi="Arial" w:cs="Arial"/>
          <w:color w:val="000000"/>
          <w:sz w:val="20"/>
        </w:rPr>
        <w:t>, 837 F.2d at 1235. Plaintiffs' evidence shows that barriers to access are pervasive and stem both from BOE's inadequate operation of poll sites on election days and its failure to properly plan to make facilities temporarily accessible. BOE's evidence and arguments, in turn, reveal that although it has some procedures and policies in place to accommodate individuals with disabilities, these accommodations consistently  [**37] fall short. Moreover, the record suggests that in practice these mechanisms may not receive high priority or, in any event, have proven difficult for BOE to implement.</w:t>
      </w:r>
      <w:r>
        <w:rPr>
          <w:rFonts w:ascii="Arial" w:eastAsia="Arial" w:hAnsi="Arial" w:cs="Arial"/>
          <w:vertAlign w:val="superscript"/>
        </w:rPr>
        <w:footnoteReference w:customMarkFollows="1" w:id="270"/>
        <w:t>16</w:t>
      </w:r>
    </w:p>
    <w:p w14:paraId="2FB1EC50" w14:textId="77777777" w:rsidR="002D0E71" w:rsidRDefault="00000000">
      <w:pPr>
        <w:pStyle w:val="Normal42"/>
        <w:widowControl w:val="0"/>
        <w:spacing w:before="200" w:line="260" w:lineRule="atLeast"/>
        <w:jc w:val="both"/>
      </w:pPr>
      <w:bookmarkStart w:id="6459" w:name="Bookmark_para_58_3"/>
      <w:bookmarkEnd w:id="6459"/>
      <w:r>
        <w:rPr>
          <w:rFonts w:ascii="Arial" w:eastAsia="Arial" w:hAnsi="Arial" w:cs="Arial"/>
          <w:color w:val="000000"/>
          <w:sz w:val="20"/>
        </w:rPr>
        <w:t>The remedial order addresses these issues. Specifically, to remedy violations that likely arise from BOE's operation of poll sites, the first part of the order outlines policies and procedures for on-site accessibility coordinators and AD monitors (the "Operation Provisions"). The second part attempts to remedy barriers to access or ineffective accommodations that likely stem from BOE's failure to identify accessible facilities or determine how sites may be temporarily modified (the "Facilities Provisions"). The Facilities Provisions create a process by which the Third Party Expert surveys facilities and makes suggestions to BOE as to how to improve  [**38] accessibility. BOE then adopts the suggestions or confers with the Third Party Expert to find alternative measures.</w:t>
      </w:r>
    </w:p>
    <w:p w14:paraId="57C3955F" w14:textId="77777777" w:rsidR="002D0E71" w:rsidRDefault="00000000">
      <w:pPr>
        <w:pStyle w:val="Normal42"/>
        <w:widowControl w:val="0"/>
        <w:spacing w:before="200" w:line="260" w:lineRule="atLeast"/>
        <w:jc w:val="both"/>
      </w:pPr>
      <w:bookmarkStart w:id="6460" w:name="Bookmark_para_59_3"/>
      <w:bookmarkEnd w:id="6460"/>
      <w:r>
        <w:rPr>
          <w:rFonts w:ascii="Arial" w:eastAsia="Arial" w:hAnsi="Arial" w:cs="Arial"/>
          <w:color w:val="000000"/>
          <w:sz w:val="20"/>
        </w:rPr>
        <w:t>Further, the remedial order provides accountability mechanisms to ensure that BOE is focusing on its statutory obligations to provide meaningful access to individuals with disabilities. In particular, it requires (1) on-site accessibility coordinators and AD monitors to document barriers on election days and indicate how, if at all, these barriers were addressed; (2) BOE to compile and write a report from the on-site data; and (3) BOE to work with the Third Party Expert to find ways to make facilities accessible. In other words, the processes in the remedial order force BOE to move beyond its claim that it is doing all that it can to provide reasonable accommodations, and to begin to proactively identify barriers, document its efforts, reflect on its challenges and successes to provide meaningful access, and use this information to improve the accessibility of its voting program over time.</w:t>
      </w:r>
    </w:p>
    <w:p w14:paraId="05465553" w14:textId="77777777" w:rsidR="002D0E71" w:rsidRDefault="00000000">
      <w:pPr>
        <w:pStyle w:val="Normal42"/>
        <w:widowControl w:val="0"/>
        <w:spacing w:before="200" w:line="260" w:lineRule="atLeast"/>
        <w:jc w:val="both"/>
      </w:pPr>
      <w:bookmarkStart w:id="6461" w:name="Bookmark_para_60_2"/>
      <w:bookmarkEnd w:id="6461"/>
      <w:r>
        <w:rPr>
          <w:rFonts w:ascii="Arial" w:eastAsia="Arial" w:hAnsi="Arial" w:cs="Arial"/>
          <w:color w:val="000000"/>
          <w:sz w:val="20"/>
        </w:rPr>
        <w:t xml:space="preserve">BOE argues that "certain sections of the order exceed the requirements of the applicable statutes." Appellant's Letter Br. at 5. </w:t>
      </w:r>
      <w:bookmarkStart w:id="6462" w:name="Bookmark_I0DPX6JWNF4000BPVKF002KR"/>
      <w:bookmarkStart w:id="6463" w:name="Bookmark_I5CBNK7M2SF7TM0010000400"/>
      <w:bookmarkEnd w:id="6462"/>
      <w:bookmarkEnd w:id="6463"/>
      <w:r>
        <w:rPr>
          <w:rFonts w:ascii="Arial" w:eastAsia="Arial" w:hAnsi="Arial" w:cs="Arial"/>
          <w:color w:val="000000"/>
          <w:sz w:val="20"/>
        </w:rPr>
        <w:t xml:space="preserve">We disagree. </w:t>
      </w:r>
      <w:bookmarkStart w:id="6464" w:name="Bookmark_LNHNREFclscc21_6"/>
      <w:bookmarkEnd w:id="6464"/>
      <w:r>
        <w:rPr>
          <w:rFonts w:ascii="Arial" w:eastAsia="Arial" w:hAnsi="Arial" w:cs="Arial"/>
          <w:color w:val="000000"/>
          <w:sz w:val="20"/>
        </w:rPr>
        <w:t xml:space="preserve">Title II and Section 504 mandate that BOE  [**39] provide individuals with disabilities meaningful access to its voting program by making reasonable modifications. This meaningful access standard is "responsive to two powerful but countervailing considerations -- the need to give effect to the statutory objectives and the desire to keep [the Acts] within manageable bounds." </w:t>
      </w:r>
      <w:bookmarkStart w:id="6465" w:name="Bookmark_I5CBNK7M28T3TW0050000400"/>
      <w:bookmarkEnd w:id="6465"/>
      <w:r>
        <w:rPr>
          <w:rFonts w:ascii="Arial" w:eastAsia="Arial" w:hAnsi="Arial" w:cs="Arial"/>
          <w:i/>
          <w:color w:val="000000"/>
          <w:sz w:val="20"/>
        </w:rPr>
        <w:t>Choate</w:t>
      </w:r>
      <w:r>
        <w:rPr>
          <w:rFonts w:ascii="Arial" w:eastAsia="Arial" w:hAnsi="Arial" w:cs="Arial"/>
          <w:color w:val="000000"/>
          <w:sz w:val="20"/>
        </w:rPr>
        <w:t>, 469 U.S. at 299. We find that the remedial order reflects this standard. Its provisions balance BOE's obligations to modify facilities, policies, and procedures with its practical resource constraints. In particular, the Operations Provisions build on personnel, policies, and procedures that BOE already has in place. The Facilities Provisions provide that BOE need not adopt a recommendation if, among other things, it concludes that it "cannot reasonably implement a recommendation." Order, October 18, 2012, ECF No. 119, at 11.  [*204]  This determination then triggers an iterative process between BOE and the Third Party Expert to confer about alternative, more feasible measures to provide accommodation.</w:t>
      </w:r>
    </w:p>
    <w:p w14:paraId="764415A2" w14:textId="77777777" w:rsidR="002D0E71" w:rsidRDefault="00000000">
      <w:pPr>
        <w:pStyle w:val="Normal42"/>
        <w:widowControl w:val="0"/>
        <w:spacing w:before="200" w:line="260" w:lineRule="atLeast"/>
        <w:jc w:val="both"/>
      </w:pPr>
      <w:bookmarkStart w:id="6466" w:name="Bookmark_para_61_2"/>
      <w:bookmarkEnd w:id="6466"/>
      <w:r>
        <w:rPr>
          <w:rFonts w:ascii="Arial" w:eastAsia="Arial" w:hAnsi="Arial" w:cs="Arial"/>
          <w:color w:val="000000"/>
          <w:sz w:val="20"/>
        </w:rPr>
        <w:t xml:space="preserve">Finally, BOE argues that the remedial order contains "excesses" that "generally fall into the categories of reporting and the expense associated with compliance with  [**40] the order." Appellant's Letter Br. at 5. As an initial matter, we emphasize that despite its opportunity to address the concerns it had with the remedial order before the district court, BOE did not argue below that any of its components were unreasonable. Nor did BOE make this claim in its opening or reply brief on appeal. Only after we ordered BOE to submit a "letter brief addressing in further detail its objections to the [d]istrict [c]ourt's order on remedies" did BOE argue, </w:t>
      </w:r>
      <w:r>
        <w:rPr>
          <w:rFonts w:ascii="Arial" w:eastAsia="Arial" w:hAnsi="Arial" w:cs="Arial"/>
          <w:i/>
          <w:color w:val="000000"/>
          <w:sz w:val="20"/>
        </w:rPr>
        <w:t>for the first time</w:t>
      </w:r>
      <w:r>
        <w:rPr>
          <w:rFonts w:ascii="Arial" w:eastAsia="Arial" w:hAnsi="Arial" w:cs="Arial"/>
          <w:color w:val="000000"/>
          <w:sz w:val="20"/>
        </w:rPr>
        <w:t xml:space="preserve"> on appeal, that complying with certain provisions of the order would "place[ ] an undue burden" on its voting program. </w:t>
      </w:r>
      <w:r>
        <w:rPr>
          <w:rFonts w:ascii="Arial" w:eastAsia="Arial" w:hAnsi="Arial" w:cs="Arial"/>
          <w:i/>
          <w:color w:val="000000"/>
          <w:sz w:val="20"/>
        </w:rPr>
        <w:t>Id</w:t>
      </w:r>
      <w:r>
        <w:rPr>
          <w:rFonts w:ascii="Arial" w:eastAsia="Arial" w:hAnsi="Arial" w:cs="Arial"/>
          <w:color w:val="000000"/>
          <w:sz w:val="20"/>
        </w:rPr>
        <w:t>. at 7.</w:t>
      </w:r>
    </w:p>
    <w:p w14:paraId="2CFEE8CE" w14:textId="77777777" w:rsidR="002D0E71" w:rsidRDefault="00000000">
      <w:pPr>
        <w:pStyle w:val="Normal42"/>
        <w:widowControl w:val="0"/>
        <w:spacing w:before="200" w:line="260" w:lineRule="atLeast"/>
        <w:jc w:val="both"/>
      </w:pPr>
      <w:bookmarkStart w:id="6467" w:name="Bookmark_para_62_2"/>
      <w:bookmarkEnd w:id="6467"/>
      <w:r>
        <w:rPr>
          <w:rFonts w:ascii="Arial" w:eastAsia="Arial" w:hAnsi="Arial" w:cs="Arial"/>
          <w:color w:val="000000"/>
          <w:sz w:val="20"/>
        </w:rPr>
        <w:t>In particular, BOE claims that (1) a worker at each poll site will not be able to serve as an on-site accessibility coordinator because of other responsibilities; (2) BOE will have difficulty collecting data from its poll sites; (3) and, depending on how many poll sites the Third Party Expert concludes cannot be modified temporarily, BOE may have difficulty suggesting alternative sites or modifications. Without more than conclusory claims that complying with the remedial order may be challenging, we are not persuaded that the accommodations will fundamentally alter  [**41] BOE's voting program or impose an undue burden on its operation.</w:t>
      </w:r>
    </w:p>
    <w:p w14:paraId="4A35F18A" w14:textId="77777777" w:rsidR="002D0E71" w:rsidRDefault="00000000">
      <w:pPr>
        <w:pStyle w:val="Normal42"/>
        <w:widowControl w:val="0"/>
        <w:spacing w:before="200" w:line="260" w:lineRule="atLeast"/>
        <w:jc w:val="both"/>
      </w:pPr>
      <w:bookmarkStart w:id="6468" w:name="Bookmark_para_63_2"/>
      <w:bookmarkEnd w:id="6468"/>
      <w:r>
        <w:rPr>
          <w:rFonts w:ascii="Arial" w:eastAsia="Arial" w:hAnsi="Arial" w:cs="Arial"/>
          <w:color w:val="000000"/>
          <w:sz w:val="20"/>
        </w:rPr>
        <w:t>To the extent that complying with the remedial order becomes unreasonable, the remedial order provides mechanisms through which BOE may petition the district court, and if necessary this Court, for relief. Moreover, we note that at the time of this appeal, BOE has already proceeded to implement the remedial order and has not pointed to any actual undue burden from its efforts to comply with it thus far. In the one instance where BOE raised a concern, the remedial order was modified to address the concern.</w:t>
      </w:r>
    </w:p>
    <w:p w14:paraId="128018A5" w14:textId="77777777" w:rsidR="002D0E71" w:rsidRDefault="00000000">
      <w:pPr>
        <w:pStyle w:val="Normal42"/>
        <w:widowControl w:val="0"/>
        <w:spacing w:before="200" w:line="260" w:lineRule="atLeast"/>
        <w:jc w:val="both"/>
      </w:pPr>
      <w:bookmarkStart w:id="6469" w:name="Bookmark_para_64_2"/>
      <w:bookmarkEnd w:id="6469"/>
      <w:r>
        <w:rPr>
          <w:rFonts w:ascii="Arial" w:eastAsia="Arial" w:hAnsi="Arial" w:cs="Arial"/>
          <w:color w:val="000000"/>
          <w:sz w:val="20"/>
        </w:rPr>
        <w:t>Accordingly, we conclude that the remedial order is tailored to respond to and remedy BOE's violations of Section 504 and Title II.</w:t>
      </w:r>
    </w:p>
    <w:p w14:paraId="573E3FCA" w14:textId="77777777" w:rsidR="002D0E71" w:rsidRDefault="00000000">
      <w:pPr>
        <w:pStyle w:val="Normal42"/>
        <w:widowControl w:val="0"/>
        <w:spacing w:before="240" w:line="260" w:lineRule="atLeast"/>
      </w:pPr>
      <w:r>
        <w:br/>
      </w:r>
      <w:r>
        <w:rPr>
          <w:rFonts w:ascii="Arial" w:eastAsia="Arial" w:hAnsi="Arial" w:cs="Arial"/>
          <w:b/>
          <w:color w:val="000000"/>
          <w:sz w:val="20"/>
        </w:rPr>
        <w:t xml:space="preserve">b. </w:t>
      </w:r>
      <w:r>
        <w:rPr>
          <w:rFonts w:ascii="Arial" w:eastAsia="Arial" w:hAnsi="Arial" w:cs="Arial"/>
          <w:b/>
          <w:i/>
          <w:color w:val="000000"/>
          <w:sz w:val="20"/>
        </w:rPr>
        <w:t>Respect for the Integrity and Function of BOE</w:t>
      </w:r>
    </w:p>
    <w:p w14:paraId="0A221E06" w14:textId="77777777" w:rsidR="002D0E71" w:rsidRDefault="00000000">
      <w:pPr>
        <w:pStyle w:val="Normal42"/>
        <w:widowControl w:val="0"/>
        <w:spacing w:before="200" w:line="260" w:lineRule="atLeast"/>
        <w:jc w:val="both"/>
      </w:pPr>
      <w:bookmarkStart w:id="6470" w:name="Bookmark_para_65_2"/>
      <w:bookmarkStart w:id="6471" w:name="Bookmark_I5CBNK7M2SF7TM0030000400"/>
      <w:bookmarkEnd w:id="6470"/>
      <w:bookmarkEnd w:id="6471"/>
      <w:r>
        <w:rPr>
          <w:rFonts w:ascii="Arial" w:eastAsia="Arial" w:hAnsi="Arial" w:cs="Arial"/>
          <w:color w:val="000000"/>
          <w:sz w:val="20"/>
        </w:rPr>
        <w:t xml:space="preserve">Second, we find that both the process through which the district court provided injunctive relief and the remedial order itself reflect "a proper respect for the integrity and function of local government institutions." </w:t>
      </w:r>
      <w:bookmarkStart w:id="6472" w:name="Bookmark_I5CBNK7M2SF7TM0020000400"/>
      <w:bookmarkEnd w:id="6472"/>
      <w:r>
        <w:rPr>
          <w:rFonts w:ascii="Arial" w:eastAsia="Arial" w:hAnsi="Arial" w:cs="Arial"/>
          <w:i/>
          <w:color w:val="000000"/>
          <w:sz w:val="20"/>
        </w:rPr>
        <w:t>Jenkins</w:t>
      </w:r>
      <w:r>
        <w:rPr>
          <w:rFonts w:ascii="Arial" w:eastAsia="Arial" w:hAnsi="Arial" w:cs="Arial"/>
          <w:color w:val="000000"/>
          <w:sz w:val="20"/>
        </w:rPr>
        <w:t>, 495 U.S. at 51.</w:t>
      </w:r>
    </w:p>
    <w:p w14:paraId="59E68666" w14:textId="77777777" w:rsidR="002D0E71" w:rsidRDefault="00000000">
      <w:pPr>
        <w:pStyle w:val="Normal42"/>
        <w:widowControl w:val="0"/>
        <w:spacing w:before="200" w:line="260" w:lineRule="atLeast"/>
        <w:jc w:val="both"/>
      </w:pPr>
      <w:bookmarkStart w:id="6473" w:name="Bookmark_para_66_2"/>
      <w:bookmarkStart w:id="6474" w:name="Bookmark_I5CBNK7M2SF7TM0050000400"/>
      <w:bookmarkStart w:id="6475" w:name="Bookmark_I0DPX6JWVJ0000BPVKF002KS"/>
      <w:bookmarkStart w:id="6476" w:name="Bookmark_I5CBNK7M2D6NY30020000400"/>
      <w:bookmarkEnd w:id="6473"/>
      <w:bookmarkEnd w:id="6474"/>
      <w:bookmarkEnd w:id="6475"/>
      <w:bookmarkEnd w:id="6476"/>
      <w:r>
        <w:rPr>
          <w:rFonts w:ascii="Arial" w:eastAsia="Arial" w:hAnsi="Arial" w:cs="Arial"/>
          <w:color w:val="000000"/>
          <w:sz w:val="20"/>
        </w:rPr>
        <w:t xml:space="preserve">We emphasize that </w:t>
      </w:r>
      <w:bookmarkStart w:id="6477" w:name="Bookmark_LNHNREFclscc22_5"/>
      <w:bookmarkEnd w:id="6477"/>
      <w:r>
        <w:rPr>
          <w:rFonts w:ascii="Arial" w:eastAsia="Arial" w:hAnsi="Arial" w:cs="Arial"/>
          <w:color w:val="000000"/>
          <w:sz w:val="20"/>
        </w:rPr>
        <w:t xml:space="preserve">"[a]s public servants, the officials of the State [or City] must be presumed to have a high degree of competence in deciding how best to discharge their governmental responsibilities." </w:t>
      </w:r>
      <w:bookmarkStart w:id="6478" w:name="Bookmark_I5CBNK7M2SF7TM0040000400"/>
      <w:bookmarkEnd w:id="6478"/>
      <w:r>
        <w:rPr>
          <w:rFonts w:ascii="Arial" w:eastAsia="Arial" w:hAnsi="Arial" w:cs="Arial"/>
          <w:i/>
          <w:color w:val="000000"/>
          <w:sz w:val="20"/>
        </w:rPr>
        <w:t>Frew v. Hawkins</w:t>
      </w:r>
      <w:r>
        <w:rPr>
          <w:rFonts w:ascii="Arial" w:eastAsia="Arial" w:hAnsi="Arial" w:cs="Arial"/>
          <w:color w:val="000000"/>
          <w:sz w:val="20"/>
        </w:rPr>
        <w:t xml:space="preserve">, 540 U.S. 431, 442, 124 S. Ct. 899, 157 L. Ed. 2d 855 (2004).  [**42] Indeed, State and local officials are elected, in part, "to bring new insights and solutions to problems of allocating revenues and resources." </w:t>
      </w:r>
      <w:r>
        <w:rPr>
          <w:rFonts w:ascii="Arial" w:eastAsia="Arial" w:hAnsi="Arial" w:cs="Arial"/>
          <w:i/>
          <w:color w:val="000000"/>
          <w:sz w:val="20"/>
        </w:rPr>
        <w:t>Id</w:t>
      </w:r>
      <w:r>
        <w:rPr>
          <w:rFonts w:ascii="Arial" w:eastAsia="Arial" w:hAnsi="Arial" w:cs="Arial"/>
          <w:color w:val="000000"/>
          <w:sz w:val="20"/>
        </w:rPr>
        <w:t xml:space="preserve">. Hence, "[r]estraint and initial deference to state institutional authorities in curing [unlawful] conditions are . . . advisable as a matter of realism; federal courts lack the facilities or expertise [to administer] plans designed to assure that a state will provide . . . acceptable . . . services." </w:t>
      </w:r>
      <w:bookmarkStart w:id="6479" w:name="Bookmark_I5CBNK7M2D6NY30010000400"/>
      <w:bookmarkEnd w:id="6479"/>
      <w:r>
        <w:rPr>
          <w:rFonts w:ascii="Arial" w:eastAsia="Arial" w:hAnsi="Arial" w:cs="Arial"/>
          <w:i/>
          <w:color w:val="000000"/>
          <w:sz w:val="20"/>
        </w:rPr>
        <w:t>Dean v. Coughlin</w:t>
      </w:r>
      <w:r>
        <w:rPr>
          <w:rFonts w:ascii="Arial" w:eastAsia="Arial" w:hAnsi="Arial" w:cs="Arial"/>
          <w:color w:val="000000"/>
          <w:sz w:val="20"/>
        </w:rPr>
        <w:t>, 804 F.2d 207, 213-214 (2d Cir. 1986). Accordingly, we review both the process that led the district court to issue the remedial order and its substantive provisions with these important federalism and institutional capacity principles in mind.</w:t>
      </w:r>
    </w:p>
    <w:p w14:paraId="7BBED60F" w14:textId="77777777" w:rsidR="002D0E71" w:rsidRDefault="00000000">
      <w:pPr>
        <w:pStyle w:val="Normal42"/>
        <w:widowControl w:val="0"/>
        <w:spacing w:before="200" w:line="260" w:lineRule="atLeast"/>
        <w:jc w:val="both"/>
      </w:pPr>
      <w:bookmarkStart w:id="6480" w:name="Bookmark_para_67_2"/>
      <w:bookmarkStart w:id="6481" w:name="Bookmark_I5CBNK7M2D6NY30040000400"/>
      <w:bookmarkStart w:id="6482" w:name="Bookmark_I5CBNK7M2N1R470010000400"/>
      <w:bookmarkEnd w:id="6480"/>
      <w:bookmarkEnd w:id="6481"/>
      <w:bookmarkEnd w:id="6482"/>
      <w:r>
        <w:rPr>
          <w:rFonts w:ascii="Arial" w:eastAsia="Arial" w:hAnsi="Arial" w:cs="Arial"/>
          <w:color w:val="000000"/>
          <w:sz w:val="20"/>
        </w:rPr>
        <w:t> [*205]  BOE argues that the district court "erred in adopting its own detailed remedial plan instead of directing [BOE] to formulate a plan for curing any perceived constitutional deficiencies in the existing system." Appellant's Br. at 41. The district court, however, gave BOE multiple opportunities to submit a written plan, to offer suggestions, to test its proposed accommodations, and to modify DOJ's proposal based on its concerns.</w:t>
      </w:r>
      <w:r>
        <w:rPr>
          <w:rFonts w:ascii="Arial" w:eastAsia="Arial" w:hAnsi="Arial" w:cs="Arial"/>
          <w:vertAlign w:val="superscript"/>
        </w:rPr>
        <w:footnoteReference w:customMarkFollows="1" w:id="271"/>
        <w:t>17</w:t>
      </w:r>
      <w:r>
        <w:rPr>
          <w:rFonts w:ascii="Arial" w:eastAsia="Arial" w:hAnsi="Arial" w:cs="Arial"/>
          <w:color w:val="000000"/>
          <w:sz w:val="20"/>
        </w:rPr>
        <w:t xml:space="preserve"> The district court issued a plan only after BOE failed to  [**43] provide written suggestions or demonstrate the efficacy of its accommodations for the September 2012 Election. Accordingly, the district court did not ignore the notion that it is appropriate, if not preferable, to give a local entity an opportunity to propose ways to remedy statutory deficiencies.</w:t>
      </w:r>
      <w:r>
        <w:rPr>
          <w:rFonts w:ascii="Arial" w:eastAsia="Arial" w:hAnsi="Arial" w:cs="Arial"/>
          <w:vertAlign w:val="superscript"/>
        </w:rPr>
        <w:footnoteReference w:customMarkFollows="1" w:id="272"/>
        <w:t>18</w:t>
      </w:r>
      <w:r>
        <w:rPr>
          <w:rFonts w:ascii="Arial" w:eastAsia="Arial" w:hAnsi="Arial" w:cs="Arial"/>
          <w:color w:val="000000"/>
          <w:sz w:val="20"/>
        </w:rPr>
        <w:t xml:space="preserve"> Rather, in light of its extensive efforts to consider BOE's proposals and input, we conclude that the district court demonstrated proper "[r]estraint and initial deference" to BOE in "curing [the relevant] conditions." </w:t>
      </w:r>
      <w:bookmarkStart w:id="6487" w:name="Bookmark_I5CBNK7M2D6NY30030000400"/>
      <w:bookmarkEnd w:id="6487"/>
      <w:r>
        <w:rPr>
          <w:rFonts w:ascii="Arial" w:eastAsia="Arial" w:hAnsi="Arial" w:cs="Arial"/>
          <w:i/>
          <w:color w:val="000000"/>
          <w:sz w:val="20"/>
        </w:rPr>
        <w:t>Coughlin</w:t>
      </w:r>
      <w:r>
        <w:rPr>
          <w:rFonts w:ascii="Arial" w:eastAsia="Arial" w:hAnsi="Arial" w:cs="Arial"/>
          <w:color w:val="000000"/>
          <w:sz w:val="20"/>
        </w:rPr>
        <w:t>, 804 F.2d at 213.</w:t>
      </w:r>
    </w:p>
    <w:p w14:paraId="632709F0" w14:textId="77777777" w:rsidR="002D0E71" w:rsidRDefault="00000000">
      <w:pPr>
        <w:pStyle w:val="Normal42"/>
        <w:widowControl w:val="0"/>
        <w:spacing w:before="200" w:line="260" w:lineRule="atLeast"/>
        <w:jc w:val="both"/>
      </w:pPr>
      <w:bookmarkStart w:id="6488" w:name="Bookmark_para_68_2"/>
      <w:bookmarkEnd w:id="6488"/>
      <w:r>
        <w:rPr>
          <w:rFonts w:ascii="Arial" w:eastAsia="Arial" w:hAnsi="Arial" w:cs="Arial"/>
          <w:color w:val="000000"/>
          <w:sz w:val="20"/>
        </w:rPr>
        <w:t>The substance of the remedial order also reflects proper respect for BOE. First, the remedial order addresses the concerns BOE voiced at hearings before the district court: its inability to hire additional poll workers</w:t>
      </w:r>
      <w:r>
        <w:rPr>
          <w:rFonts w:ascii="Arial" w:eastAsia="Arial" w:hAnsi="Arial" w:cs="Arial"/>
          <w:vertAlign w:val="superscript"/>
        </w:rPr>
        <w:footnoteReference w:customMarkFollows="1" w:id="273"/>
        <w:t>19</w:t>
      </w:r>
      <w:r>
        <w:rPr>
          <w:rFonts w:ascii="Arial" w:eastAsia="Arial" w:hAnsi="Arial" w:cs="Arial"/>
          <w:color w:val="000000"/>
          <w:sz w:val="20"/>
        </w:rPr>
        <w:t xml:space="preserve"> and that CIDNY would have a controlling role in any plan.</w:t>
      </w:r>
      <w:r>
        <w:rPr>
          <w:rFonts w:ascii="Arial" w:eastAsia="Arial" w:hAnsi="Arial" w:cs="Arial"/>
          <w:vertAlign w:val="superscript"/>
        </w:rPr>
        <w:footnoteReference w:customMarkFollows="1" w:id="274"/>
        <w:t>20</w:t>
      </w:r>
    </w:p>
    <w:p w14:paraId="6BB52C34" w14:textId="77777777" w:rsidR="002D0E71" w:rsidRDefault="00000000">
      <w:pPr>
        <w:pStyle w:val="Normal42"/>
        <w:widowControl w:val="0"/>
        <w:spacing w:before="200" w:line="260" w:lineRule="atLeast"/>
        <w:jc w:val="both"/>
      </w:pPr>
      <w:bookmarkStart w:id="6491" w:name="Bookmark_para_69_2"/>
      <w:bookmarkStart w:id="6492" w:name="Bookmark_I5CBNK7M2N1R470050000400"/>
      <w:bookmarkEnd w:id="6491"/>
      <w:bookmarkEnd w:id="6492"/>
      <w:r>
        <w:rPr>
          <w:rFonts w:ascii="Arial" w:eastAsia="Arial" w:hAnsi="Arial" w:cs="Arial"/>
          <w:color w:val="000000"/>
          <w:sz w:val="20"/>
        </w:rPr>
        <w:t xml:space="preserve">Second, the remedial order reflects the awareness that courts often do not have the expertise or the institutional capacity "needed for formulation and day-to-day administration of detailed plans designed to assure that [a public entity] will provide . . . acceptable . . . services." </w:t>
      </w:r>
      <w:bookmarkStart w:id="6493" w:name="Bookmark_I5CBNK7M2N1R470040000400"/>
      <w:bookmarkEnd w:id="6493"/>
      <w:r>
        <w:rPr>
          <w:rFonts w:ascii="Arial" w:eastAsia="Arial" w:hAnsi="Arial" w:cs="Arial"/>
          <w:i/>
          <w:color w:val="000000"/>
          <w:sz w:val="20"/>
        </w:rPr>
        <w:t>Id</w:t>
      </w:r>
      <w:r>
        <w:rPr>
          <w:rFonts w:ascii="Arial" w:eastAsia="Arial" w:hAnsi="Arial" w:cs="Arial"/>
          <w:color w:val="000000"/>
          <w:sz w:val="20"/>
        </w:rPr>
        <w:t xml:space="preserve">. at 213-14. </w:t>
      </w:r>
      <w:bookmarkStart w:id="6494" w:name="Bookmark_I5CBNK7M2HM6J00020000400"/>
      <w:bookmarkEnd w:id="6494"/>
      <w:r>
        <w:rPr>
          <w:rFonts w:ascii="Arial" w:eastAsia="Arial" w:hAnsi="Arial" w:cs="Arial"/>
          <w:color w:val="000000"/>
          <w:sz w:val="20"/>
        </w:rPr>
        <w:t xml:space="preserve">As an initial matter, we note that the remedial order is substantially based on the DOJ's  [**45] proposed order. The DOJ's proposed order, in turn, is modeled after a settlement agreement that the DOJ entered into with Philadelphia, a city with similar accessibility challenges. </w:t>
      </w:r>
      <w:bookmarkStart w:id="6495" w:name="Bookmark_I5CBNK7M2HM6J00020000400_2"/>
      <w:bookmarkEnd w:id="6495"/>
      <w:r>
        <w:rPr>
          <w:rFonts w:ascii="Arial" w:eastAsia="Arial" w:hAnsi="Arial" w:cs="Arial"/>
          <w:color w:val="000000"/>
          <w:sz w:val="20"/>
        </w:rPr>
        <w:t xml:space="preserve">The district court did not, therefore, depend on its own ideas of how to improve BOE's program, but rather relied on a tested remedial plan proposed by the DOJ, the federal agency tasked with overseeing the implementation of the Acts, whose views about the Acts "warrant respect." </w:t>
      </w:r>
      <w:bookmarkStart w:id="6496" w:name="Bookmark_I5CBNK7M2HM6J00010000400"/>
      <w:bookmarkEnd w:id="6496"/>
      <w:r>
        <w:rPr>
          <w:rFonts w:ascii="Arial" w:eastAsia="Arial" w:hAnsi="Arial" w:cs="Arial"/>
          <w:i/>
          <w:color w:val="000000"/>
          <w:sz w:val="20"/>
        </w:rPr>
        <w:t>Olmstead</w:t>
      </w:r>
      <w:r>
        <w:rPr>
          <w:rFonts w:ascii="Arial" w:eastAsia="Arial" w:hAnsi="Arial" w:cs="Arial"/>
          <w:color w:val="000000"/>
          <w:sz w:val="20"/>
        </w:rPr>
        <w:t>, 527 U.S. at 598.</w:t>
      </w:r>
    </w:p>
    <w:p w14:paraId="206DB5F0" w14:textId="77777777" w:rsidR="002D0E71" w:rsidRDefault="00000000">
      <w:pPr>
        <w:pStyle w:val="Normal42"/>
        <w:widowControl w:val="0"/>
        <w:spacing w:before="200" w:line="260" w:lineRule="atLeast"/>
        <w:jc w:val="both"/>
      </w:pPr>
      <w:bookmarkStart w:id="6497" w:name="Bookmark_para_70_2"/>
      <w:bookmarkEnd w:id="6497"/>
      <w:r>
        <w:rPr>
          <w:rFonts w:ascii="Arial" w:eastAsia="Arial" w:hAnsi="Arial" w:cs="Arial"/>
          <w:color w:val="000000"/>
          <w:sz w:val="20"/>
        </w:rPr>
        <w:t>Further, as noted above, the remedial order is largely procedural in nature. In other words, it does not mandate particular changes or modifications, but rather creates a framework for BOE to cooperate with experts and plaintiffs to confront accessibility challenges and develop feasible accommodations over time. The district court's role, exercised through Magistrate [*206]  Judge Pitman, is to oversee this process and mediate conflict among the parties and experts, rather than effectively run or take over the BOE. Importantly, the remedial order does not contemplate the district court's oversight indefinitely; instead it sets December 31, 2016 as a clear end date for the district court's jurisdiction.</w:t>
      </w:r>
    </w:p>
    <w:p w14:paraId="2BE97328" w14:textId="77777777" w:rsidR="002D0E71" w:rsidRDefault="00000000">
      <w:pPr>
        <w:pStyle w:val="Normal42"/>
        <w:widowControl w:val="0"/>
        <w:spacing w:before="200" w:line="260" w:lineRule="atLeast"/>
        <w:jc w:val="both"/>
      </w:pPr>
      <w:bookmarkStart w:id="6498" w:name="Bookmark_para_71_2"/>
      <w:bookmarkEnd w:id="6498"/>
      <w:r>
        <w:rPr>
          <w:rFonts w:ascii="Arial" w:eastAsia="Arial" w:hAnsi="Arial" w:cs="Arial"/>
          <w:color w:val="000000"/>
          <w:sz w:val="20"/>
        </w:rPr>
        <w:t>Third, the  [**46] remedial order implicitly recognizes BOE's central role in managing its voting program and the need for BOE to build capacity to identify and address barriers to access on its own. Indeed, many of its provisions provide opportunities for BOE to decide what is in its best interest or to propose alternatives to the Third Party Expert's suggestions to reach the same accessibility goals. The remedial order also stresses that the Third Party Expert "shall train employees of the BOE on using the survey instrument and determining whether a polling site location is or can be made accessible." Order, October 18, 2012, ECF No. 119, at 12-13.</w:t>
      </w:r>
    </w:p>
    <w:p w14:paraId="35F39D7F" w14:textId="77777777" w:rsidR="002D0E71" w:rsidRDefault="00000000">
      <w:pPr>
        <w:pStyle w:val="Normal42"/>
        <w:widowControl w:val="0"/>
        <w:spacing w:before="200" w:line="260" w:lineRule="atLeast"/>
        <w:jc w:val="both"/>
      </w:pPr>
      <w:bookmarkStart w:id="6499" w:name="Bookmark_para_72_2"/>
      <w:bookmarkEnd w:id="6499"/>
      <w:r>
        <w:rPr>
          <w:rFonts w:ascii="Arial" w:eastAsia="Arial" w:hAnsi="Arial" w:cs="Arial"/>
          <w:color w:val="000000"/>
          <w:sz w:val="20"/>
        </w:rPr>
        <w:t>For the foregoing reasons, we determine that the district court did not abuse its discretion in granting plaintiffs injunctive relief and fashioning the remedial plan here.</w:t>
      </w:r>
    </w:p>
    <w:p w14:paraId="5DEDF46A" w14:textId="77777777" w:rsidR="002D0E71" w:rsidRDefault="00000000">
      <w:pPr>
        <w:pStyle w:val="Normal42"/>
        <w:widowControl w:val="0"/>
        <w:spacing w:before="200" w:line="260" w:lineRule="atLeast"/>
        <w:jc w:val="both"/>
      </w:pPr>
      <w:bookmarkStart w:id="6500" w:name="Bookmark_para_73_2"/>
      <w:bookmarkStart w:id="6501" w:name="Bookmark_I5CBNK7M2HM6J00040000400"/>
      <w:bookmarkEnd w:id="6500"/>
      <w:bookmarkEnd w:id="6501"/>
      <w:r>
        <w:rPr>
          <w:rFonts w:ascii="Arial" w:eastAsia="Arial" w:hAnsi="Arial" w:cs="Arial"/>
          <w:color w:val="000000"/>
          <w:sz w:val="20"/>
        </w:rPr>
        <w:t xml:space="preserve">We emphasize that while the remedial order, on its face, respects BOE's responsibilities and recognizes the limited capacity of the district court to suggest ways in which BOE should "discharge [those] responsibilities," </w:t>
      </w:r>
      <w:bookmarkStart w:id="6502" w:name="Bookmark_I5CBNK7M2HM6J00030000400"/>
      <w:bookmarkEnd w:id="6502"/>
      <w:r>
        <w:rPr>
          <w:rFonts w:ascii="Arial" w:eastAsia="Arial" w:hAnsi="Arial" w:cs="Arial"/>
          <w:i/>
          <w:color w:val="000000"/>
          <w:sz w:val="20"/>
        </w:rPr>
        <w:t>Frew</w:t>
      </w:r>
      <w:r>
        <w:rPr>
          <w:rFonts w:ascii="Arial" w:eastAsia="Arial" w:hAnsi="Arial" w:cs="Arial"/>
          <w:color w:val="000000"/>
          <w:sz w:val="20"/>
        </w:rPr>
        <w:t>, 540 U.S. at 442, the district court must, in practice, exercise prudent oversight. We recognize -- and the process that the remedial order creates reflects -- that  [**47] providing meaningful access to individuals with disabilities in a large, crowded city with inaccessible facilities is not an easy task that lends itself to simple or singular solutions. Hence, the district court's supervision should recognize that there are many ways BOE may meet its statutory obligations and focus on building and strengthening BOE's capacity to identify and address the accessibility issues its program confronts. Indeed, the very success of the remedial order depends, in part, on BOE's ability by December 31, 2016 to develop and implement its own plan to work towards providing meaningful access to all of the voters that its serves. We are confident the district court will exercise its oversight with this goal in mind.</w:t>
      </w:r>
    </w:p>
    <w:p w14:paraId="0CC67A33" w14:textId="77777777" w:rsidR="002D0E71" w:rsidRDefault="00000000">
      <w:pPr>
        <w:pStyle w:val="Normal42"/>
        <w:widowControl w:val="0"/>
        <w:spacing w:before="240" w:line="260" w:lineRule="atLeast"/>
      </w:pPr>
      <w:r>
        <w:br/>
      </w:r>
      <w:r>
        <w:rPr>
          <w:rFonts w:ascii="Arial" w:eastAsia="Arial" w:hAnsi="Arial" w:cs="Arial"/>
          <w:b/>
          <w:i/>
          <w:color w:val="000000"/>
          <w:sz w:val="20"/>
        </w:rPr>
        <w:t>CONCLUSION</w:t>
      </w:r>
    </w:p>
    <w:p w14:paraId="354ABB63" w14:textId="77777777" w:rsidR="002D0E71" w:rsidRDefault="00000000">
      <w:pPr>
        <w:pStyle w:val="Normal42"/>
        <w:widowControl w:val="0"/>
        <w:spacing w:before="200" w:line="260" w:lineRule="atLeast"/>
        <w:jc w:val="both"/>
      </w:pPr>
      <w:bookmarkStart w:id="6503" w:name="Bookmark_para_74_2"/>
      <w:bookmarkEnd w:id="6503"/>
      <w:r>
        <w:rPr>
          <w:rFonts w:ascii="Arial" w:eastAsia="Arial" w:hAnsi="Arial" w:cs="Arial"/>
          <w:color w:val="000000"/>
          <w:sz w:val="20"/>
        </w:rPr>
        <w:t>We conclude that the district court correctly held that BOE has failed to grant voters with disabilities meaningful access to its voting program. We also find that the remedial order is a proper exercise of the district court's authority to grant equitable relief. Accordingly, the order is AFFIRMED.</w:t>
      </w:r>
    </w:p>
    <w:p w14:paraId="0F039C09" w14:textId="77777777" w:rsidR="002D0E71" w:rsidRDefault="002D0E71">
      <w:pPr>
        <w:pStyle w:val="Normal42"/>
      </w:pPr>
    </w:p>
    <w:p w14:paraId="1885BB4C" w14:textId="167B3CCD" w:rsidR="002D0E71" w:rsidRDefault="00000000">
      <w:pPr>
        <w:pStyle w:val="Normal42"/>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50400" behindDoc="0" locked="0" layoutInCell="1" allowOverlap="1" wp14:anchorId="36A51AC7" wp14:editId="06A8D836">
                <wp:simplePos x="0" y="0"/>
                <wp:positionH relativeFrom="column">
                  <wp:posOffset>0</wp:posOffset>
                </wp:positionH>
                <wp:positionV relativeFrom="paragraph">
                  <wp:posOffset>127000</wp:posOffset>
                </wp:positionV>
                <wp:extent cx="6502400" cy="0"/>
                <wp:effectExtent l="9525" t="12700" r="12700" b="6350"/>
                <wp:wrapNone/>
                <wp:docPr id="667236079"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8BD839" id="Line 96"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D6F04A9" w14:textId="77777777" w:rsidR="002D0E71" w:rsidRDefault="002D0E71">
      <w:pPr>
        <w:pStyle w:val="Normal43"/>
        <w:sectPr w:rsidR="002D0E71">
          <w:headerReference w:type="even" r:id="rId269"/>
          <w:headerReference w:type="default" r:id="rId270"/>
          <w:footerReference w:type="even" r:id="rId271"/>
          <w:footerReference w:type="default" r:id="rId272"/>
          <w:headerReference w:type="first" r:id="rId273"/>
          <w:footerReference w:type="first" r:id="rId274"/>
          <w:pgSz w:w="12240" w:h="15840"/>
          <w:pgMar w:top="840" w:right="1000" w:bottom="840" w:left="1000" w:header="400" w:footer="400" w:gutter="0"/>
          <w:cols w:space="720"/>
          <w:titlePg/>
        </w:sectPr>
      </w:pPr>
    </w:p>
    <w:p w14:paraId="0712AE20" w14:textId="77777777" w:rsidR="002D0E71" w:rsidRDefault="002D0E71">
      <w:pPr>
        <w:pStyle w:val="Normal43"/>
      </w:pPr>
    </w:p>
    <w:p w14:paraId="72AEB639" w14:textId="77777777" w:rsidR="002D0E71" w:rsidRDefault="00000000">
      <w:pPr>
        <w:pStyle w:val="Heading142"/>
        <w:keepNext w:val="0"/>
        <w:widowControl w:val="0"/>
        <w:spacing w:after="200" w:line="340" w:lineRule="atLeast"/>
        <w:jc w:val="center"/>
      </w:pPr>
      <w:r>
        <w:rPr>
          <w:rFonts w:eastAsia="Arial"/>
          <w:color w:val="000000"/>
          <w:sz w:val="28"/>
        </w:rPr>
        <w:t>Marks v. Tennessee</w:t>
      </w:r>
    </w:p>
    <w:p w14:paraId="3391962E" w14:textId="77777777" w:rsidR="002D0E71" w:rsidRDefault="00000000">
      <w:pPr>
        <w:pStyle w:val="Normal43"/>
        <w:widowControl w:val="0"/>
        <w:spacing w:before="120" w:line="260" w:lineRule="atLeast"/>
        <w:jc w:val="center"/>
      </w:pPr>
      <w:r>
        <w:rPr>
          <w:rFonts w:ascii="Arial" w:eastAsia="Arial" w:hAnsi="Arial" w:cs="Arial"/>
          <w:color w:val="000000"/>
          <w:sz w:val="20"/>
        </w:rPr>
        <w:t>United States Court of Appeals for the Sixth Circuit</w:t>
      </w:r>
    </w:p>
    <w:p w14:paraId="733B24B8" w14:textId="77777777" w:rsidR="002D0E71" w:rsidRDefault="00000000">
      <w:pPr>
        <w:pStyle w:val="Normal43"/>
        <w:widowControl w:val="0"/>
        <w:spacing w:before="120" w:line="260" w:lineRule="atLeast"/>
        <w:jc w:val="center"/>
      </w:pPr>
      <w:r>
        <w:rPr>
          <w:rFonts w:ascii="Arial" w:eastAsia="Arial" w:hAnsi="Arial" w:cs="Arial"/>
          <w:color w:val="000000"/>
          <w:sz w:val="20"/>
        </w:rPr>
        <w:t>April 4, 2014, Filed</w:t>
      </w:r>
    </w:p>
    <w:p w14:paraId="3EFCA805" w14:textId="77777777" w:rsidR="002D0E71" w:rsidRDefault="00000000">
      <w:pPr>
        <w:pStyle w:val="Normal43"/>
        <w:widowControl w:val="0"/>
        <w:spacing w:before="120" w:line="260" w:lineRule="atLeast"/>
        <w:jc w:val="center"/>
      </w:pPr>
      <w:r>
        <w:rPr>
          <w:rFonts w:ascii="Arial" w:eastAsia="Arial" w:hAnsi="Arial" w:cs="Arial"/>
          <w:color w:val="000000"/>
          <w:sz w:val="20"/>
        </w:rPr>
        <w:t>File Name: 14a0256n.06</w:t>
      </w:r>
    </w:p>
    <w:p w14:paraId="7DC6A759" w14:textId="77777777" w:rsidR="002D0E71" w:rsidRDefault="00000000">
      <w:pPr>
        <w:pStyle w:val="Normal43"/>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13-5299</w:t>
      </w:r>
    </w:p>
    <w:p w14:paraId="490EF1E0" w14:textId="77777777" w:rsidR="002D0E71" w:rsidRDefault="002D0E71">
      <w:pPr>
        <w:pStyle w:val="Normal43"/>
        <w:widowControl w:val="0"/>
        <w:spacing w:line="240" w:lineRule="atLeast"/>
        <w:jc w:val="both"/>
      </w:pPr>
      <w:bookmarkStart w:id="6504" w:name="Bookmark_44"/>
      <w:bookmarkEnd w:id="6504"/>
    </w:p>
    <w:p w14:paraId="5D61F19E" w14:textId="77777777" w:rsidR="002D0E71" w:rsidRDefault="00000000">
      <w:pPr>
        <w:pStyle w:val="Normal43"/>
        <w:widowControl w:val="0"/>
        <w:spacing w:before="200" w:line="240" w:lineRule="atLeast"/>
      </w:pPr>
      <w:bookmarkStart w:id="6505" w:name="Reporter_42"/>
      <w:bookmarkEnd w:id="6505"/>
      <w:r>
        <w:rPr>
          <w:rFonts w:ascii="Arial" w:eastAsia="Arial" w:hAnsi="Arial" w:cs="Arial"/>
          <w:b/>
          <w:color w:val="000000"/>
          <w:sz w:val="18"/>
        </w:rPr>
        <w:t>Reporter</w:t>
      </w:r>
    </w:p>
    <w:p w14:paraId="117F3309" w14:textId="77777777" w:rsidR="002D0E71" w:rsidRDefault="00000000">
      <w:pPr>
        <w:pStyle w:val="Normal43"/>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562 Fed. Appx. 341 *; 2014 U.S. App. LEXIS 6320 **; 2014 FED App. 0256N (6th Cir.); 29 Am. Disabilities Cas. (BNA) 1162; 2014 WL 1328290</w:t>
      </w:r>
    </w:p>
    <w:p w14:paraId="57D5A4AE" w14:textId="77777777" w:rsidR="002D0E71" w:rsidRDefault="00000000">
      <w:pPr>
        <w:pStyle w:val="Normal43"/>
        <w:widowControl w:val="0"/>
        <w:spacing w:before="120" w:line="260" w:lineRule="atLeast"/>
      </w:pPr>
      <w:r>
        <w:rPr>
          <w:rFonts w:ascii="Arial" w:eastAsia="Arial" w:hAnsi="Arial" w:cs="Arial"/>
          <w:color w:val="000000"/>
          <w:sz w:val="20"/>
        </w:rPr>
        <w:t>ROBERT C. MARKS, SR., Plaintiff-Appellant, v. STATE OF TENNESSEE; ADMINISTRATIVE OFFICE OF THE STATE COURTS, Defendants-Appellees.</w:t>
      </w:r>
    </w:p>
    <w:p w14:paraId="3A1B7AD5" w14:textId="77777777" w:rsidR="002D0E71" w:rsidRDefault="00000000">
      <w:pPr>
        <w:pStyle w:val="Normal43"/>
        <w:widowControl w:val="0"/>
        <w:spacing w:before="240" w:line="260" w:lineRule="atLeast"/>
        <w:jc w:val="both"/>
      </w:pPr>
      <w:bookmarkStart w:id="6506" w:name="Notice_11"/>
      <w:bookmarkEnd w:id="6506"/>
      <w:r>
        <w:rPr>
          <w:rFonts w:ascii="Arial" w:eastAsia="Arial" w:hAnsi="Arial" w:cs="Arial"/>
          <w:b/>
          <w:color w:val="000000"/>
          <w:sz w:val="20"/>
        </w:rPr>
        <w:t>Notice:</w:t>
      </w:r>
      <w:r>
        <w:rPr>
          <w:rFonts w:ascii="Arial" w:eastAsia="Arial" w:hAnsi="Arial" w:cs="Arial"/>
          <w:color w:val="000000"/>
          <w:sz w:val="20"/>
        </w:rPr>
        <w:t> </w:t>
      </w:r>
      <w:bookmarkStart w:id="6507" w:name="Bookmark_para_1_42"/>
      <w:bookmarkEnd w:id="6507"/>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14:paraId="4B440C21" w14:textId="77777777" w:rsidR="002D0E71" w:rsidRDefault="00000000">
      <w:pPr>
        <w:pStyle w:val="Normal43"/>
        <w:widowControl w:val="0"/>
        <w:spacing w:before="240" w:line="260" w:lineRule="atLeast"/>
      </w:pPr>
      <w:bookmarkStart w:id="6508" w:name="Subsequent_History_16"/>
      <w:bookmarkEnd w:id="6508"/>
      <w:r>
        <w:rPr>
          <w:rFonts w:ascii="Arial" w:eastAsia="Arial" w:hAnsi="Arial" w:cs="Arial"/>
          <w:b/>
          <w:color w:val="000000"/>
          <w:sz w:val="20"/>
        </w:rPr>
        <w:t>Subsequent History:</w:t>
      </w:r>
      <w:r>
        <w:rPr>
          <w:rFonts w:ascii="Arial" w:eastAsia="Arial" w:hAnsi="Arial" w:cs="Arial"/>
          <w:color w:val="000000"/>
          <w:sz w:val="20"/>
        </w:rPr>
        <w:t> US Supreme Court certiorari denied by Marks v. Tennessee, 2014 U.S. LEXIS 6285 (U.S., Oct. 6, 2014)</w:t>
      </w:r>
    </w:p>
    <w:p w14:paraId="0C922429" w14:textId="77777777" w:rsidR="002D0E71" w:rsidRDefault="00000000">
      <w:pPr>
        <w:pStyle w:val="Normal43"/>
        <w:widowControl w:val="0"/>
        <w:spacing w:before="240" w:line="260" w:lineRule="atLeast"/>
        <w:jc w:val="both"/>
      </w:pPr>
      <w:bookmarkStart w:id="6509" w:name="Prior_History_41"/>
      <w:bookmarkEnd w:id="6509"/>
      <w:r>
        <w:rPr>
          <w:rFonts w:ascii="Arial" w:eastAsia="Arial" w:hAnsi="Arial" w:cs="Arial"/>
          <w:b/>
          <w:color w:val="000000"/>
          <w:sz w:val="20"/>
        </w:rPr>
        <w:t>Prior History:</w:t>
      </w:r>
      <w:r>
        <w:rPr>
          <w:rFonts w:ascii="Arial" w:eastAsia="Arial" w:hAnsi="Arial" w:cs="Arial"/>
          <w:color w:val="000000"/>
          <w:sz w:val="20"/>
        </w:rPr>
        <w:t>  [**1] </w:t>
      </w:r>
      <w:bookmarkStart w:id="6510" w:name="Bookmark_para_2_42"/>
      <w:bookmarkEnd w:id="6510"/>
      <w:r>
        <w:rPr>
          <w:rFonts w:ascii="Arial" w:eastAsia="Arial" w:hAnsi="Arial" w:cs="Arial"/>
          <w:color w:val="000000"/>
          <w:sz w:val="20"/>
        </w:rPr>
        <w:t>ON APPEAL FROM THE UNITED STATES DISTRICT COURT FOR THE MIDDLE DISTRICT OF TENNESSEE.</w:t>
      </w:r>
    </w:p>
    <w:p w14:paraId="5D81E806" w14:textId="77777777" w:rsidR="002D0E71" w:rsidRDefault="00000000">
      <w:pPr>
        <w:pStyle w:val="Normal43"/>
        <w:widowControl w:val="0"/>
        <w:spacing w:before="120" w:line="260" w:lineRule="atLeast"/>
      </w:pPr>
      <w:r>
        <w:rPr>
          <w:rFonts w:ascii="Arial" w:eastAsia="Arial" w:hAnsi="Arial" w:cs="Arial"/>
          <w:color w:val="000000"/>
          <w:sz w:val="20"/>
        </w:rPr>
        <w:t>Marks v. State Admin. Office of the Courts, 2013 U.S. Dist. LEXIS 14990 (M.D. Tenn., Feb. 1, 2013)</w:t>
      </w:r>
    </w:p>
    <w:p w14:paraId="5BAF11AF" w14:textId="77777777" w:rsidR="002D0E71" w:rsidRDefault="00000000">
      <w:pPr>
        <w:pStyle w:val="Normal43"/>
        <w:widowControl w:val="0"/>
        <w:spacing w:before="240" w:line="260" w:lineRule="atLeast"/>
      </w:pPr>
      <w:bookmarkStart w:id="6511" w:name="Counsel_42"/>
      <w:bookmarkEnd w:id="6511"/>
      <w:r>
        <w:rPr>
          <w:rFonts w:ascii="Arial" w:eastAsia="Arial" w:hAnsi="Arial" w:cs="Arial"/>
          <w:b/>
          <w:color w:val="000000"/>
          <w:sz w:val="20"/>
        </w:rPr>
        <w:t>Counsel:</w:t>
      </w:r>
      <w:r>
        <w:rPr>
          <w:rFonts w:ascii="Arial" w:eastAsia="Arial" w:hAnsi="Arial" w:cs="Arial"/>
          <w:color w:val="000000"/>
          <w:sz w:val="20"/>
        </w:rPr>
        <w:t> Robert C. Marks, Sr., Plaintiff - Appellant, Pro se, Spring Hill, TN.</w:t>
      </w:r>
    </w:p>
    <w:p w14:paraId="664648CE" w14:textId="77777777" w:rsidR="002D0E71" w:rsidRDefault="00000000">
      <w:pPr>
        <w:pStyle w:val="Normal43"/>
        <w:widowControl w:val="0"/>
        <w:spacing w:before="120" w:line="260" w:lineRule="atLeast"/>
      </w:pPr>
      <w:r>
        <w:rPr>
          <w:rFonts w:ascii="Arial" w:eastAsia="Arial" w:hAnsi="Arial" w:cs="Arial"/>
          <w:color w:val="000000"/>
          <w:sz w:val="20"/>
        </w:rPr>
        <w:t>For State of Tennessee, Administrative Office of The State Courts, Defendants - Appellees: Michael K. Markham, Office of the Tennessee Attorney General, Nashville, TN.</w:t>
      </w:r>
    </w:p>
    <w:p w14:paraId="3163E5B2" w14:textId="77777777" w:rsidR="002D0E71" w:rsidRDefault="00000000">
      <w:pPr>
        <w:pStyle w:val="Normal43"/>
        <w:widowControl w:val="0"/>
        <w:spacing w:before="240" w:line="260" w:lineRule="atLeast"/>
      </w:pPr>
      <w:bookmarkStart w:id="6512" w:name="Judges_42"/>
      <w:bookmarkEnd w:id="6512"/>
      <w:r>
        <w:rPr>
          <w:rFonts w:ascii="Arial" w:eastAsia="Arial" w:hAnsi="Arial" w:cs="Arial"/>
          <w:b/>
          <w:color w:val="000000"/>
          <w:sz w:val="20"/>
        </w:rPr>
        <w:t>Judges:</w:t>
      </w:r>
      <w:r>
        <w:rPr>
          <w:rFonts w:ascii="Arial" w:eastAsia="Arial" w:hAnsi="Arial" w:cs="Arial"/>
          <w:color w:val="000000"/>
          <w:sz w:val="20"/>
        </w:rPr>
        <w:t> BEFORE: KEITH, SILER, and ROGERS, Circuit Judges.</w:t>
      </w:r>
    </w:p>
    <w:p w14:paraId="606FB5DA" w14:textId="77777777" w:rsidR="002D0E71" w:rsidRDefault="00000000">
      <w:pPr>
        <w:pStyle w:val="Normal43"/>
        <w:widowControl w:val="0"/>
        <w:spacing w:before="240" w:line="260" w:lineRule="atLeast"/>
      </w:pPr>
      <w:bookmarkStart w:id="6513" w:name="Opinion_by_31"/>
      <w:bookmarkEnd w:id="6513"/>
      <w:r>
        <w:rPr>
          <w:rFonts w:ascii="Arial" w:eastAsia="Arial" w:hAnsi="Arial" w:cs="Arial"/>
          <w:b/>
          <w:color w:val="000000"/>
          <w:sz w:val="20"/>
        </w:rPr>
        <w:t>Opinion by:</w:t>
      </w:r>
      <w:r>
        <w:rPr>
          <w:rFonts w:ascii="Arial" w:eastAsia="Arial" w:hAnsi="Arial" w:cs="Arial"/>
          <w:color w:val="000000"/>
          <w:sz w:val="20"/>
        </w:rPr>
        <w:t> ROGERS</w:t>
      </w:r>
    </w:p>
    <w:p w14:paraId="38A06462" w14:textId="77777777" w:rsidR="002D0E71" w:rsidRDefault="00000000">
      <w:pPr>
        <w:pStyle w:val="Normal43"/>
        <w:keepNext/>
        <w:widowControl w:val="0"/>
        <w:spacing w:before="240" w:line="340" w:lineRule="atLeast"/>
      </w:pPr>
      <w:bookmarkStart w:id="6514" w:name="Opinion_42"/>
      <w:bookmarkEnd w:id="6514"/>
      <w:r>
        <w:rPr>
          <w:rFonts w:ascii="Arial" w:eastAsia="Arial" w:hAnsi="Arial" w:cs="Arial"/>
          <w:b/>
          <w:color w:val="000000"/>
          <w:sz w:val="28"/>
        </w:rPr>
        <w:t>Opinion</w:t>
      </w:r>
    </w:p>
    <w:p w14:paraId="7C37C490" w14:textId="42E99B66" w:rsidR="002D0E71" w:rsidRDefault="002939DF">
      <w:pPr>
        <w:pStyle w:val="Normal43"/>
        <w:spacing w:line="60" w:lineRule="exact"/>
      </w:pPr>
      <w:r>
        <w:rPr>
          <w:noProof/>
        </w:rPr>
        <mc:AlternateContent>
          <mc:Choice Requires="wps">
            <w:drawing>
              <wp:anchor distT="0" distB="0" distL="114300" distR="114300" simplePos="0" relativeHeight="251751424" behindDoc="0" locked="0" layoutInCell="1" allowOverlap="1" wp14:anchorId="770110DE" wp14:editId="61F9B034">
                <wp:simplePos x="0" y="0"/>
                <wp:positionH relativeFrom="column">
                  <wp:posOffset>0</wp:posOffset>
                </wp:positionH>
                <wp:positionV relativeFrom="paragraph">
                  <wp:posOffset>25400</wp:posOffset>
                </wp:positionV>
                <wp:extent cx="3187700" cy="0"/>
                <wp:effectExtent l="19050" t="15875" r="12700" b="12700"/>
                <wp:wrapTopAndBottom/>
                <wp:docPr id="1211394908"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B814F" id="Line 97"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27CB4AA" w14:textId="77777777" w:rsidR="002D0E71" w:rsidRDefault="002D0E71">
      <w:pPr>
        <w:pStyle w:val="Normal43"/>
      </w:pPr>
    </w:p>
    <w:p w14:paraId="052B840D" w14:textId="77777777" w:rsidR="002D0E71" w:rsidRDefault="00000000">
      <w:pPr>
        <w:pStyle w:val="Normal43"/>
        <w:widowControl w:val="0"/>
        <w:spacing w:before="200" w:line="260" w:lineRule="atLeast"/>
        <w:jc w:val="both"/>
      </w:pPr>
      <w:bookmarkStart w:id="6515" w:name="Bookmark_para_3_42"/>
      <w:bookmarkEnd w:id="6515"/>
      <w:r>
        <w:rPr>
          <w:rFonts w:ascii="Arial" w:eastAsia="Arial" w:hAnsi="Arial" w:cs="Arial"/>
          <w:color w:val="000000"/>
          <w:sz w:val="20"/>
        </w:rPr>
        <w:t xml:space="preserve"> [*342]  ROGERS, Circuit Judge. Plaintiff Robert Clive Marks is a former lawyer who suffers from substantial disability. Marks was found liable for legal malpractice and then defended himself pro se in an enforcement action against certain assets. The present case arises out of the proceedings in that enforcement action. </w:t>
      </w:r>
      <w:bookmarkStart w:id="6516" w:name="Bookmark_I5C30TGJ2SF7W00020000400"/>
      <w:bookmarkEnd w:id="6516"/>
      <w:r>
        <w:rPr>
          <w:rFonts w:ascii="Arial" w:eastAsia="Arial" w:hAnsi="Arial" w:cs="Arial"/>
          <w:color w:val="000000"/>
          <w:sz w:val="20"/>
        </w:rPr>
        <w:t xml:space="preserve">The gist of Marks's grievance is that the State of Tennessee, through the Administrative Office of the State Courts, violated his rights under the Americans with Disabilities Act (ADA) when implementing its disability-accommodation policy during the litigation. Marks had some success in the case; on appeal, certain trust assets were successfully protected from his creditors. </w:t>
      </w:r>
      <w:bookmarkStart w:id="6517" w:name="Bookmark_I5C30TGJ2SF7W00010000400"/>
      <w:bookmarkEnd w:id="6517"/>
      <w:r>
        <w:rPr>
          <w:rFonts w:ascii="Arial" w:eastAsia="Arial" w:hAnsi="Arial" w:cs="Arial"/>
          <w:i/>
          <w:color w:val="000000"/>
          <w:sz w:val="20"/>
        </w:rPr>
        <w:t>Atkins v. Marks</w:t>
      </w:r>
      <w:r>
        <w:rPr>
          <w:rFonts w:ascii="Arial" w:eastAsia="Arial" w:hAnsi="Arial" w:cs="Arial"/>
          <w:color w:val="000000"/>
          <w:sz w:val="20"/>
        </w:rPr>
        <w:t>, 288 S.W.3d 356, 371-73 (Tenn. Ct. App. 2008). Marks's only remaining basis for injury is the stress he suffered during  [**2] litigation, which he claims contributed to the loss of his leg. Because the local ADA coordinator reasonably implemented the courts' disability policy and ensured that Marks was effectively able to litigate his case, the district court properly granted the State's motion to dismiss.</w:t>
      </w:r>
    </w:p>
    <w:p w14:paraId="7175933B" w14:textId="77777777" w:rsidR="002D0E71" w:rsidRDefault="00000000">
      <w:pPr>
        <w:pStyle w:val="Normal43"/>
        <w:widowControl w:val="0"/>
        <w:spacing w:before="200" w:line="260" w:lineRule="atLeast"/>
        <w:jc w:val="both"/>
      </w:pPr>
      <w:bookmarkStart w:id="6518" w:name="Bookmark_para_4_42"/>
      <w:bookmarkStart w:id="6519" w:name="Bookmark_I5C30TGJ2SF7W00040000400"/>
      <w:bookmarkEnd w:id="6518"/>
      <w:bookmarkEnd w:id="6519"/>
      <w:r>
        <w:rPr>
          <w:rFonts w:ascii="Arial" w:eastAsia="Arial" w:hAnsi="Arial" w:cs="Arial"/>
          <w:color w:val="000000"/>
          <w:sz w:val="20"/>
        </w:rPr>
        <w:t xml:space="preserve">The district court laid out in detail the relevant facts, including a description of Marks's disability, the underlying litigation, and the series of communications between Marks and various court officers. </w:t>
      </w:r>
      <w:bookmarkStart w:id="6520" w:name="Bookmark_I5C30TGJ2SF7W00030000400"/>
      <w:bookmarkEnd w:id="6520"/>
      <w:r>
        <w:rPr>
          <w:rFonts w:ascii="Arial" w:eastAsia="Arial" w:hAnsi="Arial" w:cs="Arial"/>
          <w:i/>
          <w:color w:val="000000"/>
          <w:sz w:val="20"/>
        </w:rPr>
        <w:t>Marks v. Tenn. Admin. Office of Cts.</w:t>
      </w:r>
      <w:r>
        <w:rPr>
          <w:rFonts w:ascii="Arial" w:eastAsia="Arial" w:hAnsi="Arial" w:cs="Arial"/>
          <w:color w:val="000000"/>
          <w:sz w:val="20"/>
        </w:rPr>
        <w:t>, No. 3:06-CV-01208, 2013 U.S. Dist. LEXIS 14990, 2013 WL 432905, at *2-5 (M.D. Tenn. Feb. 4, 2013). In short: The Administrative Office of the Courts instituted a policy to implement the ADA that included a procedure for disabled persons to request modifications to the courtroom or court procedures in order to accommodate their disabilities. During the enforcement litigation, Marks submitted administrative requests for modification; some of the requests asked that the case be postponed while Marks convalesced from numerous medical calamities, and another sought for the hearings be truncated to accommodate his limited physical and cognitive stamina. The local ADA coordinator forwarded all of these  [**3] requests to the trial  [*343]  court judge, who substantially accommodated all of the requests. However, after the first request, the trial judge informed Marks that he should move for continuances before the court, rather than submit administrative requests for postponement. Marks administratively challenged this response, and the Administrative Office ultimately stated that such requests should typically be addressed to the court, but could alternatively be submitted to the local coordinator, who would then consult with the trial judge. During the litigation and administrative challenge, Marks suffered a medical complication, and his leg was amputated. Marks then sued the State and Administrative Office in federal district court, claiming that their handling of his requests for modification violated his rights under the ADA and that the Administrative Office had failed to post ADA notices in certain courthouses.</w:t>
      </w:r>
    </w:p>
    <w:p w14:paraId="469E2B38" w14:textId="77777777" w:rsidR="002D0E71" w:rsidRDefault="00000000">
      <w:pPr>
        <w:pStyle w:val="Normal43"/>
        <w:widowControl w:val="0"/>
        <w:spacing w:before="200" w:line="260" w:lineRule="atLeast"/>
        <w:jc w:val="both"/>
      </w:pPr>
      <w:bookmarkStart w:id="6521" w:name="Bookmark_para_5_42"/>
      <w:bookmarkStart w:id="6522" w:name="Bookmark_I5C30TGJ2N1R4Y0010000400"/>
      <w:bookmarkEnd w:id="6521"/>
      <w:bookmarkEnd w:id="6522"/>
      <w:r>
        <w:rPr>
          <w:rFonts w:ascii="Arial" w:eastAsia="Arial" w:hAnsi="Arial" w:cs="Arial"/>
          <w:color w:val="000000"/>
          <w:sz w:val="20"/>
        </w:rPr>
        <w:t xml:space="preserve">This case has been before this court before. After the district court initially dismissed the case under the </w:t>
      </w:r>
      <w:r>
        <w:rPr>
          <w:rFonts w:ascii="Arial" w:eastAsia="Arial" w:hAnsi="Arial" w:cs="Arial"/>
          <w:i/>
          <w:color w:val="000000"/>
          <w:sz w:val="20"/>
        </w:rPr>
        <w:t>Rooker-Feldman</w:t>
      </w:r>
      <w:r>
        <w:rPr>
          <w:rFonts w:ascii="Arial" w:eastAsia="Arial" w:hAnsi="Arial" w:cs="Arial"/>
          <w:color w:val="000000"/>
          <w:sz w:val="20"/>
        </w:rPr>
        <w:t xml:space="preserve"> doctrine, we held that that doctrine did not apply to bar Marks's claim. </w:t>
      </w:r>
      <w:bookmarkStart w:id="6523" w:name="Bookmark_I5C30TGJ2SF7W00050000400"/>
      <w:bookmarkEnd w:id="6523"/>
      <w:r>
        <w:rPr>
          <w:rFonts w:ascii="Arial" w:eastAsia="Arial" w:hAnsi="Arial" w:cs="Arial"/>
          <w:i/>
          <w:color w:val="000000"/>
          <w:sz w:val="20"/>
        </w:rPr>
        <w:t>Marks v. Tennessee</w:t>
      </w:r>
      <w:r>
        <w:rPr>
          <w:rFonts w:ascii="Arial" w:eastAsia="Arial" w:hAnsi="Arial" w:cs="Arial"/>
          <w:color w:val="000000"/>
          <w:sz w:val="20"/>
        </w:rPr>
        <w:t>, 554 F.3d 619, 623 (6th Cir. 2009). We characterized Marks's claim  [**4] as follows:</w:t>
      </w:r>
    </w:p>
    <w:p w14:paraId="3CECEA85" w14:textId="77777777" w:rsidR="002D0E71" w:rsidRDefault="00000000">
      <w:pPr>
        <w:pStyle w:val="Normal43"/>
        <w:widowControl w:val="0"/>
        <w:spacing w:before="200" w:line="260" w:lineRule="atLeast"/>
        <w:ind w:left="400"/>
        <w:jc w:val="both"/>
      </w:pPr>
      <w:bookmarkStart w:id="6524" w:name="Bookmark_para_6_42"/>
      <w:bookmarkEnd w:id="6524"/>
      <w:r>
        <w:rPr>
          <w:rFonts w:ascii="Arial" w:eastAsia="Arial" w:hAnsi="Arial" w:cs="Arial"/>
          <w:color w:val="000000"/>
          <w:sz w:val="20"/>
        </w:rPr>
        <w:t>In actuality, Marks's claim to the district court (and to this court on appeal) is that, as a qualified individual with a disability, he is entitled to reasonable accommodation, and, in this case, a reasonable accommodation would be to allow him to stay the court proceedings by faxing [a request for modification] to the [Administrative Office of the Courts] (rather than moving the court for a continuance via an actual appearance or a filing at the courthouse) and to maintain that stay until his treating physicians had given him a medical release to proceed. Marks does not claim that he was injured by the court's rulings on the continuances (nor could he, inasmuch as the court granted every continuance), but instead claims that he was injured by: (1) his having to file the continuances (rather than the faxes) at all and to engage in this dispute with the court and the [Administrative Office] about this accommodation while in his weakened and disabled condition; (2) the court's and the [Administrative Office]'s refusal to stay the proceedings (indefinitely) pending his doctor's release (i.e., their refusal to grant him his preferred "reasonable accommodation"); and (3) the  [**5] court's and the [Administrative Office]'s failure to post the ADA signs in the court house, as required by the ADA. As a remedy, Marks seeks damages, based on his pain and suffering from these three alleged harms.</w:t>
      </w:r>
    </w:p>
    <w:p w14:paraId="67EDCEB9" w14:textId="77777777" w:rsidR="002D0E71" w:rsidRDefault="00000000">
      <w:pPr>
        <w:pStyle w:val="Normal43"/>
        <w:widowControl w:val="0"/>
        <w:spacing w:before="200" w:line="260" w:lineRule="atLeast"/>
        <w:jc w:val="both"/>
      </w:pPr>
      <w:r>
        <w:rPr>
          <w:rFonts w:ascii="Arial" w:eastAsia="Arial" w:hAnsi="Arial" w:cs="Arial"/>
          <w:i/>
          <w:color w:val="000000"/>
          <w:sz w:val="20"/>
        </w:rPr>
        <w:t>Id.</w:t>
      </w:r>
    </w:p>
    <w:p w14:paraId="29208A51" w14:textId="77777777" w:rsidR="002D0E71" w:rsidRDefault="00000000">
      <w:pPr>
        <w:pStyle w:val="Normal43"/>
        <w:widowControl w:val="0"/>
        <w:spacing w:before="200" w:line="260" w:lineRule="atLeast"/>
        <w:jc w:val="both"/>
      </w:pPr>
      <w:bookmarkStart w:id="6525" w:name="Bookmark_para_7_41"/>
      <w:bookmarkStart w:id="6526" w:name="Bookmark_I5C30TGJ2N1R4Y0030000400"/>
      <w:bookmarkStart w:id="6527" w:name="Bookmark_I5C30TGJ2N1R4Y0050000400"/>
      <w:bookmarkEnd w:id="6525"/>
      <w:bookmarkEnd w:id="6526"/>
      <w:bookmarkEnd w:id="6527"/>
      <w:r>
        <w:rPr>
          <w:rFonts w:ascii="Arial" w:eastAsia="Arial" w:hAnsi="Arial" w:cs="Arial"/>
          <w:color w:val="000000"/>
          <w:sz w:val="20"/>
        </w:rPr>
        <w:t xml:space="preserve">On remand, the district court again dismissed the complaint. </w:t>
      </w:r>
      <w:bookmarkStart w:id="6528" w:name="Bookmark_I5C30TGJ2HM6RM0020000400"/>
      <w:bookmarkStart w:id="6529" w:name="Bookmark_I5C30TGJ2N1R4Y0020000400"/>
      <w:bookmarkEnd w:id="6528"/>
      <w:bookmarkEnd w:id="6529"/>
      <w:r>
        <w:rPr>
          <w:rFonts w:ascii="Arial" w:eastAsia="Arial" w:hAnsi="Arial" w:cs="Arial"/>
          <w:i/>
          <w:color w:val="000000"/>
          <w:sz w:val="20"/>
        </w:rPr>
        <w:t>Marks v. Tenn. Admin. Office of Cts.</w:t>
      </w:r>
      <w:r>
        <w:rPr>
          <w:rFonts w:ascii="Arial" w:eastAsia="Arial" w:hAnsi="Arial" w:cs="Arial"/>
          <w:color w:val="000000"/>
          <w:sz w:val="20"/>
        </w:rPr>
        <w:t xml:space="preserve">, 2013 U.S. Dist. LEXIS 14990, 2013 WL 432905, at *12. </w:t>
      </w:r>
      <w:bookmarkStart w:id="6530" w:name="Bookmark_I5C30TGJ2HM6RM0040000400"/>
      <w:bookmarkEnd w:id="6530"/>
      <w:r>
        <w:rPr>
          <w:rFonts w:ascii="Arial" w:eastAsia="Arial" w:hAnsi="Arial" w:cs="Arial"/>
          <w:color w:val="000000"/>
          <w:sz w:val="20"/>
        </w:rPr>
        <w:t xml:space="preserve">First, the district court dismissed the failure-to-post-notice claim for lack of standing, finding that "Plaintiff's complaint lack[ed] factual allegations of any injury in fact or any threat of future injury fairly traceable to the alleged lack of ADA notices." </w:t>
      </w:r>
      <w:bookmarkStart w:id="6531" w:name="Bookmark_I5C30TGJ2N1R4Y0040000400"/>
      <w:bookmarkEnd w:id="6531"/>
      <w:r>
        <w:rPr>
          <w:rFonts w:ascii="Arial" w:eastAsia="Arial" w:hAnsi="Arial" w:cs="Arial"/>
          <w:color w:val="000000"/>
          <w:sz w:val="20"/>
        </w:rPr>
        <w:t xml:space="preserve">2013 U.S. Dist. LEXIS 14990, [WL] at *8-9. </w:t>
      </w:r>
      <w:bookmarkStart w:id="6532" w:name="Bookmark_I5C30TGJ2HM6RM0040000400_2"/>
      <w:bookmarkStart w:id="6533" w:name="Bookmark_I5C30TGJ2HM6RM0020000400_2"/>
      <w:bookmarkStart w:id="6534" w:name="Bookmark_I5C30TGJ28T4GV0010000400"/>
      <w:bookmarkEnd w:id="6532"/>
      <w:bookmarkEnd w:id="6533"/>
      <w:bookmarkEnd w:id="6534"/>
      <w:r>
        <w:rPr>
          <w:rFonts w:ascii="Arial" w:eastAsia="Arial" w:hAnsi="Arial" w:cs="Arial"/>
          <w:color w:val="000000"/>
          <w:sz w:val="20"/>
        </w:rPr>
        <w:t xml:space="preserve">Next, the court held that the Tennessee personal injury statute of limitations applied and that, therefore, only Marks's post-December 20, 2005 claims were timely. </w:t>
      </w:r>
      <w:bookmarkStart w:id="6535" w:name="Bookmark_I5C30TGJ2HM6RM0010000400"/>
      <w:bookmarkEnd w:id="6535"/>
      <w:r>
        <w:rPr>
          <w:rFonts w:ascii="Arial" w:eastAsia="Arial" w:hAnsi="Arial" w:cs="Arial"/>
          <w:color w:val="000000"/>
          <w:sz w:val="20"/>
        </w:rPr>
        <w:t xml:space="preserve">2013 U.S. Dist. LEXIS 14990, [WL] at *9. </w:t>
      </w:r>
      <w:bookmarkStart w:id="6536" w:name="Bookmark_I5C30TGJ28T4GV0010000400_2"/>
      <w:bookmarkEnd w:id="6536"/>
      <w:r>
        <w:rPr>
          <w:rFonts w:ascii="Arial" w:eastAsia="Arial" w:hAnsi="Arial" w:cs="Arial"/>
          <w:color w:val="000000"/>
          <w:sz w:val="20"/>
        </w:rPr>
        <w:t xml:space="preserve">Construing the gravamen of the complaint as a challenge to the state trial judge's rulings to grant or deny continuances and the trial judge's alleged comments during trial, the district court held that the direct appeal in state court precluded this parallel challenge, that judicial immunity barred the claims, and that "Plaintiff's attempt to circumvent the doctrine of judicial immunity by naming as Defendants  [**6] the State of Tennessee and the Administrative Office of the Court fails." </w:t>
      </w:r>
      <w:bookmarkStart w:id="6537" w:name="Bookmark_I5C30TGJ2HM6RM0030000400"/>
      <w:bookmarkEnd w:id="6537"/>
      <w:r>
        <w:rPr>
          <w:rFonts w:ascii="Arial" w:eastAsia="Arial" w:hAnsi="Arial" w:cs="Arial"/>
          <w:color w:val="000000"/>
          <w:sz w:val="20"/>
        </w:rPr>
        <w:t xml:space="preserve">2013 U.S. Dist. LEXIS 14990, [WL] at *9-11. </w:t>
      </w:r>
      <w:bookmarkStart w:id="6538" w:name="Bookmark_I5C30TGJ28T4GV0010000400_3"/>
      <w:bookmarkEnd w:id="6538"/>
      <w:r>
        <w:rPr>
          <w:rFonts w:ascii="Arial" w:eastAsia="Arial" w:hAnsi="Arial" w:cs="Arial"/>
          <w:color w:val="000000"/>
          <w:sz w:val="20"/>
        </w:rPr>
        <w:t xml:space="preserve">Finally,  [*344]  assuming that the State and the Administrative Office were proper defendants to the claim, the district court reached the merits and held that Marks failed to state a claim of disability discrimination because the trial court made "reasonable accommodations" to Marks's disability during the state court proceedings. </w:t>
      </w:r>
      <w:bookmarkStart w:id="6539" w:name="Bookmark_I5C30TGJ2HM6RM0050000400"/>
      <w:bookmarkEnd w:id="6539"/>
      <w:r>
        <w:rPr>
          <w:rFonts w:ascii="Arial" w:eastAsia="Arial" w:hAnsi="Arial" w:cs="Arial"/>
          <w:color w:val="000000"/>
          <w:sz w:val="20"/>
        </w:rPr>
        <w:t>2013 U.S. Dist. LEXIS 14990, [WL] at *11.</w:t>
      </w:r>
    </w:p>
    <w:p w14:paraId="6067099C" w14:textId="77777777" w:rsidR="002D0E71" w:rsidRDefault="00000000">
      <w:pPr>
        <w:pStyle w:val="Normal43"/>
        <w:widowControl w:val="0"/>
        <w:spacing w:before="200" w:line="260" w:lineRule="atLeast"/>
        <w:jc w:val="both"/>
      </w:pPr>
      <w:bookmarkStart w:id="6540" w:name="Bookmark_para_8_41"/>
      <w:bookmarkEnd w:id="6540"/>
      <w:r>
        <w:rPr>
          <w:rFonts w:ascii="Arial" w:eastAsia="Arial" w:hAnsi="Arial" w:cs="Arial"/>
          <w:color w:val="000000"/>
          <w:sz w:val="20"/>
        </w:rPr>
        <w:t>Marks now appeals a second time, arguing that he has standing to pursue the failure-to-post-notice claims, that the State and the Administrative Office were proper defendants, and that the complaint stated a claim upon which relief could be granted.</w:t>
      </w:r>
    </w:p>
    <w:p w14:paraId="6BE88ABF" w14:textId="77777777" w:rsidR="002D0E71" w:rsidRDefault="00000000">
      <w:pPr>
        <w:pStyle w:val="Normal43"/>
        <w:widowControl w:val="0"/>
        <w:spacing w:before="200" w:line="260" w:lineRule="atLeast"/>
        <w:jc w:val="both"/>
      </w:pPr>
      <w:bookmarkStart w:id="6541" w:name="Bookmark_para_9_41"/>
      <w:bookmarkEnd w:id="6541"/>
      <w:r>
        <w:rPr>
          <w:rFonts w:ascii="Arial" w:eastAsia="Arial" w:hAnsi="Arial" w:cs="Arial"/>
          <w:color w:val="000000"/>
          <w:sz w:val="20"/>
        </w:rPr>
        <w:t>First, the district court correctly held that Marks lacks constitutional standing to raise the claim that the Administrative Office failed to post ADA notices. Marks can obtain no injunctive relief that would eliminate any threat of imminent injury.</w:t>
      </w:r>
      <w:r>
        <w:rPr>
          <w:rFonts w:ascii="Arial" w:eastAsia="Arial" w:hAnsi="Arial" w:cs="Arial"/>
          <w:vertAlign w:val="superscript"/>
        </w:rPr>
        <w:footnoteReference w:customMarkFollows="1" w:id="275"/>
        <w:t>1</w:t>
      </w:r>
      <w:r>
        <w:rPr>
          <w:rFonts w:ascii="Arial" w:eastAsia="Arial" w:hAnsi="Arial" w:cs="Arial"/>
          <w:color w:val="000000"/>
          <w:sz w:val="20"/>
        </w:rPr>
        <w:t xml:space="preserve"> Marks is already fully aware of the courts' ADA policy, as is evidenced by his persistent attempts to file requests for modification with the local ADA coordinator. </w:t>
      </w:r>
      <w:bookmarkStart w:id="6543" w:name="Bookmark_I5C30TGJ28T4GV0030000400"/>
      <w:bookmarkEnd w:id="6543"/>
      <w:r>
        <w:rPr>
          <w:rFonts w:ascii="Arial" w:eastAsia="Arial" w:hAnsi="Arial" w:cs="Arial"/>
          <w:color w:val="000000"/>
          <w:sz w:val="20"/>
        </w:rPr>
        <w:t>Therefore, he cannot be said to be suffering injury as a result of his lack of knowledge of the policy. Furthermore,  [**7] </w:t>
      </w:r>
      <w:bookmarkStart w:id="6544" w:name="Bookmark_LNHNREFclscc1_37"/>
      <w:bookmarkEnd w:id="6544"/>
      <w:r>
        <w:rPr>
          <w:rFonts w:ascii="Arial" w:eastAsia="Arial" w:hAnsi="Arial" w:cs="Arial"/>
          <w:color w:val="000000"/>
          <w:sz w:val="20"/>
        </w:rPr>
        <w:t xml:space="preserve">an alleged atmosphere of discrimination is not the kind of "concrete and particularized" injury required by the Constitution. </w:t>
      </w:r>
      <w:bookmarkStart w:id="6545" w:name="Bookmark_I5C30TGJ28T4GV0050000400"/>
      <w:bookmarkStart w:id="6546" w:name="Bookmark_I5C30TGJ28T4GV0020000400"/>
      <w:bookmarkEnd w:id="6545"/>
      <w:bookmarkEnd w:id="6546"/>
      <w:r>
        <w:rPr>
          <w:rFonts w:ascii="Arial" w:eastAsia="Arial" w:hAnsi="Arial" w:cs="Arial"/>
          <w:i/>
          <w:color w:val="000000"/>
          <w:sz w:val="20"/>
        </w:rPr>
        <w:t>Lujan v. Defenders of Wildlife</w:t>
      </w:r>
      <w:r>
        <w:rPr>
          <w:rFonts w:ascii="Arial" w:eastAsia="Arial" w:hAnsi="Arial" w:cs="Arial"/>
          <w:color w:val="000000"/>
          <w:sz w:val="20"/>
        </w:rPr>
        <w:t xml:space="preserve">, 504 U.S. 555, 560, 112 S. Ct. 2130, 119 L. Ed. 2d 351 (1992). </w:t>
      </w:r>
      <w:bookmarkStart w:id="6547" w:name="Bookmark_I5C30TGJ28T4GV0050000400_2"/>
      <w:bookmarkEnd w:id="6547"/>
      <w:r>
        <w:rPr>
          <w:rFonts w:ascii="Arial" w:eastAsia="Arial" w:hAnsi="Arial" w:cs="Arial"/>
          <w:color w:val="000000"/>
          <w:sz w:val="20"/>
        </w:rPr>
        <w:t xml:space="preserve">The Supreme Court has held that an "abstract stigmatic injury" is not cognizable. </w:t>
      </w:r>
      <w:bookmarkStart w:id="6548" w:name="Bookmark_I5C30TGJ28T4GV0040000400"/>
      <w:bookmarkEnd w:id="6548"/>
      <w:r>
        <w:rPr>
          <w:rFonts w:ascii="Arial" w:eastAsia="Arial" w:hAnsi="Arial" w:cs="Arial"/>
          <w:i/>
          <w:color w:val="000000"/>
          <w:sz w:val="20"/>
        </w:rPr>
        <w:t>Allen v. Wright</w:t>
      </w:r>
      <w:r>
        <w:rPr>
          <w:rFonts w:ascii="Arial" w:eastAsia="Arial" w:hAnsi="Arial" w:cs="Arial"/>
          <w:color w:val="000000"/>
          <w:sz w:val="20"/>
        </w:rPr>
        <w:t xml:space="preserve">, 468 U.S. 737, 755-56, 104 S. Ct. 3315, 82 L. Ed. 2d 556 (1984), </w:t>
      </w:r>
      <w:r>
        <w:rPr>
          <w:rFonts w:ascii="Arial" w:eastAsia="Arial" w:hAnsi="Arial" w:cs="Arial"/>
          <w:i/>
          <w:color w:val="000000"/>
          <w:sz w:val="20"/>
        </w:rPr>
        <w:t xml:space="preserve">arguably abrogated on other grounds by </w:t>
      </w:r>
      <w:bookmarkStart w:id="6549" w:name="Bookmark_I5C30TGJ2SF7W10010000400"/>
      <w:bookmarkEnd w:id="6549"/>
      <w:r>
        <w:rPr>
          <w:rFonts w:ascii="Arial" w:eastAsia="Arial" w:hAnsi="Arial" w:cs="Arial"/>
          <w:i/>
          <w:color w:val="000000"/>
          <w:sz w:val="20"/>
        </w:rPr>
        <w:t>Lexmark Int'l, Inc. v. Static Control Components, Inc.</w:t>
      </w:r>
      <w:r>
        <w:rPr>
          <w:rFonts w:ascii="Arial" w:eastAsia="Arial" w:hAnsi="Arial" w:cs="Arial"/>
          <w:color w:val="000000"/>
          <w:sz w:val="20"/>
        </w:rPr>
        <w:t>, No. 12-873, 134 S. Ct. 1377, 188 L. Ed. 2d 392, 2014 U.S. LEXIS 2214, 2014 WL 1168967 (Mar. 25, 2014).</w:t>
      </w:r>
    </w:p>
    <w:p w14:paraId="531FC2DD" w14:textId="77777777" w:rsidR="002D0E71" w:rsidRDefault="00000000">
      <w:pPr>
        <w:pStyle w:val="Normal43"/>
        <w:widowControl w:val="0"/>
        <w:spacing w:before="200" w:line="260" w:lineRule="atLeast"/>
        <w:jc w:val="both"/>
      </w:pPr>
      <w:bookmarkStart w:id="6550" w:name="Bookmark_para_10_40"/>
      <w:bookmarkStart w:id="6551" w:name="Bookmark_I0MSBTKSSSD000RGTVP0037V"/>
      <w:bookmarkStart w:id="6552" w:name="Bookmark_I0MSBTKSXKJ000RGTVP0037W"/>
      <w:bookmarkStart w:id="6553" w:name="Bookmark_I5C30TGJ2SF7W10040000400"/>
      <w:bookmarkStart w:id="6554" w:name="Bookmark_I5C30TGJ2HM6RN0030000400"/>
      <w:bookmarkEnd w:id="6550"/>
      <w:bookmarkEnd w:id="6551"/>
      <w:bookmarkEnd w:id="6552"/>
      <w:bookmarkEnd w:id="6553"/>
      <w:bookmarkEnd w:id="6554"/>
      <w:r>
        <w:rPr>
          <w:rFonts w:ascii="Arial" w:eastAsia="Arial" w:hAnsi="Arial" w:cs="Arial"/>
          <w:color w:val="000000"/>
          <w:sz w:val="20"/>
        </w:rPr>
        <w:t>Second, the trial court properly dismissed the claims regarding the handling of the administrative requests, because Marks failed to  [**8] state a plausible cause of action.</w:t>
      </w:r>
      <w:r>
        <w:rPr>
          <w:rFonts w:ascii="Arial" w:eastAsia="Arial" w:hAnsi="Arial" w:cs="Arial"/>
          <w:vertAlign w:val="superscript"/>
        </w:rPr>
        <w:footnoteReference w:customMarkFollows="1" w:id="276"/>
        <w:t>2</w:t>
      </w:r>
      <w:r>
        <w:rPr>
          <w:rFonts w:ascii="Arial" w:eastAsia="Arial" w:hAnsi="Arial" w:cs="Arial"/>
          <w:color w:val="000000"/>
          <w:sz w:val="20"/>
        </w:rPr>
        <w:t xml:space="preserve"> As a matter of law, the allegedly discriminatory conduct of the courts was not discriminatory. </w:t>
      </w:r>
      <w:bookmarkStart w:id="6559" w:name="Bookmark_LNHNREFclscc2_37"/>
      <w:bookmarkEnd w:id="6559"/>
      <w:r>
        <w:rPr>
          <w:rFonts w:ascii="Arial" w:eastAsia="Arial" w:hAnsi="Arial" w:cs="Arial"/>
          <w:color w:val="000000"/>
          <w:sz w:val="20"/>
        </w:rPr>
        <w:t xml:space="preserve">"To survive a motion to dismiss, a complaint must contain sufficient factual matter, accepted as true, to state a claim for relief that is plausible on its face." </w:t>
      </w:r>
      <w:bookmarkStart w:id="6560" w:name="Bookmark_I5C30TGJ2SF7W10030000400"/>
      <w:bookmarkEnd w:id="6560"/>
      <w:r>
        <w:rPr>
          <w:rFonts w:ascii="Arial" w:eastAsia="Arial" w:hAnsi="Arial" w:cs="Arial"/>
          <w:i/>
          <w:color w:val="000000"/>
          <w:sz w:val="20"/>
        </w:rPr>
        <w:t>Kolley v. Adult Protective Servs.</w:t>
      </w:r>
      <w:r>
        <w:rPr>
          <w:rFonts w:ascii="Arial" w:eastAsia="Arial" w:hAnsi="Arial" w:cs="Arial"/>
          <w:color w:val="000000"/>
          <w:sz w:val="20"/>
        </w:rPr>
        <w:t xml:space="preserve">, 725 F.3d 581, 585 (6th Cir. 2013) (quoting </w:t>
      </w:r>
      <w:bookmarkStart w:id="6561" w:name="Bookmark_I5C30TGJ2SF7W10050000400"/>
      <w:bookmarkEnd w:id="6561"/>
      <w:r>
        <w:rPr>
          <w:rFonts w:ascii="Arial" w:eastAsia="Arial" w:hAnsi="Arial" w:cs="Arial"/>
          <w:i/>
          <w:color w:val="000000"/>
          <w:sz w:val="20"/>
        </w:rPr>
        <w:t>Ashcroft v. Iqbal</w:t>
      </w:r>
      <w:r>
        <w:rPr>
          <w:rFonts w:ascii="Arial" w:eastAsia="Arial" w:hAnsi="Arial" w:cs="Arial"/>
          <w:color w:val="000000"/>
          <w:sz w:val="20"/>
        </w:rPr>
        <w:t xml:space="preserve">, 556 U.S. 662, 678, 129 S. Ct. 1937, 173 L. Ed. 2d 868 (2009) (internal quotation marks omitted)). We review de novo the district court's dismissal of a plaintiff's complaint for failure to state a claim under Federal Rule of Civil Procedure 12(b)(6). </w:t>
      </w:r>
      <w:r>
        <w:rPr>
          <w:rFonts w:ascii="Arial" w:eastAsia="Arial" w:hAnsi="Arial" w:cs="Arial"/>
          <w:i/>
          <w:color w:val="000000"/>
          <w:sz w:val="20"/>
        </w:rPr>
        <w:t>Id.</w:t>
      </w:r>
    </w:p>
    <w:p w14:paraId="04836D55" w14:textId="77777777" w:rsidR="002D0E71" w:rsidRDefault="00000000">
      <w:pPr>
        <w:pStyle w:val="Normal43"/>
        <w:widowControl w:val="0"/>
        <w:spacing w:before="200" w:line="260" w:lineRule="atLeast"/>
        <w:jc w:val="both"/>
      </w:pPr>
      <w:bookmarkStart w:id="6562" w:name="Bookmark_para_11_40"/>
      <w:bookmarkStart w:id="6563" w:name="Bookmark_I5C30TGJ2N1R500020000400"/>
      <w:bookmarkEnd w:id="6562"/>
      <w:bookmarkEnd w:id="6563"/>
      <w:r>
        <w:rPr>
          <w:rFonts w:ascii="Arial" w:eastAsia="Arial" w:hAnsi="Arial" w:cs="Arial"/>
          <w:color w:val="000000"/>
          <w:sz w:val="20"/>
        </w:rPr>
        <w:t xml:space="preserve">Even construing the complaint in the light  [**9] most favorable to Marks, with its allegations accepted as true and all reasonable inferences drawn in his favor, the district court properly dismissed the complaint as it failed to allege a plausible claim of discrimination. </w:t>
      </w:r>
      <w:r>
        <w:rPr>
          <w:rFonts w:ascii="Arial" w:eastAsia="Arial" w:hAnsi="Arial" w:cs="Arial"/>
          <w:i/>
          <w:color w:val="000000"/>
          <w:sz w:val="20"/>
        </w:rPr>
        <w:t xml:space="preserve">See </w:t>
      </w:r>
      <w:bookmarkStart w:id="6564" w:name="Bookmark_I5C30TGJ2N1R500010000400"/>
      <w:bookmarkEnd w:id="6564"/>
      <w:r>
        <w:rPr>
          <w:rFonts w:ascii="Arial" w:eastAsia="Arial" w:hAnsi="Arial" w:cs="Arial"/>
          <w:i/>
          <w:color w:val="000000"/>
          <w:sz w:val="20"/>
        </w:rPr>
        <w:t>Jackson v. Sedgwick Claims Mgmt. Servs., Inc.</w:t>
      </w:r>
      <w:r>
        <w:rPr>
          <w:rFonts w:ascii="Arial" w:eastAsia="Arial" w:hAnsi="Arial" w:cs="Arial"/>
          <w:color w:val="000000"/>
          <w:sz w:val="20"/>
        </w:rPr>
        <w:t>, 731 F.3d 556, 562  [*345]  (6th Cir. 2013) (en banc). Marks's allegations assert that the local ADA coordinator conferred with the judge and with Marks before responding to the request for modification. Because the judicial ADA policy merely required the local coordinator to advise the judge in his exercise of judicial functions, the local coordinator acted reasonably in complying with the policy. Furthermore, Marks does not dispute that he was granted multiple continuances and that the court limited the merits hearings to three hours. Even viewed in the light most favorable to Marks, the facts demonstrate that the trial judge substantially accommodated Marks's disability and that Marks effectively litigated the case all the way through a substantially successful appeal.</w:t>
      </w:r>
    </w:p>
    <w:p w14:paraId="41060F93" w14:textId="77777777" w:rsidR="002D0E71" w:rsidRDefault="00000000">
      <w:pPr>
        <w:pStyle w:val="Normal43"/>
        <w:widowControl w:val="0"/>
        <w:spacing w:before="200" w:line="260" w:lineRule="atLeast"/>
        <w:jc w:val="both"/>
      </w:pPr>
      <w:bookmarkStart w:id="6565" w:name="Bookmark_para_12_39"/>
      <w:bookmarkEnd w:id="6565"/>
      <w:r>
        <w:rPr>
          <w:rFonts w:ascii="Arial" w:eastAsia="Arial" w:hAnsi="Arial" w:cs="Arial"/>
          <w:color w:val="000000"/>
          <w:sz w:val="20"/>
        </w:rPr>
        <w:t>After Marks protested the local coordinator's assertion that requests for continuance should be addressed to the trial judge, this articulation of the policy  [**10] was confirmed at every level of administrative review. The local ADA coordinator initially stated: "This is a request for a continuance only. This is a judicial matter to be considered by the presiding Judge." R. 11-10 (PgID 204). The presiding judge said substantially the same thing. R. 11-12 at 2 (PgID 272). The Administrative Office's final review of the decision confirmed a third time the exclusive discretion of the trial judge to control his calendar, although it conceded that a request for modification sent to the local ADA coordinator may serve as a motion for continuance:</w:t>
      </w:r>
    </w:p>
    <w:p w14:paraId="20904F00" w14:textId="77777777" w:rsidR="002D0E71" w:rsidRDefault="00000000">
      <w:pPr>
        <w:pStyle w:val="Normal43"/>
        <w:widowControl w:val="0"/>
        <w:spacing w:line="260" w:lineRule="atLeast"/>
        <w:ind w:left="400"/>
        <w:jc w:val="both"/>
      </w:pPr>
      <w:bookmarkStart w:id="6566" w:name="Bookmark_para_13_39"/>
      <w:bookmarkEnd w:id="6566"/>
      <w:r>
        <w:rPr>
          <w:rFonts w:ascii="Arial" w:eastAsia="Arial" w:hAnsi="Arial" w:cs="Arial"/>
          <w:color w:val="000000"/>
          <w:sz w:val="20"/>
        </w:rPr>
        <w:t>Should medical necessity require that the trial be continued from the set trial date, you may petition the court for a continuance of the date. Alternatively, you may request a continuance as a modification under the ADA. Due to the potential impact of such a modification on the judicial program, it would be appropriate for the Local Judicial Program ADA Coordinator to consult with the judge hearing the case as a part of the decision making process.</w:t>
      </w:r>
    </w:p>
    <w:p w14:paraId="5B33693F" w14:textId="77777777" w:rsidR="002D0E71" w:rsidRDefault="00000000">
      <w:pPr>
        <w:pStyle w:val="Normal43"/>
        <w:widowControl w:val="0"/>
        <w:spacing w:before="200" w:line="260" w:lineRule="atLeast"/>
        <w:jc w:val="both"/>
      </w:pPr>
      <w:r>
        <w:rPr>
          <w:rFonts w:ascii="Arial" w:eastAsia="Arial" w:hAnsi="Arial" w:cs="Arial"/>
          <w:color w:val="000000"/>
          <w:sz w:val="20"/>
        </w:rPr>
        <w:t xml:space="preserve">R. 11-16 at 2 (PgID 206). Similarly, Paragraph VI(J) of the current version of the policy states: "If the Local Judicial Program ADA Coordinator determines that  [**11] additional time may be necessary in order to achieve and/or obtain Modification, the Local Judicial Program ADA Coordinator shall notify the judge presiding over the matter, who will determine an appropriate course of action." Tenn. Admin. Office of Courts, Judicial Branch ADA Policy (2.07), at 4 (Nov. 14, 2008), </w:t>
      </w:r>
      <w:r>
        <w:rPr>
          <w:rFonts w:ascii="Arial" w:eastAsia="Arial" w:hAnsi="Arial" w:cs="Arial"/>
          <w:i/>
          <w:color w:val="000000"/>
          <w:sz w:val="20"/>
        </w:rPr>
        <w:t>available at</w:t>
      </w:r>
      <w:r>
        <w:rPr>
          <w:rFonts w:ascii="Arial" w:eastAsia="Arial" w:hAnsi="Arial" w:cs="Arial"/>
          <w:color w:val="000000"/>
          <w:sz w:val="20"/>
        </w:rPr>
        <w:t xml:space="preserve"> http://www.tsc.state.tn.us/sites/default/files/policy_2- 07_americans_with_disabilities_act_1.pdf. </w:t>
      </w:r>
      <w:bookmarkStart w:id="6567" w:name="Bookmark_LNHNREFclscc4_36"/>
      <w:bookmarkEnd w:id="6567"/>
      <w:r>
        <w:rPr>
          <w:rFonts w:ascii="Arial" w:eastAsia="Arial" w:hAnsi="Arial" w:cs="Arial"/>
          <w:color w:val="000000"/>
          <w:sz w:val="20"/>
        </w:rPr>
        <w:t>Beyond being able to notify a judge of a potential difficulty arising out of the litigant's disability, the local coordinator is powerless to grant additional time as part of a requested modification. Once the local coordinator forwarded Marks's requests to the trial judge, the local coordinator became irrelevant to the outcome of the request. Because there is no indication that the coordinator delayed in performing the only reasonable action within her authority, she did not discriminate against Marks.</w:t>
      </w:r>
    </w:p>
    <w:p w14:paraId="5E598335" w14:textId="77777777" w:rsidR="002D0E71" w:rsidRDefault="00000000">
      <w:pPr>
        <w:pStyle w:val="Normal43"/>
        <w:widowControl w:val="0"/>
        <w:spacing w:before="200" w:line="260" w:lineRule="atLeast"/>
        <w:jc w:val="both"/>
      </w:pPr>
      <w:bookmarkStart w:id="6568" w:name="Bookmark_para_14_38"/>
      <w:bookmarkStart w:id="6569" w:name="Bookmark_I5C30TGJ2N1R500040000400"/>
      <w:bookmarkStart w:id="6570" w:name="Bookmark_I5C30TGJ2HM6RP0010000400"/>
      <w:bookmarkStart w:id="6571" w:name="Bookmark_LNHNREFclscc5_36"/>
      <w:bookmarkEnd w:id="6568"/>
      <w:bookmarkEnd w:id="6569"/>
      <w:bookmarkEnd w:id="6570"/>
      <w:bookmarkEnd w:id="6571"/>
      <w:r>
        <w:rPr>
          <w:rFonts w:ascii="Arial" w:eastAsia="Arial" w:hAnsi="Arial" w:cs="Arial"/>
          <w:color w:val="000000"/>
          <w:sz w:val="20"/>
        </w:rPr>
        <w:t xml:space="preserve">This policy respects the longstanding principle that a judge maintains full control of his calendar. </w:t>
      </w:r>
      <w:r>
        <w:rPr>
          <w:rFonts w:ascii="Arial" w:eastAsia="Arial" w:hAnsi="Arial" w:cs="Arial"/>
          <w:i/>
          <w:color w:val="000000"/>
          <w:sz w:val="20"/>
        </w:rPr>
        <w:t xml:space="preserve">See </w:t>
      </w:r>
      <w:bookmarkStart w:id="6572" w:name="Bookmark_I5C30TGJ2N1R500030000400"/>
      <w:bookmarkEnd w:id="6572"/>
      <w:r>
        <w:rPr>
          <w:rFonts w:ascii="Arial" w:eastAsia="Arial" w:hAnsi="Arial" w:cs="Arial"/>
          <w:i/>
          <w:color w:val="000000"/>
          <w:sz w:val="20"/>
        </w:rPr>
        <w:t>Elliot v. Life of the South Ins. Co.</w:t>
      </w:r>
      <w:r>
        <w:rPr>
          <w:rFonts w:ascii="Arial" w:eastAsia="Arial" w:hAnsi="Arial" w:cs="Arial"/>
          <w:color w:val="000000"/>
          <w:sz w:val="20"/>
        </w:rPr>
        <w:t xml:space="preserve">, 296 S.W.3d 64, 70 (Tenn. Ct. App. 2008); Tenn. Code Ann. § 20-7-101. Trial courts in Tennessee "possess broad discretionary  [**12] authority to control their dockets and the proceedings in their courts." </w:t>
      </w:r>
      <w:bookmarkStart w:id="6573" w:name="Bookmark_I5C30TGJ2N1R500050000400"/>
      <w:bookmarkEnd w:id="6573"/>
      <w:r>
        <w:rPr>
          <w:rFonts w:ascii="Arial" w:eastAsia="Arial" w:hAnsi="Arial" w:cs="Arial"/>
          <w:i/>
          <w:color w:val="000000"/>
          <w:sz w:val="20"/>
        </w:rPr>
        <w:t>Hessmer v. Hessmer</w:t>
      </w:r>
      <w:r>
        <w:rPr>
          <w:rFonts w:ascii="Arial" w:eastAsia="Arial" w:hAnsi="Arial" w:cs="Arial"/>
          <w:color w:val="000000"/>
          <w:sz w:val="20"/>
        </w:rPr>
        <w:t xml:space="preserve">, 138 S.W.3d 901, 904 (Tenn. Ct. App. 2003); </w:t>
      </w:r>
      <w:r>
        <w:rPr>
          <w:rFonts w:ascii="Arial" w:eastAsia="Arial" w:hAnsi="Arial" w:cs="Arial"/>
          <w:i/>
          <w:color w:val="000000"/>
          <w:sz w:val="20"/>
        </w:rPr>
        <w:t xml:space="preserve">see also </w:t>
      </w:r>
      <w:bookmarkStart w:id="6574" w:name="Bookmark_I5C30TGJ2HM6RP0020000400"/>
      <w:bookmarkEnd w:id="6574"/>
      <w:r>
        <w:rPr>
          <w:rFonts w:ascii="Arial" w:eastAsia="Arial" w:hAnsi="Arial" w:cs="Arial"/>
          <w:i/>
          <w:color w:val="000000"/>
          <w:sz w:val="20"/>
        </w:rPr>
        <w:t>Smith v. Daniel</w:t>
      </w:r>
      <w:r>
        <w:rPr>
          <w:rFonts w:ascii="Arial" w:eastAsia="Arial" w:hAnsi="Arial" w:cs="Arial"/>
          <w:color w:val="000000"/>
          <w:sz w:val="20"/>
        </w:rPr>
        <w:t>, 46 F.2d 740, 742 (6th Cir. 1931). This power necessarily implies that motions for continuance are within the exclusive jurisdiction of the judge presiding over the proceedings.</w:t>
      </w:r>
    </w:p>
    <w:p w14:paraId="2B0B629E" w14:textId="77777777" w:rsidR="002D0E71" w:rsidRDefault="00000000">
      <w:pPr>
        <w:pStyle w:val="Normal43"/>
        <w:widowControl w:val="0"/>
        <w:spacing w:before="200" w:line="260" w:lineRule="atLeast"/>
        <w:jc w:val="both"/>
      </w:pPr>
      <w:bookmarkStart w:id="6575" w:name="Bookmark_para_15_37"/>
      <w:bookmarkEnd w:id="6575"/>
      <w:r>
        <w:rPr>
          <w:rFonts w:ascii="Arial" w:eastAsia="Arial" w:hAnsi="Arial" w:cs="Arial"/>
          <w:color w:val="000000"/>
          <w:sz w:val="20"/>
        </w:rPr>
        <w:t xml:space="preserve"> [*346]  In a sense, Marks created the dispute that he alleges caused his injuries. He chose to contest the handling of his requests for modification, rather than accepting the local coordinator and trial judge's determination that the requests should have been fashioned as motions for continuance addressed directly to the court. Although we sympathize with Marks's plight, </w:t>
      </w:r>
      <w:bookmarkStart w:id="6576" w:name="Bookmark_LNHNREFclscc6_35"/>
      <w:bookmarkEnd w:id="6576"/>
      <w:r>
        <w:rPr>
          <w:rFonts w:ascii="Arial" w:eastAsia="Arial" w:hAnsi="Arial" w:cs="Arial"/>
          <w:color w:val="000000"/>
          <w:sz w:val="20"/>
        </w:rPr>
        <w:t>the law provides no remedy for injuries that may have been caused in small part by the burdens of basic legal (and administrative) processes.</w:t>
      </w:r>
    </w:p>
    <w:p w14:paraId="6ED3237C" w14:textId="77777777" w:rsidR="002D0E71" w:rsidRDefault="00000000">
      <w:pPr>
        <w:pStyle w:val="Normal43"/>
        <w:widowControl w:val="0"/>
        <w:spacing w:before="200" w:line="260" w:lineRule="atLeast"/>
        <w:jc w:val="both"/>
      </w:pPr>
      <w:bookmarkStart w:id="6577" w:name="Bookmark_para_16_36"/>
      <w:bookmarkEnd w:id="6577"/>
      <w:r>
        <w:rPr>
          <w:rFonts w:ascii="Arial" w:eastAsia="Arial" w:hAnsi="Arial" w:cs="Arial"/>
          <w:color w:val="000000"/>
          <w:sz w:val="20"/>
        </w:rPr>
        <w:t>The judgment is accordingly affirmed.</w:t>
      </w:r>
    </w:p>
    <w:p w14:paraId="35052EF4" w14:textId="77777777" w:rsidR="002D0E71" w:rsidRDefault="002D0E71">
      <w:pPr>
        <w:pStyle w:val="Normal43"/>
      </w:pPr>
    </w:p>
    <w:p w14:paraId="22E7177E" w14:textId="7213A1DC" w:rsidR="002D0E71" w:rsidRDefault="00000000">
      <w:pPr>
        <w:pStyle w:val="Normal43"/>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52448" behindDoc="0" locked="0" layoutInCell="1" allowOverlap="1" wp14:anchorId="7EF106E9" wp14:editId="4782701B">
                <wp:simplePos x="0" y="0"/>
                <wp:positionH relativeFrom="column">
                  <wp:posOffset>0</wp:posOffset>
                </wp:positionH>
                <wp:positionV relativeFrom="paragraph">
                  <wp:posOffset>127000</wp:posOffset>
                </wp:positionV>
                <wp:extent cx="6502400" cy="0"/>
                <wp:effectExtent l="9525" t="12700" r="12700" b="6350"/>
                <wp:wrapNone/>
                <wp:docPr id="602527514"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7E6BFC" id="Line 98"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67CEFE1" w14:textId="77777777" w:rsidR="002D0E71" w:rsidRDefault="002D0E71">
      <w:pPr>
        <w:pStyle w:val="Normal44"/>
        <w:sectPr w:rsidR="002D0E71">
          <w:headerReference w:type="even" r:id="rId275"/>
          <w:headerReference w:type="default" r:id="rId276"/>
          <w:footerReference w:type="even" r:id="rId277"/>
          <w:footerReference w:type="default" r:id="rId278"/>
          <w:headerReference w:type="first" r:id="rId279"/>
          <w:footerReference w:type="first" r:id="rId280"/>
          <w:pgSz w:w="12240" w:h="15840"/>
          <w:pgMar w:top="840" w:right="1000" w:bottom="840" w:left="1000" w:header="400" w:footer="400" w:gutter="0"/>
          <w:cols w:space="720"/>
          <w:titlePg/>
        </w:sectPr>
      </w:pPr>
    </w:p>
    <w:p w14:paraId="520B3991" w14:textId="77777777" w:rsidR="002D0E71" w:rsidRDefault="002D0E71">
      <w:pPr>
        <w:pStyle w:val="Normal44"/>
      </w:pPr>
    </w:p>
    <w:p w14:paraId="13AC5DAC" w14:textId="77777777" w:rsidR="002D0E71" w:rsidRDefault="00000000">
      <w:pPr>
        <w:pStyle w:val="Heading143"/>
        <w:keepNext w:val="0"/>
        <w:widowControl w:val="0"/>
        <w:spacing w:after="200" w:line="340" w:lineRule="atLeast"/>
        <w:jc w:val="center"/>
      </w:pPr>
      <w:r>
        <w:rPr>
          <w:rFonts w:eastAsia="Arial"/>
          <w:color w:val="000000"/>
          <w:sz w:val="28"/>
        </w:rPr>
        <w:t>Turner v. Nat'l Council of State Bds. of Nursing, Inc.</w:t>
      </w:r>
    </w:p>
    <w:p w14:paraId="56925BD6" w14:textId="77777777" w:rsidR="002D0E71" w:rsidRDefault="00000000">
      <w:pPr>
        <w:pStyle w:val="Normal44"/>
        <w:widowControl w:val="0"/>
        <w:spacing w:before="120" w:line="260" w:lineRule="atLeast"/>
        <w:jc w:val="center"/>
      </w:pPr>
      <w:r>
        <w:rPr>
          <w:rFonts w:ascii="Arial" w:eastAsia="Arial" w:hAnsi="Arial" w:cs="Arial"/>
          <w:color w:val="000000"/>
          <w:sz w:val="20"/>
        </w:rPr>
        <w:t>United States Court of Appeals for the Tenth Circuit</w:t>
      </w:r>
    </w:p>
    <w:p w14:paraId="47D9FE1A" w14:textId="77777777" w:rsidR="002D0E71" w:rsidRDefault="00000000">
      <w:pPr>
        <w:pStyle w:val="Normal44"/>
        <w:widowControl w:val="0"/>
        <w:spacing w:before="120" w:line="260" w:lineRule="atLeast"/>
        <w:jc w:val="center"/>
      </w:pPr>
      <w:r>
        <w:rPr>
          <w:rFonts w:ascii="Arial" w:eastAsia="Arial" w:hAnsi="Arial" w:cs="Arial"/>
          <w:color w:val="000000"/>
          <w:sz w:val="20"/>
        </w:rPr>
        <w:t>April 2, 2014, Filed</w:t>
      </w:r>
    </w:p>
    <w:p w14:paraId="10F611BA" w14:textId="77777777" w:rsidR="002D0E71" w:rsidRDefault="00000000">
      <w:pPr>
        <w:pStyle w:val="Normal44"/>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13-3088</w:t>
      </w:r>
    </w:p>
    <w:p w14:paraId="4B12BDB9" w14:textId="77777777" w:rsidR="002D0E71" w:rsidRDefault="002D0E71">
      <w:pPr>
        <w:pStyle w:val="Normal44"/>
        <w:widowControl w:val="0"/>
        <w:spacing w:line="240" w:lineRule="atLeast"/>
        <w:jc w:val="both"/>
      </w:pPr>
      <w:bookmarkStart w:id="6578" w:name="Bookmark_45"/>
      <w:bookmarkEnd w:id="6578"/>
    </w:p>
    <w:p w14:paraId="2905420B" w14:textId="77777777" w:rsidR="002D0E71" w:rsidRDefault="00000000">
      <w:pPr>
        <w:pStyle w:val="Normal44"/>
        <w:widowControl w:val="0"/>
        <w:spacing w:before="200" w:line="240" w:lineRule="atLeast"/>
      </w:pPr>
      <w:bookmarkStart w:id="6579" w:name="Reporter_43"/>
      <w:bookmarkEnd w:id="6579"/>
      <w:r>
        <w:rPr>
          <w:rFonts w:ascii="Arial" w:eastAsia="Arial" w:hAnsi="Arial" w:cs="Arial"/>
          <w:b/>
          <w:color w:val="000000"/>
          <w:sz w:val="18"/>
        </w:rPr>
        <w:t>Reporter</w:t>
      </w:r>
    </w:p>
    <w:p w14:paraId="49C35FAF" w14:textId="77777777" w:rsidR="002D0E71" w:rsidRDefault="00000000">
      <w:pPr>
        <w:pStyle w:val="Normal44"/>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561 Fed. Appx. 661 *; 2014 U.S. App. LEXIS 6086 **; 2014 WL 1303366</w:t>
      </w:r>
    </w:p>
    <w:p w14:paraId="673AA58C" w14:textId="77777777" w:rsidR="002D0E71" w:rsidRDefault="00000000">
      <w:pPr>
        <w:pStyle w:val="Normal44"/>
        <w:widowControl w:val="0"/>
        <w:spacing w:before="120" w:line="260" w:lineRule="atLeast"/>
      </w:pPr>
      <w:r>
        <w:rPr>
          <w:rFonts w:ascii="Arial" w:eastAsia="Arial" w:hAnsi="Arial" w:cs="Arial"/>
          <w:color w:val="000000"/>
          <w:sz w:val="20"/>
        </w:rPr>
        <w:t>BARRY D. TURNER, II, Plaintiff - Appellant, v. NATIONAL COUNCIL OF STATE BOARDS OF NURSING, INC., a Pennsylvania corporation; STATE OF KANSAS, by and through Kansas State Board of Nursing; JEANE WALSH; JANET JACOBS; BERNARD BECKER JANE CONROY; JANICE MCCART; KIMBERLY HENSLEY; JUDITH HINER; MARY CAROL POMATTO; SERENA STUTZMAN; BRENDA MOFFITT; GARY TAYLOR; MARY BLUBAUGH, Defendants - Appellees.</w:t>
      </w:r>
    </w:p>
    <w:p w14:paraId="4FEDD80E" w14:textId="77777777" w:rsidR="002D0E71" w:rsidRDefault="00000000">
      <w:pPr>
        <w:pStyle w:val="Normal44"/>
        <w:widowControl w:val="0"/>
        <w:spacing w:before="240" w:line="260" w:lineRule="atLeast"/>
        <w:jc w:val="both"/>
      </w:pPr>
      <w:bookmarkStart w:id="6580" w:name="Notice_12"/>
      <w:bookmarkEnd w:id="6580"/>
      <w:r>
        <w:rPr>
          <w:rFonts w:ascii="Arial" w:eastAsia="Arial" w:hAnsi="Arial" w:cs="Arial"/>
          <w:b/>
          <w:color w:val="000000"/>
          <w:sz w:val="20"/>
        </w:rPr>
        <w:t>Notice:</w:t>
      </w:r>
      <w:r>
        <w:rPr>
          <w:rFonts w:ascii="Arial" w:eastAsia="Arial" w:hAnsi="Arial" w:cs="Arial"/>
          <w:color w:val="000000"/>
          <w:sz w:val="20"/>
        </w:rPr>
        <w:t> </w:t>
      </w:r>
      <w:bookmarkStart w:id="6581" w:name="Bookmark_para_1_43"/>
      <w:bookmarkEnd w:id="6581"/>
      <w:r>
        <w:rPr>
          <w:rFonts w:ascii="Arial" w:eastAsia="Arial" w:hAnsi="Arial" w:cs="Arial"/>
          <w:color w:val="000000"/>
          <w:sz w:val="20"/>
        </w:rPr>
        <w:t>PLEASE REFER TO FEDERAL RULES OF APPELLATE PROCEDURE RULE 32.1 GOVERNING THE CITATION TO UNPUBLISHED OPINIONS.</w:t>
      </w:r>
    </w:p>
    <w:p w14:paraId="72867603" w14:textId="77777777" w:rsidR="002D0E71" w:rsidRDefault="00000000">
      <w:pPr>
        <w:pStyle w:val="Normal44"/>
        <w:widowControl w:val="0"/>
        <w:spacing w:before="240" w:line="260" w:lineRule="atLeast"/>
      </w:pPr>
      <w:bookmarkStart w:id="6582" w:name="Subsequent_History_17"/>
      <w:bookmarkEnd w:id="6582"/>
      <w:r>
        <w:rPr>
          <w:rFonts w:ascii="Arial" w:eastAsia="Arial" w:hAnsi="Arial" w:cs="Arial"/>
          <w:b/>
          <w:color w:val="000000"/>
          <w:sz w:val="20"/>
        </w:rPr>
        <w:t>Subsequent History:</w:t>
      </w:r>
      <w:r>
        <w:rPr>
          <w:rFonts w:ascii="Arial" w:eastAsia="Arial" w:hAnsi="Arial" w:cs="Arial"/>
          <w:color w:val="000000"/>
          <w:sz w:val="20"/>
        </w:rPr>
        <w:t> US Supreme Court certiorari denied by Turner v. Nat'l Council of State Bds. of Nursing, Inc., 135 S. Ct. 367, 190 L. Ed. 2d 252, 2014 U.S. LEXIS 6974 (U.S., Oct. 14, 2014)</w:t>
      </w:r>
    </w:p>
    <w:p w14:paraId="2B6A44A2" w14:textId="77777777" w:rsidR="002D0E71" w:rsidRDefault="00000000">
      <w:pPr>
        <w:pStyle w:val="Normal44"/>
        <w:widowControl w:val="0"/>
        <w:spacing w:before="240" w:line="260" w:lineRule="atLeast"/>
        <w:jc w:val="both"/>
      </w:pPr>
      <w:bookmarkStart w:id="6583" w:name="Prior_History_42"/>
      <w:bookmarkEnd w:id="6583"/>
      <w:r>
        <w:rPr>
          <w:rFonts w:ascii="Arial" w:eastAsia="Arial" w:hAnsi="Arial" w:cs="Arial"/>
          <w:b/>
          <w:color w:val="000000"/>
          <w:sz w:val="20"/>
        </w:rPr>
        <w:t>Prior History:</w:t>
      </w:r>
      <w:r>
        <w:rPr>
          <w:rFonts w:ascii="Arial" w:eastAsia="Arial" w:hAnsi="Arial" w:cs="Arial"/>
          <w:color w:val="000000"/>
          <w:sz w:val="20"/>
        </w:rPr>
        <w:t>  [**1] </w:t>
      </w:r>
      <w:bookmarkStart w:id="6584" w:name="Bookmark_para_2_43"/>
      <w:bookmarkEnd w:id="6584"/>
      <w:r>
        <w:rPr>
          <w:rFonts w:ascii="Arial" w:eastAsia="Arial" w:hAnsi="Arial" w:cs="Arial"/>
          <w:color w:val="000000"/>
          <w:sz w:val="20"/>
        </w:rPr>
        <w:t>(D.C. No. 2:11-CV-02059-KHV-JPO). (D. Kan.).</w:t>
      </w:r>
    </w:p>
    <w:p w14:paraId="26D7B1ED" w14:textId="77777777" w:rsidR="002D0E71" w:rsidRDefault="00000000">
      <w:pPr>
        <w:pStyle w:val="Normal44"/>
        <w:widowControl w:val="0"/>
        <w:spacing w:before="120" w:line="260" w:lineRule="atLeast"/>
      </w:pPr>
      <w:r>
        <w:rPr>
          <w:rFonts w:ascii="Arial" w:eastAsia="Arial" w:hAnsi="Arial" w:cs="Arial"/>
          <w:color w:val="000000"/>
          <w:sz w:val="20"/>
        </w:rPr>
        <w:t>Turner v. Nat'l Council of State Bds. of Nursing, Inc., 2012 U.S. Dist. LEXIS 58225 (D. Kan., Apr. 24, 2012)</w:t>
      </w:r>
    </w:p>
    <w:p w14:paraId="3BD197FB" w14:textId="77777777" w:rsidR="002D0E71" w:rsidRDefault="00000000">
      <w:pPr>
        <w:pStyle w:val="Normal44"/>
        <w:widowControl w:val="0"/>
        <w:spacing w:before="240" w:line="260" w:lineRule="atLeast"/>
      </w:pPr>
      <w:bookmarkStart w:id="6585" w:name="Counsel_43"/>
      <w:bookmarkEnd w:id="6585"/>
      <w:r>
        <w:rPr>
          <w:rFonts w:ascii="Arial" w:eastAsia="Arial" w:hAnsi="Arial" w:cs="Arial"/>
          <w:b/>
          <w:color w:val="000000"/>
          <w:sz w:val="20"/>
        </w:rPr>
        <w:t>Counsel:</w:t>
      </w:r>
      <w:r>
        <w:rPr>
          <w:rFonts w:ascii="Arial" w:eastAsia="Arial" w:hAnsi="Arial" w:cs="Arial"/>
          <w:color w:val="000000"/>
          <w:sz w:val="20"/>
        </w:rPr>
        <w:t> For Barry D. Turner, II, Plaintiff - Appellant: Theodore James Lickteig, Law Office of Theodore J. Lickteig, Lenexa, KS.</w:t>
      </w:r>
    </w:p>
    <w:p w14:paraId="72C04B93" w14:textId="77777777" w:rsidR="002D0E71" w:rsidRDefault="00000000">
      <w:pPr>
        <w:pStyle w:val="Normal44"/>
        <w:widowControl w:val="0"/>
        <w:spacing w:before="120" w:line="260" w:lineRule="atLeast"/>
      </w:pPr>
      <w:r>
        <w:rPr>
          <w:rFonts w:ascii="Arial" w:eastAsia="Arial" w:hAnsi="Arial" w:cs="Arial"/>
          <w:color w:val="000000"/>
          <w:sz w:val="20"/>
        </w:rPr>
        <w:t>For NATIONAL COUNCIL OF STATE BOARDS OF NURSING, INC., a Pennsylvania corporation, Defendant - Appellee: Thomas Granger Abram, Vedder Price, Chicago, IL; Thomas R. Buchanan, McDowell, Rice, Smith &amp; Buchanan, Kansas City, MO.</w:t>
      </w:r>
    </w:p>
    <w:p w14:paraId="56204CF9" w14:textId="77777777" w:rsidR="002D0E71" w:rsidRDefault="00000000">
      <w:pPr>
        <w:pStyle w:val="Normal44"/>
        <w:widowControl w:val="0"/>
        <w:spacing w:before="120" w:line="260" w:lineRule="atLeast"/>
      </w:pPr>
      <w:r>
        <w:rPr>
          <w:rFonts w:ascii="Arial" w:eastAsia="Arial" w:hAnsi="Arial" w:cs="Arial"/>
          <w:color w:val="000000"/>
          <w:sz w:val="20"/>
        </w:rPr>
        <w:t>For STATE OF KANSAS, by and through Kansas State Board of Nursing, Defendant - Appellee: Thomas R. Buchanan, McDowell, Rice, Smith &amp; Buchanan, Kansas City, MO; Steve R. Fabert, Office of the Attorney General for the State of Kansas, Topeka, KS.</w:t>
      </w:r>
    </w:p>
    <w:p w14:paraId="3035CEFD" w14:textId="77777777" w:rsidR="002D0E71" w:rsidRDefault="00000000">
      <w:pPr>
        <w:pStyle w:val="Normal44"/>
        <w:widowControl w:val="0"/>
        <w:spacing w:before="120" w:line="260" w:lineRule="atLeast"/>
      </w:pPr>
      <w:r>
        <w:rPr>
          <w:rFonts w:ascii="Arial" w:eastAsia="Arial" w:hAnsi="Arial" w:cs="Arial"/>
          <w:color w:val="000000"/>
          <w:sz w:val="20"/>
        </w:rPr>
        <w:t>For Jeane Walsh, Janet Jacobs, Bernard Becker, Jane Conroy, Janice Mccart, Kimberly Hensley, Judith Hiner, Mary Carol Pomatto, Serena Stutzman, Brenda Moffitt, Gary Taylor, Mary Blubaugh, Defendants - Appellees: Steve R. Fabert, Office of the Attorney General for the State of Kansas, Topeka, KS.</w:t>
      </w:r>
    </w:p>
    <w:p w14:paraId="1B529448" w14:textId="77777777" w:rsidR="002D0E71" w:rsidRDefault="00000000">
      <w:pPr>
        <w:pStyle w:val="Normal44"/>
        <w:widowControl w:val="0"/>
        <w:spacing w:before="240" w:line="260" w:lineRule="atLeast"/>
      </w:pPr>
      <w:bookmarkStart w:id="6586" w:name="Judges_43"/>
      <w:bookmarkEnd w:id="6586"/>
      <w:r>
        <w:rPr>
          <w:rFonts w:ascii="Arial" w:eastAsia="Arial" w:hAnsi="Arial" w:cs="Arial"/>
          <w:b/>
          <w:color w:val="000000"/>
          <w:sz w:val="20"/>
        </w:rPr>
        <w:t>Judges:</w:t>
      </w:r>
      <w:r>
        <w:rPr>
          <w:rFonts w:ascii="Arial" w:eastAsia="Arial" w:hAnsi="Arial" w:cs="Arial"/>
          <w:color w:val="000000"/>
          <w:sz w:val="20"/>
        </w:rPr>
        <w:t> Before LUCERO, Circuit Judge, BRORBY, Senior Circuit Judge, and BACHARACH, Circuit Judge.</w:t>
      </w:r>
    </w:p>
    <w:p w14:paraId="4A0F55DD" w14:textId="77777777" w:rsidR="002D0E71" w:rsidRDefault="00000000">
      <w:pPr>
        <w:pStyle w:val="Normal44"/>
        <w:widowControl w:val="0"/>
        <w:spacing w:before="240" w:line="260" w:lineRule="atLeast"/>
      </w:pPr>
      <w:bookmarkStart w:id="6587" w:name="Opinion_by_32"/>
      <w:bookmarkEnd w:id="6587"/>
      <w:r>
        <w:rPr>
          <w:rFonts w:ascii="Arial" w:eastAsia="Arial" w:hAnsi="Arial" w:cs="Arial"/>
          <w:b/>
          <w:color w:val="000000"/>
          <w:sz w:val="20"/>
        </w:rPr>
        <w:t>Opinion by:</w:t>
      </w:r>
      <w:r>
        <w:rPr>
          <w:rFonts w:ascii="Arial" w:eastAsia="Arial" w:hAnsi="Arial" w:cs="Arial"/>
          <w:color w:val="000000"/>
          <w:sz w:val="20"/>
        </w:rPr>
        <w:t> Carlos F. Lucero</w:t>
      </w:r>
    </w:p>
    <w:p w14:paraId="495DD29B" w14:textId="77777777" w:rsidR="002D0E71" w:rsidRDefault="00000000">
      <w:pPr>
        <w:pStyle w:val="Normal44"/>
        <w:keepNext/>
        <w:widowControl w:val="0"/>
        <w:spacing w:before="240" w:line="340" w:lineRule="atLeast"/>
      </w:pPr>
      <w:bookmarkStart w:id="6588" w:name="Opinion_43"/>
      <w:bookmarkEnd w:id="6588"/>
      <w:r>
        <w:rPr>
          <w:rFonts w:ascii="Arial" w:eastAsia="Arial" w:hAnsi="Arial" w:cs="Arial"/>
          <w:b/>
          <w:color w:val="000000"/>
          <w:sz w:val="28"/>
        </w:rPr>
        <w:t>Opinion</w:t>
      </w:r>
    </w:p>
    <w:p w14:paraId="2F655D8D" w14:textId="67724C52" w:rsidR="002D0E71" w:rsidRDefault="002939DF">
      <w:pPr>
        <w:pStyle w:val="Normal44"/>
        <w:spacing w:line="60" w:lineRule="exact"/>
      </w:pPr>
      <w:r>
        <w:rPr>
          <w:noProof/>
        </w:rPr>
        <mc:AlternateContent>
          <mc:Choice Requires="wps">
            <w:drawing>
              <wp:anchor distT="0" distB="0" distL="114300" distR="114300" simplePos="0" relativeHeight="251753472" behindDoc="0" locked="0" layoutInCell="1" allowOverlap="1" wp14:anchorId="7FA318FE" wp14:editId="204A8F90">
                <wp:simplePos x="0" y="0"/>
                <wp:positionH relativeFrom="column">
                  <wp:posOffset>0</wp:posOffset>
                </wp:positionH>
                <wp:positionV relativeFrom="paragraph">
                  <wp:posOffset>25400</wp:posOffset>
                </wp:positionV>
                <wp:extent cx="3187700" cy="0"/>
                <wp:effectExtent l="19050" t="15875" r="12700" b="12700"/>
                <wp:wrapTopAndBottom/>
                <wp:docPr id="1730435161"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38C1F5" id="Line 99"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5EC2AA82" w14:textId="77777777" w:rsidR="002D0E71" w:rsidRDefault="002D0E71">
      <w:pPr>
        <w:pStyle w:val="Normal44"/>
        <w:spacing w:line="120" w:lineRule="exact"/>
      </w:pPr>
    </w:p>
    <w:p w14:paraId="6D143795" w14:textId="77777777" w:rsidR="002D0E71" w:rsidRDefault="00000000">
      <w:pPr>
        <w:pStyle w:val="Normal44"/>
        <w:widowControl w:val="0"/>
        <w:spacing w:before="240" w:line="260" w:lineRule="atLeast"/>
      </w:pPr>
      <w:r>
        <w:br/>
      </w:r>
      <w:r>
        <w:rPr>
          <w:rFonts w:ascii="Arial" w:eastAsia="Arial" w:hAnsi="Arial" w:cs="Arial"/>
          <w:color w:val="000000"/>
          <w:sz w:val="20"/>
        </w:rPr>
        <w:t xml:space="preserve"> [*663]  </w:t>
      </w:r>
      <w:r>
        <w:rPr>
          <w:rFonts w:ascii="Arial" w:eastAsia="Arial" w:hAnsi="Arial" w:cs="Arial"/>
          <w:b/>
          <w:color w:val="000000"/>
          <w:sz w:val="20"/>
        </w:rPr>
        <w:t xml:space="preserve">ORDER AND JUDGMENT </w:t>
      </w:r>
      <w:r>
        <w:rPr>
          <w:rFonts w:ascii="Arial" w:eastAsia="Arial" w:hAnsi="Arial" w:cs="Arial"/>
          <w:vertAlign w:val="superscript"/>
        </w:rPr>
        <w:footnoteReference w:customMarkFollows="1" w:id="277"/>
        <w:t>*</w:t>
      </w:r>
    </w:p>
    <w:p w14:paraId="3BA540B9" w14:textId="77777777" w:rsidR="002D0E71" w:rsidRDefault="00000000">
      <w:pPr>
        <w:pStyle w:val="Normal44"/>
        <w:widowControl w:val="0"/>
        <w:spacing w:before="200" w:line="260" w:lineRule="atLeast"/>
        <w:jc w:val="both"/>
      </w:pPr>
      <w:bookmarkStart w:id="6590" w:name="Bookmark_para_3_43"/>
      <w:bookmarkEnd w:id="6590"/>
      <w:r>
        <w:rPr>
          <w:rFonts w:ascii="Arial" w:eastAsia="Arial" w:hAnsi="Arial" w:cs="Arial"/>
          <w:color w:val="000000"/>
          <w:sz w:val="20"/>
        </w:rPr>
        <w:t>Barry Turner applied to the Kansas State Board of Nursing ("Board") to take the state nursing licensing exam. He sought accommodations on the exam for his dyslexia, but ultimately took it without accommodations. Turner failed the exam and was therefore unable to obtain a license to practice nursing in Kansas.</w:t>
      </w:r>
    </w:p>
    <w:p w14:paraId="4DB0BAC5" w14:textId="77777777" w:rsidR="002D0E71" w:rsidRDefault="00000000">
      <w:pPr>
        <w:pStyle w:val="Normal44"/>
        <w:widowControl w:val="0"/>
        <w:spacing w:before="200" w:line="260" w:lineRule="atLeast"/>
        <w:jc w:val="both"/>
      </w:pPr>
      <w:bookmarkStart w:id="6591" w:name="Bookmark_para_4_43"/>
      <w:bookmarkStart w:id="6592" w:name="Bookmark_I5C1PV5W2HM6WW0020000400"/>
      <w:bookmarkEnd w:id="6591"/>
      <w:bookmarkEnd w:id="6592"/>
      <w:r>
        <w:rPr>
          <w:rFonts w:ascii="Arial" w:eastAsia="Arial" w:hAnsi="Arial" w:cs="Arial"/>
          <w:color w:val="000000"/>
          <w:sz w:val="20"/>
        </w:rPr>
        <w:t xml:space="preserve">Turner sued the Board and its members </w:t>
      </w:r>
      <w:r>
        <w:rPr>
          <w:rFonts w:ascii="Arial" w:eastAsia="Arial" w:hAnsi="Arial" w:cs="Arial"/>
          <w:vertAlign w:val="superscript"/>
        </w:rPr>
        <w:footnoteReference w:customMarkFollows="1" w:id="278"/>
        <w:t>1</w:t>
      </w:r>
      <w:r>
        <w:rPr>
          <w:rFonts w:ascii="Arial" w:eastAsia="Arial" w:hAnsi="Arial" w:cs="Arial"/>
          <w:color w:val="000000"/>
          <w:sz w:val="20"/>
        </w:rPr>
        <w:t xml:space="preserve"> (collectively, "State defendants"), as well as the National Council of State Boards of Nursing, Inc. ("Council"), which designs and administers the exam. He asserted claims under Titles II and III of the Americans with Disabilities Act ("ADA"). The district court dismissed all of Turner's claims, concluding that the State defendants were immune under the Eleventh Amendment, that the </w:t>
      </w:r>
      <w:r>
        <w:rPr>
          <w:rFonts w:ascii="Arial" w:eastAsia="Arial" w:hAnsi="Arial" w:cs="Arial"/>
          <w:color w:val="000000"/>
          <w:sz w:val="20"/>
          <w:u w:val="single"/>
        </w:rPr>
        <w:t>Ex Parte Young</w:t>
      </w:r>
      <w:r>
        <w:rPr>
          <w:rFonts w:ascii="Arial" w:eastAsia="Arial" w:hAnsi="Arial" w:cs="Arial"/>
          <w:color w:val="000000"/>
          <w:sz w:val="20"/>
        </w:rPr>
        <w:t xml:space="preserve"> </w:t>
      </w:r>
      <w:r>
        <w:rPr>
          <w:rFonts w:ascii="Arial" w:eastAsia="Arial" w:hAnsi="Arial" w:cs="Arial"/>
          <w:vertAlign w:val="superscript"/>
        </w:rPr>
        <w:footnoteReference w:customMarkFollows="1" w:id="279"/>
        <w:t>2</w:t>
      </w:r>
      <w:r>
        <w:rPr>
          <w:rFonts w:ascii="Arial" w:eastAsia="Arial" w:hAnsi="Arial" w:cs="Arial"/>
          <w:color w:val="000000"/>
          <w:sz w:val="20"/>
        </w:rPr>
        <w:t xml:space="preserve"> exception to sovereign immunity did not apply to Turner's claims for declaratory  [**3] and injunctive relief, and that Turner lacked standing to pursue his claims against the Council because he did not allege a causal connection between the Council's conduct and his injury. Turner appeals each of these rulings. We affirm.</w:t>
      </w:r>
    </w:p>
    <w:p w14:paraId="0FF9EEF0" w14:textId="77777777" w:rsidR="002D0E71" w:rsidRDefault="00000000">
      <w:pPr>
        <w:pStyle w:val="Normal44"/>
        <w:widowControl w:val="0"/>
        <w:spacing w:before="240" w:line="260" w:lineRule="atLeast"/>
      </w:pPr>
      <w:r>
        <w:br/>
      </w:r>
      <w:r>
        <w:rPr>
          <w:rFonts w:ascii="Arial" w:eastAsia="Arial" w:hAnsi="Arial" w:cs="Arial"/>
          <w:b/>
          <w:color w:val="000000"/>
          <w:sz w:val="20"/>
        </w:rPr>
        <w:t>I</w:t>
      </w:r>
    </w:p>
    <w:p w14:paraId="025018BA" w14:textId="77777777" w:rsidR="002D0E71" w:rsidRDefault="00000000">
      <w:pPr>
        <w:pStyle w:val="Normal44"/>
        <w:widowControl w:val="0"/>
        <w:spacing w:before="200" w:line="260" w:lineRule="atLeast"/>
        <w:jc w:val="both"/>
      </w:pPr>
      <w:bookmarkStart w:id="6596" w:name="Bookmark_para_5_43"/>
      <w:bookmarkEnd w:id="6596"/>
      <w:r>
        <w:rPr>
          <w:rFonts w:ascii="Arial" w:eastAsia="Arial" w:hAnsi="Arial" w:cs="Arial"/>
          <w:color w:val="000000"/>
          <w:sz w:val="20"/>
        </w:rPr>
        <w:t>The following facts are taken from Turner's amended complaint. The Board controls the issuance of all nursing licenses in Kansas. To obtain a license, a candidate must pass the NCLEX-RN licensing exam, which the Council develops and administers. Since 1994, the Council has administered the exam in a computer adaptive testing ("CAT") format. Turner alleges that "[s]ince the inception of the CAT format, academic research has revealed significant flaws with the format, including flaws that relate to those who suffer from test-[taking] anxiety for any reason."</w:t>
      </w:r>
    </w:p>
    <w:p w14:paraId="55D13923" w14:textId="77777777" w:rsidR="002D0E71" w:rsidRDefault="00000000">
      <w:pPr>
        <w:pStyle w:val="Normal44"/>
        <w:widowControl w:val="0"/>
        <w:spacing w:before="200" w:line="260" w:lineRule="atLeast"/>
        <w:jc w:val="both"/>
      </w:pPr>
      <w:bookmarkStart w:id="6597" w:name="Bookmark_para_6_43"/>
      <w:bookmarkEnd w:id="6597"/>
      <w:r>
        <w:rPr>
          <w:rFonts w:ascii="Arial" w:eastAsia="Arial" w:hAnsi="Arial" w:cs="Arial"/>
          <w:color w:val="000000"/>
          <w:sz w:val="20"/>
        </w:rPr>
        <w:t>Turner was diagnosed with dyslexia at a young age and suffers from its common  [*664]  side effect of test-taking anxiety. Due to his dyslexia, Turner  [**4] was given accommodations when taking examinations in school, including extra time, a private room, and someone to read the questions to him when necessary. After receiving his college nursing degree, Turner contacted the Board in April 2008 to ask about taking the NCLEX-RN licensing exam with these accommodations. He spoke with Gary Taylor, who said he would take care of Turner's request if Turner provided: (1) proof through school records that he suffered from dyslexia; (2) confirmation from his college that it had given him the same exam accommodations he now sought; and (3) a letter stating the specific accommodations requested. Taylor told Turner he would let him know when to submit these materials.</w:t>
      </w:r>
    </w:p>
    <w:p w14:paraId="5689DBF1" w14:textId="77777777" w:rsidR="002D0E71" w:rsidRDefault="00000000">
      <w:pPr>
        <w:pStyle w:val="Normal44"/>
        <w:widowControl w:val="0"/>
        <w:spacing w:before="200" w:line="260" w:lineRule="atLeast"/>
        <w:jc w:val="both"/>
      </w:pPr>
      <w:bookmarkStart w:id="6598" w:name="Bookmark_para_7_42"/>
      <w:bookmarkEnd w:id="6598"/>
      <w:r>
        <w:rPr>
          <w:rFonts w:ascii="Arial" w:eastAsia="Arial" w:hAnsi="Arial" w:cs="Arial"/>
          <w:color w:val="000000"/>
          <w:sz w:val="20"/>
        </w:rPr>
        <w:t>In November 2008, Turner applied to the Board to take the licensing exam in May 2009. The application form did not provide a place to indicate the need for, or to request the provision of, accommodations. Turner contacted Taylor in late February 2009 to inquire about submitting the materials Taylor had requested. Taylor advised Turner that if he took the exam with accommodations and passed it, the license he received would be "restricted and limited." When Turner tried to contact Taylor  [**5] again in March, he was told that Taylor no longer worked for the Board. Turner was advised that the Board did not know anything about his request for accommodations, but that Taylor had left a note stating that Turner planned to take the exam in May. Turner does not allege that he ever submitted to the Board the materials that Taylor told him were necessary to obtain accommodations for the exam.</w:t>
      </w:r>
    </w:p>
    <w:p w14:paraId="01C7906F" w14:textId="77777777" w:rsidR="002D0E71" w:rsidRDefault="00000000">
      <w:pPr>
        <w:pStyle w:val="Normal44"/>
        <w:widowControl w:val="0"/>
        <w:spacing w:before="200" w:line="260" w:lineRule="atLeast"/>
        <w:jc w:val="both"/>
      </w:pPr>
      <w:bookmarkStart w:id="6599" w:name="Bookmark_para_8_42"/>
      <w:bookmarkEnd w:id="6599"/>
      <w:r>
        <w:rPr>
          <w:rFonts w:ascii="Arial" w:eastAsia="Arial" w:hAnsi="Arial" w:cs="Arial"/>
          <w:color w:val="000000"/>
          <w:sz w:val="20"/>
        </w:rPr>
        <w:t>When Turner took the licensing exam in May, he did so without any accommodations and failed it. Notably, Turner does not allege that his dyslexia, or resulting test-taking anxiety, either caused or contributed to his failure. He does allege, however, that there was a problem with the administration of his specific test. The CAT format requires that each person taking the test answer at least seventy-five questions, but the program inexplicably shut down after Turner had answered only fifty-seven questions. The test results Turner later received from the Council erroneously stated that he had answered eighty-four questions. After failing the exam, Turner contacted both the Board and the Council to see if he could appeal his test result. Both entities told him there was no point in trying to appeal,  [**6] because no test result had ever been changed. Because he did not pass the exam, Turner was unable to obtain a nursing license in Kansas.</w:t>
      </w:r>
    </w:p>
    <w:p w14:paraId="5FFCAAAB" w14:textId="77777777" w:rsidR="002D0E71" w:rsidRDefault="00000000">
      <w:pPr>
        <w:pStyle w:val="Normal44"/>
        <w:widowControl w:val="0"/>
        <w:spacing w:before="240" w:line="260" w:lineRule="atLeast"/>
      </w:pPr>
      <w:r>
        <w:br/>
      </w:r>
      <w:r>
        <w:rPr>
          <w:rFonts w:ascii="Arial" w:eastAsia="Arial" w:hAnsi="Arial" w:cs="Arial"/>
          <w:b/>
          <w:color w:val="000000"/>
          <w:sz w:val="20"/>
        </w:rPr>
        <w:t>II</w:t>
      </w:r>
    </w:p>
    <w:p w14:paraId="7B2C52BD" w14:textId="77777777" w:rsidR="002D0E71" w:rsidRDefault="00000000">
      <w:pPr>
        <w:pStyle w:val="Normal44"/>
        <w:widowControl w:val="0"/>
        <w:spacing w:before="240" w:line="260" w:lineRule="atLeast"/>
      </w:pPr>
      <w:r>
        <w:br/>
      </w:r>
      <w:r>
        <w:rPr>
          <w:rFonts w:ascii="Arial" w:eastAsia="Arial" w:hAnsi="Arial" w:cs="Arial"/>
          <w:b/>
          <w:color w:val="000000"/>
          <w:sz w:val="20"/>
        </w:rPr>
        <w:t>A</w:t>
      </w:r>
    </w:p>
    <w:p w14:paraId="6E6F0DB9" w14:textId="77777777" w:rsidR="002D0E71" w:rsidRDefault="00000000">
      <w:pPr>
        <w:pStyle w:val="Normal44"/>
        <w:widowControl w:val="0"/>
        <w:spacing w:before="200" w:line="260" w:lineRule="atLeast"/>
        <w:jc w:val="both"/>
      </w:pPr>
      <w:bookmarkStart w:id="6600" w:name="Bookmark_para_9_42"/>
      <w:bookmarkEnd w:id="6600"/>
      <w:r>
        <w:rPr>
          <w:rFonts w:ascii="Arial" w:eastAsia="Arial" w:hAnsi="Arial" w:cs="Arial"/>
          <w:color w:val="000000"/>
          <w:sz w:val="20"/>
        </w:rPr>
        <w:t xml:space="preserve">Turner asserts seven claims against the State defendants under Title II of the ADA. </w:t>
      </w:r>
      <w:bookmarkStart w:id="6601" w:name="Bookmark_LNHNREFclscc1_38"/>
      <w:bookmarkEnd w:id="6601"/>
      <w:r>
        <w:rPr>
          <w:rFonts w:ascii="Arial" w:eastAsia="Arial" w:hAnsi="Arial" w:cs="Arial"/>
          <w:color w:val="000000"/>
          <w:sz w:val="20"/>
        </w:rPr>
        <w:t>Title II applies to public entities and provides that "no qualified individual with a disability shall, by reason of such disability, be excluded from participation in or be denied the benefits of the services, programs, or activities of a public entity, or be subjected to discrimination by any such entity." 42 U.S.C. § 12132. Turner alleges that the following conduct of the State defendants violated this provision: (1) failing to provide a location on the licensing exam application for an applicant to describe his disabilities and request accommodations; (2) denying him reasonable accommodations for the licensing exam; (3) threatening to restrict his license if he took the exam with accommodations, which both deterred him from pursuing a request for accommodations and prospectively interfered with his practice of nursing; (4)  [*665]  failing to provide an appeal procedure for applicants who took the licensing exam; and (5) failing to provide a format other than the CAT  [**7] format for applicants taking the licensing exam. Turner sought damages and unspecified declaratory and injunctive relief against the State defendants on each of his claims.</w:t>
      </w:r>
    </w:p>
    <w:p w14:paraId="356E7628" w14:textId="77777777" w:rsidR="002D0E71" w:rsidRDefault="00000000">
      <w:pPr>
        <w:pStyle w:val="Normal44"/>
        <w:widowControl w:val="0"/>
        <w:spacing w:before="200" w:line="260" w:lineRule="atLeast"/>
        <w:jc w:val="both"/>
      </w:pPr>
      <w:bookmarkStart w:id="6602" w:name="Bookmark_para_10_41"/>
      <w:bookmarkStart w:id="6603" w:name="Bookmark_I5C1PV5W2HM6WW0040000400"/>
      <w:bookmarkEnd w:id="6602"/>
      <w:bookmarkEnd w:id="6603"/>
      <w:r>
        <w:rPr>
          <w:rFonts w:ascii="Arial" w:eastAsia="Arial" w:hAnsi="Arial" w:cs="Arial"/>
          <w:color w:val="000000"/>
          <w:sz w:val="20"/>
        </w:rPr>
        <w:t xml:space="preserve">The State defendants moved to dismiss all of Turner's claims against them based on sovereign immunity under the Eleventh Amendment. </w:t>
      </w:r>
      <w:bookmarkStart w:id="6604" w:name="Bookmark_LNHNREFclscc2_38"/>
      <w:bookmarkEnd w:id="6604"/>
      <w:r>
        <w:rPr>
          <w:rFonts w:ascii="Arial" w:eastAsia="Arial" w:hAnsi="Arial" w:cs="Arial"/>
          <w:color w:val="000000"/>
          <w:sz w:val="20"/>
        </w:rPr>
        <w:t xml:space="preserve">The Eleventh Amendment ordinarily grants a state immunity from suits brought in federal court by its own citizens or those of another state. </w:t>
      </w:r>
      <w:bookmarkStart w:id="6605" w:name="Bookmark_I5C1PV5W2D6MVP0010000400"/>
      <w:bookmarkStart w:id="6606" w:name="Bookmark_I5C1PV5W2HM6WW0030000400"/>
      <w:bookmarkEnd w:id="6605"/>
      <w:bookmarkEnd w:id="6606"/>
      <w:r>
        <w:rPr>
          <w:rFonts w:ascii="Arial" w:eastAsia="Arial" w:hAnsi="Arial" w:cs="Arial"/>
          <w:color w:val="000000"/>
          <w:sz w:val="20"/>
          <w:u w:val="single"/>
        </w:rPr>
        <w:t>Chamber of Commerce of U.S. v. Edmondson</w:t>
      </w:r>
      <w:r>
        <w:rPr>
          <w:rFonts w:ascii="Arial" w:eastAsia="Arial" w:hAnsi="Arial" w:cs="Arial"/>
          <w:color w:val="000000"/>
          <w:sz w:val="20"/>
        </w:rPr>
        <w:t xml:space="preserve">, 594 F.3d 742, 760 (10th Cir. 2010). </w:t>
      </w:r>
      <w:bookmarkStart w:id="6607" w:name="Bookmark_I5C1PV5W2D6MVP0010000400_2"/>
      <w:bookmarkStart w:id="6608" w:name="Bookmark_I0BH7F34W2C000VXMJ100213"/>
      <w:bookmarkStart w:id="6609" w:name="Bookmark_I5C1PV5W2D6MVP0030000400"/>
      <w:bookmarkEnd w:id="6607"/>
      <w:bookmarkEnd w:id="6608"/>
      <w:bookmarkEnd w:id="6609"/>
      <w:r>
        <w:rPr>
          <w:rFonts w:ascii="Arial" w:eastAsia="Arial" w:hAnsi="Arial" w:cs="Arial"/>
          <w:color w:val="000000"/>
          <w:sz w:val="20"/>
        </w:rPr>
        <w:t xml:space="preserve">The immunity extends to arms of the state and to state officials who are sued for damages in their official capacity. </w:t>
      </w:r>
      <w:bookmarkStart w:id="6610" w:name="Bookmark_I5C1PV5W2HM6WW0050000400"/>
      <w:bookmarkEnd w:id="6610"/>
      <w:r>
        <w:rPr>
          <w:rFonts w:ascii="Arial" w:eastAsia="Arial" w:hAnsi="Arial" w:cs="Arial"/>
          <w:color w:val="000000"/>
          <w:sz w:val="20"/>
          <w:u w:val="single"/>
        </w:rPr>
        <w:t>Peterson v. Martinez</w:t>
      </w:r>
      <w:r>
        <w:rPr>
          <w:rFonts w:ascii="Arial" w:eastAsia="Arial" w:hAnsi="Arial" w:cs="Arial"/>
          <w:color w:val="000000"/>
          <w:sz w:val="20"/>
        </w:rPr>
        <w:t xml:space="preserve">, 707 F.3d 1197, 1205 (10th Cir. 2013). </w:t>
      </w:r>
      <w:bookmarkStart w:id="6611" w:name="Bookmark_I5C1PV5W2D6MVP0030000400_2"/>
      <w:bookmarkEnd w:id="6611"/>
      <w:r>
        <w:rPr>
          <w:rFonts w:ascii="Arial" w:eastAsia="Arial" w:hAnsi="Arial" w:cs="Arial"/>
          <w:color w:val="000000"/>
          <w:sz w:val="20"/>
        </w:rPr>
        <w:t xml:space="preserve">But sovereign immunity does not prevent suit: "(1) when Congress has abrogated the states' immunity, as in legislation enacted to enforce the Fourteenth Amendment; [or] (2) when a state waives its immunity." </w:t>
      </w:r>
      <w:bookmarkStart w:id="6612" w:name="Bookmark_I5C1PV5W2D6MVP0020000400"/>
      <w:bookmarkEnd w:id="6612"/>
      <w:r>
        <w:rPr>
          <w:rFonts w:ascii="Arial" w:eastAsia="Arial" w:hAnsi="Arial" w:cs="Arial"/>
          <w:color w:val="000000"/>
          <w:sz w:val="20"/>
          <w:u w:val="single"/>
        </w:rPr>
        <w:t>Pettigrew v. Okla. ex rel. Okla. Dep't of Pub. Safety</w:t>
      </w:r>
      <w:r>
        <w:rPr>
          <w:rFonts w:ascii="Arial" w:eastAsia="Arial" w:hAnsi="Arial" w:cs="Arial"/>
          <w:color w:val="000000"/>
          <w:sz w:val="20"/>
        </w:rPr>
        <w:t>, 722 F.3d 1209, 1212 (10th Cir. 2013). At issue here is whether Congress validly abrogated the states' sovereign immunity under Title II of the ADA with respect to claims involving professional licensing examinations. The district court  [**8] concluded that it did not. We agree.</w:t>
      </w:r>
    </w:p>
    <w:p w14:paraId="69B7B16C" w14:textId="77777777" w:rsidR="002D0E71" w:rsidRDefault="00000000">
      <w:pPr>
        <w:pStyle w:val="Normal44"/>
        <w:widowControl w:val="0"/>
        <w:spacing w:before="200" w:line="260" w:lineRule="atLeast"/>
        <w:jc w:val="both"/>
      </w:pPr>
      <w:bookmarkStart w:id="6613" w:name="Bookmark_para_11_41"/>
      <w:bookmarkStart w:id="6614" w:name="Bookmark_I0BH7F354PN000VXMJ100215"/>
      <w:bookmarkStart w:id="6615" w:name="Bookmark_I5C1PV5W2D6MVP0050000400"/>
      <w:bookmarkStart w:id="6616" w:name="Bookmark_I0BH7F359TH000VXMJ100216"/>
      <w:bookmarkStart w:id="6617" w:name="Bookmark_I5C1PV5W28T4SG0020000400"/>
      <w:bookmarkStart w:id="6618" w:name="Bookmark_LNHNREFclscc3_37"/>
      <w:bookmarkEnd w:id="6613"/>
      <w:bookmarkEnd w:id="6614"/>
      <w:bookmarkEnd w:id="6615"/>
      <w:bookmarkEnd w:id="6616"/>
      <w:bookmarkEnd w:id="6617"/>
      <w:bookmarkEnd w:id="6618"/>
      <w:r>
        <w:rPr>
          <w:rFonts w:ascii="Arial" w:eastAsia="Arial" w:hAnsi="Arial" w:cs="Arial"/>
          <w:color w:val="000000"/>
          <w:sz w:val="20"/>
        </w:rPr>
        <w:t xml:space="preserve">Congress unequivocally intended to abrogate the states' sovereign immunity under the ADA. </w:t>
      </w:r>
      <w:r>
        <w:rPr>
          <w:rFonts w:ascii="Arial" w:eastAsia="Arial" w:hAnsi="Arial" w:cs="Arial"/>
          <w:color w:val="000000"/>
          <w:sz w:val="20"/>
          <w:u w:val="single"/>
        </w:rPr>
        <w:t>See</w:t>
      </w:r>
      <w:r>
        <w:rPr>
          <w:rFonts w:ascii="Arial" w:eastAsia="Arial" w:hAnsi="Arial" w:cs="Arial"/>
          <w:color w:val="000000"/>
          <w:sz w:val="20"/>
        </w:rPr>
        <w:t xml:space="preserve"> 42 U.S.C. § 12202. </w:t>
      </w:r>
      <w:bookmarkStart w:id="6619" w:name="Bookmark_I0BH7F35FMN000VXMJ100217"/>
      <w:bookmarkStart w:id="6620" w:name="Bookmark_I5C1PV5W28T4SG0040000400"/>
      <w:bookmarkEnd w:id="6619"/>
      <w:bookmarkEnd w:id="6620"/>
      <w:r>
        <w:rPr>
          <w:rFonts w:ascii="Arial" w:eastAsia="Arial" w:hAnsi="Arial" w:cs="Arial"/>
          <w:color w:val="000000"/>
          <w:sz w:val="20"/>
        </w:rPr>
        <w:t xml:space="preserve">But the abrogation is valid only if Congress "act[ed] pursuant to a valid exercise of its power under § 5 of the Fourteenth Amendment." </w:t>
      </w:r>
      <w:bookmarkStart w:id="6621" w:name="Bookmark_I5C1PV5W2D6MVP0040000400"/>
      <w:bookmarkEnd w:id="6621"/>
      <w:r>
        <w:rPr>
          <w:rFonts w:ascii="Arial" w:eastAsia="Arial" w:hAnsi="Arial" w:cs="Arial"/>
          <w:color w:val="000000"/>
          <w:sz w:val="20"/>
          <w:u w:val="single"/>
        </w:rPr>
        <w:t>Nev. Dep't of Human Res. v. Hibbs</w:t>
      </w:r>
      <w:r>
        <w:rPr>
          <w:rFonts w:ascii="Arial" w:eastAsia="Arial" w:hAnsi="Arial" w:cs="Arial"/>
          <w:color w:val="000000"/>
          <w:sz w:val="20"/>
        </w:rPr>
        <w:t xml:space="preserve">, 538 U.S. 721, 726, 123 S. Ct. 1972, 155 L. Ed. 2d 953 (2003). To validly exercise its § 5 power and "authorize private individuals to recover money damages against the States, there must be a pattern of discrimination by the States which violates the Fourteenth Amendment, and the remedy imposed by Congress must be congruent and proportional to the targeted violation." </w:t>
      </w:r>
      <w:bookmarkStart w:id="6622" w:name="Bookmark_I5C1PV5W28T4SG0010000400"/>
      <w:bookmarkEnd w:id="6622"/>
      <w:r>
        <w:rPr>
          <w:rFonts w:ascii="Arial" w:eastAsia="Arial" w:hAnsi="Arial" w:cs="Arial"/>
          <w:color w:val="000000"/>
          <w:sz w:val="20"/>
          <w:u w:val="single"/>
        </w:rPr>
        <w:t>Bd. of Trs. of Univ. of Ala. v. Garrett</w:t>
      </w:r>
      <w:r>
        <w:rPr>
          <w:rFonts w:ascii="Arial" w:eastAsia="Arial" w:hAnsi="Arial" w:cs="Arial"/>
          <w:color w:val="000000"/>
          <w:sz w:val="20"/>
        </w:rPr>
        <w:t xml:space="preserve">, 531 U.S. 356, 374, 121 S. Ct. 955, 148 L. Ed. 2d 866 (2001). </w:t>
      </w:r>
      <w:bookmarkStart w:id="6623" w:name="Bookmark_I5C1PV5W28T4SG0040000400_2"/>
      <w:bookmarkEnd w:id="6623"/>
      <w:r>
        <w:rPr>
          <w:rFonts w:ascii="Arial" w:eastAsia="Arial" w:hAnsi="Arial" w:cs="Arial"/>
          <w:color w:val="000000"/>
          <w:sz w:val="20"/>
        </w:rPr>
        <w:t xml:space="preserve">"The Court has not arrived at a concrete definition of congruence and proportionality, but it is clear that Congress enjoys greater power under § 5 when it responds to a clearly discernible pattern of state encroachment on fundamental or other important constitutional rights." </w:t>
      </w:r>
      <w:bookmarkStart w:id="6624" w:name="Bookmark_I5C1PV5W28T4SG0030000400"/>
      <w:bookmarkEnd w:id="6624"/>
      <w:r>
        <w:rPr>
          <w:rFonts w:ascii="Arial" w:eastAsia="Arial" w:hAnsi="Arial" w:cs="Arial"/>
          <w:color w:val="000000"/>
          <w:sz w:val="20"/>
        </w:rPr>
        <w:t>Guttman v. Khalsa, 669 F.3d 1101, 1112 (10th Cir. 2012). And "[c]ongressional regulation is less likely to be congruent and proportional if the rights at issue are not subject to heightened judicial scrutiny."  [**9] </w:t>
      </w:r>
      <w:r>
        <w:rPr>
          <w:rFonts w:ascii="Arial" w:eastAsia="Arial" w:hAnsi="Arial" w:cs="Arial"/>
          <w:color w:val="000000"/>
          <w:sz w:val="20"/>
          <w:u w:val="single"/>
        </w:rPr>
        <w:t>Id.</w:t>
      </w:r>
    </w:p>
    <w:p w14:paraId="471E74B8" w14:textId="77777777" w:rsidR="002D0E71" w:rsidRDefault="00000000">
      <w:pPr>
        <w:pStyle w:val="Normal44"/>
        <w:widowControl w:val="0"/>
        <w:spacing w:before="200" w:line="260" w:lineRule="atLeast"/>
        <w:jc w:val="both"/>
      </w:pPr>
      <w:bookmarkStart w:id="6625" w:name="Bookmark_para_12_40"/>
      <w:bookmarkStart w:id="6626" w:name="Bookmark_I5C1PV5W2D6MVR0010000400"/>
      <w:bookmarkEnd w:id="6625"/>
      <w:bookmarkEnd w:id="6626"/>
      <w:r>
        <w:rPr>
          <w:rFonts w:ascii="Arial" w:eastAsia="Arial" w:hAnsi="Arial" w:cs="Arial"/>
          <w:color w:val="000000"/>
          <w:sz w:val="20"/>
        </w:rPr>
        <w:t xml:space="preserve">In </w:t>
      </w:r>
      <w:r>
        <w:rPr>
          <w:rFonts w:ascii="Arial" w:eastAsia="Arial" w:hAnsi="Arial" w:cs="Arial"/>
          <w:color w:val="000000"/>
          <w:sz w:val="20"/>
          <w:u w:val="single"/>
        </w:rPr>
        <w:t>Guttman</w:t>
      </w:r>
      <w:r>
        <w:rPr>
          <w:rFonts w:ascii="Arial" w:eastAsia="Arial" w:hAnsi="Arial" w:cs="Arial"/>
          <w:color w:val="000000"/>
          <w:sz w:val="20"/>
        </w:rPr>
        <w:t xml:space="preserve">, this court considered "whether the accommodation requirement of Title II is a valid exercise of the § 5 authority, as it applies to cases involving professional licensing." </w:t>
      </w:r>
      <w:bookmarkStart w:id="6627" w:name="Bookmark_I5C1PV5W28T4SG0050000400"/>
      <w:bookmarkEnd w:id="6627"/>
      <w:r>
        <w:rPr>
          <w:rFonts w:ascii="Arial" w:eastAsia="Arial" w:hAnsi="Arial" w:cs="Arial"/>
          <w:color w:val="000000"/>
          <w:sz w:val="20"/>
          <w:u w:val="single"/>
        </w:rPr>
        <w:t>Id.</w:t>
      </w:r>
      <w:r>
        <w:rPr>
          <w:rFonts w:ascii="Arial" w:eastAsia="Arial" w:hAnsi="Arial" w:cs="Arial"/>
          <w:color w:val="000000"/>
          <w:sz w:val="20"/>
        </w:rPr>
        <w:t xml:space="preserve"> at 1113. </w:t>
      </w:r>
      <w:bookmarkStart w:id="6628" w:name="Bookmark_I5C1PV5W2D6MVR0030000400"/>
      <w:bookmarkEnd w:id="6628"/>
      <w:r>
        <w:rPr>
          <w:rFonts w:ascii="Arial" w:eastAsia="Arial" w:hAnsi="Arial" w:cs="Arial"/>
          <w:color w:val="000000"/>
          <w:sz w:val="20"/>
        </w:rPr>
        <w:t xml:space="preserve">The plaintiff was a physician whose medical license was revoked based on his mental condition. He brought an ADA suit against the state for money damages. </w:t>
      </w:r>
      <w:bookmarkStart w:id="6629" w:name="Bookmark_I5C1PV5W2D6MVR0030000400_2"/>
      <w:bookmarkStart w:id="6630" w:name="Bookmark_I5C1PV5W2D6MVR0050000400"/>
      <w:bookmarkStart w:id="6631" w:name="Bookmark_LNHNREFclscc4_37"/>
      <w:bookmarkEnd w:id="6629"/>
      <w:bookmarkEnd w:id="6630"/>
      <w:bookmarkEnd w:id="6631"/>
      <w:r>
        <w:rPr>
          <w:rFonts w:ascii="Arial" w:eastAsia="Arial" w:hAnsi="Arial" w:cs="Arial"/>
          <w:color w:val="000000"/>
          <w:sz w:val="20"/>
        </w:rPr>
        <w:t xml:space="preserve">We evaluated the plaintiff's claims using the Supreme Court's three-step analysis in </w:t>
      </w:r>
      <w:bookmarkStart w:id="6632" w:name="Bookmark_I5C1PV5W2D6MVR0020000400"/>
      <w:bookmarkEnd w:id="6632"/>
      <w:r>
        <w:rPr>
          <w:rFonts w:ascii="Arial" w:eastAsia="Arial" w:hAnsi="Arial" w:cs="Arial"/>
          <w:color w:val="000000"/>
          <w:sz w:val="20"/>
          <w:u w:val="single"/>
        </w:rPr>
        <w:t>United States v. Georgia</w:t>
      </w:r>
      <w:r>
        <w:rPr>
          <w:rFonts w:ascii="Arial" w:eastAsia="Arial" w:hAnsi="Arial" w:cs="Arial"/>
          <w:color w:val="000000"/>
          <w:sz w:val="20"/>
        </w:rPr>
        <w:t>, 546 U.S. 151, 126 S. Ct. 877, 163 L. Ed. 2d 650 (2006), which required us to</w:t>
      </w:r>
    </w:p>
    <w:p w14:paraId="767093AD" w14:textId="77777777" w:rsidR="002D0E71" w:rsidRDefault="00000000">
      <w:pPr>
        <w:pStyle w:val="Normal44"/>
        <w:widowControl w:val="0"/>
        <w:spacing w:line="260" w:lineRule="atLeast"/>
        <w:ind w:left="400"/>
        <w:jc w:val="both"/>
      </w:pPr>
      <w:bookmarkStart w:id="6633" w:name="Bookmark_para_13_40"/>
      <w:bookmarkStart w:id="6634" w:name="Bookmark_I5C1PV5W2D6MVR0050000400_2"/>
      <w:bookmarkEnd w:id="6633"/>
      <w:bookmarkEnd w:id="6634"/>
      <w:r>
        <w:rPr>
          <w:rFonts w:ascii="Arial" w:eastAsia="Arial" w:hAnsi="Arial" w:cs="Arial"/>
          <w:color w:val="000000"/>
          <w:sz w:val="20"/>
        </w:rPr>
        <w:t>determine in the first instance, on a claim-by-claim basis, (1) which aspects of the State's alleged conduct violated Title II; (2) to what extent such misconduct also violated the Fourteenth Amendment; and (3) insofar as such misconduct violated Title II but did not violate the Fourteenth Amendment, whether Congress's purported abrogation of sovereign immunity as to that class of conduct is nevertheless valid.</w:t>
      </w:r>
    </w:p>
    <w:p w14:paraId="57DE5612" w14:textId="77777777" w:rsidR="002D0E71" w:rsidRDefault="00000000">
      <w:pPr>
        <w:pStyle w:val="Normal44"/>
        <w:widowControl w:val="0"/>
        <w:spacing w:before="200" w:line="260" w:lineRule="atLeast"/>
        <w:jc w:val="both"/>
      </w:pPr>
      <w:r>
        <w:rPr>
          <w:rFonts w:ascii="Arial" w:eastAsia="Arial" w:hAnsi="Arial" w:cs="Arial"/>
          <w:color w:val="000000"/>
          <w:sz w:val="20"/>
        </w:rPr>
        <w:t xml:space="preserve"> [*666]  </w:t>
      </w:r>
      <w:bookmarkStart w:id="6635" w:name="Bookmark_I5C1PV5W2D6MVR0050000400_3"/>
      <w:bookmarkStart w:id="6636" w:name="Bookmark_I5C1PV5W2D6MVR0040000400"/>
      <w:bookmarkEnd w:id="6635"/>
      <w:bookmarkEnd w:id="6636"/>
      <w:r>
        <w:rPr>
          <w:rFonts w:ascii="Arial" w:eastAsia="Arial" w:hAnsi="Arial" w:cs="Arial"/>
          <w:color w:val="000000"/>
          <w:sz w:val="20"/>
          <w:u w:val="single"/>
        </w:rPr>
        <w:t>Guttman</w:t>
      </w:r>
      <w:r>
        <w:rPr>
          <w:rFonts w:ascii="Arial" w:eastAsia="Arial" w:hAnsi="Arial" w:cs="Arial"/>
          <w:color w:val="000000"/>
          <w:sz w:val="20"/>
        </w:rPr>
        <w:t xml:space="preserve">, 669 F.3d at 1113 (quoting </w:t>
      </w:r>
      <w:bookmarkStart w:id="6637" w:name="Bookmark_I5C1PV5W28T4SH0010000400"/>
      <w:bookmarkEnd w:id="6637"/>
      <w:r>
        <w:rPr>
          <w:rFonts w:ascii="Arial" w:eastAsia="Arial" w:hAnsi="Arial" w:cs="Arial"/>
          <w:color w:val="000000"/>
          <w:sz w:val="20"/>
          <w:u w:val="single"/>
        </w:rPr>
        <w:t>Georgia</w:t>
      </w:r>
      <w:r>
        <w:rPr>
          <w:rFonts w:ascii="Arial" w:eastAsia="Arial" w:hAnsi="Arial" w:cs="Arial"/>
          <w:color w:val="000000"/>
          <w:sz w:val="20"/>
        </w:rPr>
        <w:t xml:space="preserve">, 546 U.S. at 159). </w:t>
      </w:r>
      <w:bookmarkStart w:id="6638" w:name="Bookmark_I5C1PV5W28T4SH0040000400"/>
      <w:bookmarkEnd w:id="6638"/>
      <w:r>
        <w:rPr>
          <w:rFonts w:ascii="Arial" w:eastAsia="Arial" w:hAnsi="Arial" w:cs="Arial"/>
          <w:color w:val="000000"/>
          <w:sz w:val="20"/>
        </w:rPr>
        <w:t xml:space="preserve">We noted that if, at the second step, we concluded that the alleged conduct did violate the Fourteenth Amendment, the state's immunity was validly abrogated. </w:t>
      </w:r>
      <w:r>
        <w:rPr>
          <w:rFonts w:ascii="Arial" w:eastAsia="Arial" w:hAnsi="Arial" w:cs="Arial"/>
          <w:color w:val="000000"/>
          <w:sz w:val="20"/>
          <w:u w:val="single"/>
        </w:rPr>
        <w:t>Id.</w:t>
      </w:r>
      <w:r>
        <w:rPr>
          <w:rFonts w:ascii="Arial" w:eastAsia="Arial" w:hAnsi="Arial" w:cs="Arial"/>
          <w:color w:val="000000"/>
          <w:sz w:val="20"/>
        </w:rPr>
        <w:t xml:space="preserve"> But we found no Fourteenth Amendment violation. </w:t>
      </w:r>
      <w:bookmarkStart w:id="6639" w:name="Bookmark_I5C1PV5W28T4SH0030000400"/>
      <w:bookmarkEnd w:id="6639"/>
      <w:r>
        <w:rPr>
          <w:rFonts w:ascii="Arial" w:eastAsia="Arial" w:hAnsi="Arial" w:cs="Arial"/>
          <w:color w:val="000000"/>
          <w:sz w:val="20"/>
          <w:u w:val="single"/>
        </w:rPr>
        <w:t>Id.</w:t>
      </w:r>
      <w:r>
        <w:rPr>
          <w:rFonts w:ascii="Arial" w:eastAsia="Arial" w:hAnsi="Arial" w:cs="Arial"/>
          <w:color w:val="000000"/>
          <w:sz w:val="20"/>
        </w:rPr>
        <w:t xml:space="preserve"> at 1116.</w:t>
      </w:r>
    </w:p>
    <w:p w14:paraId="0798E50E" w14:textId="77777777" w:rsidR="002D0E71" w:rsidRDefault="00000000">
      <w:pPr>
        <w:pStyle w:val="Normal44"/>
        <w:widowControl w:val="0"/>
        <w:spacing w:before="200" w:line="260" w:lineRule="atLeast"/>
        <w:jc w:val="both"/>
      </w:pPr>
      <w:bookmarkStart w:id="6640" w:name="Bookmark_para_14_39"/>
      <w:bookmarkStart w:id="6641" w:name="Bookmark_I5C1PV5W28T4SJ0010000400"/>
      <w:bookmarkStart w:id="6642" w:name="Bookmark_I5C1PV5W28T4SJ0030000400"/>
      <w:bookmarkEnd w:id="6640"/>
      <w:bookmarkEnd w:id="6641"/>
      <w:bookmarkEnd w:id="6642"/>
      <w:r>
        <w:rPr>
          <w:rFonts w:ascii="Arial" w:eastAsia="Arial" w:hAnsi="Arial" w:cs="Arial"/>
          <w:color w:val="000000"/>
          <w:sz w:val="20"/>
        </w:rPr>
        <w:t xml:space="preserve">At  [**10] the third step, we applied the Supreme Court's analysis in </w:t>
      </w:r>
      <w:bookmarkStart w:id="6643" w:name="Bookmark_I5C1PV5W28T4SH0050000400"/>
      <w:bookmarkEnd w:id="6643"/>
      <w:r>
        <w:rPr>
          <w:rFonts w:ascii="Arial" w:eastAsia="Arial" w:hAnsi="Arial" w:cs="Arial"/>
          <w:color w:val="000000"/>
          <w:sz w:val="20"/>
          <w:u w:val="single"/>
        </w:rPr>
        <w:t>City of Boerne v. Flores</w:t>
      </w:r>
      <w:r>
        <w:rPr>
          <w:rFonts w:ascii="Arial" w:eastAsia="Arial" w:hAnsi="Arial" w:cs="Arial"/>
          <w:color w:val="000000"/>
          <w:sz w:val="20"/>
        </w:rPr>
        <w:t xml:space="preserve">, 521 U.S. 507, 117 S. Ct. 2157, 138 L. Ed. 2d 624 (1997), to determine if the abrogation was nonetheless valid. </w:t>
      </w:r>
      <w:bookmarkStart w:id="6644" w:name="Bookmark_I5C1PV5W28T4SJ0020000400"/>
      <w:bookmarkEnd w:id="6644"/>
      <w:r>
        <w:rPr>
          <w:rFonts w:ascii="Arial" w:eastAsia="Arial" w:hAnsi="Arial" w:cs="Arial"/>
          <w:color w:val="000000"/>
          <w:sz w:val="20"/>
          <w:u w:val="single"/>
        </w:rPr>
        <w:t>Guttman</w:t>
      </w:r>
      <w:r>
        <w:rPr>
          <w:rFonts w:ascii="Arial" w:eastAsia="Arial" w:hAnsi="Arial" w:cs="Arial"/>
          <w:color w:val="000000"/>
          <w:sz w:val="20"/>
        </w:rPr>
        <w:t xml:space="preserve">, 669 F.3d at 1116-17. </w:t>
      </w:r>
      <w:bookmarkStart w:id="6645" w:name="Bookmark_I5C1PV5W28T4SJ0050000400"/>
      <w:bookmarkEnd w:id="6645"/>
      <w:r>
        <w:rPr>
          <w:rFonts w:ascii="Arial" w:eastAsia="Arial" w:hAnsi="Arial" w:cs="Arial"/>
          <w:color w:val="000000"/>
          <w:sz w:val="20"/>
        </w:rPr>
        <w:t>We therefore considered:</w:t>
      </w:r>
    </w:p>
    <w:p w14:paraId="0F980EE0" w14:textId="77777777" w:rsidR="002D0E71" w:rsidRDefault="00000000">
      <w:pPr>
        <w:pStyle w:val="Normal44"/>
        <w:widowControl w:val="0"/>
        <w:spacing w:line="260" w:lineRule="atLeast"/>
        <w:ind w:left="400"/>
        <w:jc w:val="both"/>
      </w:pPr>
      <w:bookmarkStart w:id="6646" w:name="Bookmark_para_15_38"/>
      <w:bookmarkStart w:id="6647" w:name="Bookmark_I5C1PV5W28T4SJ0050000400_2"/>
      <w:bookmarkStart w:id="6648" w:name="Bookmark_I5C1PV5W28T4SK0040000400"/>
      <w:bookmarkEnd w:id="6646"/>
      <w:bookmarkEnd w:id="6647"/>
      <w:bookmarkEnd w:id="6648"/>
      <w:r>
        <w:rPr>
          <w:rFonts w:ascii="Arial" w:eastAsia="Arial" w:hAnsi="Arial" w:cs="Arial"/>
          <w:color w:val="000000"/>
          <w:sz w:val="20"/>
        </w:rPr>
        <w:t>(1) the nature of the constitutional right at issue; (2) the extent to which Congress's remedial statute was passed in response to a documented history of relevant constitutional violations; and (3) whether the congressional statute is "congruent and proportional" to the specific class of violations at issue, given the nature of the relevant constitutional right and the identified history of violations.</w:t>
      </w:r>
    </w:p>
    <w:p w14:paraId="577F511C" w14:textId="77777777" w:rsidR="002D0E71" w:rsidRDefault="00000000">
      <w:pPr>
        <w:pStyle w:val="Normal44"/>
        <w:widowControl w:val="0"/>
        <w:spacing w:before="200" w:line="260" w:lineRule="atLeast"/>
        <w:jc w:val="both"/>
      </w:pPr>
      <w:bookmarkStart w:id="6649" w:name="Bookmark_I5C1PV5W28T4SK0040000400_2"/>
      <w:bookmarkStart w:id="6650" w:name="Bookmark_I5C1PV5W28T4SJ0050000400_3"/>
      <w:bookmarkStart w:id="6651" w:name="Bookmark_I5C1PV5W2N1RRC0020000400"/>
      <w:bookmarkStart w:id="6652" w:name="Bookmark_I5C1PV5W28T4SJ0040000400"/>
      <w:bookmarkEnd w:id="6649"/>
      <w:bookmarkEnd w:id="6650"/>
      <w:bookmarkEnd w:id="6651"/>
      <w:bookmarkEnd w:id="6652"/>
      <w:r>
        <w:rPr>
          <w:rFonts w:ascii="Arial" w:eastAsia="Arial" w:hAnsi="Arial" w:cs="Arial"/>
          <w:color w:val="000000"/>
          <w:sz w:val="20"/>
          <w:u w:val="single"/>
        </w:rPr>
        <w:t>Id.</w:t>
      </w:r>
      <w:r>
        <w:rPr>
          <w:rFonts w:ascii="Arial" w:eastAsia="Arial" w:hAnsi="Arial" w:cs="Arial"/>
          <w:color w:val="000000"/>
          <w:sz w:val="20"/>
        </w:rPr>
        <w:t xml:space="preserve"> at 1117 (citing </w:t>
      </w:r>
      <w:bookmarkStart w:id="6653" w:name="Bookmark_I5C1PV5W28T4SK0010000400"/>
      <w:bookmarkEnd w:id="6653"/>
      <w:r>
        <w:rPr>
          <w:rFonts w:ascii="Arial" w:eastAsia="Arial" w:hAnsi="Arial" w:cs="Arial"/>
          <w:color w:val="000000"/>
          <w:sz w:val="20"/>
          <w:u w:val="single"/>
        </w:rPr>
        <w:t>City of Boerne</w:t>
      </w:r>
      <w:r>
        <w:rPr>
          <w:rFonts w:ascii="Arial" w:eastAsia="Arial" w:hAnsi="Arial" w:cs="Arial"/>
          <w:color w:val="000000"/>
          <w:sz w:val="20"/>
        </w:rPr>
        <w:t xml:space="preserve">, 521 U.S. at 529-36). </w:t>
      </w:r>
      <w:bookmarkStart w:id="6654" w:name="Bookmark_I5C1PV5W2N1RRC0020000400_2"/>
      <w:bookmarkEnd w:id="6654"/>
      <w:r>
        <w:rPr>
          <w:rFonts w:ascii="Arial" w:eastAsia="Arial" w:hAnsi="Arial" w:cs="Arial"/>
          <w:color w:val="000000"/>
          <w:sz w:val="20"/>
        </w:rPr>
        <w:t xml:space="preserve">We concluded that: (1) the constitutional right the plaintiff asserted was "a disabled individual's right to practice in his chosen profession," which "does not invoke heightened scrutiny," </w:t>
      </w:r>
      <w:bookmarkStart w:id="6655" w:name="Bookmark_I5C1PV5W28T4SK0030000400"/>
      <w:bookmarkEnd w:id="6655"/>
      <w:r>
        <w:rPr>
          <w:rFonts w:ascii="Arial" w:eastAsia="Arial" w:hAnsi="Arial" w:cs="Arial"/>
          <w:color w:val="000000"/>
          <w:sz w:val="20"/>
          <w:u w:val="single"/>
        </w:rPr>
        <w:t>id.</w:t>
      </w:r>
      <w:r>
        <w:rPr>
          <w:rFonts w:ascii="Arial" w:eastAsia="Arial" w:hAnsi="Arial" w:cs="Arial"/>
          <w:color w:val="000000"/>
          <w:sz w:val="20"/>
        </w:rPr>
        <w:t xml:space="preserve"> at 1118; (2) "Congress did not identify a history of irrational discrimination in professional licensing when enacting Title II," </w:t>
      </w:r>
      <w:bookmarkStart w:id="6656" w:name="Bookmark_I5C1PV5W28T4SK0050000400"/>
      <w:bookmarkEnd w:id="6656"/>
      <w:r>
        <w:rPr>
          <w:rFonts w:ascii="Arial" w:eastAsia="Arial" w:hAnsi="Arial" w:cs="Arial"/>
          <w:color w:val="000000"/>
          <w:sz w:val="20"/>
          <w:u w:val="single"/>
        </w:rPr>
        <w:t>id.</w:t>
      </w:r>
      <w:r>
        <w:rPr>
          <w:rFonts w:ascii="Arial" w:eastAsia="Arial" w:hAnsi="Arial" w:cs="Arial"/>
          <w:color w:val="000000"/>
          <w:sz w:val="20"/>
        </w:rPr>
        <w:t xml:space="preserve"> at 1119; and (3) "in the context of the class of cases implicating disability discrimination in professional licensing," </w:t>
      </w:r>
      <w:bookmarkStart w:id="6657" w:name="Bookmark_I5C1PV5W2N1RRB0020000400"/>
      <w:bookmarkEnd w:id="6657"/>
      <w:r>
        <w:rPr>
          <w:rFonts w:ascii="Arial" w:eastAsia="Arial" w:hAnsi="Arial" w:cs="Arial"/>
          <w:color w:val="000000"/>
          <w:sz w:val="20"/>
          <w:u w:val="single"/>
        </w:rPr>
        <w:t>id.</w:t>
      </w:r>
      <w:r>
        <w:rPr>
          <w:rFonts w:ascii="Arial" w:eastAsia="Arial" w:hAnsi="Arial" w:cs="Arial"/>
          <w:color w:val="000000"/>
          <w:sz w:val="20"/>
        </w:rPr>
        <w:t xml:space="preserve"> at 1120, the Title II remedy was not congruent and proportional, </w:t>
      </w:r>
      <w:bookmarkStart w:id="6658" w:name="Bookmark_I5C1PV5W2N1RRB0040000400"/>
      <w:bookmarkEnd w:id="6658"/>
      <w:r>
        <w:rPr>
          <w:rFonts w:ascii="Arial" w:eastAsia="Arial" w:hAnsi="Arial" w:cs="Arial"/>
          <w:color w:val="000000"/>
          <w:sz w:val="20"/>
          <w:u w:val="single"/>
        </w:rPr>
        <w:t>id.</w:t>
      </w:r>
      <w:r>
        <w:rPr>
          <w:rFonts w:ascii="Arial" w:eastAsia="Arial" w:hAnsi="Arial" w:cs="Arial"/>
          <w:color w:val="000000"/>
          <w:sz w:val="20"/>
        </w:rPr>
        <w:t xml:space="preserve"> at 1119-25. </w:t>
      </w:r>
      <w:bookmarkStart w:id="6659" w:name="Bookmark_I5C1PV5W2N1RRC0020000400_3"/>
      <w:bookmarkEnd w:id="6659"/>
      <w:r>
        <w:rPr>
          <w:rFonts w:ascii="Arial" w:eastAsia="Arial" w:hAnsi="Arial" w:cs="Arial"/>
          <w:color w:val="000000"/>
          <w:sz w:val="20"/>
        </w:rPr>
        <w:t> [**11] We therefore held that "</w:t>
      </w:r>
      <w:bookmarkStart w:id="6660" w:name="Bookmark_LNHNREFclscc5_37"/>
      <w:bookmarkEnd w:id="6660"/>
      <w:r>
        <w:rPr>
          <w:rFonts w:ascii="Arial" w:eastAsia="Arial" w:hAnsi="Arial" w:cs="Arial"/>
          <w:color w:val="000000"/>
          <w:sz w:val="20"/>
        </w:rPr>
        <w:t xml:space="preserve">Title II does not validly abrogate [the state's] sovereign immunity in the context of professional licensing." </w:t>
      </w:r>
      <w:bookmarkStart w:id="6661" w:name="Bookmark_I5C1PV5W2N1RRC0010000400"/>
      <w:bookmarkEnd w:id="6661"/>
      <w:r>
        <w:rPr>
          <w:rFonts w:ascii="Arial" w:eastAsia="Arial" w:hAnsi="Arial" w:cs="Arial"/>
          <w:color w:val="000000"/>
          <w:sz w:val="20"/>
          <w:u w:val="single"/>
        </w:rPr>
        <w:t>Id.</w:t>
      </w:r>
      <w:r>
        <w:rPr>
          <w:rFonts w:ascii="Arial" w:eastAsia="Arial" w:hAnsi="Arial" w:cs="Arial"/>
          <w:color w:val="000000"/>
          <w:sz w:val="20"/>
        </w:rPr>
        <w:t xml:space="preserve"> at 1125.</w:t>
      </w:r>
    </w:p>
    <w:p w14:paraId="4A577FAE" w14:textId="77777777" w:rsidR="002D0E71" w:rsidRDefault="00000000">
      <w:pPr>
        <w:pStyle w:val="Normal44"/>
        <w:widowControl w:val="0"/>
        <w:spacing w:before="200" w:line="260" w:lineRule="atLeast"/>
        <w:jc w:val="both"/>
      </w:pPr>
      <w:bookmarkStart w:id="6662" w:name="Bookmark_para_16_37"/>
      <w:bookmarkEnd w:id="6662"/>
      <w:r>
        <w:rPr>
          <w:rFonts w:ascii="Arial" w:eastAsia="Arial" w:hAnsi="Arial" w:cs="Arial"/>
          <w:color w:val="000000"/>
          <w:sz w:val="20"/>
        </w:rPr>
        <w:t xml:space="preserve">The district court followed </w:t>
      </w:r>
      <w:r>
        <w:rPr>
          <w:rFonts w:ascii="Arial" w:eastAsia="Arial" w:hAnsi="Arial" w:cs="Arial"/>
          <w:color w:val="000000"/>
          <w:sz w:val="20"/>
          <w:u w:val="single"/>
        </w:rPr>
        <w:t>Guttman</w:t>
      </w:r>
      <w:r>
        <w:rPr>
          <w:rFonts w:ascii="Arial" w:eastAsia="Arial" w:hAnsi="Arial" w:cs="Arial"/>
          <w:color w:val="000000"/>
          <w:sz w:val="20"/>
        </w:rPr>
        <w:t xml:space="preserve"> in analyzing Turner's allegations. It concluded that Congress had not validly abrogated Kansas' Eleventh Amendment immunity with respect to Turner's claims. </w:t>
      </w:r>
      <w:bookmarkStart w:id="6663" w:name="Bookmark_I5C1PV5W2N1RRC0040000400"/>
      <w:bookmarkEnd w:id="6663"/>
      <w:r>
        <w:rPr>
          <w:rFonts w:ascii="Arial" w:eastAsia="Arial" w:hAnsi="Arial" w:cs="Arial"/>
          <w:color w:val="000000"/>
          <w:sz w:val="20"/>
        </w:rPr>
        <w:t xml:space="preserve">Turner challenges the district court's conclusion on several grounds. </w:t>
      </w:r>
      <w:bookmarkStart w:id="6664" w:name="Bookmark_LNHNREFclscc6_36"/>
      <w:bookmarkEnd w:id="6664"/>
      <w:r>
        <w:rPr>
          <w:rFonts w:ascii="Arial" w:eastAsia="Arial" w:hAnsi="Arial" w:cs="Arial"/>
          <w:color w:val="000000"/>
          <w:sz w:val="20"/>
        </w:rPr>
        <w:t xml:space="preserve">We review de novo a dismissal based on Eleventh Amendment immunity. </w:t>
      </w:r>
      <w:bookmarkStart w:id="6665" w:name="Bookmark_I5C1PV5W2N1RRC0030000400"/>
      <w:bookmarkEnd w:id="6665"/>
      <w:r>
        <w:rPr>
          <w:rFonts w:ascii="Arial" w:eastAsia="Arial" w:hAnsi="Arial" w:cs="Arial"/>
          <w:color w:val="000000"/>
          <w:sz w:val="20"/>
          <w:u w:val="single"/>
        </w:rPr>
        <w:t>Peterson</w:t>
      </w:r>
      <w:r>
        <w:rPr>
          <w:rFonts w:ascii="Arial" w:eastAsia="Arial" w:hAnsi="Arial" w:cs="Arial"/>
          <w:color w:val="000000"/>
          <w:sz w:val="20"/>
        </w:rPr>
        <w:t>, 707 F.3d at 1205.</w:t>
      </w:r>
    </w:p>
    <w:p w14:paraId="19CA0E41" w14:textId="77777777" w:rsidR="002D0E71" w:rsidRDefault="00000000">
      <w:pPr>
        <w:pStyle w:val="Normal44"/>
        <w:widowControl w:val="0"/>
        <w:spacing w:before="200" w:line="260" w:lineRule="atLeast"/>
        <w:jc w:val="both"/>
      </w:pPr>
      <w:bookmarkStart w:id="6666" w:name="Bookmark_para_17_35"/>
      <w:bookmarkEnd w:id="6666"/>
      <w:r>
        <w:rPr>
          <w:rFonts w:ascii="Arial" w:eastAsia="Arial" w:hAnsi="Arial" w:cs="Arial"/>
          <w:color w:val="000000"/>
          <w:sz w:val="20"/>
        </w:rPr>
        <w:t>Turner first argues that the district court erred in concluding that none of his claims adequately alleged a constitutional violation. Although Turner's amended complaint did not identify any constitutional violation, the court acknowledged that Turner alluded to two possible Fourteenth Amendment claims in his subsequent briefing: (1) a substantive due process claim based on denial of access to the courts; and (2) an equal protection claim based on the alleged lack of rational basis for the Board's threat to restrict his license if he took the licensing exam with accommodations. The court concluded, however, that Turner had not adequately alleged either claim.</w:t>
      </w:r>
    </w:p>
    <w:p w14:paraId="7791977F" w14:textId="77777777" w:rsidR="002D0E71" w:rsidRDefault="00000000">
      <w:pPr>
        <w:pStyle w:val="Normal44"/>
        <w:widowControl w:val="0"/>
        <w:spacing w:before="200" w:line="260" w:lineRule="atLeast"/>
        <w:jc w:val="both"/>
      </w:pPr>
      <w:bookmarkStart w:id="6667" w:name="Bookmark_para_18_35"/>
      <w:bookmarkStart w:id="6668" w:name="Bookmark_I5C1PV5W2N1RRD0010000400"/>
      <w:bookmarkEnd w:id="6667"/>
      <w:bookmarkEnd w:id="6668"/>
      <w:r>
        <w:rPr>
          <w:rFonts w:ascii="Arial" w:eastAsia="Arial" w:hAnsi="Arial" w:cs="Arial"/>
          <w:color w:val="000000"/>
          <w:sz w:val="20"/>
        </w:rPr>
        <w:t xml:space="preserve">Turner argues that the State  [**12] defendants' conduct with respect to the licensing exam was similar to a denial of access to the courts. He does so to take advantage of the Supreme Court's holding in </w:t>
      </w:r>
      <w:bookmarkStart w:id="6669" w:name="Bookmark_I5C1PV5W2N1RRC0050000400"/>
      <w:bookmarkEnd w:id="6669"/>
      <w:r>
        <w:rPr>
          <w:rFonts w:ascii="Arial" w:eastAsia="Arial" w:hAnsi="Arial" w:cs="Arial"/>
          <w:color w:val="000000"/>
          <w:sz w:val="20"/>
          <w:u w:val="single"/>
        </w:rPr>
        <w:t>Tennessee v. Lane</w:t>
      </w:r>
      <w:r>
        <w:rPr>
          <w:rFonts w:ascii="Arial" w:eastAsia="Arial" w:hAnsi="Arial" w:cs="Arial"/>
          <w:color w:val="000000"/>
          <w:sz w:val="20"/>
        </w:rPr>
        <w:t xml:space="preserve">, 541 U.S. 509, 124 S. Ct. 1978, 158 L. Ed. 2d 820 (2004), that "Title II, as it applies to the class of cases implicating the fundamental right of access to the courts, constitutes a valid exercise of Congress' § 5 authority to enforce the guarantees of the Fourteenth Amendment." </w:t>
      </w:r>
      <w:bookmarkStart w:id="6670" w:name="Bookmark_I5C1PV5W2N1RRD0020000400"/>
      <w:bookmarkEnd w:id="6670"/>
      <w:r>
        <w:rPr>
          <w:rFonts w:ascii="Arial" w:eastAsia="Arial" w:hAnsi="Arial" w:cs="Arial"/>
          <w:color w:val="000000"/>
          <w:sz w:val="20"/>
          <w:u w:val="single"/>
        </w:rPr>
        <w:t>Id.</w:t>
      </w:r>
      <w:r>
        <w:rPr>
          <w:rFonts w:ascii="Arial" w:eastAsia="Arial" w:hAnsi="Arial" w:cs="Arial"/>
          <w:color w:val="000000"/>
          <w:sz w:val="20"/>
        </w:rPr>
        <w:t xml:space="preserve"> at 533-34. But Turner has cited no authority to suggest that the alleged right of access to a licensing examination, or to a license itself, is either akin to or a part of the fundamental right of access to the courts.</w:t>
      </w:r>
    </w:p>
    <w:p w14:paraId="276DD2B5" w14:textId="77777777" w:rsidR="002D0E71" w:rsidRDefault="00000000">
      <w:pPr>
        <w:pStyle w:val="Normal44"/>
        <w:widowControl w:val="0"/>
        <w:spacing w:before="200" w:line="260" w:lineRule="atLeast"/>
        <w:jc w:val="both"/>
      </w:pPr>
      <w:bookmarkStart w:id="6671" w:name="Bookmark_para_19_35"/>
      <w:bookmarkEnd w:id="6671"/>
      <w:r>
        <w:rPr>
          <w:rFonts w:ascii="Arial" w:eastAsia="Arial" w:hAnsi="Arial" w:cs="Arial"/>
          <w:color w:val="000000"/>
          <w:sz w:val="20"/>
        </w:rPr>
        <w:t>Turner also contends that the State defendants violated his equal protection  [*667]  rights when Taylor told him that if he were to take the exam with accommodations, the license he received would be restricted. Turner argues there was no rational basis for this determination, because the Board had no evidence that his dyslexia would affect his ability to practice nursing.</w:t>
      </w:r>
    </w:p>
    <w:p w14:paraId="3B392F10" w14:textId="77777777" w:rsidR="002D0E71" w:rsidRDefault="00000000">
      <w:pPr>
        <w:pStyle w:val="Normal44"/>
        <w:widowControl w:val="0"/>
        <w:spacing w:before="200" w:line="260" w:lineRule="atLeast"/>
        <w:jc w:val="both"/>
      </w:pPr>
      <w:bookmarkStart w:id="6672" w:name="Bookmark_para_20_33"/>
      <w:bookmarkStart w:id="6673" w:name="Bookmark_I5C1PV5W2N1RRD0050000400"/>
      <w:bookmarkStart w:id="6674" w:name="Bookmark_I5C1PV5W2N1RRF0040000400"/>
      <w:bookmarkStart w:id="6675" w:name="Bookmark_LNHNREFclscc7_34"/>
      <w:bookmarkEnd w:id="6672"/>
      <w:bookmarkEnd w:id="6673"/>
      <w:bookmarkEnd w:id="6674"/>
      <w:bookmarkEnd w:id="6675"/>
      <w:r>
        <w:rPr>
          <w:rFonts w:ascii="Arial" w:eastAsia="Arial" w:hAnsi="Arial" w:cs="Arial"/>
          <w:color w:val="000000"/>
          <w:sz w:val="20"/>
        </w:rPr>
        <w:t xml:space="preserve">"States are not required by the Fourteenth Amendment to make special accommodations for the disabled, so long as their actions toward such individuals are rational." </w:t>
      </w:r>
      <w:bookmarkStart w:id="6676" w:name="Bookmark_I5C1PV5W2N1RRD0040000400"/>
      <w:bookmarkEnd w:id="6676"/>
      <w:r>
        <w:rPr>
          <w:rFonts w:ascii="Arial" w:eastAsia="Arial" w:hAnsi="Arial" w:cs="Arial"/>
          <w:color w:val="000000"/>
          <w:sz w:val="20"/>
          <w:u w:val="single"/>
        </w:rPr>
        <w:t>Garrett</w:t>
      </w:r>
      <w:r>
        <w:rPr>
          <w:rFonts w:ascii="Arial" w:eastAsia="Arial" w:hAnsi="Arial" w:cs="Arial"/>
          <w:color w:val="000000"/>
          <w:sz w:val="20"/>
        </w:rPr>
        <w:t>, 531 U.S. at 367;  [**13] </w:t>
      </w:r>
      <w:r>
        <w:rPr>
          <w:rFonts w:ascii="Arial" w:eastAsia="Arial" w:hAnsi="Arial" w:cs="Arial"/>
          <w:color w:val="000000"/>
          <w:sz w:val="20"/>
          <w:u w:val="single"/>
        </w:rPr>
        <w:t xml:space="preserve">see also </w:t>
      </w:r>
      <w:bookmarkStart w:id="6677" w:name="Bookmark_I5C1PV5W2N1RRF0010000400"/>
      <w:bookmarkEnd w:id="6677"/>
      <w:r>
        <w:rPr>
          <w:rFonts w:ascii="Arial" w:eastAsia="Arial" w:hAnsi="Arial" w:cs="Arial"/>
          <w:color w:val="000000"/>
          <w:sz w:val="20"/>
          <w:u w:val="single"/>
        </w:rPr>
        <w:t>Guttman</w:t>
      </w:r>
      <w:r>
        <w:rPr>
          <w:rFonts w:ascii="Arial" w:eastAsia="Arial" w:hAnsi="Arial" w:cs="Arial"/>
          <w:color w:val="000000"/>
          <w:sz w:val="20"/>
        </w:rPr>
        <w:t xml:space="preserve">, 669 F.3d at 1123 ("[P]rofessional licensing decisions are subject only to rational basis review, and persons with disabilities do not compose a suspect class."). "An equal protection claim will fail if there is any reasonably conceivable state of facts that could provide a rational basis for the classification." </w:t>
      </w:r>
      <w:bookmarkStart w:id="6678" w:name="Bookmark_I5C1PV5W2N1RRF0030000400"/>
      <w:bookmarkEnd w:id="6678"/>
      <w:r>
        <w:rPr>
          <w:rFonts w:ascii="Arial" w:eastAsia="Arial" w:hAnsi="Arial" w:cs="Arial"/>
          <w:color w:val="000000"/>
          <w:sz w:val="20"/>
          <w:u w:val="single"/>
        </w:rPr>
        <w:t>Teigen v. Renfrow</w:t>
      </w:r>
      <w:r>
        <w:rPr>
          <w:rFonts w:ascii="Arial" w:eastAsia="Arial" w:hAnsi="Arial" w:cs="Arial"/>
          <w:color w:val="000000"/>
          <w:sz w:val="20"/>
        </w:rPr>
        <w:t>, 511 F.3d 1072, 1083 (10th Cir. 2007) (quotation omitted). The district court determined that "restrictions on a nursing license earned by testing with accommodations could meet legitimate public safety and health concerns." Turner protests that the district court failed to credit his allegation that his college found his dyslexia did not adversely affect his ability to practice nursing, that the court did not explain what set of facts it relied on in finding a rational basis for the Board's action, and that the court must have improperly relied on evidence outside the pleadings to reach this conclusion.</w:t>
      </w:r>
    </w:p>
    <w:p w14:paraId="1BCF5354" w14:textId="77777777" w:rsidR="002D0E71" w:rsidRDefault="00000000">
      <w:pPr>
        <w:pStyle w:val="Normal44"/>
        <w:widowControl w:val="0"/>
        <w:spacing w:before="200" w:line="260" w:lineRule="atLeast"/>
        <w:jc w:val="both"/>
      </w:pPr>
      <w:bookmarkStart w:id="6679" w:name="Bookmark_para_21_32"/>
      <w:bookmarkStart w:id="6680" w:name="Bookmark_I0BH7F35R8Y000VXMJ100219"/>
      <w:bookmarkStart w:id="6681" w:name="Bookmark_I5C1PV5W2SF7YB0010000400"/>
      <w:bookmarkEnd w:id="6679"/>
      <w:bookmarkEnd w:id="6680"/>
      <w:bookmarkEnd w:id="6681"/>
      <w:r>
        <w:rPr>
          <w:rFonts w:ascii="Arial" w:eastAsia="Arial" w:hAnsi="Arial" w:cs="Arial"/>
          <w:color w:val="000000"/>
          <w:sz w:val="20"/>
        </w:rPr>
        <w:t xml:space="preserve">Turner misperceives the nature of a rational basis inquiry. </w:t>
      </w:r>
      <w:bookmarkStart w:id="6682" w:name="Bookmark_I0BH7F35XCT000VXMJ10021B"/>
      <w:bookmarkStart w:id="6683" w:name="Bookmark_I5C1PV5W2SF7YB0030000400"/>
      <w:bookmarkStart w:id="6684" w:name="Bookmark_LNHNREFclscc8_33"/>
      <w:bookmarkEnd w:id="6682"/>
      <w:bookmarkEnd w:id="6683"/>
      <w:bookmarkEnd w:id="6684"/>
      <w:r>
        <w:rPr>
          <w:rFonts w:ascii="Arial" w:eastAsia="Arial" w:hAnsi="Arial" w:cs="Arial"/>
          <w:color w:val="000000"/>
          <w:sz w:val="20"/>
        </w:rPr>
        <w:t xml:space="preserve">In performing a rational basis analysis, the court "must independently consider whether there is any conceivable rational basis for the classification, regardless of whether the reason  [**14] ultimately relied on is provided by the parties or the court. This determination is a legal question which need not be based on any evidence or empirical data." </w:t>
      </w:r>
      <w:bookmarkStart w:id="6685" w:name="Bookmark_I5C1PV5W2N1RRF0050000400"/>
      <w:bookmarkEnd w:id="6685"/>
      <w:r>
        <w:rPr>
          <w:rFonts w:ascii="Arial" w:eastAsia="Arial" w:hAnsi="Arial" w:cs="Arial"/>
          <w:color w:val="000000"/>
          <w:sz w:val="20"/>
          <w:u w:val="single"/>
        </w:rPr>
        <w:t>Teigen</w:t>
      </w:r>
      <w:r>
        <w:rPr>
          <w:rFonts w:ascii="Arial" w:eastAsia="Arial" w:hAnsi="Arial" w:cs="Arial"/>
          <w:color w:val="000000"/>
          <w:sz w:val="20"/>
        </w:rPr>
        <w:t xml:space="preserve">, 511 F.3d at 1084 (citation omitted). </w:t>
      </w:r>
      <w:bookmarkStart w:id="6686" w:name="Bookmark_I5C1PV5W2SF7YB0030000400_2"/>
      <w:bookmarkEnd w:id="6686"/>
      <w:r>
        <w:rPr>
          <w:rFonts w:ascii="Arial" w:eastAsia="Arial" w:hAnsi="Arial" w:cs="Arial"/>
          <w:color w:val="000000"/>
          <w:sz w:val="20"/>
        </w:rPr>
        <w:t xml:space="preserve">The district court properly found that legitimate public safety concerns could provide a rational basis for Kansas to restrict the license of a nurse who had to take the licensing exam with accommodations in order to pass it. Because it was Turner's burden "to negative any reasonably conceivable state of facts that could provide a rational basis for the classification," </w:t>
      </w:r>
      <w:bookmarkStart w:id="6687" w:name="Bookmark_I5C1PV5W2SF7YB0020000400"/>
      <w:bookmarkEnd w:id="6687"/>
      <w:r>
        <w:rPr>
          <w:rFonts w:ascii="Arial" w:eastAsia="Arial" w:hAnsi="Arial" w:cs="Arial"/>
          <w:color w:val="000000"/>
          <w:sz w:val="20"/>
          <w:u w:val="single"/>
        </w:rPr>
        <w:t>Garrett</w:t>
      </w:r>
      <w:r>
        <w:rPr>
          <w:rFonts w:ascii="Arial" w:eastAsia="Arial" w:hAnsi="Arial" w:cs="Arial"/>
          <w:color w:val="000000"/>
          <w:sz w:val="20"/>
        </w:rPr>
        <w:t>, 531 U.S. at 367 (quotations omitted), he failed to adequately allege an equal protection claim.</w:t>
      </w:r>
    </w:p>
    <w:p w14:paraId="7BBC812C" w14:textId="77777777" w:rsidR="002D0E71" w:rsidRDefault="00000000">
      <w:pPr>
        <w:pStyle w:val="Normal44"/>
        <w:widowControl w:val="0"/>
        <w:spacing w:before="200" w:line="260" w:lineRule="atLeast"/>
        <w:jc w:val="both"/>
      </w:pPr>
      <w:bookmarkStart w:id="6688" w:name="Bookmark_para_22_32"/>
      <w:bookmarkStart w:id="6689" w:name="Bookmark_I5C1PV5W2SF7YB0050000400"/>
      <w:bookmarkEnd w:id="6688"/>
      <w:bookmarkEnd w:id="6689"/>
      <w:r>
        <w:rPr>
          <w:rFonts w:ascii="Arial" w:eastAsia="Arial" w:hAnsi="Arial" w:cs="Arial"/>
          <w:color w:val="000000"/>
          <w:sz w:val="20"/>
        </w:rPr>
        <w:t xml:space="preserve">Turner also challenges the district court's conclusions at the third step of the analysis, in which the court considered whether Congress' attempt to abrogate Eleventh Amendment immunity under Title II for claims involving professional licensing was valid even in the absence of a Fourteenth Amendment claim. </w:t>
      </w:r>
      <w:r>
        <w:rPr>
          <w:rFonts w:ascii="Arial" w:eastAsia="Arial" w:hAnsi="Arial" w:cs="Arial"/>
          <w:color w:val="000000"/>
          <w:sz w:val="20"/>
          <w:u w:val="single"/>
        </w:rPr>
        <w:t xml:space="preserve">See </w:t>
      </w:r>
      <w:bookmarkStart w:id="6690" w:name="Bookmark_I5C1PV5W2SF7YB0040000400"/>
      <w:bookmarkEnd w:id="6690"/>
      <w:r>
        <w:rPr>
          <w:rFonts w:ascii="Arial" w:eastAsia="Arial" w:hAnsi="Arial" w:cs="Arial"/>
          <w:color w:val="000000"/>
          <w:sz w:val="20"/>
          <w:u w:val="single"/>
        </w:rPr>
        <w:t>Georgia</w:t>
      </w:r>
      <w:r>
        <w:rPr>
          <w:rFonts w:ascii="Arial" w:eastAsia="Arial" w:hAnsi="Arial" w:cs="Arial"/>
          <w:color w:val="000000"/>
          <w:sz w:val="20"/>
        </w:rPr>
        <w:t xml:space="preserve">, 546 U.S. at 159. Following our analysis in </w:t>
      </w:r>
      <w:r>
        <w:rPr>
          <w:rFonts w:ascii="Arial" w:eastAsia="Arial" w:hAnsi="Arial" w:cs="Arial"/>
          <w:color w:val="000000"/>
          <w:sz w:val="20"/>
          <w:u w:val="single"/>
        </w:rPr>
        <w:t>Guttman</w:t>
      </w:r>
      <w:r>
        <w:rPr>
          <w:rFonts w:ascii="Arial" w:eastAsia="Arial" w:hAnsi="Arial" w:cs="Arial"/>
          <w:color w:val="000000"/>
          <w:sz w:val="20"/>
        </w:rPr>
        <w:t>, the district court examined the nature of the right at issue, the extent to which Title II was a response to a documented history of discrimination  [**15] in professional licensing, and whether Title II is a congruent and proportional remedy for such discrimination. The court concluded that "</w:t>
      </w:r>
      <w:r>
        <w:rPr>
          <w:rFonts w:ascii="Arial" w:eastAsia="Arial" w:hAnsi="Arial" w:cs="Arial"/>
          <w:color w:val="000000"/>
          <w:sz w:val="20"/>
          <w:u w:val="single"/>
        </w:rPr>
        <w:t>Guttman</w:t>
      </w:r>
      <w:r>
        <w:rPr>
          <w:rFonts w:ascii="Arial" w:eastAsia="Arial" w:hAnsi="Arial" w:cs="Arial"/>
          <w:color w:val="000000"/>
          <w:sz w:val="20"/>
        </w:rPr>
        <w:t xml:space="preserve"> requires [it] to find that Title II does not validly abrogate the Kansas Board's sovereign immunity in the context of professional licensing."</w:t>
      </w:r>
    </w:p>
    <w:p w14:paraId="09B47604" w14:textId="77777777" w:rsidR="002D0E71" w:rsidRDefault="00000000">
      <w:pPr>
        <w:pStyle w:val="Normal44"/>
        <w:widowControl w:val="0"/>
        <w:spacing w:before="200" w:line="260" w:lineRule="atLeast"/>
        <w:jc w:val="both"/>
      </w:pPr>
      <w:bookmarkStart w:id="6691" w:name="Bookmark_para_23_31"/>
      <w:bookmarkEnd w:id="6691"/>
      <w:r>
        <w:rPr>
          <w:rFonts w:ascii="Arial" w:eastAsia="Arial" w:hAnsi="Arial" w:cs="Arial"/>
          <w:color w:val="000000"/>
          <w:sz w:val="20"/>
        </w:rPr>
        <w:t xml:space="preserve">Turner attempts to distinguish </w:t>
      </w:r>
      <w:r>
        <w:rPr>
          <w:rFonts w:ascii="Arial" w:eastAsia="Arial" w:hAnsi="Arial" w:cs="Arial"/>
          <w:color w:val="000000"/>
          <w:sz w:val="20"/>
          <w:u w:val="single"/>
        </w:rPr>
        <w:t>Guttman</w:t>
      </w:r>
      <w:r>
        <w:rPr>
          <w:rFonts w:ascii="Arial" w:eastAsia="Arial" w:hAnsi="Arial" w:cs="Arial"/>
          <w:color w:val="000000"/>
          <w:sz w:val="20"/>
        </w:rPr>
        <w:t xml:space="preserve">, which involved the revocation of a license, on the ground that his claims pertain to a professional licensing </w:t>
      </w:r>
      <w:r>
        <w:rPr>
          <w:rFonts w:ascii="Arial" w:eastAsia="Arial" w:hAnsi="Arial" w:cs="Arial"/>
          <w:color w:val="000000"/>
          <w:sz w:val="20"/>
          <w:u w:val="single"/>
        </w:rPr>
        <w:t>examination</w:t>
      </w:r>
      <w:r>
        <w:rPr>
          <w:rFonts w:ascii="Arial" w:eastAsia="Arial" w:hAnsi="Arial" w:cs="Arial"/>
          <w:color w:val="000000"/>
          <w:sz w:val="20"/>
        </w:rPr>
        <w:t xml:space="preserve">. </w:t>
      </w:r>
      <w:bookmarkStart w:id="6692" w:name="Bookmark_I5C1PV5X2SF7YC0020000400"/>
      <w:bookmarkEnd w:id="6692"/>
      <w:r>
        <w:rPr>
          <w:rFonts w:ascii="Arial" w:eastAsia="Arial" w:hAnsi="Arial" w:cs="Arial"/>
          <w:color w:val="000000"/>
          <w:sz w:val="20"/>
        </w:rPr>
        <w:t xml:space="preserve">He contends that this case therefore "is really just as much, or more, about education than professional licensing. Sitting for a professional licensure exam is a step in one's educational process." Turner argues that a "rote application" of </w:t>
      </w:r>
      <w:r>
        <w:rPr>
          <w:rFonts w:ascii="Arial" w:eastAsia="Arial" w:hAnsi="Arial" w:cs="Arial"/>
          <w:color w:val="000000"/>
          <w:sz w:val="20"/>
          <w:u w:val="single"/>
        </w:rPr>
        <w:t>Guttman</w:t>
      </w:r>
      <w:r>
        <w:rPr>
          <w:rFonts w:ascii="Arial" w:eastAsia="Arial" w:hAnsi="Arial" w:cs="Arial"/>
          <w:color w:val="000000"/>
          <w:sz w:val="20"/>
        </w:rPr>
        <w:t xml:space="preserve"> here would "lead to a confused and confusing state of affairs" whereby a student  [*668]  who received accommodations throughout his education could be denied accommodations on the licensing exam necessary to enter the profession to which his education had been devoted. But our decision in </w:t>
      </w:r>
      <w:r>
        <w:rPr>
          <w:rFonts w:ascii="Arial" w:eastAsia="Arial" w:hAnsi="Arial" w:cs="Arial"/>
          <w:color w:val="000000"/>
          <w:sz w:val="20"/>
          <w:u w:val="single"/>
        </w:rPr>
        <w:t>Guttman</w:t>
      </w:r>
      <w:r>
        <w:rPr>
          <w:rFonts w:ascii="Arial" w:eastAsia="Arial" w:hAnsi="Arial" w:cs="Arial"/>
          <w:color w:val="000000"/>
          <w:sz w:val="20"/>
        </w:rPr>
        <w:t xml:space="preserve"> clearly encompasses the types of claims at issue in this case. We identified the specific right at issue in </w:t>
      </w:r>
      <w:r>
        <w:rPr>
          <w:rFonts w:ascii="Arial" w:eastAsia="Arial" w:hAnsi="Arial" w:cs="Arial"/>
          <w:color w:val="000000"/>
          <w:sz w:val="20"/>
          <w:u w:val="single"/>
        </w:rPr>
        <w:t>Guttman</w:t>
      </w:r>
      <w:r>
        <w:rPr>
          <w:rFonts w:ascii="Arial" w:eastAsia="Arial" w:hAnsi="Arial" w:cs="Arial"/>
          <w:color w:val="000000"/>
          <w:sz w:val="20"/>
        </w:rPr>
        <w:t xml:space="preserve"> as "a disabled individual's right to practice in his chosen profession," </w:t>
      </w:r>
      <w:bookmarkStart w:id="6693" w:name="Bookmark_I5C1PV5X2SF7YC0010000400"/>
      <w:bookmarkEnd w:id="6693"/>
      <w:r>
        <w:rPr>
          <w:rFonts w:ascii="Arial" w:eastAsia="Arial" w:hAnsi="Arial" w:cs="Arial"/>
          <w:color w:val="000000"/>
          <w:sz w:val="20"/>
        </w:rPr>
        <w:t xml:space="preserve">669 F.3d at 1118, and  [**16] the category of state action as "professional licensing," </w:t>
      </w:r>
      <w:bookmarkStart w:id="6694" w:name="Bookmark_I5C1PV5X2SF7YC0030000400"/>
      <w:bookmarkEnd w:id="6694"/>
      <w:r>
        <w:rPr>
          <w:rFonts w:ascii="Arial" w:eastAsia="Arial" w:hAnsi="Arial" w:cs="Arial"/>
          <w:color w:val="000000"/>
          <w:sz w:val="20"/>
          <w:u w:val="single"/>
        </w:rPr>
        <w:t>id.</w:t>
      </w:r>
      <w:r>
        <w:rPr>
          <w:rFonts w:ascii="Arial" w:eastAsia="Arial" w:hAnsi="Arial" w:cs="Arial"/>
          <w:color w:val="000000"/>
          <w:sz w:val="20"/>
        </w:rPr>
        <w:t xml:space="preserve"> at 1120. Turner's claims involve the same right and the same category of state action.</w:t>
      </w:r>
    </w:p>
    <w:p w14:paraId="6B2022D6" w14:textId="77777777" w:rsidR="002D0E71" w:rsidRDefault="00000000">
      <w:pPr>
        <w:pStyle w:val="Normal44"/>
        <w:widowControl w:val="0"/>
        <w:spacing w:before="200" w:line="260" w:lineRule="atLeast"/>
        <w:jc w:val="both"/>
      </w:pPr>
      <w:bookmarkStart w:id="6695" w:name="Bookmark_para_24_31"/>
      <w:bookmarkEnd w:id="6695"/>
      <w:r>
        <w:rPr>
          <w:rFonts w:ascii="Arial" w:eastAsia="Arial" w:hAnsi="Arial" w:cs="Arial"/>
          <w:color w:val="000000"/>
          <w:sz w:val="20"/>
        </w:rPr>
        <w:t xml:space="preserve">Turner also attempts to distinguish </w:t>
      </w:r>
      <w:r>
        <w:rPr>
          <w:rFonts w:ascii="Arial" w:eastAsia="Arial" w:hAnsi="Arial" w:cs="Arial"/>
          <w:color w:val="000000"/>
          <w:sz w:val="20"/>
          <w:u w:val="single"/>
        </w:rPr>
        <w:t>Guttman</w:t>
      </w:r>
      <w:r>
        <w:rPr>
          <w:rFonts w:ascii="Arial" w:eastAsia="Arial" w:hAnsi="Arial" w:cs="Arial"/>
          <w:color w:val="000000"/>
          <w:sz w:val="20"/>
        </w:rPr>
        <w:t xml:space="preserve"> on the ground that in this case "there was no exigency or emergency to preserve public health that apparently animated the medical licensing body in New Mexico." This argument is equally unavailing. For purposes of the abrogation analysis, all that matters is that the level of judicial scrutiny applicable to the plaintiff's claims in </w:t>
      </w:r>
      <w:r>
        <w:rPr>
          <w:rFonts w:ascii="Arial" w:eastAsia="Arial" w:hAnsi="Arial" w:cs="Arial"/>
          <w:color w:val="000000"/>
          <w:sz w:val="20"/>
          <w:u w:val="single"/>
        </w:rPr>
        <w:t>Guttman</w:t>
      </w:r>
      <w:r>
        <w:rPr>
          <w:rFonts w:ascii="Arial" w:eastAsia="Arial" w:hAnsi="Arial" w:cs="Arial"/>
          <w:color w:val="000000"/>
          <w:sz w:val="20"/>
        </w:rPr>
        <w:t xml:space="preserve"> matches that here: rational basis. Because neither case involved a higher level of judicial scrutiny, the abrogation analysis is the same. The district court did not err in following </w:t>
      </w:r>
      <w:r>
        <w:rPr>
          <w:rFonts w:ascii="Arial" w:eastAsia="Arial" w:hAnsi="Arial" w:cs="Arial"/>
          <w:color w:val="000000"/>
          <w:sz w:val="20"/>
          <w:u w:val="single"/>
        </w:rPr>
        <w:t>Guttman</w:t>
      </w:r>
      <w:r>
        <w:rPr>
          <w:rFonts w:ascii="Arial" w:eastAsia="Arial" w:hAnsi="Arial" w:cs="Arial"/>
          <w:color w:val="000000"/>
          <w:sz w:val="20"/>
        </w:rPr>
        <w:t xml:space="preserve"> to conclude that the State defendants' Eleventh Amendment immunity was not validly abrogated.</w:t>
      </w:r>
    </w:p>
    <w:p w14:paraId="4AE54C1A" w14:textId="77777777" w:rsidR="002D0E71" w:rsidRDefault="00000000">
      <w:pPr>
        <w:pStyle w:val="Normal44"/>
        <w:widowControl w:val="0"/>
        <w:spacing w:before="240" w:line="260" w:lineRule="atLeast"/>
      </w:pPr>
      <w:r>
        <w:br/>
      </w:r>
      <w:r>
        <w:rPr>
          <w:rFonts w:ascii="Arial" w:eastAsia="Arial" w:hAnsi="Arial" w:cs="Arial"/>
          <w:b/>
          <w:color w:val="000000"/>
          <w:sz w:val="20"/>
        </w:rPr>
        <w:t>B</w:t>
      </w:r>
    </w:p>
    <w:p w14:paraId="59A54BB3" w14:textId="77777777" w:rsidR="002D0E71" w:rsidRDefault="00000000">
      <w:pPr>
        <w:pStyle w:val="Normal44"/>
        <w:widowControl w:val="0"/>
        <w:spacing w:before="200" w:line="260" w:lineRule="atLeast"/>
        <w:jc w:val="both"/>
      </w:pPr>
      <w:bookmarkStart w:id="6696" w:name="Bookmark_para_25_31"/>
      <w:bookmarkStart w:id="6697" w:name="Bookmark_I5C1PV5W2HM6WX0010000400"/>
      <w:bookmarkStart w:id="6698" w:name="Bookmark_I5C1PV5W2HM6WX0030000400"/>
      <w:bookmarkStart w:id="6699" w:name="Bookmark_I0BH7F36623000VXMJ100046"/>
      <w:bookmarkStart w:id="6700" w:name="Bookmark_I5C1PV5W2HM6WX0050000400"/>
      <w:bookmarkStart w:id="6701" w:name="Bookmark_LNHNREFclscc9_31"/>
      <w:bookmarkEnd w:id="6696"/>
      <w:bookmarkEnd w:id="6697"/>
      <w:bookmarkEnd w:id="6698"/>
      <w:bookmarkEnd w:id="6699"/>
      <w:bookmarkEnd w:id="6700"/>
      <w:bookmarkEnd w:id="6701"/>
      <w:r>
        <w:rPr>
          <w:rFonts w:ascii="Arial" w:eastAsia="Arial" w:hAnsi="Arial" w:cs="Arial"/>
          <w:color w:val="000000"/>
          <w:sz w:val="20"/>
        </w:rPr>
        <w:t xml:space="preserve">The </w:t>
      </w:r>
      <w:r>
        <w:rPr>
          <w:rFonts w:ascii="Arial" w:eastAsia="Arial" w:hAnsi="Arial" w:cs="Arial"/>
          <w:color w:val="000000"/>
          <w:sz w:val="20"/>
          <w:u w:val="single"/>
        </w:rPr>
        <w:t>Ex Parte Young</w:t>
      </w:r>
      <w:r>
        <w:rPr>
          <w:rFonts w:ascii="Arial" w:eastAsia="Arial" w:hAnsi="Arial" w:cs="Arial"/>
          <w:color w:val="000000"/>
          <w:sz w:val="20"/>
        </w:rPr>
        <w:t xml:space="preserve"> doctrine recognizes an exception to Eleventh Amendment immunity that "permits suits against state officials seeking to enjoin alleged ongoing violations of federal law." </w:t>
      </w:r>
      <w:bookmarkStart w:id="6702" w:name="Bookmark_I5C1PV5X2SF7YC0050000400"/>
      <w:bookmarkEnd w:id="6702"/>
      <w:r>
        <w:rPr>
          <w:rFonts w:ascii="Arial" w:eastAsia="Arial" w:hAnsi="Arial" w:cs="Arial"/>
          <w:color w:val="000000"/>
          <w:sz w:val="20"/>
          <w:u w:val="single"/>
        </w:rPr>
        <w:t>Peterson</w:t>
      </w:r>
      <w:r>
        <w:rPr>
          <w:rFonts w:ascii="Arial" w:eastAsia="Arial" w:hAnsi="Arial" w:cs="Arial"/>
          <w:color w:val="000000"/>
          <w:sz w:val="20"/>
        </w:rPr>
        <w:t xml:space="preserve">, 707 F.3d at 1205 (quotation omitted). "[This exception] rests on the premise—less delicately called a 'fiction'—that when a federal court commands a state official to do nothing more  [**17] than refrain from violating federal law, he is not the State for sovereign-immunity purposes." </w:t>
      </w:r>
      <w:bookmarkStart w:id="6703" w:name="Bookmark_I5C1PV5W2HM6WX0020000400"/>
      <w:bookmarkEnd w:id="6703"/>
      <w:r>
        <w:rPr>
          <w:rFonts w:ascii="Arial" w:eastAsia="Arial" w:hAnsi="Arial" w:cs="Arial"/>
          <w:color w:val="000000"/>
          <w:sz w:val="20"/>
          <w:u w:val="single"/>
        </w:rPr>
        <w:t>Va. Office for Prot. &amp; Advocacy v. Stewart, 131</w:t>
      </w:r>
      <w:r>
        <w:rPr>
          <w:rFonts w:ascii="Arial" w:eastAsia="Arial" w:hAnsi="Arial" w:cs="Arial"/>
          <w:color w:val="000000"/>
          <w:sz w:val="20"/>
        </w:rPr>
        <w:t xml:space="preserve"> S. Ct. 1632, 1638, 179 L. Ed. 2d 675 (2011) (citation omitted). "In determining whether the doctrine of </w:t>
      </w:r>
      <w:r>
        <w:rPr>
          <w:rFonts w:ascii="Arial" w:eastAsia="Arial" w:hAnsi="Arial" w:cs="Arial"/>
          <w:color w:val="000000"/>
          <w:sz w:val="20"/>
          <w:u w:val="single"/>
        </w:rPr>
        <w:t>Ex parte Young</w:t>
      </w:r>
      <w:r>
        <w:rPr>
          <w:rFonts w:ascii="Arial" w:eastAsia="Arial" w:hAnsi="Arial" w:cs="Arial"/>
          <w:color w:val="000000"/>
          <w:sz w:val="20"/>
        </w:rPr>
        <w:t xml:space="preserve"> avoids an Eleventh Amendment bar to suit, a court need only conduct a straightforward inquiry into whether [the] complaint alleges an ongoing violation of federal law and seeks relief properly characterized as prospective." </w:t>
      </w:r>
      <w:bookmarkStart w:id="6704" w:name="Bookmark_I5C1PV5W2HM6WX0040000400"/>
      <w:bookmarkEnd w:id="6704"/>
      <w:r>
        <w:rPr>
          <w:rFonts w:ascii="Arial" w:eastAsia="Arial" w:hAnsi="Arial" w:cs="Arial"/>
          <w:color w:val="000000"/>
          <w:sz w:val="20"/>
          <w:u w:val="single"/>
        </w:rPr>
        <w:t>Verizon Md., Inc. v. Pub. Serv. Comm'n of Md.</w:t>
      </w:r>
      <w:r>
        <w:rPr>
          <w:rFonts w:ascii="Arial" w:eastAsia="Arial" w:hAnsi="Arial" w:cs="Arial"/>
          <w:color w:val="000000"/>
          <w:sz w:val="20"/>
        </w:rPr>
        <w:t>, 535 U.S. 635, 645, 122 S. Ct. 1753, 152 L. Ed. 2d 871 (2002) (alteration in original) (quotation omitted).</w:t>
      </w:r>
    </w:p>
    <w:p w14:paraId="3555EC18" w14:textId="77777777" w:rsidR="002D0E71" w:rsidRDefault="00000000">
      <w:pPr>
        <w:pStyle w:val="Normal44"/>
        <w:widowControl w:val="0"/>
        <w:spacing w:before="200" w:line="260" w:lineRule="atLeast"/>
        <w:jc w:val="both"/>
      </w:pPr>
      <w:bookmarkStart w:id="6705" w:name="Bookmark_para_26_30"/>
      <w:bookmarkEnd w:id="6705"/>
      <w:r>
        <w:rPr>
          <w:rFonts w:ascii="Arial" w:eastAsia="Arial" w:hAnsi="Arial" w:cs="Arial"/>
          <w:color w:val="000000"/>
          <w:sz w:val="20"/>
        </w:rPr>
        <w:t>The district court concluded that Turner had not alleged any ongoing policy or conduct by the State defendants that violated the ADA; his allegations related solely to past conduct. It also noted that Turner did not ask for prospective relief, such as an order directing the defendants to permit him to retake the examination with accommodations. The court observed that Turner's counsel told the magistrate judge in an email following a scheduling conference that Turner did not wish to take the exam again.</w:t>
      </w:r>
    </w:p>
    <w:p w14:paraId="3C4F14EF" w14:textId="77777777" w:rsidR="002D0E71" w:rsidRDefault="00000000">
      <w:pPr>
        <w:pStyle w:val="Normal44"/>
        <w:widowControl w:val="0"/>
        <w:spacing w:before="200" w:line="260" w:lineRule="atLeast"/>
        <w:jc w:val="both"/>
      </w:pPr>
      <w:bookmarkStart w:id="6706" w:name="Bookmark_para_27_30"/>
      <w:bookmarkStart w:id="6707" w:name="Bookmark_I5C1PV5X2SF7YD0020000400"/>
      <w:bookmarkEnd w:id="6706"/>
      <w:bookmarkEnd w:id="6707"/>
      <w:r>
        <w:rPr>
          <w:rFonts w:ascii="Arial" w:eastAsia="Arial" w:hAnsi="Arial" w:cs="Arial"/>
          <w:color w:val="000000"/>
          <w:sz w:val="20"/>
        </w:rPr>
        <w:t xml:space="preserve">Turner complains that the district court should not have relied on his counsel's representation because it was  [**18] outside the pleadings and because it did not necessarily reflect Turner's long-term intentions. </w:t>
      </w:r>
      <w:bookmarkStart w:id="6708" w:name="Bookmark_I0BH7F36FPC000VXMJ100048"/>
      <w:bookmarkStart w:id="6709" w:name="Bookmark_I5C1PV5X2SF7YD0040000400"/>
      <w:bookmarkEnd w:id="6708"/>
      <w:bookmarkEnd w:id="6709"/>
      <w:r>
        <w:rPr>
          <w:rFonts w:ascii="Arial" w:eastAsia="Arial" w:hAnsi="Arial" w:cs="Arial"/>
          <w:color w:val="000000"/>
          <w:sz w:val="20"/>
        </w:rPr>
        <w:t xml:space="preserve">Notably, Turner does not deny that his counsel's statement accurately reflected his intentions at the time. In his appellate briefing, he acknowledges that "[t]he email was an expression of intent, through counsel, at the time it was sent." Turner simply contends that an order directing the defendants to allow him to retake the exam with accommodations "is the type of order of prospective relief that [he] was seeking." </w:t>
      </w:r>
      <w:bookmarkStart w:id="6710" w:name="Bookmark_LNHNREFclscc10_31"/>
      <w:bookmarkEnd w:id="6710"/>
      <w:r>
        <w:rPr>
          <w:rFonts w:ascii="Arial" w:eastAsia="Arial" w:hAnsi="Arial" w:cs="Arial"/>
          <w:color w:val="000000"/>
          <w:sz w:val="20"/>
        </w:rPr>
        <w:t xml:space="preserve">A court is permitted to consider matters outside the pleadings if they are "matters of which a court may take judicial notice." </w:t>
      </w:r>
      <w:bookmarkStart w:id="6711" w:name="Bookmark_I5C1PV5X2SF7YD0010000400"/>
      <w:bookmarkEnd w:id="6711"/>
      <w:r>
        <w:rPr>
          <w:rFonts w:ascii="Arial" w:eastAsia="Arial" w:hAnsi="Arial" w:cs="Arial"/>
          <w:color w:val="000000"/>
          <w:sz w:val="20"/>
          <w:u w:val="single"/>
        </w:rPr>
        <w:t>Gee v.  [*669]  Pacheco</w:t>
      </w:r>
      <w:r>
        <w:rPr>
          <w:rFonts w:ascii="Arial" w:eastAsia="Arial" w:hAnsi="Arial" w:cs="Arial"/>
          <w:color w:val="000000"/>
          <w:sz w:val="20"/>
        </w:rPr>
        <w:t xml:space="preserve">, 627 F.3d 1178, 1186 (10th Cir. 2010) (quotation omitted). Surely counsel's representation to the court that Turner did not wish to retake the exam is such a matter. </w:t>
      </w:r>
      <w:bookmarkStart w:id="6712" w:name="Bookmark_I5C1PV5X2SF7YD0040000400_2"/>
      <w:bookmarkEnd w:id="6712"/>
      <w:r>
        <w:rPr>
          <w:rFonts w:ascii="Arial" w:eastAsia="Arial" w:hAnsi="Arial" w:cs="Arial"/>
          <w:color w:val="000000"/>
          <w:sz w:val="20"/>
        </w:rPr>
        <w:t>Moreover, even leaving aside counsel's representation, the district court correctly determined that the</w:t>
      </w:r>
      <w:bookmarkStart w:id="6713" w:name="Bookmark_I5C1PV5X2SF7YD0030000400"/>
      <w:bookmarkEnd w:id="6713"/>
      <w:r>
        <w:rPr>
          <w:rFonts w:ascii="Arial" w:eastAsia="Arial" w:hAnsi="Arial" w:cs="Arial"/>
          <w:color w:val="000000"/>
          <w:sz w:val="20"/>
        </w:rPr>
        <w:t xml:space="preserve"> </w:t>
      </w:r>
      <w:r>
        <w:rPr>
          <w:rFonts w:ascii="Arial" w:eastAsia="Arial" w:hAnsi="Arial" w:cs="Arial"/>
          <w:color w:val="000000"/>
          <w:sz w:val="20"/>
          <w:u w:val="single"/>
        </w:rPr>
        <w:t>Ex Parte Young</w:t>
      </w:r>
      <w:r>
        <w:rPr>
          <w:rFonts w:ascii="Arial" w:eastAsia="Arial" w:hAnsi="Arial" w:cs="Arial"/>
          <w:color w:val="000000"/>
          <w:sz w:val="20"/>
        </w:rPr>
        <w:t xml:space="preserve"> exception did not apply to Turner's claims.</w:t>
      </w:r>
    </w:p>
    <w:p w14:paraId="40E2E1DA" w14:textId="77777777" w:rsidR="002D0E71" w:rsidRDefault="00000000">
      <w:pPr>
        <w:pStyle w:val="Normal44"/>
        <w:widowControl w:val="0"/>
        <w:spacing w:before="200" w:line="260" w:lineRule="atLeast"/>
        <w:jc w:val="both"/>
      </w:pPr>
      <w:bookmarkStart w:id="6714" w:name="Bookmark_para_28_27"/>
      <w:bookmarkStart w:id="6715" w:name="Bookmark_I5C1PV5X2SF7YF0010000400"/>
      <w:bookmarkStart w:id="6716" w:name="Bookmark_I5C1PV5X2SF7YF0050000400"/>
      <w:bookmarkStart w:id="6717" w:name="Bookmark_LNHNREFclscc11_24"/>
      <w:bookmarkEnd w:id="6714"/>
      <w:bookmarkEnd w:id="6715"/>
      <w:bookmarkEnd w:id="6716"/>
      <w:bookmarkEnd w:id="6717"/>
      <w:r>
        <w:rPr>
          <w:rFonts w:ascii="Arial" w:eastAsia="Arial" w:hAnsi="Arial" w:cs="Arial"/>
          <w:color w:val="000000"/>
          <w:sz w:val="20"/>
        </w:rPr>
        <w:t xml:space="preserve">For the </w:t>
      </w:r>
      <w:r>
        <w:rPr>
          <w:rFonts w:ascii="Arial" w:eastAsia="Arial" w:hAnsi="Arial" w:cs="Arial"/>
          <w:color w:val="000000"/>
          <w:sz w:val="20"/>
          <w:u w:val="single"/>
        </w:rPr>
        <w:t>Ex Parte Young</w:t>
      </w:r>
      <w:r>
        <w:rPr>
          <w:rFonts w:ascii="Arial" w:eastAsia="Arial" w:hAnsi="Arial" w:cs="Arial"/>
          <w:color w:val="000000"/>
          <w:sz w:val="20"/>
        </w:rPr>
        <w:t xml:space="preserve"> exception to apply, the relief Turner sought in his amended complaint must be "properly characterized as prospective." </w:t>
      </w:r>
      <w:bookmarkStart w:id="6718" w:name="Bookmark_I5C1PV5X2SF7YD0050000400"/>
      <w:bookmarkEnd w:id="6718"/>
      <w:r>
        <w:rPr>
          <w:rFonts w:ascii="Arial" w:eastAsia="Arial" w:hAnsi="Arial" w:cs="Arial"/>
          <w:color w:val="000000"/>
          <w:sz w:val="20"/>
          <w:u w:val="single"/>
        </w:rPr>
        <w:t>Verizon Md.</w:t>
      </w:r>
      <w:r>
        <w:rPr>
          <w:rFonts w:ascii="Arial" w:eastAsia="Arial" w:hAnsi="Arial" w:cs="Arial"/>
          <w:color w:val="000000"/>
          <w:sz w:val="20"/>
        </w:rPr>
        <w:t xml:space="preserve">, 535 U.S. at 645 (quotation omitted); </w:t>
      </w:r>
      <w:r>
        <w:rPr>
          <w:rFonts w:ascii="Arial" w:eastAsia="Arial" w:hAnsi="Arial" w:cs="Arial"/>
          <w:color w:val="000000"/>
          <w:sz w:val="20"/>
          <w:u w:val="single"/>
        </w:rPr>
        <w:t xml:space="preserve">see also </w:t>
      </w:r>
      <w:bookmarkStart w:id="6719" w:name="Bookmark_I5C1PV5X2SF7YF0020000400"/>
      <w:bookmarkEnd w:id="6719"/>
      <w:r>
        <w:rPr>
          <w:rFonts w:ascii="Arial" w:eastAsia="Arial" w:hAnsi="Arial" w:cs="Arial"/>
          <w:color w:val="000000"/>
          <w:sz w:val="20"/>
          <w:u w:val="single"/>
        </w:rPr>
        <w:t>Hill v. Kemp</w:t>
      </w:r>
      <w:r>
        <w:rPr>
          <w:rFonts w:ascii="Arial" w:eastAsia="Arial" w:hAnsi="Arial" w:cs="Arial"/>
          <w:color w:val="000000"/>
          <w:sz w:val="20"/>
        </w:rPr>
        <w:t xml:space="preserve">, 478 F.3d 1236, 1259 (10th Cir. 2007)  [**19] ("Following the Supreme Court's most recent and definitive guidance in </w:t>
      </w:r>
      <w:r>
        <w:rPr>
          <w:rFonts w:ascii="Arial" w:eastAsia="Arial" w:hAnsi="Arial" w:cs="Arial"/>
          <w:color w:val="000000"/>
          <w:sz w:val="20"/>
          <w:u w:val="single"/>
        </w:rPr>
        <w:t>Verizon Maryland</w:t>
      </w:r>
      <w:r>
        <w:rPr>
          <w:rFonts w:ascii="Arial" w:eastAsia="Arial" w:hAnsi="Arial" w:cs="Arial"/>
          <w:color w:val="000000"/>
          <w:sz w:val="20"/>
        </w:rPr>
        <w:t xml:space="preserve">, the sole question for us becomes whether the relief sought by [the plaintiff] is prospective, not just in how it is captioned but also in its substance."). But Turner's amended complaint did not specify what declaratory or injunctive relief he sought; it simply included in each claim's prayer for relief a request for "declaratory and injunctive relief." Turner apparently believes that all declaratory and injunctive relief is prospective. Not so. </w:t>
      </w:r>
      <w:r>
        <w:rPr>
          <w:rFonts w:ascii="Arial" w:eastAsia="Arial" w:hAnsi="Arial" w:cs="Arial"/>
          <w:color w:val="000000"/>
          <w:sz w:val="20"/>
          <w:u w:val="single"/>
        </w:rPr>
        <w:t xml:space="preserve">See, e.g., </w:t>
      </w:r>
      <w:bookmarkStart w:id="6720" w:name="Bookmark_I5C1PV5X2SF7YF0040000400"/>
      <w:bookmarkEnd w:id="6720"/>
      <w:r>
        <w:rPr>
          <w:rFonts w:ascii="Arial" w:eastAsia="Arial" w:hAnsi="Arial" w:cs="Arial"/>
          <w:color w:val="000000"/>
          <w:sz w:val="20"/>
          <w:u w:val="single"/>
        </w:rPr>
        <w:t xml:space="preserve">P.R. Aqueduct &amp; Sewer Auth. v. Metcalf &amp; Eddy, Inc., </w:t>
      </w:r>
      <w:r>
        <w:rPr>
          <w:rFonts w:ascii="Arial" w:eastAsia="Arial" w:hAnsi="Arial" w:cs="Arial"/>
          <w:color w:val="000000"/>
          <w:sz w:val="20"/>
        </w:rPr>
        <w:t>506 U.S. 139, 146, 113 S. Ct. 684, 121 L. Ed. 2d 605 (1993) (</w:t>
      </w:r>
      <w:r>
        <w:rPr>
          <w:rFonts w:ascii="Arial" w:eastAsia="Arial" w:hAnsi="Arial" w:cs="Arial"/>
          <w:color w:val="000000"/>
          <w:sz w:val="20"/>
          <w:u w:val="single"/>
        </w:rPr>
        <w:t>Ex Parte Young</w:t>
      </w:r>
      <w:r>
        <w:rPr>
          <w:rFonts w:ascii="Arial" w:eastAsia="Arial" w:hAnsi="Arial" w:cs="Arial"/>
          <w:color w:val="000000"/>
          <w:sz w:val="20"/>
        </w:rPr>
        <w:t xml:space="preserve"> "does not permit judgments against state officers declaring that they violated federal law in the past"); </w:t>
      </w:r>
      <w:bookmarkStart w:id="6721" w:name="Bookmark_I5C1PV5X2HM6WY0010000400"/>
      <w:bookmarkEnd w:id="6721"/>
      <w:r>
        <w:rPr>
          <w:rFonts w:ascii="Arial" w:eastAsia="Arial" w:hAnsi="Arial" w:cs="Arial"/>
          <w:color w:val="000000"/>
          <w:sz w:val="20"/>
          <w:u w:val="single"/>
        </w:rPr>
        <w:t>Buchheit v. Green</w:t>
      </w:r>
      <w:r>
        <w:rPr>
          <w:rFonts w:ascii="Arial" w:eastAsia="Arial" w:hAnsi="Arial" w:cs="Arial"/>
          <w:color w:val="000000"/>
          <w:sz w:val="20"/>
        </w:rPr>
        <w:t>, 705 F.3d 1157, 1159 (10th Cir. 2012) (plaintiff's request for injunctive relief requiring state court to allow him to proceed in forma pauperis and to file his appeal was not prospective because it sought only to remedy past harms, not to prevent future violations of law).</w:t>
      </w:r>
    </w:p>
    <w:p w14:paraId="5AFF378B" w14:textId="77777777" w:rsidR="002D0E71" w:rsidRDefault="00000000">
      <w:pPr>
        <w:pStyle w:val="Normal44"/>
        <w:widowControl w:val="0"/>
        <w:spacing w:before="200" w:line="260" w:lineRule="atLeast"/>
        <w:jc w:val="both"/>
      </w:pPr>
      <w:bookmarkStart w:id="6722" w:name="Bookmark_para_29_26"/>
      <w:bookmarkStart w:id="6723" w:name="Bookmark_I5C1PV5X2HM6WY0040000400"/>
      <w:bookmarkEnd w:id="6722"/>
      <w:bookmarkEnd w:id="6723"/>
      <w:r>
        <w:rPr>
          <w:rFonts w:ascii="Arial" w:eastAsia="Arial" w:hAnsi="Arial" w:cs="Arial"/>
          <w:color w:val="000000"/>
          <w:sz w:val="20"/>
        </w:rPr>
        <w:t xml:space="preserve">Had Turner, for instance, sought an injunction requiring the State defendants to allow him to appeal his failing test score, that relief would not have been prospective;  [**20] it would only have remedied a past alleged wrong, not prevented a future violation. </w:t>
      </w:r>
      <w:r>
        <w:rPr>
          <w:rFonts w:ascii="Arial" w:eastAsia="Arial" w:hAnsi="Arial" w:cs="Arial"/>
          <w:color w:val="000000"/>
          <w:sz w:val="20"/>
          <w:u w:val="single"/>
        </w:rPr>
        <w:t xml:space="preserve">See </w:t>
      </w:r>
      <w:bookmarkStart w:id="6724" w:name="Bookmark_I5C1PV5X2HM6WY0030000400"/>
      <w:bookmarkEnd w:id="6724"/>
      <w:r>
        <w:rPr>
          <w:rFonts w:ascii="Arial" w:eastAsia="Arial" w:hAnsi="Arial" w:cs="Arial"/>
          <w:color w:val="000000"/>
          <w:sz w:val="20"/>
          <w:u w:val="single"/>
        </w:rPr>
        <w:t>Buchheit</w:t>
      </w:r>
      <w:r>
        <w:rPr>
          <w:rFonts w:ascii="Arial" w:eastAsia="Arial" w:hAnsi="Arial" w:cs="Arial"/>
          <w:color w:val="000000"/>
          <w:sz w:val="20"/>
        </w:rPr>
        <w:t xml:space="preserve">, 705 F.3d at 1159. Because Turner's prayer for relief sought nothing more than unspecified "declaratory and injunctive relief," we cannot conclude that the relief he sought was truly prospective. The district court correctly refused to apply the </w:t>
      </w:r>
      <w:r>
        <w:rPr>
          <w:rFonts w:ascii="Arial" w:eastAsia="Arial" w:hAnsi="Arial" w:cs="Arial"/>
          <w:color w:val="000000"/>
          <w:sz w:val="20"/>
          <w:u w:val="single"/>
        </w:rPr>
        <w:t>Ex Parte Young</w:t>
      </w:r>
      <w:r>
        <w:rPr>
          <w:rFonts w:ascii="Arial" w:eastAsia="Arial" w:hAnsi="Arial" w:cs="Arial"/>
          <w:color w:val="000000"/>
          <w:sz w:val="20"/>
        </w:rPr>
        <w:t xml:space="preserve"> exception to Turner's claims.</w:t>
      </w:r>
    </w:p>
    <w:p w14:paraId="0C02B70D" w14:textId="77777777" w:rsidR="002D0E71" w:rsidRDefault="00000000">
      <w:pPr>
        <w:pStyle w:val="Normal44"/>
        <w:widowControl w:val="0"/>
        <w:spacing w:before="240" w:line="260" w:lineRule="atLeast"/>
      </w:pPr>
      <w:r>
        <w:br/>
      </w:r>
      <w:r>
        <w:rPr>
          <w:rFonts w:ascii="Arial" w:eastAsia="Arial" w:hAnsi="Arial" w:cs="Arial"/>
          <w:b/>
          <w:color w:val="000000"/>
          <w:sz w:val="20"/>
        </w:rPr>
        <w:t>C</w:t>
      </w:r>
    </w:p>
    <w:p w14:paraId="5F35223F" w14:textId="77777777" w:rsidR="002D0E71" w:rsidRDefault="00000000">
      <w:pPr>
        <w:pStyle w:val="Normal44"/>
        <w:widowControl w:val="0"/>
        <w:spacing w:before="200" w:line="260" w:lineRule="atLeast"/>
        <w:jc w:val="both"/>
      </w:pPr>
      <w:bookmarkStart w:id="6725" w:name="Bookmark_para_30_25"/>
      <w:bookmarkEnd w:id="6725"/>
      <w:r>
        <w:rPr>
          <w:rFonts w:ascii="Arial" w:eastAsia="Arial" w:hAnsi="Arial" w:cs="Arial"/>
          <w:color w:val="000000"/>
          <w:sz w:val="20"/>
        </w:rPr>
        <w:t xml:space="preserve">Turner alleges that the Council violated Title III of the ADA in two ways: (1) failing to make the licensing exam available in a format other than the CAT format; and (2) failing to provide him an opportunity to appeal his score. </w:t>
      </w:r>
      <w:bookmarkStart w:id="6726" w:name="Bookmark_LNHNREFclscc12_23"/>
      <w:bookmarkEnd w:id="6726"/>
      <w:r>
        <w:rPr>
          <w:rFonts w:ascii="Arial" w:eastAsia="Arial" w:hAnsi="Arial" w:cs="Arial"/>
          <w:color w:val="000000"/>
          <w:sz w:val="20"/>
        </w:rPr>
        <w:t xml:space="preserve">Title III applies to public accommodations and services operated by private entities. 42 U.S.C. § 12181 </w:t>
      </w:r>
      <w:r>
        <w:rPr>
          <w:rFonts w:ascii="Arial" w:eastAsia="Arial" w:hAnsi="Arial" w:cs="Arial"/>
          <w:color w:val="000000"/>
          <w:sz w:val="20"/>
          <w:u w:val="single"/>
        </w:rPr>
        <w:t>et seq.</w:t>
      </w:r>
      <w:r>
        <w:rPr>
          <w:rFonts w:ascii="Arial" w:eastAsia="Arial" w:hAnsi="Arial" w:cs="Arial"/>
          <w:color w:val="000000"/>
          <w:sz w:val="20"/>
        </w:rPr>
        <w:t xml:space="preserve"> It provides in pertinent part that anyone who offers professional licensing examinations "shall offer such examinations . . . in a place and manner accessible to persons with disabilities or offer alternative accessible arrangements for such individuals." § 12189.</w:t>
      </w:r>
    </w:p>
    <w:p w14:paraId="146FB164" w14:textId="77777777" w:rsidR="002D0E71" w:rsidRDefault="00000000">
      <w:pPr>
        <w:pStyle w:val="Normal44"/>
        <w:widowControl w:val="0"/>
        <w:spacing w:before="200" w:line="260" w:lineRule="atLeast"/>
        <w:jc w:val="both"/>
      </w:pPr>
      <w:bookmarkStart w:id="6727" w:name="Bookmark_para_31_24"/>
      <w:bookmarkStart w:id="6728" w:name="Bookmark_I5C1PV5X2D6MVT0010000400"/>
      <w:bookmarkEnd w:id="6727"/>
      <w:bookmarkEnd w:id="6728"/>
      <w:r>
        <w:rPr>
          <w:rFonts w:ascii="Arial" w:eastAsia="Arial" w:hAnsi="Arial" w:cs="Arial"/>
          <w:color w:val="000000"/>
          <w:sz w:val="20"/>
        </w:rPr>
        <w:t xml:space="preserve">The Council moved to dismiss Turner's claims because he lacked constitutional standing or, alternatively, because he failed to state a claim. The district court concluded that Turner lacked standing because  [**21] he failed to allege a causal link between the Council's conduct and any injury he suffered. </w:t>
      </w:r>
      <w:bookmarkStart w:id="6729" w:name="Bookmark_LNHNREFclscc13_20"/>
      <w:bookmarkEnd w:id="6729"/>
      <w:r>
        <w:rPr>
          <w:rFonts w:ascii="Arial" w:eastAsia="Arial" w:hAnsi="Arial" w:cs="Arial"/>
          <w:color w:val="000000"/>
          <w:sz w:val="20"/>
        </w:rPr>
        <w:t xml:space="preserve">We review this conclusion de novo. </w:t>
      </w:r>
      <w:r>
        <w:rPr>
          <w:rFonts w:ascii="Arial" w:eastAsia="Arial" w:hAnsi="Arial" w:cs="Arial"/>
          <w:color w:val="000000"/>
          <w:sz w:val="20"/>
          <w:u w:val="single"/>
        </w:rPr>
        <w:t xml:space="preserve">See </w:t>
      </w:r>
      <w:bookmarkStart w:id="6730" w:name="Bookmark_I5C1PV5X2HM6WY0050000400"/>
      <w:bookmarkEnd w:id="6730"/>
      <w:r>
        <w:rPr>
          <w:rFonts w:ascii="Arial" w:eastAsia="Arial" w:hAnsi="Arial" w:cs="Arial"/>
          <w:color w:val="000000"/>
          <w:sz w:val="20"/>
          <w:u w:val="single"/>
        </w:rPr>
        <w:t>Cressman v. Thompson</w:t>
      </w:r>
      <w:r>
        <w:rPr>
          <w:rFonts w:ascii="Arial" w:eastAsia="Arial" w:hAnsi="Arial" w:cs="Arial"/>
          <w:color w:val="000000"/>
          <w:sz w:val="20"/>
        </w:rPr>
        <w:t>, 719 F.3d 1139, 1144 (10th Cir. 2013). We conclude that Turner lacked standing to assert his claim relating to the CAT format but that he did have standing to assert his claim relating to the absence of an appeal. Nonetheless, we affirm the district court's dismissal of this claim because it fails to state a claim under the ADA.</w:t>
      </w:r>
    </w:p>
    <w:p w14:paraId="1BF50F63" w14:textId="77777777" w:rsidR="002D0E71" w:rsidRDefault="00000000">
      <w:pPr>
        <w:pStyle w:val="Normal44"/>
        <w:widowControl w:val="0"/>
        <w:spacing w:before="200" w:line="260" w:lineRule="atLeast"/>
        <w:jc w:val="both"/>
      </w:pPr>
      <w:bookmarkStart w:id="6731" w:name="Bookmark_para_32_23"/>
      <w:bookmarkStart w:id="6732" w:name="Bookmark_I5C1PV5X2D6MVT0030000400"/>
      <w:bookmarkStart w:id="6733" w:name="Bookmark_LNHNREFclscc14_15"/>
      <w:bookmarkEnd w:id="6731"/>
      <w:bookmarkEnd w:id="6732"/>
      <w:bookmarkEnd w:id="6733"/>
      <w:r>
        <w:rPr>
          <w:rFonts w:ascii="Arial" w:eastAsia="Arial" w:hAnsi="Arial" w:cs="Arial"/>
          <w:color w:val="000000"/>
          <w:sz w:val="20"/>
        </w:rPr>
        <w:t xml:space="preserve">As the party asserting federal jurisdiction, Turner carries the burden of establishing  [*670]  his Article III standing. </w:t>
      </w:r>
      <w:bookmarkStart w:id="6734" w:name="Bookmark_I5C1PV5X2D6MVT0020000400"/>
      <w:bookmarkEnd w:id="6734"/>
      <w:r>
        <w:rPr>
          <w:rFonts w:ascii="Arial" w:eastAsia="Arial" w:hAnsi="Arial" w:cs="Arial"/>
          <w:color w:val="000000"/>
          <w:sz w:val="20"/>
          <w:u w:val="single"/>
        </w:rPr>
        <w:t>Nova Health Sys. v. Gandy</w:t>
      </w:r>
      <w:r>
        <w:rPr>
          <w:rFonts w:ascii="Arial" w:eastAsia="Arial" w:hAnsi="Arial" w:cs="Arial"/>
          <w:color w:val="000000"/>
          <w:sz w:val="20"/>
        </w:rPr>
        <w:t>, 416 F.3d 1149, 1154 (10th Cir. 2005). To establish standing, Turner had to meet three requirements:</w:t>
      </w:r>
    </w:p>
    <w:p w14:paraId="235C1C70" w14:textId="77777777" w:rsidR="002D0E71" w:rsidRDefault="00000000">
      <w:pPr>
        <w:pStyle w:val="Normal44"/>
        <w:widowControl w:val="0"/>
        <w:spacing w:before="200" w:line="260" w:lineRule="atLeast"/>
        <w:ind w:left="400"/>
        <w:jc w:val="both"/>
      </w:pPr>
      <w:bookmarkStart w:id="6735" w:name="Bookmark_para_33_22"/>
      <w:bookmarkEnd w:id="6735"/>
      <w:r>
        <w:rPr>
          <w:rFonts w:ascii="Arial" w:eastAsia="Arial" w:hAnsi="Arial" w:cs="Arial"/>
          <w:color w:val="000000"/>
          <w:sz w:val="20"/>
        </w:rPr>
        <w:t xml:space="preserve">First, the plaintiff must have suffered an "injury in fact"—an invasion of a legally protected interest that is both (a) concrete and particularized and (b) actual or imminent, not conjectural or hypothetical. </w:t>
      </w:r>
      <w:bookmarkStart w:id="6736" w:name="Bookmark_I0BH7F36SMC000VXMJ10021J"/>
      <w:bookmarkStart w:id="6737" w:name="Bookmark_I5C1PV5X2D6MVT0050000400"/>
      <w:bookmarkEnd w:id="6736"/>
      <w:bookmarkEnd w:id="6737"/>
      <w:r>
        <w:rPr>
          <w:rFonts w:ascii="Arial" w:eastAsia="Arial" w:hAnsi="Arial" w:cs="Arial"/>
          <w:color w:val="000000"/>
          <w:sz w:val="20"/>
        </w:rPr>
        <w:t>Second, there must be a causal connection between that injury and the challenged action of the defendant—the injury must be "fairly traceable" to the defendant, and not the result of the independent action of some third party. Finally, it must be likely, not merely speculative,  [**22] that a favorable judgment will redress the plaintiff's injury.</w:t>
      </w:r>
    </w:p>
    <w:p w14:paraId="1FBBB581" w14:textId="77777777" w:rsidR="002D0E71" w:rsidRDefault="00000000">
      <w:pPr>
        <w:pStyle w:val="Normal44"/>
        <w:widowControl w:val="0"/>
        <w:spacing w:before="200" w:line="260" w:lineRule="atLeast"/>
        <w:jc w:val="both"/>
      </w:pPr>
      <w:bookmarkStart w:id="6738" w:name="Bookmark_I5C1PV5X2D6MVT0050000400_2"/>
      <w:bookmarkStart w:id="6739" w:name="Bookmark_I5C1PV5X2D6MVT0040000400"/>
      <w:bookmarkEnd w:id="6738"/>
      <w:bookmarkEnd w:id="6739"/>
      <w:r>
        <w:rPr>
          <w:rFonts w:ascii="Arial" w:eastAsia="Arial" w:hAnsi="Arial" w:cs="Arial"/>
          <w:color w:val="000000"/>
          <w:sz w:val="20"/>
          <w:u w:val="single"/>
        </w:rPr>
        <w:t>Id.</w:t>
      </w:r>
      <w:bookmarkStart w:id="6740" w:name="Bookmark_I5C1PV5X2HM6X00020000400"/>
      <w:bookmarkEnd w:id="6740"/>
      <w:r>
        <w:rPr>
          <w:rFonts w:ascii="Arial" w:eastAsia="Arial" w:hAnsi="Arial" w:cs="Arial"/>
          <w:color w:val="000000"/>
          <w:sz w:val="20"/>
        </w:rPr>
        <w:t xml:space="preserve"> (citations omitted). Because the district court evaluated Turner's standing at the motion-to-dismiss stage,</w:t>
      </w:r>
      <w:r>
        <w:rPr>
          <w:rFonts w:ascii="Arial" w:eastAsia="Arial" w:hAnsi="Arial" w:cs="Arial"/>
          <w:vertAlign w:val="superscript"/>
        </w:rPr>
        <w:footnoteReference w:customMarkFollows="1" w:id="280"/>
        <w:t>3</w:t>
      </w:r>
      <w:r>
        <w:rPr>
          <w:rFonts w:ascii="Arial" w:eastAsia="Arial" w:hAnsi="Arial" w:cs="Arial"/>
          <w:color w:val="000000"/>
          <w:sz w:val="20"/>
        </w:rPr>
        <w:t xml:space="preserve"> it had to accept his material allegations as true and construe the amended complaint in his favor. </w:t>
      </w:r>
      <w:bookmarkStart w:id="6745" w:name="Bookmark_I5C1PV5X2HM6X00010000400"/>
      <w:bookmarkEnd w:id="6745"/>
      <w:r>
        <w:rPr>
          <w:rFonts w:ascii="Arial" w:eastAsia="Arial" w:hAnsi="Arial" w:cs="Arial"/>
          <w:color w:val="000000"/>
          <w:sz w:val="20"/>
          <w:u w:val="single"/>
        </w:rPr>
        <w:t>Cressman</w:t>
      </w:r>
      <w:r>
        <w:rPr>
          <w:rFonts w:ascii="Arial" w:eastAsia="Arial" w:hAnsi="Arial" w:cs="Arial"/>
          <w:color w:val="000000"/>
          <w:sz w:val="20"/>
        </w:rPr>
        <w:t xml:space="preserve">, 719 F.3d at 1144. We must do the same. </w:t>
      </w:r>
      <w:r>
        <w:rPr>
          <w:rFonts w:ascii="Arial" w:eastAsia="Arial" w:hAnsi="Arial" w:cs="Arial"/>
          <w:color w:val="000000"/>
          <w:sz w:val="20"/>
          <w:u w:val="single"/>
        </w:rPr>
        <w:t>Id.</w:t>
      </w:r>
    </w:p>
    <w:p w14:paraId="7F2ECDE8" w14:textId="77777777" w:rsidR="002D0E71" w:rsidRDefault="00000000">
      <w:pPr>
        <w:pStyle w:val="Normal44"/>
        <w:widowControl w:val="0"/>
        <w:spacing w:before="200" w:line="260" w:lineRule="atLeast"/>
        <w:jc w:val="both"/>
      </w:pPr>
      <w:bookmarkStart w:id="6746" w:name="Bookmark_para_34_21"/>
      <w:bookmarkStart w:id="6747" w:name="Bookmark_I0BH7F369W7000VXMJ100047"/>
      <w:bookmarkStart w:id="6748" w:name="Bookmark_I5C1PV5X2HM6X10030000400"/>
      <w:bookmarkEnd w:id="6746"/>
      <w:bookmarkEnd w:id="6747"/>
      <w:bookmarkEnd w:id="6748"/>
      <w:r>
        <w:rPr>
          <w:rFonts w:ascii="Arial" w:eastAsia="Arial" w:hAnsi="Arial" w:cs="Arial"/>
          <w:color w:val="000000"/>
          <w:sz w:val="20"/>
        </w:rPr>
        <w:t xml:space="preserve">Turner sufficiently alleges an injury in fact: his failing exam score prevented him from obtaining a nursing license in Kansas. </w:t>
      </w:r>
      <w:bookmarkStart w:id="6749" w:name="Bookmark_I5C1PV5X2HM6X10050000400"/>
      <w:bookmarkStart w:id="6750" w:name="Bookmark_LNHNREFclscc15_13"/>
      <w:bookmarkEnd w:id="6749"/>
      <w:bookmarkEnd w:id="6750"/>
      <w:r>
        <w:rPr>
          <w:rFonts w:ascii="Arial" w:eastAsia="Arial" w:hAnsi="Arial" w:cs="Arial"/>
          <w:color w:val="000000"/>
          <w:sz w:val="20"/>
        </w:rPr>
        <w:t xml:space="preserve">To show that his injury was fairly traceable to some conduct on the part of the Council, Turner had to allege facts that showed a "substantial likelihood" that the Council's conduct caused his injury. </w:t>
      </w:r>
      <w:bookmarkStart w:id="6751" w:name="Bookmark_I5C1PV5X2HM6X10020000400"/>
      <w:bookmarkEnd w:id="6751"/>
      <w:r>
        <w:rPr>
          <w:rFonts w:ascii="Arial" w:eastAsia="Arial" w:hAnsi="Arial" w:cs="Arial"/>
          <w:color w:val="000000"/>
          <w:sz w:val="20"/>
          <w:u w:val="single"/>
        </w:rPr>
        <w:t>Nova Health</w:t>
      </w:r>
      <w:r>
        <w:rPr>
          <w:rFonts w:ascii="Arial" w:eastAsia="Arial" w:hAnsi="Arial" w:cs="Arial"/>
          <w:color w:val="000000"/>
          <w:sz w:val="20"/>
        </w:rPr>
        <w:t xml:space="preserve">, 416 F.3d at 1156. </w:t>
      </w:r>
      <w:bookmarkStart w:id="6752" w:name="Bookmark_I5C1PV5X2HM6X10050000400_2"/>
      <w:bookmarkEnd w:id="6752"/>
      <w:r>
        <w:rPr>
          <w:rFonts w:ascii="Arial" w:eastAsia="Arial" w:hAnsi="Arial" w:cs="Arial"/>
          <w:color w:val="000000"/>
          <w:sz w:val="20"/>
        </w:rPr>
        <w:t xml:space="preserve">He did not have to allege facts that would rise to the level of proximate cause, </w:t>
      </w:r>
      <w:r>
        <w:rPr>
          <w:rFonts w:ascii="Arial" w:eastAsia="Arial" w:hAnsi="Arial" w:cs="Arial"/>
          <w:color w:val="000000"/>
          <w:sz w:val="20"/>
          <w:u w:val="single"/>
        </w:rPr>
        <w:t>see id.</w:t>
      </w:r>
      <w:r>
        <w:rPr>
          <w:rFonts w:ascii="Arial" w:eastAsia="Arial" w:hAnsi="Arial" w:cs="Arial"/>
          <w:color w:val="000000"/>
          <w:sz w:val="20"/>
        </w:rPr>
        <w:t xml:space="preserve">, nor did he have to allege a connection between the injuries he claimed and the rights he asserted, </w:t>
      </w:r>
      <w:r>
        <w:rPr>
          <w:rFonts w:ascii="Arial" w:eastAsia="Arial" w:hAnsi="Arial" w:cs="Arial"/>
          <w:color w:val="000000"/>
          <w:sz w:val="20"/>
          <w:u w:val="single"/>
        </w:rPr>
        <w:t xml:space="preserve">see </w:t>
      </w:r>
      <w:bookmarkStart w:id="6753" w:name="Bookmark_I5C1PV5X2HM6X10040000400"/>
      <w:bookmarkEnd w:id="6753"/>
      <w:r>
        <w:rPr>
          <w:rFonts w:ascii="Arial" w:eastAsia="Arial" w:hAnsi="Arial" w:cs="Arial"/>
          <w:color w:val="000000"/>
          <w:sz w:val="20"/>
          <w:u w:val="single"/>
        </w:rPr>
        <w:t>Duke Power Co. v. Carolina Env't Study Grp., Inc.,</w:t>
      </w:r>
      <w:r>
        <w:rPr>
          <w:rFonts w:ascii="Arial" w:eastAsia="Arial" w:hAnsi="Arial" w:cs="Arial"/>
          <w:color w:val="000000"/>
          <w:sz w:val="20"/>
        </w:rPr>
        <w:t xml:space="preserve"> 438 U.S. 59, 78-79, 98 S. Ct. 2620, 57 L. Ed. 2d 595 (1978).</w:t>
      </w:r>
    </w:p>
    <w:p w14:paraId="419E3863" w14:textId="77777777" w:rsidR="002D0E71" w:rsidRDefault="00000000">
      <w:pPr>
        <w:pStyle w:val="Normal44"/>
        <w:widowControl w:val="0"/>
        <w:spacing w:before="200" w:line="260" w:lineRule="atLeast"/>
        <w:jc w:val="both"/>
      </w:pPr>
      <w:bookmarkStart w:id="6754" w:name="Bookmark_para_35_21"/>
      <w:bookmarkEnd w:id="6754"/>
      <w:r>
        <w:rPr>
          <w:rFonts w:ascii="Arial" w:eastAsia="Arial" w:hAnsi="Arial" w:cs="Arial"/>
          <w:color w:val="000000"/>
          <w:sz w:val="20"/>
        </w:rPr>
        <w:t>Turner does not allege a sufficient causal connection between the Council's administration of the exam in the CAT format and his failure to pass it. He alleges that there were unspecified flaws in the CAT format and that some of these flaws related to people with test-taking anxiety, but he does not allege that any of these flaws, his own test-taking anxiety, or his inability to take the exam in another format either caused or contributed to his failure. Nor does he allege that the glitch in the exam  [**24] administration that caused the program to shut down before he had answered the requisite number of questions was related to any flaws in the CAT format. His brief specifically denies any connection between the two, stating that "[t]he flaws in the CAT format are not alleged to be the cause of the problem with the administration of the exam that Mr. Turner took . . . . The two problems—the format and the administration of the exam on the day Mr. Turner took it—are not connected." Because Turner's allegations do not show a causal connection between the Council's use of the CAT format and his failure of the exam, the district court properly dismissed this claim against the Council for lack of standing.</w:t>
      </w:r>
    </w:p>
    <w:p w14:paraId="6DE61896" w14:textId="77777777" w:rsidR="002D0E71" w:rsidRDefault="00000000">
      <w:pPr>
        <w:pStyle w:val="Normal44"/>
        <w:widowControl w:val="0"/>
        <w:spacing w:before="200" w:line="260" w:lineRule="atLeast"/>
        <w:jc w:val="both"/>
      </w:pPr>
      <w:bookmarkStart w:id="6755" w:name="Bookmark_para_36_21"/>
      <w:bookmarkEnd w:id="6755"/>
      <w:r>
        <w:rPr>
          <w:rFonts w:ascii="Arial" w:eastAsia="Arial" w:hAnsi="Arial" w:cs="Arial"/>
          <w:color w:val="000000"/>
          <w:sz w:val="20"/>
        </w:rPr>
        <w:t>Turner does, however, allege a sufficient causal connection between his inability  [*671]  to obtain a nursing license and the Council's failure to give him an opportunity to appeal his score. Turner contends that the lack of an appeal injured him because of a computer glitch that prevented him from answering the requisite number of questions on the exam. The amended complaint alleges that a computer glitch caused the program to shut down before Turner had answered the minimum number of questions  [**25] required by the CAT format. By not permitting Turner to appeal his score, the Council deprived him of the opportunity to obtain a remedy for an alleged malfunction that prevented him from completing the exam as required. Turner's injury was therefore fairly traceable to the Council's conduct, and the district court should not have dismissed the claim for lack of standing.</w:t>
      </w:r>
    </w:p>
    <w:p w14:paraId="2F4A1E8A" w14:textId="77777777" w:rsidR="002D0E71" w:rsidRDefault="00000000">
      <w:pPr>
        <w:pStyle w:val="Normal44"/>
        <w:widowControl w:val="0"/>
        <w:spacing w:before="200" w:line="260" w:lineRule="atLeast"/>
        <w:jc w:val="both"/>
      </w:pPr>
      <w:bookmarkStart w:id="6756" w:name="Bookmark_para_37_21"/>
      <w:bookmarkStart w:id="6757" w:name="Bookmark_I5C1PV5X28T4SM0020000400"/>
      <w:bookmarkEnd w:id="6756"/>
      <w:bookmarkEnd w:id="6757"/>
      <w:r>
        <w:rPr>
          <w:rFonts w:ascii="Arial" w:eastAsia="Arial" w:hAnsi="Arial" w:cs="Arial"/>
          <w:color w:val="000000"/>
          <w:sz w:val="20"/>
        </w:rPr>
        <w:t xml:space="preserve">Nonetheless, the district court was correct to dismiss the claim, because it fails to state a claim under the ADA. </w:t>
      </w:r>
      <w:bookmarkStart w:id="6758" w:name="Bookmark_LNHNREFclscc16_11"/>
      <w:bookmarkEnd w:id="6758"/>
      <w:r>
        <w:rPr>
          <w:rFonts w:ascii="Arial" w:eastAsia="Arial" w:hAnsi="Arial" w:cs="Arial"/>
          <w:color w:val="000000"/>
          <w:sz w:val="20"/>
        </w:rPr>
        <w:t xml:space="preserve">We may affirm a district court's order "on any basis supported by the record, even though not relied on by the district court." </w:t>
      </w:r>
      <w:bookmarkStart w:id="6759" w:name="Bookmark_I5C1PV5X28T4SM0010000400"/>
      <w:bookmarkEnd w:id="6759"/>
      <w:r>
        <w:rPr>
          <w:rFonts w:ascii="Arial" w:eastAsia="Arial" w:hAnsi="Arial" w:cs="Arial"/>
          <w:color w:val="000000"/>
          <w:sz w:val="20"/>
          <w:u w:val="single"/>
        </w:rPr>
        <w:t>Vaughn v. Epworth Villa</w:t>
      </w:r>
      <w:r>
        <w:rPr>
          <w:rFonts w:ascii="Arial" w:eastAsia="Arial" w:hAnsi="Arial" w:cs="Arial"/>
          <w:color w:val="000000"/>
          <w:sz w:val="20"/>
        </w:rPr>
        <w:t>, 537 F.3d 1147, 1150 (10th Cir. 2008) (quotation omitted). Even if we assume that the Council's failure to provide an avenue to appeal an exam score could give rise to liability under the ADA, Turner's allegations are not sufficient to establish liability in this case. Turner does not allege that his inability to answer the requisite number of questions before the program shut down was related to his dyslexia or that the computer glitch was related to flaws in the CAT format that supposedly disadvantaged candidates with test-taking anxiety. Without some  [**26] connection between the computer glitch and his dyslexia, the Council's failure to provide Turner an appeal is not actionable under the ADA.</w:t>
      </w:r>
      <w:r>
        <w:rPr>
          <w:rFonts w:ascii="Arial" w:eastAsia="Arial" w:hAnsi="Arial" w:cs="Arial"/>
          <w:vertAlign w:val="superscript"/>
        </w:rPr>
        <w:footnoteReference w:customMarkFollows="1" w:id="281"/>
        <w:t>4</w:t>
      </w:r>
    </w:p>
    <w:p w14:paraId="49826B46" w14:textId="77777777" w:rsidR="002D0E71" w:rsidRDefault="00000000">
      <w:pPr>
        <w:pStyle w:val="Normal44"/>
        <w:widowControl w:val="0"/>
        <w:spacing w:before="240" w:line="260" w:lineRule="atLeast"/>
      </w:pPr>
      <w:r>
        <w:br/>
      </w:r>
      <w:r>
        <w:rPr>
          <w:rFonts w:ascii="Arial" w:eastAsia="Arial" w:hAnsi="Arial" w:cs="Arial"/>
          <w:b/>
          <w:color w:val="000000"/>
          <w:sz w:val="20"/>
        </w:rPr>
        <w:t>III</w:t>
      </w:r>
    </w:p>
    <w:p w14:paraId="2B5A3FC9" w14:textId="77777777" w:rsidR="002D0E71" w:rsidRDefault="00000000">
      <w:pPr>
        <w:pStyle w:val="Normal44"/>
        <w:widowControl w:val="0"/>
        <w:spacing w:before="200" w:line="260" w:lineRule="atLeast"/>
        <w:jc w:val="both"/>
      </w:pPr>
      <w:bookmarkStart w:id="6763" w:name="Bookmark_para_38_19"/>
      <w:bookmarkEnd w:id="6763"/>
      <w:r>
        <w:rPr>
          <w:rFonts w:ascii="Arial" w:eastAsia="Arial" w:hAnsi="Arial" w:cs="Arial"/>
          <w:color w:val="000000"/>
          <w:sz w:val="20"/>
        </w:rPr>
        <w:t xml:space="preserve">For the foregoing reasons, the judgment of the district court is </w:t>
      </w:r>
      <w:r>
        <w:rPr>
          <w:rFonts w:ascii="Arial" w:eastAsia="Arial" w:hAnsi="Arial" w:cs="Arial"/>
          <w:b/>
          <w:color w:val="000000"/>
          <w:sz w:val="20"/>
        </w:rPr>
        <w:t>AFFIRMED</w:t>
      </w:r>
      <w:r>
        <w:rPr>
          <w:rFonts w:ascii="Arial" w:eastAsia="Arial" w:hAnsi="Arial" w:cs="Arial"/>
          <w:color w:val="000000"/>
          <w:sz w:val="20"/>
        </w:rPr>
        <w:t xml:space="preserve">. Turner's motion to file a supplemental appendix is </w:t>
      </w:r>
      <w:r>
        <w:rPr>
          <w:rFonts w:ascii="Arial" w:eastAsia="Arial" w:hAnsi="Arial" w:cs="Arial"/>
          <w:b/>
          <w:color w:val="000000"/>
          <w:sz w:val="20"/>
        </w:rPr>
        <w:t>GRANTED</w:t>
      </w:r>
      <w:r>
        <w:rPr>
          <w:rFonts w:ascii="Arial" w:eastAsia="Arial" w:hAnsi="Arial" w:cs="Arial"/>
          <w:color w:val="000000"/>
          <w:sz w:val="20"/>
        </w:rPr>
        <w:t>.</w:t>
      </w:r>
    </w:p>
    <w:p w14:paraId="404DD650" w14:textId="77777777" w:rsidR="002D0E71" w:rsidRDefault="00000000">
      <w:pPr>
        <w:pStyle w:val="Normal44"/>
        <w:widowControl w:val="0"/>
        <w:spacing w:before="200" w:line="260" w:lineRule="atLeast"/>
        <w:jc w:val="both"/>
      </w:pPr>
      <w:bookmarkStart w:id="6764" w:name="Bookmark_para_39_19"/>
      <w:bookmarkEnd w:id="6764"/>
      <w:r>
        <w:rPr>
          <w:rFonts w:ascii="Arial" w:eastAsia="Arial" w:hAnsi="Arial" w:cs="Arial"/>
          <w:color w:val="000000"/>
          <w:sz w:val="20"/>
        </w:rPr>
        <w:t>Entered for the Court</w:t>
      </w:r>
    </w:p>
    <w:p w14:paraId="0523A22B" w14:textId="77777777" w:rsidR="002D0E71" w:rsidRDefault="00000000">
      <w:pPr>
        <w:pStyle w:val="Normal44"/>
        <w:widowControl w:val="0"/>
        <w:spacing w:before="200" w:line="260" w:lineRule="atLeast"/>
        <w:jc w:val="both"/>
      </w:pPr>
      <w:bookmarkStart w:id="6765" w:name="Bookmark_para_40_19"/>
      <w:bookmarkEnd w:id="6765"/>
      <w:r>
        <w:rPr>
          <w:rFonts w:ascii="Arial" w:eastAsia="Arial" w:hAnsi="Arial" w:cs="Arial"/>
          <w:color w:val="000000"/>
          <w:sz w:val="20"/>
        </w:rPr>
        <w:t>Carlos F. Lucero</w:t>
      </w:r>
    </w:p>
    <w:p w14:paraId="4310FCB3" w14:textId="77777777" w:rsidR="002D0E71" w:rsidRDefault="00000000">
      <w:pPr>
        <w:pStyle w:val="Normal44"/>
        <w:widowControl w:val="0"/>
        <w:spacing w:before="200" w:line="260" w:lineRule="atLeast"/>
        <w:jc w:val="both"/>
      </w:pPr>
      <w:bookmarkStart w:id="6766" w:name="Bookmark_para_41_18"/>
      <w:bookmarkEnd w:id="6766"/>
      <w:r>
        <w:rPr>
          <w:rFonts w:ascii="Arial" w:eastAsia="Arial" w:hAnsi="Arial" w:cs="Arial"/>
          <w:color w:val="000000"/>
          <w:sz w:val="20"/>
        </w:rPr>
        <w:t>Circuit Judge</w:t>
      </w:r>
    </w:p>
    <w:p w14:paraId="7DBB37E4" w14:textId="77777777" w:rsidR="002D0E71" w:rsidRDefault="002D0E71">
      <w:pPr>
        <w:pStyle w:val="Normal44"/>
      </w:pPr>
    </w:p>
    <w:p w14:paraId="125C1001" w14:textId="622D2349" w:rsidR="002D0E71" w:rsidRDefault="00000000">
      <w:pPr>
        <w:pStyle w:val="Normal44"/>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54496" behindDoc="0" locked="0" layoutInCell="1" allowOverlap="1" wp14:anchorId="2F02CE52" wp14:editId="6BBA3917">
                <wp:simplePos x="0" y="0"/>
                <wp:positionH relativeFrom="column">
                  <wp:posOffset>0</wp:posOffset>
                </wp:positionH>
                <wp:positionV relativeFrom="paragraph">
                  <wp:posOffset>127000</wp:posOffset>
                </wp:positionV>
                <wp:extent cx="6502400" cy="0"/>
                <wp:effectExtent l="9525" t="12700" r="12700" b="6350"/>
                <wp:wrapNone/>
                <wp:docPr id="579723175"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72322" id="Line 100"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0DEB8AC" w14:textId="77777777" w:rsidR="002D0E71" w:rsidRDefault="002D0E71">
      <w:pPr>
        <w:pStyle w:val="Normal45"/>
        <w:sectPr w:rsidR="002D0E71">
          <w:headerReference w:type="even" r:id="rId281"/>
          <w:headerReference w:type="default" r:id="rId282"/>
          <w:footerReference w:type="even" r:id="rId283"/>
          <w:footerReference w:type="default" r:id="rId284"/>
          <w:headerReference w:type="first" r:id="rId285"/>
          <w:footerReference w:type="first" r:id="rId286"/>
          <w:pgSz w:w="12240" w:h="15840"/>
          <w:pgMar w:top="840" w:right="1000" w:bottom="840" w:left="1000" w:header="400" w:footer="400" w:gutter="0"/>
          <w:cols w:space="720"/>
          <w:titlePg/>
        </w:sectPr>
      </w:pPr>
    </w:p>
    <w:p w14:paraId="2B5F952C" w14:textId="77777777" w:rsidR="002D0E71" w:rsidRDefault="002D0E71">
      <w:pPr>
        <w:pStyle w:val="Normal45"/>
      </w:pPr>
    </w:p>
    <w:p w14:paraId="0CEA880A" w14:textId="77777777" w:rsidR="002D0E71" w:rsidRDefault="00000000">
      <w:pPr>
        <w:pStyle w:val="Heading144"/>
        <w:keepNext w:val="0"/>
        <w:widowControl w:val="0"/>
        <w:spacing w:after="200" w:line="340" w:lineRule="atLeast"/>
        <w:jc w:val="center"/>
      </w:pPr>
      <w:r>
        <w:rPr>
          <w:rFonts w:eastAsia="Arial"/>
          <w:color w:val="000000"/>
          <w:sz w:val="28"/>
        </w:rPr>
        <w:t>Sheehan v. City &amp; County of San Francisco</w:t>
      </w:r>
    </w:p>
    <w:p w14:paraId="1C718CF3" w14:textId="77777777" w:rsidR="002D0E71" w:rsidRDefault="00000000">
      <w:pPr>
        <w:pStyle w:val="Normal45"/>
        <w:widowControl w:val="0"/>
        <w:spacing w:before="120" w:line="260" w:lineRule="atLeast"/>
        <w:jc w:val="center"/>
      </w:pPr>
      <w:r>
        <w:rPr>
          <w:rFonts w:ascii="Arial" w:eastAsia="Arial" w:hAnsi="Arial" w:cs="Arial"/>
          <w:color w:val="000000"/>
          <w:sz w:val="20"/>
        </w:rPr>
        <w:t>United States Court of Appeals for the Ninth Circuit</w:t>
      </w:r>
    </w:p>
    <w:p w14:paraId="4B390B49" w14:textId="77777777" w:rsidR="002D0E71" w:rsidRDefault="00000000">
      <w:pPr>
        <w:pStyle w:val="Normal45"/>
        <w:widowControl w:val="0"/>
        <w:spacing w:before="120" w:line="260" w:lineRule="atLeast"/>
        <w:jc w:val="center"/>
      </w:pPr>
      <w:r>
        <w:rPr>
          <w:rFonts w:ascii="Arial" w:eastAsia="Arial" w:hAnsi="Arial" w:cs="Arial"/>
          <w:color w:val="000000"/>
          <w:sz w:val="20"/>
        </w:rPr>
        <w:t>January 16, 2013, Argued and Submitted, San Francisco, California; February 21, 2014, Filed</w:t>
      </w:r>
    </w:p>
    <w:p w14:paraId="6672D485" w14:textId="77777777" w:rsidR="002D0E71" w:rsidRDefault="00000000">
      <w:pPr>
        <w:pStyle w:val="Normal45"/>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11-16401</w:t>
      </w:r>
    </w:p>
    <w:p w14:paraId="5E4FECD3" w14:textId="77777777" w:rsidR="002D0E71" w:rsidRDefault="002D0E71">
      <w:pPr>
        <w:pStyle w:val="Normal45"/>
        <w:widowControl w:val="0"/>
        <w:spacing w:line="240" w:lineRule="atLeast"/>
        <w:jc w:val="both"/>
      </w:pPr>
      <w:bookmarkStart w:id="6767" w:name="Bookmark_46"/>
      <w:bookmarkEnd w:id="6767"/>
    </w:p>
    <w:p w14:paraId="3B3D33D1" w14:textId="77777777" w:rsidR="002D0E71" w:rsidRDefault="00000000">
      <w:pPr>
        <w:pStyle w:val="Normal45"/>
        <w:widowControl w:val="0"/>
        <w:spacing w:before="200" w:line="240" w:lineRule="atLeast"/>
      </w:pPr>
      <w:bookmarkStart w:id="6768" w:name="Reporter_44"/>
      <w:bookmarkEnd w:id="6768"/>
      <w:r>
        <w:rPr>
          <w:rFonts w:ascii="Arial" w:eastAsia="Arial" w:hAnsi="Arial" w:cs="Arial"/>
          <w:b/>
          <w:color w:val="000000"/>
          <w:sz w:val="18"/>
        </w:rPr>
        <w:t>Reporter</w:t>
      </w:r>
    </w:p>
    <w:p w14:paraId="35F9B89C" w14:textId="77777777" w:rsidR="002D0E71" w:rsidRDefault="00000000">
      <w:pPr>
        <w:pStyle w:val="Normal45"/>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743 F.3d 1211 *; 2014 U.S. App. LEXIS 3321 **; 2014 WL 667082</w:t>
      </w:r>
    </w:p>
    <w:p w14:paraId="482C10CA" w14:textId="77777777" w:rsidR="002D0E71" w:rsidRDefault="00000000">
      <w:pPr>
        <w:pStyle w:val="Normal45"/>
        <w:widowControl w:val="0"/>
        <w:spacing w:before="120" w:line="260" w:lineRule="atLeast"/>
      </w:pPr>
      <w:r>
        <w:rPr>
          <w:rFonts w:ascii="Arial" w:eastAsia="Arial" w:hAnsi="Arial" w:cs="Arial"/>
          <w:color w:val="000000"/>
          <w:sz w:val="20"/>
        </w:rPr>
        <w:t>TERESA SHEEHAN, Plaintiff-Appellant, v. CITY AND COUNTY OF SAN FRANCISCO, a municipal corporation; HEATHER FONG, in her capacity as Chief of Police for the City and County of San Francisco; KIMBERLY REYNOLDS, individually, and in her capacity as police officer for the City and County of San Francisco; KATHERINE HOLDER, individually, and in her capacity as police officer for the City and County of San Francisco, Defendants-Appellees.</w:t>
      </w:r>
    </w:p>
    <w:p w14:paraId="5D8CE03C" w14:textId="77777777" w:rsidR="002D0E71" w:rsidRDefault="00000000">
      <w:pPr>
        <w:pStyle w:val="Normal45"/>
        <w:widowControl w:val="0"/>
        <w:spacing w:before="240" w:line="260" w:lineRule="atLeast"/>
      </w:pPr>
      <w:bookmarkStart w:id="6769" w:name="Subsequent_History_18"/>
      <w:bookmarkEnd w:id="6769"/>
      <w:r>
        <w:rPr>
          <w:rFonts w:ascii="Arial" w:eastAsia="Arial" w:hAnsi="Arial" w:cs="Arial"/>
          <w:b/>
          <w:color w:val="000000"/>
          <w:sz w:val="20"/>
        </w:rPr>
        <w:t>Subsequent History:</w:t>
      </w:r>
      <w:r>
        <w:rPr>
          <w:rFonts w:ascii="Arial" w:eastAsia="Arial" w:hAnsi="Arial" w:cs="Arial"/>
          <w:color w:val="000000"/>
          <w:sz w:val="20"/>
        </w:rPr>
        <w:t> US Supreme Court certiorari granted by City &amp; County of San Francisco v. Sheehan, 135 S. Ct. 702, 190 L. Ed. 2d 434, 2014 U.S. LEXIS 7830 (U.S., 2014)</w:t>
      </w:r>
    </w:p>
    <w:p w14:paraId="00834940" w14:textId="77777777" w:rsidR="002D0E71" w:rsidRDefault="00000000">
      <w:pPr>
        <w:pStyle w:val="Normal45"/>
        <w:widowControl w:val="0"/>
        <w:spacing w:before="120" w:line="260" w:lineRule="atLeast"/>
      </w:pPr>
      <w:r>
        <w:rPr>
          <w:rFonts w:ascii="Arial" w:eastAsia="Arial" w:hAnsi="Arial" w:cs="Arial"/>
          <w:color w:val="000000"/>
          <w:sz w:val="20"/>
        </w:rPr>
        <w:t>Motion granted by City &amp; Cnty. of San Francisco v. Sheehan, 135 S. Ct. 1541, 191 L. Ed. 2d 558, 2015 U.S. LEXIS 1779 (U.S., 2015)</w:t>
      </w:r>
    </w:p>
    <w:p w14:paraId="479DBB7F" w14:textId="77777777" w:rsidR="002D0E71" w:rsidRDefault="00000000">
      <w:pPr>
        <w:pStyle w:val="Normal45"/>
        <w:widowControl w:val="0"/>
        <w:spacing w:before="120" w:line="260" w:lineRule="atLeast"/>
      </w:pPr>
      <w:r>
        <w:rPr>
          <w:rFonts w:ascii="Arial" w:eastAsia="Arial" w:hAnsi="Arial" w:cs="Arial"/>
          <w:color w:val="000000"/>
          <w:sz w:val="20"/>
        </w:rPr>
        <w:t>Reversed by, in part, Remanded by, Writ of certiorari dismissed, in part City &amp; Cnty. of San Francisco v. Sheehan, 135 S. Ct. 1765, 191 L. Ed. 2d 856, 2015 U.S. LEXIS 3200 (U.S., 2015)</w:t>
      </w:r>
    </w:p>
    <w:p w14:paraId="092EC72A" w14:textId="77777777" w:rsidR="002D0E71" w:rsidRDefault="00000000">
      <w:pPr>
        <w:pStyle w:val="Normal45"/>
        <w:widowControl w:val="0"/>
        <w:spacing w:before="240" w:line="260" w:lineRule="atLeast"/>
        <w:jc w:val="both"/>
      </w:pPr>
      <w:bookmarkStart w:id="6770" w:name="Prior_History_43"/>
      <w:bookmarkEnd w:id="6770"/>
      <w:r>
        <w:rPr>
          <w:rFonts w:ascii="Arial" w:eastAsia="Arial" w:hAnsi="Arial" w:cs="Arial"/>
          <w:b/>
          <w:color w:val="000000"/>
          <w:sz w:val="20"/>
        </w:rPr>
        <w:t>Prior History:</w:t>
      </w:r>
      <w:r>
        <w:rPr>
          <w:rFonts w:ascii="Arial" w:eastAsia="Arial" w:hAnsi="Arial" w:cs="Arial"/>
          <w:color w:val="000000"/>
          <w:sz w:val="20"/>
        </w:rPr>
        <w:t>  [**1] </w:t>
      </w:r>
      <w:bookmarkStart w:id="6771" w:name="Bookmark_para_1_44"/>
      <w:bookmarkEnd w:id="6771"/>
      <w:r>
        <w:rPr>
          <w:rFonts w:ascii="Arial" w:eastAsia="Arial" w:hAnsi="Arial" w:cs="Arial"/>
          <w:color w:val="000000"/>
          <w:sz w:val="20"/>
        </w:rPr>
        <w:t>Appeal from the United States District Court for the Northern District of California. D.C. No. 3:09-cv-03889-CRB. Charles R. Breyer, District Judge, Presiding.</w:t>
      </w:r>
    </w:p>
    <w:p w14:paraId="629B54E5" w14:textId="77777777" w:rsidR="002D0E71" w:rsidRDefault="00000000">
      <w:pPr>
        <w:pStyle w:val="Normal45"/>
        <w:widowControl w:val="0"/>
        <w:spacing w:before="120" w:line="260" w:lineRule="atLeast"/>
      </w:pPr>
      <w:r>
        <w:rPr>
          <w:rFonts w:ascii="Arial" w:eastAsia="Arial" w:hAnsi="Arial" w:cs="Arial"/>
          <w:color w:val="000000"/>
          <w:sz w:val="20"/>
        </w:rPr>
        <w:t>Sheehan v. City &amp; County of San Francisco, 2011 U.S. Dist. LEXIS 48825 (N.D. Cal., May 6, 2011)</w:t>
      </w:r>
    </w:p>
    <w:p w14:paraId="7C14CFB2" w14:textId="77777777" w:rsidR="002D0E71" w:rsidRDefault="00000000">
      <w:pPr>
        <w:pStyle w:val="Normal45"/>
        <w:widowControl w:val="0"/>
        <w:spacing w:before="240" w:line="260" w:lineRule="atLeast"/>
        <w:jc w:val="both"/>
      </w:pPr>
      <w:bookmarkStart w:id="6772" w:name="Disposition_20"/>
      <w:bookmarkEnd w:id="6772"/>
      <w:r>
        <w:rPr>
          <w:rFonts w:ascii="Arial" w:eastAsia="Arial" w:hAnsi="Arial" w:cs="Arial"/>
          <w:b/>
          <w:color w:val="000000"/>
          <w:sz w:val="20"/>
        </w:rPr>
        <w:t>Disposition:</w:t>
      </w:r>
      <w:r>
        <w:rPr>
          <w:rFonts w:ascii="Arial" w:eastAsia="Arial" w:hAnsi="Arial" w:cs="Arial"/>
          <w:color w:val="000000"/>
          <w:sz w:val="20"/>
        </w:rPr>
        <w:t> </w:t>
      </w:r>
      <w:bookmarkStart w:id="6773" w:name="Bookmark_clspara_4_19"/>
      <w:bookmarkEnd w:id="6773"/>
      <w:r>
        <w:rPr>
          <w:rFonts w:ascii="Arial" w:eastAsia="Arial" w:hAnsi="Arial" w:cs="Arial"/>
          <w:color w:val="000000"/>
          <w:sz w:val="20"/>
        </w:rPr>
        <w:t>AFFIRMED IN PART, VACATED IN PART AND REMANDED.</w:t>
      </w:r>
    </w:p>
    <w:p w14:paraId="4570DF31" w14:textId="77777777" w:rsidR="002D0E71" w:rsidRDefault="00000000">
      <w:pPr>
        <w:pStyle w:val="Normal45"/>
        <w:widowControl w:val="0"/>
        <w:spacing w:before="240" w:line="260" w:lineRule="atLeast"/>
      </w:pPr>
      <w:bookmarkStart w:id="6774" w:name="Summary_9"/>
      <w:bookmarkEnd w:id="6774"/>
      <w:r>
        <w:rPr>
          <w:rFonts w:ascii="Arial" w:eastAsia="Arial" w:hAnsi="Arial" w:cs="Arial"/>
          <w:b/>
          <w:color w:val="000000"/>
          <w:sz w:val="20"/>
        </w:rPr>
        <w:t>Summary:</w:t>
      </w:r>
    </w:p>
    <w:p w14:paraId="162F3AA3" w14:textId="77777777" w:rsidR="002D0E71" w:rsidRDefault="00000000">
      <w:pPr>
        <w:pStyle w:val="Normal45"/>
        <w:widowControl w:val="0"/>
        <w:spacing w:before="240" w:line="260" w:lineRule="atLeast"/>
        <w:jc w:val="both"/>
      </w:pPr>
      <w:bookmarkStart w:id="6775" w:name="Bookmark_clspara_5_9"/>
      <w:bookmarkEnd w:id="6775"/>
      <w:r>
        <w:rPr>
          <w:rFonts w:ascii="Arial" w:eastAsia="Arial" w:hAnsi="Arial" w:cs="Arial"/>
          <w:b/>
          <w:color w:val="000000"/>
          <w:sz w:val="20"/>
        </w:rPr>
        <w:t>SUMMARY</w:t>
      </w:r>
      <w:r>
        <w:rPr>
          <w:rFonts w:ascii="Arial" w:eastAsia="Arial" w:hAnsi="Arial" w:cs="Arial"/>
          <w:vertAlign w:val="superscript"/>
        </w:rPr>
        <w:footnoteReference w:customMarkFollows="1" w:id="282"/>
        <w:t>*</w:t>
      </w:r>
    </w:p>
    <w:p w14:paraId="2CE93EE8" w14:textId="77777777" w:rsidR="002D0E71" w:rsidRDefault="00000000">
      <w:pPr>
        <w:pStyle w:val="Normal45"/>
        <w:widowControl w:val="0"/>
        <w:spacing w:before="240" w:line="260" w:lineRule="atLeast"/>
        <w:jc w:val="both"/>
      </w:pPr>
      <w:bookmarkStart w:id="6777" w:name="Bookmark_clspara_6_9"/>
      <w:bookmarkEnd w:id="6777"/>
      <w:r>
        <w:rPr>
          <w:rFonts w:ascii="Arial" w:eastAsia="Arial" w:hAnsi="Arial" w:cs="Arial"/>
          <w:b/>
          <w:color w:val="000000"/>
          <w:sz w:val="20"/>
        </w:rPr>
        <w:t>Civil Rights</w:t>
      </w:r>
    </w:p>
    <w:p w14:paraId="0B1F0CE5" w14:textId="77777777" w:rsidR="002D0E71" w:rsidRDefault="00000000">
      <w:pPr>
        <w:pStyle w:val="Normal45"/>
        <w:widowControl w:val="0"/>
        <w:spacing w:before="240" w:line="260" w:lineRule="atLeast"/>
        <w:jc w:val="both"/>
      </w:pPr>
      <w:bookmarkStart w:id="6778" w:name="Bookmark_clspara_7_9"/>
      <w:bookmarkEnd w:id="6778"/>
      <w:r>
        <w:rPr>
          <w:rFonts w:ascii="Arial" w:eastAsia="Arial" w:hAnsi="Arial" w:cs="Arial"/>
          <w:color w:val="000000"/>
          <w:sz w:val="20"/>
        </w:rPr>
        <w:t>The panel affirmed in part and reversed in part the district court's summary judgment and remanded in an action brought under 42 U.S.C. § 1983, the Americans with Disabilities Act, and state law, alleging that police officers violated plaintiff's rights when they entered her residence without a warrant and shot her after she threatened them with a knife.</w:t>
      </w:r>
    </w:p>
    <w:p w14:paraId="413E7306" w14:textId="77777777" w:rsidR="002D0E71" w:rsidRDefault="00000000">
      <w:pPr>
        <w:pStyle w:val="Normal45"/>
        <w:widowControl w:val="0"/>
        <w:spacing w:before="240" w:line="260" w:lineRule="atLeast"/>
        <w:jc w:val="both"/>
      </w:pPr>
      <w:bookmarkStart w:id="6779" w:name="Bookmark_clspara_8_9"/>
      <w:bookmarkEnd w:id="6779"/>
      <w:r>
        <w:rPr>
          <w:rFonts w:ascii="Arial" w:eastAsia="Arial" w:hAnsi="Arial" w:cs="Arial"/>
          <w:color w:val="000000"/>
          <w:sz w:val="20"/>
        </w:rPr>
        <w:t xml:space="preserve">The panel held that the officers were justified in entering plaintiff's home </w:t>
      </w:r>
      <w:r>
        <w:rPr>
          <w:rFonts w:ascii="Arial" w:eastAsia="Arial" w:hAnsi="Arial" w:cs="Arial"/>
          <w:i/>
          <w:color w:val="000000"/>
          <w:sz w:val="20"/>
        </w:rPr>
        <w:t>initially</w:t>
      </w:r>
      <w:r>
        <w:rPr>
          <w:rFonts w:ascii="Arial" w:eastAsia="Arial" w:hAnsi="Arial" w:cs="Arial"/>
          <w:color w:val="000000"/>
          <w:sz w:val="20"/>
        </w:rPr>
        <w:t xml:space="preserve"> under the emergency aid exception because they had an objectively reasonable basis to believe that plaintiff was in need of emergency medical assistance and they conducted the search or seizure in a reasonable manner up to that point. The panel also held that the district court properly rejected plaintiff's claims of municipal liability under </w:t>
      </w:r>
      <w:r>
        <w:rPr>
          <w:rFonts w:ascii="Arial" w:eastAsia="Arial" w:hAnsi="Arial" w:cs="Arial"/>
          <w:i/>
          <w:color w:val="000000"/>
          <w:sz w:val="20"/>
        </w:rPr>
        <w:t>Monell v. Department of Soc. Servs. of the City of New York</w:t>
      </w:r>
      <w:r>
        <w:rPr>
          <w:rFonts w:ascii="Arial" w:eastAsia="Arial" w:hAnsi="Arial" w:cs="Arial"/>
          <w:color w:val="000000"/>
          <w:sz w:val="20"/>
        </w:rPr>
        <w:t>, 436 U.S. 658, 98 S. Ct. 2018, 56 L. Ed. 2d 611 (1978).</w:t>
      </w:r>
    </w:p>
    <w:p w14:paraId="13CF921C" w14:textId="77777777" w:rsidR="002D0E71" w:rsidRDefault="00000000">
      <w:pPr>
        <w:pStyle w:val="Normal45"/>
        <w:widowControl w:val="0"/>
        <w:spacing w:before="240" w:line="260" w:lineRule="atLeast"/>
        <w:jc w:val="both"/>
      </w:pPr>
      <w:bookmarkStart w:id="6780" w:name="Bookmark_clspara_9_5"/>
      <w:bookmarkEnd w:id="6780"/>
      <w:r>
        <w:rPr>
          <w:rFonts w:ascii="Arial" w:eastAsia="Arial" w:hAnsi="Arial" w:cs="Arial"/>
          <w:color w:val="000000"/>
          <w:sz w:val="20"/>
        </w:rPr>
        <w:t xml:space="preserve">The  [**2] panel held that a jury could find that the officers acted unreasonably by forcing a second entry into plaintiff's residence and provoking a near-fatal confrontation. The panel held that plaintiff presented a triable issue of the unreasonable use of deadly force under a provocation theory. </w:t>
      </w:r>
      <w:r>
        <w:rPr>
          <w:rFonts w:ascii="Arial" w:eastAsia="Arial" w:hAnsi="Arial" w:cs="Arial"/>
          <w:i/>
          <w:color w:val="000000"/>
          <w:sz w:val="20"/>
        </w:rPr>
        <w:t>See Billington v. Smith</w:t>
      </w:r>
      <w:r>
        <w:rPr>
          <w:rFonts w:ascii="Arial" w:eastAsia="Arial" w:hAnsi="Arial" w:cs="Arial"/>
          <w:color w:val="000000"/>
          <w:sz w:val="20"/>
        </w:rPr>
        <w:t>, 292 F.3d 1177, 1189 (9th Cir. 2002).</w:t>
      </w:r>
    </w:p>
    <w:p w14:paraId="1D25095A" w14:textId="77777777" w:rsidR="002D0E71" w:rsidRDefault="00000000">
      <w:pPr>
        <w:pStyle w:val="Normal45"/>
        <w:widowControl w:val="0"/>
        <w:spacing w:before="240" w:line="260" w:lineRule="atLeast"/>
        <w:jc w:val="both"/>
      </w:pPr>
      <w:bookmarkStart w:id="6781" w:name="Bookmark_clspara_10_5"/>
      <w:bookmarkEnd w:id="6781"/>
      <w:r>
        <w:rPr>
          <w:rFonts w:ascii="Arial" w:eastAsia="Arial" w:hAnsi="Arial" w:cs="Arial"/>
          <w:color w:val="000000"/>
          <w:sz w:val="20"/>
        </w:rPr>
        <w:t>The panel held that Title II of the Americans with Disabilities Act applies to arrests and on the facts presented in this case, there was a triable issue whether the officers failed to reasonably accommodate plaintiff's disability when they forced their way back into her room without taking her mental illness into account or employing generally accepted police practices for peaceably resolving a confrontation with a person with mental illness. Finally, the panel vacated summary judgment on plaintiff's state law claims and remanded for further proceedings.</w:t>
      </w:r>
    </w:p>
    <w:p w14:paraId="30E4789E" w14:textId="77777777" w:rsidR="002D0E71" w:rsidRDefault="00000000">
      <w:pPr>
        <w:pStyle w:val="Normal45"/>
        <w:widowControl w:val="0"/>
        <w:spacing w:before="240" w:line="260" w:lineRule="atLeast"/>
        <w:jc w:val="both"/>
      </w:pPr>
      <w:bookmarkStart w:id="6782" w:name="Bookmark_clspara_11_3"/>
      <w:bookmarkEnd w:id="6782"/>
      <w:r>
        <w:rPr>
          <w:rFonts w:ascii="Arial" w:eastAsia="Arial" w:hAnsi="Arial" w:cs="Arial"/>
          <w:color w:val="000000"/>
          <w:sz w:val="20"/>
        </w:rPr>
        <w:t>Concurring in part and dissenting in part, Judge Graber stated that although she agreed with the remainder of the opinion, she dissented from the majority's decision on the Fourth Amendment excessive force claim with respect to the second entry into plaintiff's apartment.</w:t>
      </w:r>
    </w:p>
    <w:p w14:paraId="47F424B5" w14:textId="77777777" w:rsidR="002D0E71" w:rsidRDefault="00000000">
      <w:pPr>
        <w:pStyle w:val="Normal45"/>
        <w:widowControl w:val="0"/>
        <w:spacing w:before="240" w:line="260" w:lineRule="atLeast"/>
      </w:pPr>
      <w:bookmarkStart w:id="6783" w:name="Counsel_44"/>
      <w:bookmarkEnd w:id="6783"/>
      <w:r>
        <w:rPr>
          <w:rFonts w:ascii="Arial" w:eastAsia="Arial" w:hAnsi="Arial" w:cs="Arial"/>
          <w:b/>
          <w:color w:val="000000"/>
          <w:sz w:val="20"/>
        </w:rPr>
        <w:t>Counsel:</w:t>
      </w:r>
      <w:r>
        <w:rPr>
          <w:rFonts w:ascii="Arial" w:eastAsia="Arial" w:hAnsi="Arial" w:cs="Arial"/>
          <w:color w:val="000000"/>
          <w:sz w:val="20"/>
        </w:rPr>
        <w:t> John L. Burris, Ayana Cuevas Curry and  [**3] Benjamin Nisenbaum (argued), Law Offices of John L. Burris, Oakland, California, for Plaintiff-Appellant.</w:t>
      </w:r>
    </w:p>
    <w:p w14:paraId="7C310F63" w14:textId="77777777" w:rsidR="002D0E71" w:rsidRDefault="00000000">
      <w:pPr>
        <w:pStyle w:val="Normal45"/>
        <w:widowControl w:val="0"/>
        <w:spacing w:before="120" w:line="260" w:lineRule="atLeast"/>
      </w:pPr>
      <w:r>
        <w:rPr>
          <w:rFonts w:ascii="Arial" w:eastAsia="Arial" w:hAnsi="Arial" w:cs="Arial"/>
          <w:color w:val="000000"/>
          <w:sz w:val="20"/>
        </w:rPr>
        <w:t>Dennis J. Herrera, City Attorney, Joanne Hoeper, Chief Trial Deputy, Blake P. Loebs and Peter J. Keith (argued), Deputy City Attorneys, San Francisco, California, for Defendants-Appellees.</w:t>
      </w:r>
    </w:p>
    <w:p w14:paraId="01284ECA" w14:textId="77777777" w:rsidR="002D0E71" w:rsidRDefault="00000000">
      <w:pPr>
        <w:pStyle w:val="Normal45"/>
        <w:widowControl w:val="0"/>
        <w:spacing w:before="240" w:line="260" w:lineRule="atLeast"/>
      </w:pPr>
      <w:bookmarkStart w:id="6784" w:name="Judges_44"/>
      <w:bookmarkEnd w:id="6784"/>
      <w:r>
        <w:rPr>
          <w:rFonts w:ascii="Arial" w:eastAsia="Arial" w:hAnsi="Arial" w:cs="Arial"/>
          <w:b/>
          <w:color w:val="000000"/>
          <w:sz w:val="20"/>
        </w:rPr>
        <w:t>Judges:</w:t>
      </w:r>
      <w:r>
        <w:rPr>
          <w:rFonts w:ascii="Arial" w:eastAsia="Arial" w:hAnsi="Arial" w:cs="Arial"/>
          <w:color w:val="000000"/>
          <w:sz w:val="20"/>
        </w:rPr>
        <w:t> Before: John T. Noonan, Susan P. Graber and Raymond C. Fisher, Circuit Judges. Opinion by Judge Fisher; Partial Concurrence and Partial Dissent by Judge Graber.</w:t>
      </w:r>
    </w:p>
    <w:p w14:paraId="02635EBF" w14:textId="77777777" w:rsidR="002D0E71" w:rsidRDefault="00000000">
      <w:pPr>
        <w:pStyle w:val="Normal45"/>
        <w:widowControl w:val="0"/>
        <w:spacing w:before="240" w:line="260" w:lineRule="atLeast"/>
      </w:pPr>
      <w:bookmarkStart w:id="6785" w:name="Opinion_by_33"/>
      <w:bookmarkEnd w:id="6785"/>
      <w:r>
        <w:rPr>
          <w:rFonts w:ascii="Arial" w:eastAsia="Arial" w:hAnsi="Arial" w:cs="Arial"/>
          <w:b/>
          <w:color w:val="000000"/>
          <w:sz w:val="20"/>
        </w:rPr>
        <w:t>Opinion by:</w:t>
      </w:r>
      <w:r>
        <w:rPr>
          <w:rFonts w:ascii="Arial" w:eastAsia="Arial" w:hAnsi="Arial" w:cs="Arial"/>
          <w:color w:val="000000"/>
          <w:sz w:val="20"/>
        </w:rPr>
        <w:t> Raymond C. Fisher</w:t>
      </w:r>
    </w:p>
    <w:p w14:paraId="3936842E" w14:textId="77777777" w:rsidR="002D0E71" w:rsidRDefault="00000000">
      <w:pPr>
        <w:pStyle w:val="Normal45"/>
        <w:keepNext/>
        <w:widowControl w:val="0"/>
        <w:spacing w:before="240" w:line="340" w:lineRule="atLeast"/>
      </w:pPr>
      <w:bookmarkStart w:id="6786" w:name="Opinion_44"/>
      <w:bookmarkEnd w:id="6786"/>
      <w:r>
        <w:rPr>
          <w:rFonts w:ascii="Arial" w:eastAsia="Arial" w:hAnsi="Arial" w:cs="Arial"/>
          <w:b/>
          <w:color w:val="000000"/>
          <w:sz w:val="28"/>
        </w:rPr>
        <w:t>Opinion</w:t>
      </w:r>
    </w:p>
    <w:p w14:paraId="7B799FED" w14:textId="6EF1B5B1" w:rsidR="002D0E71" w:rsidRDefault="002939DF">
      <w:pPr>
        <w:pStyle w:val="Normal45"/>
        <w:spacing w:line="60" w:lineRule="exact"/>
      </w:pPr>
      <w:r>
        <w:rPr>
          <w:noProof/>
        </w:rPr>
        <mc:AlternateContent>
          <mc:Choice Requires="wps">
            <w:drawing>
              <wp:anchor distT="0" distB="0" distL="114300" distR="114300" simplePos="0" relativeHeight="251755520" behindDoc="0" locked="0" layoutInCell="1" allowOverlap="1" wp14:anchorId="19B1F7FB" wp14:editId="30134959">
                <wp:simplePos x="0" y="0"/>
                <wp:positionH relativeFrom="column">
                  <wp:posOffset>0</wp:posOffset>
                </wp:positionH>
                <wp:positionV relativeFrom="paragraph">
                  <wp:posOffset>25400</wp:posOffset>
                </wp:positionV>
                <wp:extent cx="3187700" cy="0"/>
                <wp:effectExtent l="19050" t="15875" r="12700" b="12700"/>
                <wp:wrapTopAndBottom/>
                <wp:docPr id="648292989"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295050" id="Line 101"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3F93612" w14:textId="77777777" w:rsidR="002D0E71" w:rsidRDefault="002D0E71">
      <w:pPr>
        <w:pStyle w:val="Normal45"/>
      </w:pPr>
    </w:p>
    <w:p w14:paraId="0A9C0478" w14:textId="77777777" w:rsidR="002D0E71" w:rsidRDefault="00000000">
      <w:pPr>
        <w:pStyle w:val="Normal45"/>
        <w:widowControl w:val="0"/>
        <w:spacing w:before="200" w:line="260" w:lineRule="atLeast"/>
        <w:jc w:val="both"/>
      </w:pPr>
      <w:bookmarkStart w:id="6787" w:name="Bookmark_para_2_44"/>
      <w:bookmarkEnd w:id="6787"/>
      <w:r>
        <w:rPr>
          <w:rFonts w:ascii="Arial" w:eastAsia="Arial" w:hAnsi="Arial" w:cs="Arial"/>
          <w:color w:val="000000"/>
          <w:sz w:val="20"/>
        </w:rPr>
        <w:t> [*1215]  FISHER, Circuit Judge:</w:t>
      </w:r>
    </w:p>
    <w:p w14:paraId="1E641E5A" w14:textId="77777777" w:rsidR="002D0E71" w:rsidRDefault="00000000">
      <w:pPr>
        <w:pStyle w:val="Normal45"/>
        <w:widowControl w:val="0"/>
        <w:spacing w:before="200" w:line="260" w:lineRule="atLeast"/>
        <w:jc w:val="both"/>
      </w:pPr>
      <w:bookmarkStart w:id="6788" w:name="Bookmark_para_3_44"/>
      <w:bookmarkEnd w:id="6788"/>
      <w:r>
        <w:rPr>
          <w:rFonts w:ascii="Arial" w:eastAsia="Arial" w:hAnsi="Arial" w:cs="Arial"/>
          <w:color w:val="000000"/>
          <w:sz w:val="20"/>
        </w:rPr>
        <w:t>This case involves a near fatal tragedy in which police officers attempted to help a mentally ill woman who needed medical evaluation and treatment but wound up shooting and nearly killing her instead. They did so after entering her home without a warrant, causing her to react with violent outrage at the intruders. Fundamentally at issue is the constitutional balance between a person's right to be left alone in the sanctity of her home and the laudable efforts of the police to render emergency assistance, but in a way that does not turn the intended beneficiary into a victim or a criminal.</w:t>
      </w:r>
    </w:p>
    <w:p w14:paraId="01ED235D" w14:textId="77777777" w:rsidR="002D0E71" w:rsidRDefault="00000000">
      <w:pPr>
        <w:pStyle w:val="Normal45"/>
        <w:widowControl w:val="0"/>
        <w:spacing w:before="200" w:line="260" w:lineRule="atLeast"/>
        <w:jc w:val="both"/>
      </w:pPr>
      <w:bookmarkStart w:id="6789" w:name="Bookmark_para_4_44"/>
      <w:bookmarkEnd w:id="6789"/>
      <w:r>
        <w:rPr>
          <w:rFonts w:ascii="Arial" w:eastAsia="Arial" w:hAnsi="Arial" w:cs="Arial"/>
          <w:color w:val="000000"/>
          <w:sz w:val="20"/>
        </w:rPr>
        <w:t>Teresa Sheehan, a woman in her mid-50s suffering from a mental illness, lived in a San Francisco group home that  [**4] accommodated such persons. Her assigned social worker, Heath Hodge, became concerned about her apparently deteriorating condition and summoned the police for help in transporting her to a mental health facility for a 72-hour involuntary commitment for evaluation and treatment under California Welfare &amp; Institutions Code § 5150. Hodge deemed Sheehan "gravely disabled," because she was not taking her medication or taking care of herself, and a danger to others, because she had threatened him when he attempted to perform a welfare check on her. When San Francisco police officers Kimberly Reynolds and Katherine Holder arrived on the scene, they entered Sheehan's room, without a warrant, to confirm Hodge's assessment and take her into custody. Sheehan reacted violently to the officers' presence, grabbing a knife, threatening to kill the officers, telling the officers that she did not wish to be detained in a mental health facility and forcing the officers to retreat to the hallway, outside Sheehan's closed door, for their safety. The officers called [*1216]  for backup, but rather than waiting for backup or taking other actions to maintain the status quo or de-escalate the situation, the officers  [**5] drew their weapons and forced their way back into Sheehan's room, presumably to disarm, subdue and arrest her, and to prevent her escape (although there do not appear to have been any means of escape available). Sheehan once again threatened the officers with a knife, causing the officers to shoot Sheehan five or six times. Sheehan, who survived, filed this 42 U.S.C. § 1983 action against the officers and the city, asserting violations of her rights under the Fourth Amendment and the Americans with Disabilities Act, as well as tort and statutory claims under state law. The district court granted summary judgment to the defendants, and Sheehan appealed.</w:t>
      </w:r>
    </w:p>
    <w:p w14:paraId="017250E6" w14:textId="77777777" w:rsidR="002D0E71" w:rsidRDefault="00000000">
      <w:pPr>
        <w:pStyle w:val="Normal45"/>
        <w:widowControl w:val="0"/>
        <w:spacing w:before="200" w:line="260" w:lineRule="atLeast"/>
        <w:jc w:val="both"/>
      </w:pPr>
      <w:bookmarkStart w:id="6790" w:name="Bookmark_para_5_44"/>
      <w:bookmarkStart w:id="6791" w:name="Bookmark_LNHNREFclscc1_39"/>
      <w:bookmarkEnd w:id="6790"/>
      <w:bookmarkEnd w:id="6791"/>
      <w:r>
        <w:rPr>
          <w:rFonts w:ascii="Arial" w:eastAsia="Arial" w:hAnsi="Arial" w:cs="Arial"/>
          <w:color w:val="000000"/>
          <w:sz w:val="20"/>
        </w:rPr>
        <w:t xml:space="preserve">Although a warrantless search or seizure in a person's home is presumptively unreasonable under the Fourth Amendment, our case law recognizes exceptions to the warrant requirement to render emergency assistance or respond to exigent circumstances. We hold that the officers were justified in entering Sheehan's home </w:t>
      </w:r>
      <w:r>
        <w:rPr>
          <w:rFonts w:ascii="Arial" w:eastAsia="Arial" w:hAnsi="Arial" w:cs="Arial"/>
          <w:i/>
          <w:color w:val="000000"/>
          <w:sz w:val="20"/>
        </w:rPr>
        <w:t>initially</w:t>
      </w:r>
      <w:r>
        <w:rPr>
          <w:rFonts w:ascii="Arial" w:eastAsia="Arial" w:hAnsi="Arial" w:cs="Arial"/>
          <w:color w:val="000000"/>
          <w:sz w:val="20"/>
        </w:rPr>
        <w:t xml:space="preserve"> under the emergency aid exception because they had an objectively reasonable basis to believe that Sheehan was in need of emergency medical assistance and they conducted the search or seizure in a reasonable manner  [**6] up to that point. </w:t>
      </w:r>
      <w:bookmarkStart w:id="6792" w:name="Bookmark_LNHNREFclscc2_39"/>
      <w:bookmarkEnd w:id="6792"/>
      <w:r>
        <w:rPr>
          <w:rFonts w:ascii="Arial" w:eastAsia="Arial" w:hAnsi="Arial" w:cs="Arial"/>
          <w:color w:val="000000"/>
          <w:sz w:val="20"/>
        </w:rPr>
        <w:t>Officers conducting a welfare search, where the objective is rescue, are expected to err on the side of caution, and under the circumstances of this case the officers reasonably could have believed that Sheehan's situation presented a genuine emergency and that entering as they did was a reasonable means of providing her with assistance.</w:t>
      </w:r>
    </w:p>
    <w:p w14:paraId="19963E2F" w14:textId="77777777" w:rsidR="002D0E71" w:rsidRDefault="00000000">
      <w:pPr>
        <w:pStyle w:val="Normal45"/>
        <w:widowControl w:val="0"/>
        <w:spacing w:before="200" w:line="260" w:lineRule="atLeast"/>
        <w:jc w:val="both"/>
      </w:pPr>
      <w:bookmarkStart w:id="6793" w:name="Bookmark_para_6_44"/>
      <w:bookmarkEnd w:id="6793"/>
      <w:r>
        <w:rPr>
          <w:rFonts w:ascii="Arial" w:eastAsia="Arial" w:hAnsi="Arial" w:cs="Arial"/>
          <w:color w:val="000000"/>
          <w:sz w:val="20"/>
        </w:rPr>
        <w:t xml:space="preserve">We nonetheless hold that there are triable issues of fact as to whether the </w:t>
      </w:r>
      <w:r>
        <w:rPr>
          <w:rFonts w:ascii="Arial" w:eastAsia="Arial" w:hAnsi="Arial" w:cs="Arial"/>
          <w:i/>
          <w:color w:val="000000"/>
          <w:sz w:val="20"/>
        </w:rPr>
        <w:t>second entry</w:t>
      </w:r>
      <w:r>
        <w:rPr>
          <w:rFonts w:ascii="Arial" w:eastAsia="Arial" w:hAnsi="Arial" w:cs="Arial"/>
          <w:color w:val="000000"/>
          <w:sz w:val="20"/>
        </w:rPr>
        <w:t xml:space="preserve"> violated the Fourth Amendment. If the officers were acting pursuant to the emergency aid exception, then they were required to carry out the search or seizure in a reasonable manner. Similarly, if they were acting pursuant to the exigent circumstances exception, they were required to use reasonable force. Under either standard, a jury could find that the officers acted unreasonably by forcing the second entry and provoking a near-fatal confrontation. We therefore cannot say that the second entry was reasonable as a matter of law.</w:t>
      </w:r>
    </w:p>
    <w:p w14:paraId="33DC4525" w14:textId="77777777" w:rsidR="002D0E71" w:rsidRDefault="00000000">
      <w:pPr>
        <w:pStyle w:val="Normal45"/>
        <w:widowControl w:val="0"/>
        <w:spacing w:before="200" w:line="260" w:lineRule="atLeast"/>
        <w:jc w:val="both"/>
      </w:pPr>
      <w:bookmarkStart w:id="6794" w:name="Bookmark_para_7_43"/>
      <w:bookmarkEnd w:id="6794"/>
      <w:r>
        <w:rPr>
          <w:rFonts w:ascii="Arial" w:eastAsia="Arial" w:hAnsi="Arial" w:cs="Arial"/>
          <w:color w:val="000000"/>
          <w:sz w:val="20"/>
        </w:rPr>
        <w:t xml:space="preserve">We further hold that there are triable issues of fact as to whether the officers used excessive force by resorting to deadly force and shooting Sheehan. </w:t>
      </w:r>
      <w:bookmarkStart w:id="6795" w:name="Bookmark_I5BRCY702HM5VG0020000400"/>
      <w:bookmarkEnd w:id="6795"/>
      <w:r>
        <w:rPr>
          <w:rFonts w:ascii="Arial" w:eastAsia="Arial" w:hAnsi="Arial" w:cs="Arial"/>
          <w:color w:val="000000"/>
          <w:sz w:val="20"/>
        </w:rPr>
        <w:t xml:space="preserve">The shooting was lawful when viewed from the moment of the shooting  [**7] because at that point Sheehan presented an immediate danger to the officers' safety. Under our case law, however, </w:t>
      </w:r>
      <w:bookmarkStart w:id="6796" w:name="Bookmark_LNHNREFclscc3_38"/>
      <w:bookmarkEnd w:id="6796"/>
      <w:r>
        <w:rPr>
          <w:rFonts w:ascii="Arial" w:eastAsia="Arial" w:hAnsi="Arial" w:cs="Arial"/>
          <w:color w:val="000000"/>
          <w:sz w:val="20"/>
        </w:rPr>
        <w:t xml:space="preserve">officers may be held liable for an otherwise lawful defensive use of deadly force when they intentionally or recklessly provoke a violent confrontation by actions that rise to the level of an independent Fourth Amendment violation. </w:t>
      </w:r>
      <w:r>
        <w:rPr>
          <w:rFonts w:ascii="Arial" w:eastAsia="Arial" w:hAnsi="Arial" w:cs="Arial"/>
          <w:i/>
          <w:color w:val="000000"/>
          <w:sz w:val="20"/>
        </w:rPr>
        <w:t xml:space="preserve">See </w:t>
      </w:r>
      <w:bookmarkStart w:id="6797" w:name="Bookmark_I5BRCY702HM5VG0010000400"/>
      <w:bookmarkEnd w:id="6797"/>
      <w:r>
        <w:rPr>
          <w:rFonts w:ascii="Arial" w:eastAsia="Arial" w:hAnsi="Arial" w:cs="Arial"/>
          <w:i/>
          <w:color w:val="000000"/>
          <w:sz w:val="20"/>
        </w:rPr>
        <w:t>Billington v. Smith</w:t>
      </w:r>
      <w:r>
        <w:rPr>
          <w:rFonts w:ascii="Arial" w:eastAsia="Arial" w:hAnsi="Arial" w:cs="Arial"/>
          <w:color w:val="000000"/>
          <w:sz w:val="20"/>
        </w:rPr>
        <w:t xml:space="preserve">, 292 F.3d 1177, 1189 (9th Cir. 2002). Here, Sheehan has presented a triable issue as to whether the officers committed an independent Fourth Amendment violation by unreasonably forcing their way back into her home, and she has also presented evidence from which a reasonable jury could find that the officers acted recklessly in doing so. She has therefore presented a triable issue of the unreasonable use of deadly force under </w:t>
      </w:r>
      <w:r>
        <w:rPr>
          <w:rFonts w:ascii="Arial" w:eastAsia="Arial" w:hAnsi="Arial" w:cs="Arial"/>
          <w:i/>
          <w:color w:val="000000"/>
          <w:sz w:val="20"/>
        </w:rPr>
        <w:t>Billington</w:t>
      </w:r>
      <w:r>
        <w:rPr>
          <w:rFonts w:ascii="Arial" w:eastAsia="Arial" w:hAnsi="Arial" w:cs="Arial"/>
          <w:color w:val="000000"/>
          <w:sz w:val="20"/>
        </w:rPr>
        <w:t>'s provocation theory.</w:t>
      </w:r>
    </w:p>
    <w:p w14:paraId="24556C60" w14:textId="77777777" w:rsidR="002D0E71" w:rsidRDefault="00000000">
      <w:pPr>
        <w:pStyle w:val="Normal45"/>
        <w:widowControl w:val="0"/>
        <w:spacing w:before="200" w:line="260" w:lineRule="atLeast"/>
        <w:jc w:val="both"/>
      </w:pPr>
      <w:bookmarkStart w:id="6798" w:name="Bookmark_para_8_43"/>
      <w:bookmarkStart w:id="6799" w:name="Bookmark_I5BRCY702HM5VG0040000400"/>
      <w:bookmarkEnd w:id="6798"/>
      <w:bookmarkEnd w:id="6799"/>
      <w:r>
        <w:rPr>
          <w:rFonts w:ascii="Arial" w:eastAsia="Arial" w:hAnsi="Arial" w:cs="Arial"/>
          <w:color w:val="000000"/>
          <w:sz w:val="20"/>
        </w:rPr>
        <w:t xml:space="preserve">We hold that the district court properly rejected Sheehan's claims of municipal liability under </w:t>
      </w:r>
      <w:bookmarkStart w:id="6800" w:name="Bookmark_I5BRCY702HM5VG0030000400"/>
      <w:bookmarkEnd w:id="6800"/>
      <w:r>
        <w:rPr>
          <w:rFonts w:ascii="Arial" w:eastAsia="Arial" w:hAnsi="Arial" w:cs="Arial"/>
          <w:i/>
          <w:color w:val="000000"/>
          <w:sz w:val="20"/>
        </w:rPr>
        <w:t>Monell v. Department of Social Services of the City of New York</w:t>
      </w:r>
      <w:r>
        <w:rPr>
          <w:rFonts w:ascii="Arial" w:eastAsia="Arial" w:hAnsi="Arial" w:cs="Arial"/>
          <w:color w:val="000000"/>
          <w:sz w:val="20"/>
        </w:rPr>
        <w:t>, 436 U.S. 658, 98 S. Ct. 2018, 56 L. Ed. 2d 611 (1978). Sheehan's claim that the city is liable on a failure to train theory fails because she concedes that the police department [*1217]  employed appropriate training materials to guide police officers'  [**8] responses to persons they knew to be suffering from mental illness. That the officers may not have followed those policies does not establish that the city was deliberately indifferent to Sheehan's rights. Sheehan's claim that the city is liable for ratifying the officers' allegedly unconstitutional acts fails because there is no evidence that the city adopted or expressly approved the officers' actions.</w:t>
      </w:r>
    </w:p>
    <w:p w14:paraId="7C2B52F2" w14:textId="77777777" w:rsidR="002D0E71" w:rsidRDefault="00000000">
      <w:pPr>
        <w:pStyle w:val="Normal45"/>
        <w:widowControl w:val="0"/>
        <w:spacing w:before="200" w:line="260" w:lineRule="atLeast"/>
        <w:jc w:val="both"/>
      </w:pPr>
      <w:bookmarkStart w:id="6801" w:name="Bookmark_para_9_43"/>
      <w:bookmarkEnd w:id="6801"/>
      <w:r>
        <w:rPr>
          <w:rFonts w:ascii="Arial" w:eastAsia="Arial" w:hAnsi="Arial" w:cs="Arial"/>
          <w:color w:val="000000"/>
          <w:sz w:val="20"/>
        </w:rPr>
        <w:t xml:space="preserve">Turning to an issue of first impression, we join the majority of circuits that have addressed the issue and hold that </w:t>
      </w:r>
      <w:bookmarkStart w:id="6802" w:name="Bookmark_LNHNREFclscc4_38"/>
      <w:bookmarkEnd w:id="6802"/>
      <w:r>
        <w:rPr>
          <w:rFonts w:ascii="Arial" w:eastAsia="Arial" w:hAnsi="Arial" w:cs="Arial"/>
          <w:color w:val="000000"/>
          <w:sz w:val="20"/>
        </w:rPr>
        <w:t>Title II of the Americans with Disabilities Act applies to arrests. But we emphasize, as have those other circuits, that the exigencies surrounding police officers' decisions in the field must be taken into account when assessing the reasonableness of the officers' actions. We hold that, on the facts presented here, there is a triable issue whether the officers failed to reasonably accommodate Sheehan's disability when they forced their way back into her room without taking her mental illness into account or employing generally accepted police practices for peaceably resolving a confrontation with a person with mental illness.</w:t>
      </w:r>
    </w:p>
    <w:p w14:paraId="251A1756" w14:textId="77777777" w:rsidR="002D0E71" w:rsidRDefault="00000000">
      <w:pPr>
        <w:pStyle w:val="Normal45"/>
        <w:widowControl w:val="0"/>
        <w:spacing w:before="200" w:line="260" w:lineRule="atLeast"/>
        <w:jc w:val="both"/>
      </w:pPr>
      <w:bookmarkStart w:id="6803" w:name="Bookmark_para_10_42"/>
      <w:bookmarkEnd w:id="6803"/>
      <w:r>
        <w:rPr>
          <w:rFonts w:ascii="Arial" w:eastAsia="Arial" w:hAnsi="Arial" w:cs="Arial"/>
          <w:color w:val="000000"/>
          <w:sz w:val="20"/>
        </w:rPr>
        <w:t>Finally, we vacate summary judgment on Sheehan's  [**9] state law claims and remand for further proceedings.</w:t>
      </w:r>
    </w:p>
    <w:p w14:paraId="74FDF6CF" w14:textId="77777777" w:rsidR="002D0E71" w:rsidRDefault="00000000">
      <w:pPr>
        <w:pStyle w:val="Normal45"/>
        <w:widowControl w:val="0"/>
        <w:spacing w:before="240" w:line="260" w:lineRule="atLeast"/>
      </w:pPr>
      <w:r>
        <w:br/>
      </w:r>
      <w:r>
        <w:rPr>
          <w:rFonts w:ascii="Arial" w:eastAsia="Arial" w:hAnsi="Arial" w:cs="Arial"/>
          <w:b/>
          <w:color w:val="000000"/>
          <w:sz w:val="20"/>
        </w:rPr>
        <w:t>BACKGROUND</w:t>
      </w:r>
    </w:p>
    <w:p w14:paraId="4DF268B9" w14:textId="77777777" w:rsidR="002D0E71" w:rsidRDefault="00000000">
      <w:pPr>
        <w:pStyle w:val="Normal45"/>
        <w:widowControl w:val="0"/>
        <w:spacing w:before="200" w:line="260" w:lineRule="atLeast"/>
        <w:jc w:val="both"/>
      </w:pPr>
      <w:bookmarkStart w:id="6804" w:name="Bookmark_para_11_42"/>
      <w:bookmarkEnd w:id="6804"/>
      <w:r>
        <w:rPr>
          <w:rFonts w:ascii="Arial" w:eastAsia="Arial" w:hAnsi="Arial" w:cs="Arial"/>
          <w:color w:val="000000"/>
          <w:sz w:val="20"/>
        </w:rPr>
        <w:t>Teresa Sheehan was a resident of Conrad House, a group home for persons dealing with mental illness located in San Francisco. Residents of the home have private rooms and share common areas, like the kitchen and living room. On August 7, 2008, Heath Hodge, a social worker, attempted to perform a welfare check on Sheehan. When he entered Sheehan's room without her permission, Sheehan told him to get out. She also told him that she had a knife and threatened him.</w:t>
      </w:r>
    </w:p>
    <w:p w14:paraId="67A84F0E" w14:textId="77777777" w:rsidR="002D0E71" w:rsidRDefault="00000000">
      <w:pPr>
        <w:pStyle w:val="Normal45"/>
        <w:widowControl w:val="0"/>
        <w:spacing w:before="200" w:line="260" w:lineRule="atLeast"/>
        <w:jc w:val="both"/>
      </w:pPr>
      <w:bookmarkStart w:id="6805" w:name="Bookmark_para_12_41"/>
      <w:bookmarkEnd w:id="6805"/>
      <w:r>
        <w:rPr>
          <w:rFonts w:ascii="Arial" w:eastAsia="Arial" w:hAnsi="Arial" w:cs="Arial"/>
          <w:color w:val="000000"/>
          <w:sz w:val="20"/>
        </w:rPr>
        <w:t>In light of Sheehan's threat, Hodge cleared the building of other residents. He also completed an application under California Welfare &amp; Institutions Code § 5150 for Sheehan's 72-hour detention for psychiatric evaluation and treatment. He telephoned the police department's nonemergency number and requested police assistance in transporting Sheehan to a mental health facility.</w:t>
      </w:r>
    </w:p>
    <w:p w14:paraId="3EEDC1B9" w14:textId="77777777" w:rsidR="002D0E71" w:rsidRDefault="00000000">
      <w:pPr>
        <w:pStyle w:val="Normal45"/>
        <w:widowControl w:val="0"/>
        <w:spacing w:before="200" w:line="260" w:lineRule="atLeast"/>
        <w:jc w:val="both"/>
      </w:pPr>
      <w:bookmarkStart w:id="6806" w:name="Bookmark_para_13_41"/>
      <w:bookmarkStart w:id="6807" w:name="Bookmark_LNHNREFclscc5_38"/>
      <w:bookmarkEnd w:id="6806"/>
      <w:bookmarkEnd w:id="6807"/>
      <w:r>
        <w:rPr>
          <w:rFonts w:ascii="Arial" w:eastAsia="Arial" w:hAnsi="Arial" w:cs="Arial"/>
          <w:color w:val="000000"/>
          <w:sz w:val="20"/>
        </w:rPr>
        <w:t>Section 5150 provides a mechanism for mental health professionals or others to initiate a temporary detention of persons who are a danger to themselves or others or "gravely disabled." Section 5150 states in pertinent part:</w:t>
      </w:r>
    </w:p>
    <w:p w14:paraId="422DB6CA" w14:textId="77777777" w:rsidR="002D0E71" w:rsidRDefault="00000000">
      <w:pPr>
        <w:pStyle w:val="Normal45"/>
        <w:widowControl w:val="0"/>
        <w:spacing w:before="200" w:line="260" w:lineRule="atLeast"/>
        <w:ind w:left="400"/>
        <w:jc w:val="both"/>
      </w:pPr>
      <w:bookmarkStart w:id="6808" w:name="Bookmark_para_14_40"/>
      <w:bookmarkStart w:id="6809" w:name="Bookmark_LNHNREFclscc6_37"/>
      <w:bookmarkEnd w:id="6808"/>
      <w:bookmarkEnd w:id="6809"/>
      <w:r>
        <w:rPr>
          <w:rFonts w:ascii="Arial" w:eastAsia="Arial" w:hAnsi="Arial" w:cs="Arial"/>
          <w:color w:val="000000"/>
          <w:sz w:val="20"/>
        </w:rPr>
        <w:t>When any person, as a result of mental disorder, is a danger to others,  [**10] or to himself or herself, or gravely disabled, a peace officer, member of the attending staff, as defined by regulation, of an evaluation facility designated by the county, or other professional person designated by the county may, upon probable cause, take, or cause to be taken, the person into custody and place him or her in a facility designated by the county and approved by the State Department of Health Care Services as a facility for 72-hour treatment and evaluation.</w:t>
      </w:r>
    </w:p>
    <w:p w14:paraId="6ECA4264" w14:textId="77777777" w:rsidR="002D0E71" w:rsidRDefault="00000000">
      <w:pPr>
        <w:pStyle w:val="Normal45"/>
        <w:widowControl w:val="0"/>
        <w:spacing w:before="200" w:line="260" w:lineRule="atLeast"/>
        <w:jc w:val="both"/>
      </w:pPr>
      <w:r>
        <w:rPr>
          <w:rFonts w:ascii="Arial" w:eastAsia="Arial" w:hAnsi="Arial" w:cs="Arial"/>
          <w:color w:val="000000"/>
          <w:sz w:val="20"/>
        </w:rPr>
        <w:t xml:space="preserve">Cal. Welf. &amp; Inst. Code § 5150(a). </w:t>
      </w:r>
      <w:bookmarkStart w:id="6810" w:name="Bookmark_LNHNREFclscc7_35"/>
      <w:bookmarkEnd w:id="6810"/>
      <w:r>
        <w:rPr>
          <w:rFonts w:ascii="Arial" w:eastAsia="Arial" w:hAnsi="Arial" w:cs="Arial"/>
          <w:color w:val="000000"/>
          <w:sz w:val="20"/>
        </w:rPr>
        <w:t xml:space="preserve">The statute defines "gravely disabled" as, inter alia, "[a] condition in which a person, as a result of a mental disorder, is unable to provide for his or her basic personal needs for food, clothing, or shelter." </w:t>
      </w:r>
      <w:r>
        <w:rPr>
          <w:rFonts w:ascii="Arial" w:eastAsia="Arial" w:hAnsi="Arial" w:cs="Arial"/>
          <w:i/>
          <w:color w:val="000000"/>
          <w:sz w:val="20"/>
        </w:rPr>
        <w:t>Id</w:t>
      </w:r>
      <w:r>
        <w:rPr>
          <w:rFonts w:ascii="Arial" w:eastAsia="Arial" w:hAnsi="Arial" w:cs="Arial"/>
          <w:color w:val="000000"/>
          <w:sz w:val="20"/>
        </w:rPr>
        <w:t>. § 5008(h)(1).</w:t>
      </w:r>
    </w:p>
    <w:p w14:paraId="6061DC74" w14:textId="77777777" w:rsidR="002D0E71" w:rsidRDefault="00000000">
      <w:pPr>
        <w:pStyle w:val="Normal45"/>
        <w:widowControl w:val="0"/>
        <w:spacing w:before="200" w:line="260" w:lineRule="atLeast"/>
        <w:jc w:val="both"/>
      </w:pPr>
      <w:bookmarkStart w:id="6811" w:name="Bookmark_para_15_39"/>
      <w:bookmarkEnd w:id="6811"/>
      <w:r>
        <w:rPr>
          <w:rFonts w:ascii="Arial" w:eastAsia="Arial" w:hAnsi="Arial" w:cs="Arial"/>
          <w:color w:val="000000"/>
          <w:sz w:val="20"/>
        </w:rPr>
        <w:t>The San Francisco Police Department dispatched Officer Katherine Holder and Sergeant Kimberly Reynolds to respond to Hodge's call for assistance. The computer automated dispatch information provided to the officers stated: "Social worker just went inside to check on his patient, subject [*1218]  is known to make violent threats, told reporting party to get out or she'll knife him (no weapon seen) / / Name is Teresa Sheehan / Eurasian, early 50's, wearing striped  [**11] shirt/pants."</w:t>
      </w:r>
    </w:p>
    <w:p w14:paraId="25533E29" w14:textId="77777777" w:rsidR="002D0E71" w:rsidRDefault="00000000">
      <w:pPr>
        <w:pStyle w:val="Normal45"/>
        <w:widowControl w:val="0"/>
        <w:spacing w:before="200" w:line="260" w:lineRule="atLeast"/>
        <w:jc w:val="both"/>
      </w:pPr>
      <w:bookmarkStart w:id="6812" w:name="Bookmark_para_16_38"/>
      <w:bookmarkEnd w:id="6812"/>
      <w:r>
        <w:rPr>
          <w:rFonts w:ascii="Arial" w:eastAsia="Arial" w:hAnsi="Arial" w:cs="Arial"/>
          <w:color w:val="000000"/>
          <w:sz w:val="20"/>
        </w:rPr>
        <w:t>Officer Holder and Sergeant Reynolds met Hodge outside the group home. Hodge showed the officers a card issued by the city identifying him as a person authorized to initiate a 72-hour detention under § 5150. Hodge advised the officers of his reason for the call. He explained that he had gone into Sheehan's room to check on her and that Sheehan had threatened to kill him with a knife. He explained that Sheehan had been off her medication for a matter of months and that she had not been taking care of herself. Hodge also informed the officers that he had cleared the building of other residents and that the only way out of Sheehan's room, other than the main door to the second floor hallway, was a second floor window that could not be used as a means of egress without a ladder.</w:t>
      </w:r>
      <w:r>
        <w:rPr>
          <w:rFonts w:ascii="Arial" w:eastAsia="Arial" w:hAnsi="Arial" w:cs="Arial"/>
          <w:vertAlign w:val="superscript"/>
        </w:rPr>
        <w:footnoteReference w:customMarkFollows="1" w:id="283"/>
        <w:t>1</w:t>
      </w:r>
    </w:p>
    <w:p w14:paraId="05847394" w14:textId="77777777" w:rsidR="002D0E71" w:rsidRDefault="00000000">
      <w:pPr>
        <w:pStyle w:val="Normal45"/>
        <w:widowControl w:val="0"/>
        <w:spacing w:before="200" w:line="260" w:lineRule="atLeast"/>
        <w:jc w:val="both"/>
      </w:pPr>
      <w:bookmarkStart w:id="6814" w:name="Bookmark_para_17_36"/>
      <w:bookmarkEnd w:id="6814"/>
      <w:r>
        <w:rPr>
          <w:rFonts w:ascii="Arial" w:eastAsia="Arial" w:hAnsi="Arial" w:cs="Arial"/>
          <w:color w:val="000000"/>
          <w:sz w:val="20"/>
        </w:rPr>
        <w:t>Hodge also showed the officers the § 5150 application he had completed before their arrival. The application said:</w:t>
      </w:r>
    </w:p>
    <w:p w14:paraId="4552AF96" w14:textId="77777777" w:rsidR="002D0E71" w:rsidRDefault="00000000">
      <w:pPr>
        <w:pStyle w:val="Normal45"/>
        <w:widowControl w:val="0"/>
        <w:spacing w:before="200" w:line="260" w:lineRule="atLeast"/>
        <w:ind w:left="400"/>
        <w:jc w:val="both"/>
      </w:pPr>
      <w:bookmarkStart w:id="6815" w:name="Bookmark_para_18_36"/>
      <w:bookmarkEnd w:id="6815"/>
      <w:r>
        <w:rPr>
          <w:rFonts w:ascii="Arial" w:eastAsia="Arial" w:hAnsi="Arial" w:cs="Arial"/>
          <w:color w:val="000000"/>
          <w:sz w:val="20"/>
        </w:rPr>
        <w:t>Client has been without psychotropic  [**12] meds times one and a half years. Has been presenting with increased symptoms for several weeks. Client has not been seen by the house counselor times two weeks. Housemates reported that client has been coming and going at odd hours and reportedly said she had stopped eating. It was also reported that client has been wearing the same clothing for several days. Writer conducted outreach to client and she was not responsive. Made no sound behind her closed door. Writer and property management keyed in for wellness check. Upon opening the door, client was found lying in her bed with a book over her face, eyes open and was not responsive. Addressed client several times and she did not move or answer. Client then suddenly got up, threw the covers, and yelled at writer violently, "Get out of here! You don't have a warrant! I have a knife and I'll kill you if I have to!" Client then slammed her door and locked it behind her.</w:t>
      </w:r>
    </w:p>
    <w:p w14:paraId="1026D786" w14:textId="77777777" w:rsidR="002D0E71" w:rsidRDefault="00000000">
      <w:pPr>
        <w:pStyle w:val="Normal45"/>
        <w:widowControl w:val="0"/>
        <w:spacing w:before="200" w:line="260" w:lineRule="atLeast"/>
        <w:jc w:val="both"/>
      </w:pPr>
      <w:r>
        <w:rPr>
          <w:rFonts w:ascii="Arial" w:eastAsia="Arial" w:hAnsi="Arial" w:cs="Arial"/>
          <w:color w:val="000000"/>
          <w:sz w:val="20"/>
        </w:rPr>
        <w:t>Near the bottom of the application form, Hodge checked two boxes, one to indicate that Sheehan was a danger to others and one to indicate that she was gravely disabled. Hodge did not check the box to indicate that Sheehan was a danger to herself, nor did he give the officers  [**13] any other reason to believe Sheehan was suicidal or likely to injure herself.</w:t>
      </w:r>
    </w:p>
    <w:p w14:paraId="3D26F4D7" w14:textId="77777777" w:rsidR="002D0E71" w:rsidRDefault="00000000">
      <w:pPr>
        <w:pStyle w:val="Normal45"/>
        <w:widowControl w:val="0"/>
        <w:spacing w:before="200" w:line="260" w:lineRule="atLeast"/>
        <w:jc w:val="both"/>
      </w:pPr>
      <w:bookmarkStart w:id="6816" w:name="Bookmark_para_19_36"/>
      <w:bookmarkEnd w:id="6816"/>
      <w:r>
        <w:rPr>
          <w:rFonts w:ascii="Arial" w:eastAsia="Arial" w:hAnsi="Arial" w:cs="Arial"/>
          <w:color w:val="000000"/>
          <w:sz w:val="20"/>
        </w:rPr>
        <w:t>Based on the information furnished by Hodge, the officers decided to contact Sheehan to confirm Hodge's assessment and take Sheehan into custody. Sheehan's room was located at the end of a hallway on the second floor. As the officers faced Sheehan's closed door, there was a closed door to the right and a small alcove, also containing closed doors, to the left.</w:t>
      </w:r>
    </w:p>
    <w:p w14:paraId="1A8BA8AF" w14:textId="77777777" w:rsidR="002D0E71" w:rsidRDefault="00000000">
      <w:pPr>
        <w:pStyle w:val="Normal45"/>
        <w:widowControl w:val="0"/>
        <w:spacing w:before="200" w:line="260" w:lineRule="atLeast"/>
        <w:jc w:val="both"/>
      </w:pPr>
      <w:bookmarkStart w:id="6817" w:name="Bookmark_para_20_34"/>
      <w:bookmarkEnd w:id="6817"/>
      <w:r>
        <w:rPr>
          <w:rFonts w:ascii="Arial" w:eastAsia="Arial" w:hAnsi="Arial" w:cs="Arial"/>
          <w:color w:val="000000"/>
          <w:sz w:val="20"/>
        </w:rPr>
        <w:t>When they reached Sheehan's door, the officers, accompanied by Hodge, knocked on the door and announced that they were police officers. They used a key that Hodge had given them and opened the door. When the door opened, the officers saw Sheehan lying on her bed with a book on her chest or stomach.</w:t>
      </w:r>
    </w:p>
    <w:p w14:paraId="7AD30D79" w14:textId="77777777" w:rsidR="002D0E71" w:rsidRDefault="00000000">
      <w:pPr>
        <w:pStyle w:val="Normal45"/>
        <w:widowControl w:val="0"/>
        <w:spacing w:before="200" w:line="260" w:lineRule="atLeast"/>
        <w:jc w:val="both"/>
      </w:pPr>
      <w:bookmarkStart w:id="6818" w:name="Bookmark_para_21_33"/>
      <w:bookmarkEnd w:id="6818"/>
      <w:r>
        <w:rPr>
          <w:rFonts w:ascii="Arial" w:eastAsia="Arial" w:hAnsi="Arial" w:cs="Arial"/>
          <w:color w:val="000000"/>
          <w:sz w:val="20"/>
        </w:rPr>
        <w:t>What happened next is mostly, though not entirely, undisputed. In Sergeant Reynolds' telling, Sheehan "raised up, reached over with her left hand very quickly grabbed one of the knives, a larger knife, from the plate and immediately  [*1219]  walked in an aggressive threatening manner towards us saying, get out of here. I'm going to kill you. Get out of my room. I don't need your help. Stuff like that, and was repeating it over and over and over again." The "knife was  [**14] shoved out in front of her, blade pointed towards us. She had her hand on the . . . handle, and as she approached closer to us the knife was always in front of her and there was some moving going on, like a jabbing motion or a stabbing motion." In Officer Holder's telling, Sheehan "grabbed the knife" and "raised it above her head coming towards Sergeant Reynolds and me saying I'm going to kill you." Hodge confirmed that Sheehan held a knife in her hands and said several times that she would kill the officers if they came near her. Although Sheehan's version of events departs in certain respects from those of the other three witnesses, Sheehan concedes that she held a knife and threatened to kill the officers.</w:t>
      </w:r>
      <w:r>
        <w:rPr>
          <w:rFonts w:ascii="Arial" w:eastAsia="Arial" w:hAnsi="Arial" w:cs="Arial"/>
          <w:vertAlign w:val="superscript"/>
        </w:rPr>
        <w:footnoteReference w:customMarkFollows="1" w:id="284"/>
        <w:t>2</w:t>
      </w:r>
      <w:r>
        <w:rPr>
          <w:rFonts w:ascii="Arial" w:eastAsia="Arial" w:hAnsi="Arial" w:cs="Arial"/>
          <w:color w:val="000000"/>
          <w:sz w:val="20"/>
        </w:rPr>
        <w:t xml:space="preserve"> Sheehan testified that she told the officers that they didn't have a search warrant and that they needed to subpoena her if they wanted to talk to her. She testified that she told the officers to go away and leave her alone.</w:t>
      </w:r>
    </w:p>
    <w:p w14:paraId="0DB8DB3D" w14:textId="77777777" w:rsidR="002D0E71" w:rsidRDefault="00000000">
      <w:pPr>
        <w:pStyle w:val="Normal45"/>
        <w:widowControl w:val="0"/>
        <w:spacing w:before="200" w:line="260" w:lineRule="atLeast"/>
        <w:jc w:val="both"/>
      </w:pPr>
      <w:bookmarkStart w:id="6820" w:name="Bookmark_para_22_33"/>
      <w:bookmarkEnd w:id="6820"/>
      <w:r>
        <w:rPr>
          <w:rFonts w:ascii="Arial" w:eastAsia="Arial" w:hAnsi="Arial" w:cs="Arial"/>
          <w:color w:val="000000"/>
          <w:sz w:val="20"/>
        </w:rPr>
        <w:t>This encounter ended when the officers retreated and Sheehan closed the door, leaving Sheehan in her room and the officers and Hodge in the hallway. The officers responded to this situation by calling for backup, drawing their service weapons and directing Hodge to go downstairs to let in additional officers who would be responding to the call for backup. Rather than waiting for backup to arrive, however, the officers decided to forcibly reenter Sheehan's room. As Sergeant Reynolds later explained:</w:t>
      </w:r>
    </w:p>
    <w:p w14:paraId="07BF6571" w14:textId="77777777" w:rsidR="002D0E71" w:rsidRDefault="00000000">
      <w:pPr>
        <w:pStyle w:val="Normal45"/>
        <w:widowControl w:val="0"/>
        <w:spacing w:line="260" w:lineRule="atLeast"/>
        <w:ind w:left="400"/>
        <w:jc w:val="both"/>
      </w:pPr>
      <w:bookmarkStart w:id="6821" w:name="Bookmark_para_23_32"/>
      <w:bookmarkEnd w:id="6821"/>
      <w:r>
        <w:rPr>
          <w:rFonts w:ascii="Arial" w:eastAsia="Arial" w:hAnsi="Arial" w:cs="Arial"/>
          <w:color w:val="000000"/>
          <w:sz w:val="20"/>
        </w:rPr>
        <w:t>With the door being closed and us not having the ability to see what she was doing, we had no way of knowing whether or not, one, she . . . had an avenue of escape. Two, there were the possibility of other weapons that she could gain access to. And so in my opinion, as soon as that door was closed, the threat became more scary for us and more uncertainty about what we were dealing with.</w:t>
      </w:r>
    </w:p>
    <w:p w14:paraId="54A34EF4" w14:textId="77777777" w:rsidR="002D0E71" w:rsidRDefault="00000000">
      <w:pPr>
        <w:pStyle w:val="Normal45"/>
        <w:widowControl w:val="0"/>
        <w:spacing w:before="200" w:line="260" w:lineRule="atLeast"/>
        <w:jc w:val="both"/>
      </w:pPr>
      <w:r>
        <w:rPr>
          <w:rFonts w:ascii="Arial" w:eastAsia="Arial" w:hAnsi="Arial" w:cs="Arial"/>
          <w:color w:val="000000"/>
          <w:sz w:val="20"/>
        </w:rPr>
        <w:t>Because Sheehan had "displayed obvious signs of violence and wanting  [**16] to kill" the officers, Reynolds deemed the entry necessary to ensure officer safety and to prevent Sheehan from escaping (and becoming a threat to others). Consequently, Reynolds directed Holder to attempt to force the door open. Reynolds acknowledges that she did not take Sheehan's mental illness into account when she decided to force the second entry. As Holder used her feet and shoulders to attempt to gain entry, Reynolds stood behind Holder with her pepper spray in one hand and her service weapon in the other. Holder also had her service weapon out. The door opened.</w:t>
      </w:r>
      <w:r>
        <w:rPr>
          <w:rFonts w:ascii="Arial" w:eastAsia="Arial" w:hAnsi="Arial" w:cs="Arial"/>
          <w:vertAlign w:val="superscript"/>
        </w:rPr>
        <w:footnoteReference w:customMarkFollows="1" w:id="285"/>
        <w:t>3</w:t>
      </w:r>
    </w:p>
    <w:p w14:paraId="1818DB9B" w14:textId="77777777" w:rsidR="002D0E71" w:rsidRDefault="00000000">
      <w:pPr>
        <w:pStyle w:val="Normal45"/>
        <w:widowControl w:val="0"/>
        <w:spacing w:before="200" w:line="260" w:lineRule="atLeast"/>
        <w:jc w:val="both"/>
      </w:pPr>
      <w:bookmarkStart w:id="6823" w:name="Bookmark_para_24_32"/>
      <w:bookmarkEnd w:id="6823"/>
      <w:r>
        <w:rPr>
          <w:rFonts w:ascii="Arial" w:eastAsia="Arial" w:hAnsi="Arial" w:cs="Arial"/>
          <w:color w:val="000000"/>
          <w:sz w:val="20"/>
        </w:rPr>
        <w:t>What happened next is subject to some dispute. Under the officers' account, Sheehan emerged from the room brandishing a knife and advanced on the officers.  [*1220]  Reynolds pepper sprayed  [**17] Sheehan, but without effect. When Sheehan continued to advance, Holder, and then Reynolds, fired their weapons, hitting Sheehan five or six times. Sheehan fell to the ground, but continued to swing the knife at the officers until a backup officer arrived and kicked the knife from Sheehan's hand. The officers testified that Sheehan was between two and four feet from Holder when Holder first fired — so close that Holder was forced to fire from the hip to prevent Sheehan from cutting her arm.</w:t>
      </w:r>
    </w:p>
    <w:p w14:paraId="0CAD918B" w14:textId="77777777" w:rsidR="002D0E71" w:rsidRDefault="00000000">
      <w:pPr>
        <w:pStyle w:val="Normal45"/>
        <w:widowControl w:val="0"/>
        <w:spacing w:before="200" w:line="260" w:lineRule="atLeast"/>
        <w:jc w:val="both"/>
      </w:pPr>
      <w:bookmarkStart w:id="6824" w:name="Bookmark_para_25_32"/>
      <w:bookmarkEnd w:id="6824"/>
      <w:r>
        <w:rPr>
          <w:rFonts w:ascii="Arial" w:eastAsia="Arial" w:hAnsi="Arial" w:cs="Arial"/>
          <w:color w:val="000000"/>
          <w:sz w:val="20"/>
        </w:rPr>
        <w:t>In Sheehan's telling, she opened the door and showed the officers the knife. She had the knife upraised in her right hand and took one step toward the officers. This step placed her on the threshold and it was at that point that she was pepper sprayed by the officers. Sheehan testified:</w:t>
      </w:r>
    </w:p>
    <w:p w14:paraId="79B538DD" w14:textId="77777777" w:rsidR="002D0E71" w:rsidRDefault="00000000">
      <w:pPr>
        <w:pStyle w:val="Normal45"/>
        <w:widowControl w:val="0"/>
        <w:spacing w:line="260" w:lineRule="atLeast"/>
        <w:ind w:left="400"/>
        <w:jc w:val="both"/>
      </w:pPr>
      <w:bookmarkStart w:id="6825" w:name="Bookmark_para_26_31"/>
      <w:bookmarkEnd w:id="6825"/>
      <w:r>
        <w:rPr>
          <w:rFonts w:ascii="Arial" w:eastAsia="Arial" w:hAnsi="Arial" w:cs="Arial"/>
          <w:color w:val="000000"/>
          <w:sz w:val="20"/>
        </w:rPr>
        <w:t>And then I screamed at them. You're blinding me, you're blinding me. I can't see. And then I started . . . to fall. And they right away were shooting me. I started to come out the door because I was blinded. I had my knife in my hand. . . . I was wearing my glasses. And I started to raise my other arm. And then the shots happened. . . . And then I fell against the wall in the corridor. Close to the kitchen door.</w:t>
      </w:r>
    </w:p>
    <w:p w14:paraId="38537F68" w14:textId="77777777" w:rsidR="002D0E71" w:rsidRDefault="00000000">
      <w:pPr>
        <w:pStyle w:val="Normal45"/>
        <w:widowControl w:val="0"/>
        <w:spacing w:before="200" w:line="260" w:lineRule="atLeast"/>
        <w:jc w:val="both"/>
      </w:pPr>
      <w:r>
        <w:rPr>
          <w:rFonts w:ascii="Arial" w:eastAsia="Arial" w:hAnsi="Arial" w:cs="Arial"/>
          <w:color w:val="000000"/>
          <w:sz w:val="20"/>
        </w:rPr>
        <w:t>After  [**18] she fell to the floor, an officer kicked the knife from her hand. Sheehan acknowledges that she continued to hold the knife after she was pepper sprayed and shot. She also concedes that it was her intent to resist arrest and to use the knife to defend herself against the officers because she did not want to be removed from her home or detained for a 72-hour evaluation.</w:t>
      </w:r>
    </w:p>
    <w:p w14:paraId="764B7BD7" w14:textId="77777777" w:rsidR="002D0E71" w:rsidRDefault="00000000">
      <w:pPr>
        <w:pStyle w:val="Normal45"/>
        <w:widowControl w:val="0"/>
        <w:spacing w:before="200" w:line="260" w:lineRule="atLeast"/>
        <w:jc w:val="both"/>
      </w:pPr>
      <w:bookmarkStart w:id="6826" w:name="Bookmark_para_27_31"/>
      <w:bookmarkEnd w:id="6826"/>
      <w:r>
        <w:rPr>
          <w:rFonts w:ascii="Arial" w:eastAsia="Arial" w:hAnsi="Arial" w:cs="Arial"/>
          <w:color w:val="000000"/>
          <w:sz w:val="20"/>
        </w:rPr>
        <w:t>There is some dispute over whether Sheehan was standing, falling or had reached the ground when Reynolds fired the final shot. Holder testified that Sheehan had already reached the ground. Reynolds testified that Sheehan was still standing. Sheehan testified that she was falling against the wall.</w:t>
      </w:r>
    </w:p>
    <w:p w14:paraId="48DAD6C0" w14:textId="77777777" w:rsidR="002D0E71" w:rsidRDefault="00000000">
      <w:pPr>
        <w:pStyle w:val="Normal45"/>
        <w:widowControl w:val="0"/>
        <w:spacing w:before="200" w:line="260" w:lineRule="atLeast"/>
        <w:jc w:val="both"/>
      </w:pPr>
      <w:bookmarkStart w:id="6827" w:name="Bookmark_para_28_28"/>
      <w:bookmarkEnd w:id="6827"/>
      <w:r>
        <w:rPr>
          <w:rFonts w:ascii="Arial" w:eastAsia="Arial" w:hAnsi="Arial" w:cs="Arial"/>
          <w:color w:val="000000"/>
          <w:sz w:val="20"/>
        </w:rPr>
        <w:t xml:space="preserve">Sheehan survived the shooting, and the city prosecuted her for two counts of assault with a deadly weapon, two counts of assaulting a police officer with a deadly weapon and one count of making criminal threats against Hodge. </w:t>
      </w:r>
      <w:r>
        <w:rPr>
          <w:rFonts w:ascii="Arial" w:eastAsia="Arial" w:hAnsi="Arial" w:cs="Arial"/>
          <w:i/>
          <w:color w:val="000000"/>
          <w:sz w:val="20"/>
        </w:rPr>
        <w:t>See</w:t>
      </w:r>
      <w:r>
        <w:rPr>
          <w:rFonts w:ascii="Arial" w:eastAsia="Arial" w:hAnsi="Arial" w:cs="Arial"/>
          <w:color w:val="000000"/>
          <w:sz w:val="20"/>
        </w:rPr>
        <w:t xml:space="preserve"> Cal. Penal Code §§ 245(a), (c), 422. The jury hung on the four assault counts and acquitted on the criminal threats count. The city elected not to retry Sheehan.</w:t>
      </w:r>
    </w:p>
    <w:p w14:paraId="0E6D501B" w14:textId="77777777" w:rsidR="002D0E71" w:rsidRDefault="00000000">
      <w:pPr>
        <w:pStyle w:val="Normal45"/>
        <w:widowControl w:val="0"/>
        <w:spacing w:before="200" w:line="260" w:lineRule="atLeast"/>
        <w:jc w:val="both"/>
      </w:pPr>
      <w:bookmarkStart w:id="6828" w:name="Bookmark_para_29_27"/>
      <w:bookmarkEnd w:id="6828"/>
      <w:r>
        <w:rPr>
          <w:rFonts w:ascii="Arial" w:eastAsia="Arial" w:hAnsi="Arial" w:cs="Arial"/>
          <w:color w:val="000000"/>
          <w:sz w:val="20"/>
        </w:rPr>
        <w:t>Sheehan then filed this 42 U.S.C. § 1983 action against the City and County of San Francisco, Police Chief Heather Fong, Sergeant Reynolds and  [**19] Officer Holder, alleging violations of her Fourth Amendment rights against unreasonable search and seizure, including a warrantless search and use of excessive force. She also alleged violation of her rights under the Americans with Disabilities Act and state law claims for assault and battery, negligence, intentional infliction of emotional distress and violation of California Civil Code § 52.1. The district court granted the defendants' motion for summary judgment, and Sheehan timely appealed.</w:t>
      </w:r>
    </w:p>
    <w:p w14:paraId="12A6D2CF" w14:textId="77777777" w:rsidR="002D0E71" w:rsidRDefault="00000000">
      <w:pPr>
        <w:pStyle w:val="Normal45"/>
        <w:widowControl w:val="0"/>
        <w:spacing w:before="240" w:line="260" w:lineRule="atLeast"/>
      </w:pPr>
      <w:r>
        <w:br/>
      </w:r>
      <w:r>
        <w:rPr>
          <w:rFonts w:ascii="Arial" w:eastAsia="Arial" w:hAnsi="Arial" w:cs="Arial"/>
          <w:b/>
          <w:color w:val="000000"/>
          <w:sz w:val="20"/>
        </w:rPr>
        <w:t>STANDARD OF REVIEW</w:t>
      </w:r>
    </w:p>
    <w:p w14:paraId="24F20F1D" w14:textId="77777777" w:rsidR="002D0E71" w:rsidRDefault="00000000">
      <w:pPr>
        <w:pStyle w:val="Normal45"/>
        <w:widowControl w:val="0"/>
        <w:spacing w:before="200" w:line="260" w:lineRule="atLeast"/>
        <w:jc w:val="both"/>
      </w:pPr>
      <w:bookmarkStart w:id="6829" w:name="Bookmark_para_30_26"/>
      <w:bookmarkStart w:id="6830" w:name="Bookmark_I5BRCY792SF8850010000400"/>
      <w:bookmarkStart w:id="6831" w:name="Bookmark_LNHNREFclscc8_34"/>
      <w:bookmarkEnd w:id="6829"/>
      <w:bookmarkEnd w:id="6830"/>
      <w:bookmarkEnd w:id="6831"/>
      <w:r>
        <w:rPr>
          <w:rFonts w:ascii="Arial" w:eastAsia="Arial" w:hAnsi="Arial" w:cs="Arial"/>
          <w:color w:val="000000"/>
          <w:sz w:val="20"/>
        </w:rPr>
        <w:t xml:space="preserve">We review the district court's summary judgment rulings, including its rulings on qualified immunity, de novo. </w:t>
      </w:r>
      <w:r>
        <w:rPr>
          <w:rFonts w:ascii="Arial" w:eastAsia="Arial" w:hAnsi="Arial" w:cs="Arial"/>
          <w:i/>
          <w:color w:val="000000"/>
          <w:sz w:val="20"/>
        </w:rPr>
        <w:t xml:space="preserve">See </w:t>
      </w:r>
      <w:bookmarkStart w:id="6832" w:name="Bookmark_I5BRCY702HM5VG0050000400"/>
      <w:bookmarkEnd w:id="6832"/>
      <w:r>
        <w:rPr>
          <w:rFonts w:ascii="Arial" w:eastAsia="Arial" w:hAnsi="Arial" w:cs="Arial"/>
          <w:i/>
          <w:color w:val="000000"/>
          <w:sz w:val="20"/>
        </w:rPr>
        <w:t>Maxwell v. Cnty. of San Diego</w:t>
      </w:r>
      <w:r>
        <w:rPr>
          <w:rFonts w:ascii="Arial" w:eastAsia="Arial" w:hAnsi="Arial" w:cs="Arial"/>
          <w:color w:val="000000"/>
          <w:sz w:val="20"/>
        </w:rPr>
        <w:t xml:space="preserve">, 697 F.3d 941, 947 (9th Cir. 2012). </w:t>
      </w:r>
      <w:bookmarkStart w:id="6833" w:name="Bookmark_LNHNREFclscc9_32"/>
      <w:bookmarkEnd w:id="6833"/>
      <w:r>
        <w:rPr>
          <w:rFonts w:ascii="Arial" w:eastAsia="Arial" w:hAnsi="Arial" w:cs="Arial"/>
          <w:color w:val="000000"/>
          <w:sz w:val="20"/>
        </w:rPr>
        <w:t xml:space="preserve">"Summary judgment should be granted 'if the movant shows that there is no genuine dispute as to any material fact and the movant is entitled to judgment as a matter of law.'" </w:t>
      </w:r>
      <w:r>
        <w:rPr>
          <w:rFonts w:ascii="Arial" w:eastAsia="Arial" w:hAnsi="Arial" w:cs="Arial"/>
          <w:i/>
          <w:color w:val="000000"/>
          <w:sz w:val="20"/>
        </w:rPr>
        <w:t>Id</w:t>
      </w:r>
      <w:r>
        <w:rPr>
          <w:rFonts w:ascii="Arial" w:eastAsia="Arial" w:hAnsi="Arial" w:cs="Arial"/>
          <w:color w:val="000000"/>
          <w:sz w:val="20"/>
        </w:rPr>
        <w:t xml:space="preserve">. (quoting Fed. R. Civ. P. 56(a)). We view the evidence in the light most favorable to Sheehan, the nonmoving party, and draw all reasonable inferences in her favor. </w:t>
      </w:r>
      <w:r>
        <w:rPr>
          <w:rFonts w:ascii="Arial" w:eastAsia="Arial" w:hAnsi="Arial" w:cs="Arial"/>
          <w:i/>
          <w:color w:val="000000"/>
          <w:sz w:val="20"/>
        </w:rPr>
        <w:t>See id</w:t>
      </w:r>
      <w:r>
        <w:rPr>
          <w:rFonts w:ascii="Arial" w:eastAsia="Arial" w:hAnsi="Arial" w:cs="Arial"/>
          <w:color w:val="000000"/>
          <w:sz w:val="20"/>
        </w:rPr>
        <w:t>.</w:t>
      </w:r>
    </w:p>
    <w:p w14:paraId="753AA30C" w14:textId="77777777" w:rsidR="002D0E71" w:rsidRDefault="00000000">
      <w:pPr>
        <w:pStyle w:val="Normal45"/>
        <w:widowControl w:val="0"/>
        <w:spacing w:before="200" w:line="260" w:lineRule="atLeast"/>
        <w:jc w:val="both"/>
      </w:pPr>
      <w:bookmarkStart w:id="6834" w:name="Bookmark_para_31_25"/>
      <w:bookmarkEnd w:id="6834"/>
      <w:r>
        <w:rPr>
          <w:rFonts w:ascii="Arial" w:eastAsia="Arial" w:hAnsi="Arial" w:cs="Arial"/>
          <w:color w:val="000000"/>
          <w:sz w:val="20"/>
        </w:rPr>
        <w:t xml:space="preserve"> [*1221]  </w:t>
      </w:r>
      <w:bookmarkStart w:id="6835" w:name="Bookmark_I5BRCY792SF8850030000400"/>
      <w:bookmarkStart w:id="6836" w:name="Bookmark_LNHNREFclscc10_32"/>
      <w:bookmarkEnd w:id="6835"/>
      <w:bookmarkEnd w:id="6836"/>
      <w:r>
        <w:rPr>
          <w:rFonts w:ascii="Arial" w:eastAsia="Arial" w:hAnsi="Arial" w:cs="Arial"/>
          <w:color w:val="000000"/>
          <w:sz w:val="20"/>
        </w:rPr>
        <w:t xml:space="preserve">Qualified immunity protects government officials from liability for civil damages insofar as their conduct does not violate clearly established statutory  [**20] or constitutional rights of which a reasonable person would have known. </w:t>
      </w:r>
      <w:r>
        <w:rPr>
          <w:rFonts w:ascii="Arial" w:eastAsia="Arial" w:hAnsi="Arial" w:cs="Arial"/>
          <w:i/>
          <w:color w:val="000000"/>
          <w:sz w:val="20"/>
        </w:rPr>
        <w:t xml:space="preserve">See </w:t>
      </w:r>
      <w:bookmarkStart w:id="6837" w:name="Bookmark_I5BRCY792SF8850020000400"/>
      <w:bookmarkEnd w:id="6837"/>
      <w:r>
        <w:rPr>
          <w:rFonts w:ascii="Arial" w:eastAsia="Arial" w:hAnsi="Arial" w:cs="Arial"/>
          <w:i/>
          <w:color w:val="000000"/>
          <w:sz w:val="20"/>
        </w:rPr>
        <w:t>Pearson v. Callahan</w:t>
      </w:r>
      <w:r>
        <w:rPr>
          <w:rFonts w:ascii="Arial" w:eastAsia="Arial" w:hAnsi="Arial" w:cs="Arial"/>
          <w:color w:val="000000"/>
          <w:sz w:val="20"/>
        </w:rPr>
        <w:t xml:space="preserve">, 555 U.S. 223, 231, 129 S. Ct. 808, 172 L. Ed. 2d 565 (2009). </w:t>
      </w:r>
      <w:bookmarkStart w:id="6838" w:name="Bookmark_I4GW5YDHJ3S000RKF9T000PV"/>
      <w:bookmarkStart w:id="6839" w:name="Bookmark_I5BRCY792SF8850050000400"/>
      <w:bookmarkStart w:id="6840" w:name="Bookmark_LNHNREFclscc11_25"/>
      <w:bookmarkEnd w:id="6838"/>
      <w:bookmarkEnd w:id="6839"/>
      <w:bookmarkEnd w:id="6840"/>
      <w:r>
        <w:rPr>
          <w:rFonts w:ascii="Arial" w:eastAsia="Arial" w:hAnsi="Arial" w:cs="Arial"/>
          <w:color w:val="000000"/>
          <w:sz w:val="20"/>
        </w:rPr>
        <w:t xml:space="preserve">To determine whether a government official is entitled to qualified immunity, we conduct a two-part analysis. </w:t>
      </w:r>
      <w:bookmarkStart w:id="6841" w:name="Bookmark_I5BRCY792SF8850050000400_2"/>
      <w:bookmarkEnd w:id="6841"/>
      <w:r>
        <w:rPr>
          <w:rFonts w:ascii="Arial" w:eastAsia="Arial" w:hAnsi="Arial" w:cs="Arial"/>
          <w:color w:val="000000"/>
          <w:sz w:val="20"/>
        </w:rPr>
        <w:t xml:space="preserve">Government officials are denied qualified immunity only if (1) the facts that a plaintiff has alleged or proved show a violation of a constitutional right and (2) the right at issue was clearly established at the time of the defendant's alleged misconduct. </w:t>
      </w:r>
      <w:bookmarkStart w:id="6842" w:name="Bookmark_I5BRCY7H2D6NX60020000400"/>
      <w:bookmarkEnd w:id="6842"/>
      <w:r>
        <w:rPr>
          <w:rFonts w:ascii="Arial" w:eastAsia="Arial" w:hAnsi="Arial" w:cs="Arial"/>
          <w:i/>
          <w:color w:val="000000"/>
          <w:sz w:val="20"/>
        </w:rPr>
        <w:t xml:space="preserve">See </w:t>
      </w:r>
      <w:bookmarkStart w:id="6843" w:name="Bookmark_I5BRCY792SF8850040000400"/>
      <w:bookmarkEnd w:id="6843"/>
      <w:r>
        <w:rPr>
          <w:rFonts w:ascii="Arial" w:eastAsia="Arial" w:hAnsi="Arial" w:cs="Arial"/>
          <w:i/>
          <w:color w:val="000000"/>
          <w:sz w:val="20"/>
        </w:rPr>
        <w:t>id</w:t>
      </w:r>
      <w:r>
        <w:rPr>
          <w:rFonts w:ascii="Arial" w:eastAsia="Arial" w:hAnsi="Arial" w:cs="Arial"/>
          <w:color w:val="000000"/>
          <w:sz w:val="20"/>
        </w:rPr>
        <w:t xml:space="preserve">. at 232. </w:t>
      </w:r>
      <w:bookmarkStart w:id="6844" w:name="Bookmark_I5BRCY7H2D6NX60020000400_2"/>
      <w:bookmarkEnd w:id="6844"/>
      <w:r>
        <w:rPr>
          <w:rFonts w:ascii="Arial" w:eastAsia="Arial" w:hAnsi="Arial" w:cs="Arial"/>
          <w:color w:val="000000"/>
          <w:sz w:val="20"/>
        </w:rPr>
        <w:t xml:space="preserve">We have discretion in deciding which of the two qualified immunity prongs should be addressed first. </w:t>
      </w:r>
      <w:r>
        <w:rPr>
          <w:rFonts w:ascii="Arial" w:eastAsia="Arial" w:hAnsi="Arial" w:cs="Arial"/>
          <w:i/>
          <w:color w:val="000000"/>
          <w:sz w:val="20"/>
        </w:rPr>
        <w:t xml:space="preserve">See </w:t>
      </w:r>
      <w:bookmarkStart w:id="6845" w:name="Bookmark_I5BRCY7H2D6NX60010000400"/>
      <w:bookmarkEnd w:id="6845"/>
      <w:r>
        <w:rPr>
          <w:rFonts w:ascii="Arial" w:eastAsia="Arial" w:hAnsi="Arial" w:cs="Arial"/>
          <w:i/>
          <w:color w:val="000000"/>
          <w:sz w:val="20"/>
        </w:rPr>
        <w:t>id</w:t>
      </w:r>
      <w:r>
        <w:rPr>
          <w:rFonts w:ascii="Arial" w:eastAsia="Arial" w:hAnsi="Arial" w:cs="Arial"/>
          <w:color w:val="000000"/>
          <w:sz w:val="20"/>
        </w:rPr>
        <w:t>. at 242.</w:t>
      </w:r>
    </w:p>
    <w:p w14:paraId="658E098E" w14:textId="77777777" w:rsidR="002D0E71" w:rsidRDefault="00000000">
      <w:pPr>
        <w:pStyle w:val="Normal45"/>
        <w:widowControl w:val="0"/>
        <w:spacing w:before="240" w:line="260" w:lineRule="atLeast"/>
      </w:pPr>
      <w:r>
        <w:br/>
      </w:r>
      <w:r>
        <w:rPr>
          <w:rFonts w:ascii="Arial" w:eastAsia="Arial" w:hAnsi="Arial" w:cs="Arial"/>
          <w:b/>
          <w:color w:val="000000"/>
          <w:sz w:val="20"/>
        </w:rPr>
        <w:t>DISCUSSION</w:t>
      </w:r>
    </w:p>
    <w:p w14:paraId="151172B7" w14:textId="77777777" w:rsidR="002D0E71" w:rsidRDefault="00000000">
      <w:pPr>
        <w:pStyle w:val="Normal45"/>
        <w:widowControl w:val="0"/>
        <w:spacing w:before="240" w:line="260" w:lineRule="atLeast"/>
      </w:pPr>
      <w:r>
        <w:br/>
      </w:r>
      <w:r>
        <w:rPr>
          <w:rFonts w:ascii="Arial" w:eastAsia="Arial" w:hAnsi="Arial" w:cs="Arial"/>
          <w:b/>
          <w:color w:val="000000"/>
          <w:sz w:val="20"/>
        </w:rPr>
        <w:t>I. FOURTH AMENDMENT</w:t>
      </w:r>
    </w:p>
    <w:p w14:paraId="596AA00F" w14:textId="77777777" w:rsidR="002D0E71" w:rsidRDefault="00000000">
      <w:pPr>
        <w:pStyle w:val="Normal45"/>
        <w:widowControl w:val="0"/>
        <w:spacing w:before="200" w:line="260" w:lineRule="atLeast"/>
        <w:jc w:val="both"/>
      </w:pPr>
      <w:bookmarkStart w:id="6846" w:name="Bookmark_para_32_24"/>
      <w:bookmarkEnd w:id="6846"/>
      <w:r>
        <w:rPr>
          <w:rFonts w:ascii="Arial" w:eastAsia="Arial" w:hAnsi="Arial" w:cs="Arial"/>
          <w:color w:val="000000"/>
          <w:sz w:val="20"/>
        </w:rPr>
        <w:t>Sheehan contends that the officers violated her Fourth Amendment rights by entering her home without a warrant and using excessive force. We evaluate the officers' actions in the sequence in which they occurred.</w:t>
      </w:r>
    </w:p>
    <w:p w14:paraId="6A8B4786" w14:textId="77777777" w:rsidR="002D0E71" w:rsidRDefault="00000000">
      <w:pPr>
        <w:pStyle w:val="Normal45"/>
        <w:widowControl w:val="0"/>
        <w:spacing w:before="240" w:line="260" w:lineRule="atLeast"/>
      </w:pPr>
      <w:r>
        <w:br/>
      </w:r>
      <w:r>
        <w:rPr>
          <w:rFonts w:ascii="Arial" w:eastAsia="Arial" w:hAnsi="Arial" w:cs="Arial"/>
          <w:b/>
          <w:color w:val="000000"/>
          <w:sz w:val="20"/>
        </w:rPr>
        <w:t>A. Initial Entry</w:t>
      </w:r>
    </w:p>
    <w:p w14:paraId="7C43C4FB" w14:textId="77777777" w:rsidR="002D0E71" w:rsidRDefault="00000000">
      <w:pPr>
        <w:pStyle w:val="Normal45"/>
        <w:widowControl w:val="0"/>
        <w:spacing w:before="200" w:line="260" w:lineRule="atLeast"/>
        <w:jc w:val="both"/>
      </w:pPr>
      <w:bookmarkStart w:id="6847" w:name="Bookmark_para_33_23"/>
      <w:bookmarkEnd w:id="6847"/>
      <w:r>
        <w:rPr>
          <w:rFonts w:ascii="Arial" w:eastAsia="Arial" w:hAnsi="Arial" w:cs="Arial"/>
          <w:color w:val="000000"/>
          <w:sz w:val="20"/>
        </w:rPr>
        <w:t>We reject Sheehan's contention that the officers violated her Fourth Amendment rights by initially entering her home without a warrant.</w:t>
      </w:r>
    </w:p>
    <w:p w14:paraId="4EE8C133" w14:textId="77777777" w:rsidR="002D0E71" w:rsidRDefault="00000000">
      <w:pPr>
        <w:pStyle w:val="Normal45"/>
        <w:widowControl w:val="0"/>
        <w:spacing w:before="240" w:line="260" w:lineRule="atLeast"/>
      </w:pPr>
      <w:r>
        <w:br/>
      </w:r>
      <w:r>
        <w:rPr>
          <w:rFonts w:ascii="Arial" w:eastAsia="Arial" w:hAnsi="Arial" w:cs="Arial"/>
          <w:b/>
          <w:color w:val="000000"/>
          <w:sz w:val="20"/>
        </w:rPr>
        <w:t>1</w:t>
      </w:r>
      <w:r>
        <w:rPr>
          <w:rFonts w:ascii="Arial" w:eastAsia="Arial" w:hAnsi="Arial" w:cs="Arial"/>
          <w:color w:val="000000"/>
          <w:sz w:val="20"/>
        </w:rPr>
        <w:t>.</w:t>
      </w:r>
    </w:p>
    <w:p w14:paraId="5248B0A5" w14:textId="77777777" w:rsidR="002D0E71" w:rsidRDefault="00000000">
      <w:pPr>
        <w:pStyle w:val="Normal45"/>
        <w:widowControl w:val="0"/>
        <w:spacing w:before="200" w:line="260" w:lineRule="atLeast"/>
        <w:jc w:val="both"/>
      </w:pPr>
      <w:bookmarkStart w:id="6848" w:name="Bookmark_para_34_22"/>
      <w:bookmarkStart w:id="6849" w:name="Bookmark_I5BRCY7H2D6NX60040000400"/>
      <w:bookmarkStart w:id="6850" w:name="Bookmark_I4GW5YDHW1S000RKF9T000PX"/>
      <w:bookmarkStart w:id="6851" w:name="Bookmark_I5BRCY7Y28T3TS0010000400"/>
      <w:bookmarkStart w:id="6852" w:name="Bookmark_LNHNREFclscc12_24"/>
      <w:bookmarkEnd w:id="6848"/>
      <w:bookmarkEnd w:id="6849"/>
      <w:bookmarkEnd w:id="6850"/>
      <w:bookmarkEnd w:id="6851"/>
      <w:bookmarkEnd w:id="6852"/>
      <w:r>
        <w:rPr>
          <w:rFonts w:ascii="Arial" w:eastAsia="Arial" w:hAnsi="Arial" w:cs="Arial"/>
          <w:color w:val="000000"/>
          <w:sz w:val="20"/>
        </w:rPr>
        <w:t xml:space="preserve">Searches and seizures inside a home without a warrant are presumptively unreasonable, but that presumption is not irrebuttable, and a warrantless search or seizure is permitted to render  [**21] emergency aid or address exigent circumstances. </w:t>
      </w:r>
      <w:r>
        <w:rPr>
          <w:rFonts w:ascii="Arial" w:eastAsia="Arial" w:hAnsi="Arial" w:cs="Arial"/>
          <w:i/>
          <w:color w:val="000000"/>
          <w:sz w:val="20"/>
        </w:rPr>
        <w:t xml:space="preserve">See </w:t>
      </w:r>
      <w:bookmarkStart w:id="6853" w:name="Bookmark_I5BRCY7H2D6NX60030000400"/>
      <w:bookmarkEnd w:id="6853"/>
      <w:r>
        <w:rPr>
          <w:rFonts w:ascii="Arial" w:eastAsia="Arial" w:hAnsi="Arial" w:cs="Arial"/>
          <w:i/>
          <w:color w:val="000000"/>
          <w:sz w:val="20"/>
        </w:rPr>
        <w:t>United States v. Struckman</w:t>
      </w:r>
      <w:r>
        <w:rPr>
          <w:rFonts w:ascii="Arial" w:eastAsia="Arial" w:hAnsi="Arial" w:cs="Arial"/>
          <w:color w:val="000000"/>
          <w:sz w:val="20"/>
        </w:rPr>
        <w:t xml:space="preserve">, 603 F.3d 731, 737-38 (9th Cir. 2010). </w:t>
      </w:r>
      <w:bookmarkStart w:id="6854" w:name="Bookmark_I4GW5YDJ0VX000RKF9T000PY"/>
      <w:bookmarkStart w:id="6855" w:name="Bookmark_I5BRCY7Y28T3TS0030000400"/>
      <w:bookmarkEnd w:id="6854"/>
      <w:bookmarkEnd w:id="6855"/>
      <w:r>
        <w:rPr>
          <w:rFonts w:ascii="Arial" w:eastAsia="Arial" w:hAnsi="Arial" w:cs="Arial"/>
          <w:color w:val="000000"/>
          <w:sz w:val="20"/>
        </w:rPr>
        <w:t xml:space="preserve">The emergency aid exception applies when: "(1) considering the totality of the circumstances, law enforcement had an objectively reasonable basis for concluding that there was an immediate need to protect others or themselves from serious harm; and (2) the search's scope and manner were reasonable to meet the need." </w:t>
      </w:r>
      <w:bookmarkStart w:id="6856" w:name="Bookmark_I5BRCY7H2D6NX60050000400"/>
      <w:bookmarkEnd w:id="6856"/>
      <w:r>
        <w:rPr>
          <w:rFonts w:ascii="Arial" w:eastAsia="Arial" w:hAnsi="Arial" w:cs="Arial"/>
          <w:i/>
          <w:color w:val="000000"/>
          <w:sz w:val="20"/>
        </w:rPr>
        <w:t>United States v. Snipe</w:t>
      </w:r>
      <w:r>
        <w:rPr>
          <w:rFonts w:ascii="Arial" w:eastAsia="Arial" w:hAnsi="Arial" w:cs="Arial"/>
          <w:color w:val="000000"/>
          <w:sz w:val="20"/>
        </w:rPr>
        <w:t xml:space="preserve">, 515 F.3d 947, 952 (9th Cir. 2008). </w:t>
      </w:r>
      <w:bookmarkStart w:id="6857" w:name="Bookmark_I5BRCY7Y28T3TS0030000400_2"/>
      <w:bookmarkStart w:id="6858" w:name="Bookmark_I5BRCY7Y28T3TS0050000400"/>
      <w:bookmarkStart w:id="6859" w:name="Bookmark_LNHNREFclscc13_21"/>
      <w:bookmarkEnd w:id="6857"/>
      <w:bookmarkEnd w:id="6858"/>
      <w:bookmarkEnd w:id="6859"/>
      <w:r>
        <w:rPr>
          <w:rFonts w:ascii="Arial" w:eastAsia="Arial" w:hAnsi="Arial" w:cs="Arial"/>
          <w:color w:val="000000"/>
          <w:sz w:val="20"/>
        </w:rPr>
        <w:t xml:space="preserve">To satisfy the exigency exception, the government must prove: (1) that the officer had probable cause to search or arrest; and (2) that exigent circumstances justified the warrantless intrusion. </w:t>
      </w:r>
      <w:r>
        <w:rPr>
          <w:rFonts w:ascii="Arial" w:eastAsia="Arial" w:hAnsi="Arial" w:cs="Arial"/>
          <w:i/>
          <w:color w:val="000000"/>
          <w:sz w:val="20"/>
        </w:rPr>
        <w:t xml:space="preserve">See </w:t>
      </w:r>
      <w:bookmarkStart w:id="6860" w:name="Bookmark_I5BRCY7Y28T3TS0020000400"/>
      <w:bookmarkEnd w:id="6860"/>
      <w:r>
        <w:rPr>
          <w:rFonts w:ascii="Arial" w:eastAsia="Arial" w:hAnsi="Arial" w:cs="Arial"/>
          <w:i/>
          <w:color w:val="000000"/>
          <w:sz w:val="20"/>
        </w:rPr>
        <w:t>Hopkins v. Bonvicino</w:t>
      </w:r>
      <w:r>
        <w:rPr>
          <w:rFonts w:ascii="Arial" w:eastAsia="Arial" w:hAnsi="Arial" w:cs="Arial"/>
          <w:color w:val="000000"/>
          <w:sz w:val="20"/>
        </w:rPr>
        <w:t xml:space="preserve">, 573 F.3d 752, 766-67 (9th Cir. 2009). </w:t>
      </w:r>
      <w:bookmarkStart w:id="6861" w:name="Bookmark_I5BRCY7Y28T3TS0050000400_2"/>
      <w:bookmarkEnd w:id="6861"/>
      <w:r>
        <w:rPr>
          <w:rFonts w:ascii="Arial" w:eastAsia="Arial" w:hAnsi="Arial" w:cs="Arial"/>
          <w:color w:val="000000"/>
          <w:sz w:val="20"/>
        </w:rPr>
        <w:t xml:space="preserve">Exigent circumstances include "those circumstances that would cause a reasonable person to believe that entry . . . was necessary to prevent physical harm to the officers or other persons, the destruction of relevant evidence, the escape of the suspect, or some other consequence improperly frustrating legitimate law enforcement efforts," </w:t>
      </w:r>
      <w:bookmarkStart w:id="6862" w:name="Bookmark_I5BRCY7Y28T3TS0040000400"/>
      <w:bookmarkEnd w:id="6862"/>
      <w:r>
        <w:rPr>
          <w:rFonts w:ascii="Arial" w:eastAsia="Arial" w:hAnsi="Arial" w:cs="Arial"/>
          <w:i/>
          <w:color w:val="000000"/>
          <w:sz w:val="20"/>
        </w:rPr>
        <w:t>United States v. McConney</w:t>
      </w:r>
      <w:r>
        <w:rPr>
          <w:rFonts w:ascii="Arial" w:eastAsia="Arial" w:hAnsi="Arial" w:cs="Arial"/>
          <w:color w:val="000000"/>
          <w:sz w:val="20"/>
        </w:rPr>
        <w:t xml:space="preserve">, 728 F.2d 1195, 1199 (9th Cir. 1984) (en banc), </w:t>
      </w:r>
      <w:r>
        <w:rPr>
          <w:rFonts w:ascii="Arial" w:eastAsia="Arial" w:hAnsi="Arial" w:cs="Arial"/>
          <w:i/>
          <w:color w:val="000000"/>
          <w:sz w:val="20"/>
        </w:rPr>
        <w:t xml:space="preserve">overruled on other grounds by </w:t>
      </w:r>
      <w:bookmarkStart w:id="6863" w:name="Bookmark_I5BRCY892D6N830010000400"/>
      <w:bookmarkEnd w:id="6863"/>
      <w:r>
        <w:rPr>
          <w:rFonts w:ascii="Arial" w:eastAsia="Arial" w:hAnsi="Arial" w:cs="Arial"/>
          <w:i/>
          <w:color w:val="000000"/>
          <w:sz w:val="20"/>
        </w:rPr>
        <w:t>Estate of Merchant v. Comm'r</w:t>
      </w:r>
      <w:r>
        <w:rPr>
          <w:rFonts w:ascii="Arial" w:eastAsia="Arial" w:hAnsi="Arial" w:cs="Arial"/>
          <w:color w:val="000000"/>
          <w:sz w:val="20"/>
        </w:rPr>
        <w:t xml:space="preserve">, 947 F.2d 1390, 1392-93 (9th Cir. 1991),  [**22] or when police are in hot pursuit of a suspect, </w:t>
      </w:r>
      <w:r>
        <w:rPr>
          <w:rFonts w:ascii="Arial" w:eastAsia="Arial" w:hAnsi="Arial" w:cs="Arial"/>
          <w:i/>
          <w:color w:val="000000"/>
          <w:sz w:val="20"/>
        </w:rPr>
        <w:t xml:space="preserve">see </w:t>
      </w:r>
      <w:bookmarkStart w:id="6864" w:name="Bookmark_I5BRCY892D6N830030000400"/>
      <w:bookmarkEnd w:id="6864"/>
      <w:r>
        <w:rPr>
          <w:rFonts w:ascii="Arial" w:eastAsia="Arial" w:hAnsi="Arial" w:cs="Arial"/>
          <w:i/>
          <w:color w:val="000000"/>
          <w:sz w:val="20"/>
        </w:rPr>
        <w:t>United States v. Johnson</w:t>
      </w:r>
      <w:r>
        <w:rPr>
          <w:rFonts w:ascii="Arial" w:eastAsia="Arial" w:hAnsi="Arial" w:cs="Arial"/>
          <w:color w:val="000000"/>
          <w:sz w:val="20"/>
        </w:rPr>
        <w:t>, 256 F.3d 895, 907 (9th Cir. 2001) (en banc) (per curiam).</w:t>
      </w:r>
    </w:p>
    <w:p w14:paraId="49AD9217" w14:textId="77777777" w:rsidR="002D0E71" w:rsidRDefault="00000000">
      <w:pPr>
        <w:pStyle w:val="Normal45"/>
        <w:widowControl w:val="0"/>
        <w:spacing w:before="200" w:line="260" w:lineRule="atLeast"/>
        <w:jc w:val="both"/>
      </w:pPr>
      <w:bookmarkStart w:id="6865" w:name="Bookmark_para_35_22"/>
      <w:bookmarkStart w:id="6866" w:name="Bookmark_I5BRCY8J2SF7N20010000400"/>
      <w:bookmarkStart w:id="6867" w:name="Bookmark_LNHNREFclscc14_16"/>
      <w:bookmarkEnd w:id="6865"/>
      <w:bookmarkEnd w:id="6866"/>
      <w:bookmarkEnd w:id="6867"/>
      <w:r>
        <w:rPr>
          <w:rFonts w:ascii="Arial" w:eastAsia="Arial" w:hAnsi="Arial" w:cs="Arial"/>
          <w:color w:val="000000"/>
          <w:sz w:val="20"/>
        </w:rPr>
        <w:t xml:space="preserve">A search or seizure conducted pursuant to either of these exceptions must be carried out in a reasonable manner. </w:t>
      </w:r>
      <w:bookmarkStart w:id="6868" w:name="Bookmark_I5BRCY8J2SF7N20050000400"/>
      <w:bookmarkEnd w:id="6868"/>
      <w:r>
        <w:rPr>
          <w:rFonts w:ascii="Arial" w:eastAsia="Arial" w:hAnsi="Arial" w:cs="Arial"/>
          <w:color w:val="000000"/>
          <w:sz w:val="20"/>
        </w:rPr>
        <w:t xml:space="preserve">Under the emergency aid exception, "the search's scope and manner [must be] reasonable to meet the need." </w:t>
      </w:r>
      <w:bookmarkStart w:id="6869" w:name="Bookmark_I5BRCY892D6N830050000400"/>
      <w:bookmarkEnd w:id="6869"/>
      <w:r>
        <w:rPr>
          <w:rFonts w:ascii="Arial" w:eastAsia="Arial" w:hAnsi="Arial" w:cs="Arial"/>
          <w:i/>
          <w:color w:val="000000"/>
          <w:sz w:val="20"/>
        </w:rPr>
        <w:t>Snipe</w:t>
      </w:r>
      <w:r>
        <w:rPr>
          <w:rFonts w:ascii="Arial" w:eastAsia="Arial" w:hAnsi="Arial" w:cs="Arial"/>
          <w:color w:val="000000"/>
          <w:sz w:val="20"/>
        </w:rPr>
        <w:t xml:space="preserve">, 515 F.3d at 952; </w:t>
      </w:r>
      <w:r>
        <w:rPr>
          <w:rFonts w:ascii="Arial" w:eastAsia="Arial" w:hAnsi="Arial" w:cs="Arial"/>
          <w:i/>
          <w:color w:val="000000"/>
          <w:sz w:val="20"/>
        </w:rPr>
        <w:t xml:space="preserve">see also </w:t>
      </w:r>
      <w:bookmarkStart w:id="6870" w:name="Bookmark_I5BRCY8J2SF7N20020000400"/>
      <w:bookmarkEnd w:id="6870"/>
      <w:r>
        <w:rPr>
          <w:rFonts w:ascii="Arial" w:eastAsia="Arial" w:hAnsi="Arial" w:cs="Arial"/>
          <w:i/>
          <w:color w:val="000000"/>
          <w:sz w:val="20"/>
        </w:rPr>
        <w:t>Brigham City v. Stuart</w:t>
      </w:r>
      <w:r>
        <w:rPr>
          <w:rFonts w:ascii="Arial" w:eastAsia="Arial" w:hAnsi="Arial" w:cs="Arial"/>
          <w:color w:val="000000"/>
          <w:sz w:val="20"/>
        </w:rPr>
        <w:t xml:space="preserve">, 547 U.S. 398, 406-07, 126 S. Ct. 1943, 164 L. Ed. 2d 650 (2006) (examining whether "[t]he manner of the officers' entry was also reasonable" under the emergency aid exception). Similarly, under the exigent circumstances exception officers are required to use reasonable force in carrying out the search or seizure. </w:t>
      </w:r>
      <w:bookmarkStart w:id="6871" w:name="Bookmark_I5BRCY8J2SF7N20050000400_2"/>
      <w:bookmarkStart w:id="6872" w:name="Bookmark_LNHNREFclscc15_14"/>
      <w:bookmarkEnd w:id="6871"/>
      <w:bookmarkEnd w:id="6872"/>
      <w:r>
        <w:rPr>
          <w:rFonts w:ascii="Arial" w:eastAsia="Arial" w:hAnsi="Arial" w:cs="Arial"/>
          <w:color w:val="000000"/>
          <w:sz w:val="20"/>
        </w:rPr>
        <w:t xml:space="preserve">As we [*1222]  said in </w:t>
      </w:r>
      <w:bookmarkStart w:id="6873" w:name="Bookmark_I5BRCY8J2SF7N20040000400"/>
      <w:bookmarkEnd w:id="6873"/>
      <w:r>
        <w:rPr>
          <w:rFonts w:ascii="Arial" w:eastAsia="Arial" w:hAnsi="Arial" w:cs="Arial"/>
          <w:i/>
          <w:color w:val="000000"/>
          <w:sz w:val="20"/>
        </w:rPr>
        <w:t>Fisher v. City of San Jose</w:t>
      </w:r>
      <w:r>
        <w:rPr>
          <w:rFonts w:ascii="Arial" w:eastAsia="Arial" w:hAnsi="Arial" w:cs="Arial"/>
          <w:color w:val="000000"/>
          <w:sz w:val="20"/>
        </w:rPr>
        <w:t>, 558 F.3d 1069 (9th Cir. 2009) (en banc), where we applied the exigent circumstances exception:</w:t>
      </w:r>
    </w:p>
    <w:p w14:paraId="22CA68A1" w14:textId="77777777" w:rsidR="002D0E71" w:rsidRDefault="00000000">
      <w:pPr>
        <w:pStyle w:val="Normal45"/>
        <w:widowControl w:val="0"/>
        <w:spacing w:before="200" w:line="260" w:lineRule="atLeast"/>
        <w:ind w:left="400"/>
        <w:jc w:val="both"/>
      </w:pPr>
      <w:bookmarkStart w:id="6874" w:name="Bookmark_para_36_22"/>
      <w:bookmarkEnd w:id="6874"/>
      <w:r>
        <w:rPr>
          <w:rFonts w:ascii="Arial" w:eastAsia="Arial" w:hAnsi="Arial" w:cs="Arial"/>
          <w:color w:val="000000"/>
          <w:sz w:val="20"/>
        </w:rPr>
        <w:t xml:space="preserve">Nothing in today's opinion . . . even hints at disturbing the Fourth Amendment requirement that the force, deadly or not, used in the course of arrest, investigatory stop, or other "seizure" of a person must satisfy the "objective reasonableness" standard. </w:t>
      </w:r>
      <w:bookmarkStart w:id="6875" w:name="Bookmark_I5BRCY8V2N1RJR0020000400"/>
      <w:bookmarkEnd w:id="6875"/>
      <w:r>
        <w:rPr>
          <w:rFonts w:ascii="Arial" w:eastAsia="Arial" w:hAnsi="Arial" w:cs="Arial"/>
          <w:color w:val="000000"/>
          <w:sz w:val="20"/>
        </w:rPr>
        <w:t>To be clear, we do not suggest that the initial exigency and seizure thereafter condoned unfettered force to resolve  [**23] the armed standoff, discharged all of Fisher's Fourth Amendment protections, or reduced in any way the probable cause needed to arrest. A court can certainly later examine the officers' actions in connection with a suspect's subsequent criminal trial or a collateral civil rights suit for other alleged Fourth Amendment violations, as the jury did here.</w:t>
      </w:r>
    </w:p>
    <w:p w14:paraId="4A1CAE05" w14:textId="77777777" w:rsidR="002D0E71" w:rsidRDefault="00000000">
      <w:pPr>
        <w:pStyle w:val="Normal45"/>
        <w:widowControl w:val="0"/>
        <w:spacing w:before="200" w:line="260" w:lineRule="atLeast"/>
        <w:jc w:val="both"/>
      </w:pPr>
      <w:bookmarkStart w:id="6876" w:name="Bookmark_I5BRCY8V2N1RJR0020000400_2"/>
      <w:bookmarkStart w:id="6877" w:name="Bookmark_I5BRCY8V2N1RJR0010000400"/>
      <w:bookmarkEnd w:id="6876"/>
      <w:bookmarkEnd w:id="6877"/>
      <w:r>
        <w:rPr>
          <w:rFonts w:ascii="Arial" w:eastAsia="Arial" w:hAnsi="Arial" w:cs="Arial"/>
          <w:i/>
          <w:color w:val="000000"/>
          <w:sz w:val="20"/>
        </w:rPr>
        <w:t>Id</w:t>
      </w:r>
      <w:r>
        <w:rPr>
          <w:rFonts w:ascii="Arial" w:eastAsia="Arial" w:hAnsi="Arial" w:cs="Arial"/>
          <w:color w:val="000000"/>
          <w:sz w:val="20"/>
        </w:rPr>
        <w:t>. at 1084 (citation omitted).</w:t>
      </w:r>
    </w:p>
    <w:p w14:paraId="494CE53C" w14:textId="77777777" w:rsidR="002D0E71" w:rsidRDefault="00000000">
      <w:pPr>
        <w:pStyle w:val="Normal45"/>
        <w:widowControl w:val="0"/>
        <w:spacing w:before="200" w:line="260" w:lineRule="atLeast"/>
        <w:jc w:val="both"/>
      </w:pPr>
      <w:bookmarkStart w:id="6878" w:name="Bookmark_para_37_22"/>
      <w:bookmarkStart w:id="6879" w:name="Bookmark_I5BRCY8V2N1RJR0040000400"/>
      <w:bookmarkStart w:id="6880" w:name="Bookmark_LNHNREFclscc16_12"/>
      <w:bookmarkEnd w:id="6878"/>
      <w:bookmarkEnd w:id="6879"/>
      <w:bookmarkEnd w:id="6880"/>
      <w:r>
        <w:rPr>
          <w:rFonts w:ascii="Arial" w:eastAsia="Arial" w:hAnsi="Arial" w:cs="Arial"/>
          <w:color w:val="000000"/>
          <w:sz w:val="20"/>
        </w:rPr>
        <w:t xml:space="preserve">Under the circumstances of this case, we see no meaningful distinction between the emergency aid exception's requirement that a search or seizure be conducted in a reasonable manner and the Fourth Amendment's requirement that it be carried out without the use of excessive force. Both inquiries stem from the common principle that an otherwise lawful search or seizure — whether justified by a warrant or by an exception to the warrant requirement — "may be invalid if carried out in an </w:t>
      </w:r>
      <w:r>
        <w:rPr>
          <w:rFonts w:ascii="Arial" w:eastAsia="Arial" w:hAnsi="Arial" w:cs="Arial"/>
          <w:i/>
          <w:color w:val="000000"/>
          <w:sz w:val="20"/>
        </w:rPr>
        <w:t>unreasonable</w:t>
      </w:r>
      <w:r>
        <w:rPr>
          <w:rFonts w:ascii="Arial" w:eastAsia="Arial" w:hAnsi="Arial" w:cs="Arial"/>
          <w:color w:val="000000"/>
          <w:sz w:val="20"/>
        </w:rPr>
        <w:t xml:space="preserve"> fashion." </w:t>
      </w:r>
      <w:bookmarkStart w:id="6881" w:name="Bookmark_I5BRCY8V2N1RJR0030000400"/>
      <w:bookmarkEnd w:id="6881"/>
      <w:r>
        <w:rPr>
          <w:rFonts w:ascii="Arial" w:eastAsia="Arial" w:hAnsi="Arial" w:cs="Arial"/>
          <w:i/>
          <w:color w:val="000000"/>
          <w:sz w:val="20"/>
        </w:rPr>
        <w:t>Franklin v. Foxworth</w:t>
      </w:r>
      <w:r>
        <w:rPr>
          <w:rFonts w:ascii="Arial" w:eastAsia="Arial" w:hAnsi="Arial" w:cs="Arial"/>
          <w:color w:val="000000"/>
          <w:sz w:val="20"/>
        </w:rPr>
        <w:t>, 31 F.3d 873, 875 (9th Cir. 1994). Thus, regardless of whether the officers rely on the emergency aid exception or the exigent circumstances exception, they were required to conduct the search or seizure in a reasonable manner, using reasonable force. We therefore apply the Supreme Court's  [**24] excessive force standard to both inquiries.</w:t>
      </w:r>
      <w:r>
        <w:rPr>
          <w:rFonts w:ascii="Arial" w:eastAsia="Arial" w:hAnsi="Arial" w:cs="Arial"/>
          <w:vertAlign w:val="superscript"/>
        </w:rPr>
        <w:footnoteReference w:customMarkFollows="1" w:id="286"/>
        <w:t>4</w:t>
      </w:r>
    </w:p>
    <w:p w14:paraId="26030C76" w14:textId="77777777" w:rsidR="002D0E71" w:rsidRDefault="00000000">
      <w:pPr>
        <w:pStyle w:val="Normal45"/>
        <w:widowControl w:val="0"/>
        <w:spacing w:before="200" w:line="260" w:lineRule="atLeast"/>
        <w:jc w:val="both"/>
      </w:pPr>
      <w:bookmarkStart w:id="6887" w:name="Bookmark_para_38_20"/>
      <w:bookmarkStart w:id="6888" w:name="Bookmark_I4GW5YDJ8H6000RKF9T000R1"/>
      <w:bookmarkStart w:id="6889" w:name="Bookmark_I5BRCY9628T4P40050000400"/>
      <w:bookmarkStart w:id="6890" w:name="Bookmark_I5BRCY9J2SF8H80020000400"/>
      <w:bookmarkStart w:id="6891" w:name="Bookmark_LNHNREFclscc18_10"/>
      <w:bookmarkEnd w:id="6887"/>
      <w:bookmarkEnd w:id="6888"/>
      <w:bookmarkEnd w:id="6889"/>
      <w:bookmarkEnd w:id="6890"/>
      <w:bookmarkEnd w:id="6891"/>
      <w:r>
        <w:rPr>
          <w:rFonts w:ascii="Arial" w:eastAsia="Arial" w:hAnsi="Arial" w:cs="Arial"/>
          <w:color w:val="000000"/>
          <w:sz w:val="20"/>
        </w:rPr>
        <w:t xml:space="preserve">Under that standard, "[d]etermining whether the force used to effect a particular seizure is reasonable under the Fourth Amendment requires a careful balancing of the nature and quality of the intrusion on the individual's Fourth Amendment interests against the countervailing governmental interests at stake." </w:t>
      </w:r>
      <w:bookmarkStart w:id="6892" w:name="Bookmark_I5BRCY9628T4P40040000400"/>
      <w:bookmarkEnd w:id="6892"/>
      <w:r>
        <w:rPr>
          <w:rFonts w:ascii="Arial" w:eastAsia="Arial" w:hAnsi="Arial" w:cs="Arial"/>
          <w:i/>
          <w:color w:val="000000"/>
          <w:sz w:val="20"/>
        </w:rPr>
        <w:t>Graham v. Connor</w:t>
      </w:r>
      <w:r>
        <w:rPr>
          <w:rFonts w:ascii="Arial" w:eastAsia="Arial" w:hAnsi="Arial" w:cs="Arial"/>
          <w:color w:val="000000"/>
          <w:sz w:val="20"/>
        </w:rPr>
        <w:t xml:space="preserve">, 490 U.S. 386, 396, 109 S. Ct. 1865, 104 L. Ed. 2d 443 (1989) (internal quotation marks omitted). This test of reasonableness "requires careful attention to the facts and circumstances of each particular case, including the severity of the crime at issue, whether the suspect poses an immediate threat to the safety of the officers or others, and whether he is actively  [**25] resisting arrest or attempting to evade arrest by flight." </w:t>
      </w:r>
      <w:r>
        <w:rPr>
          <w:rFonts w:ascii="Arial" w:eastAsia="Arial" w:hAnsi="Arial" w:cs="Arial"/>
          <w:i/>
          <w:color w:val="000000"/>
          <w:sz w:val="20"/>
        </w:rPr>
        <w:t>Id</w:t>
      </w:r>
      <w:r>
        <w:rPr>
          <w:rFonts w:ascii="Arial" w:eastAsia="Arial" w:hAnsi="Arial" w:cs="Arial"/>
          <w:color w:val="000000"/>
          <w:sz w:val="20"/>
        </w:rPr>
        <w:t xml:space="preserve">. </w:t>
      </w:r>
      <w:bookmarkStart w:id="6893" w:name="Bookmark_LNHNREFclscc19_8"/>
      <w:bookmarkEnd w:id="6893"/>
      <w:r>
        <w:rPr>
          <w:rFonts w:ascii="Arial" w:eastAsia="Arial" w:hAnsi="Arial" w:cs="Arial"/>
          <w:color w:val="000000"/>
          <w:sz w:val="20"/>
        </w:rPr>
        <w:t xml:space="preserve">The reasonableness of a particular use of force, moreover, "must be judged from the perspective of a reasonable officer on the scene, rather than with the 20/20 vision of hindsight," making "allowance for the fact that police officers are often forced to make split-second judgments — in circumstances that are tense, uncertain, and rapidly evolving — about the amount of force that is necessary in a particular situation." </w:t>
      </w:r>
      <w:bookmarkStart w:id="6894" w:name="Bookmark_I5BRCY9J2SF8H80010000400"/>
      <w:bookmarkEnd w:id="6894"/>
      <w:r>
        <w:rPr>
          <w:rFonts w:ascii="Arial" w:eastAsia="Arial" w:hAnsi="Arial" w:cs="Arial"/>
          <w:i/>
          <w:color w:val="000000"/>
          <w:sz w:val="20"/>
        </w:rPr>
        <w:t>Id</w:t>
      </w:r>
      <w:r>
        <w:rPr>
          <w:rFonts w:ascii="Arial" w:eastAsia="Arial" w:hAnsi="Arial" w:cs="Arial"/>
          <w:color w:val="000000"/>
          <w:sz w:val="20"/>
        </w:rPr>
        <w:t>. at 396-97.</w:t>
      </w:r>
    </w:p>
    <w:p w14:paraId="5E01C04A" w14:textId="77777777" w:rsidR="002D0E71" w:rsidRDefault="00000000">
      <w:pPr>
        <w:pStyle w:val="Normal45"/>
        <w:widowControl w:val="0"/>
        <w:spacing w:before="240" w:line="260" w:lineRule="atLeast"/>
      </w:pPr>
      <w:r>
        <w:br/>
      </w:r>
      <w:r>
        <w:rPr>
          <w:rFonts w:ascii="Arial" w:eastAsia="Arial" w:hAnsi="Arial" w:cs="Arial"/>
          <w:b/>
          <w:color w:val="000000"/>
          <w:sz w:val="20"/>
        </w:rPr>
        <w:t>2</w:t>
      </w:r>
      <w:r>
        <w:rPr>
          <w:rFonts w:ascii="Arial" w:eastAsia="Arial" w:hAnsi="Arial" w:cs="Arial"/>
          <w:color w:val="000000"/>
          <w:sz w:val="20"/>
        </w:rPr>
        <w:t>.</w:t>
      </w:r>
    </w:p>
    <w:p w14:paraId="043AC448" w14:textId="77777777" w:rsidR="002D0E71" w:rsidRDefault="00000000">
      <w:pPr>
        <w:pStyle w:val="Normal45"/>
        <w:widowControl w:val="0"/>
        <w:spacing w:before="200" w:line="260" w:lineRule="atLeast"/>
        <w:jc w:val="both"/>
      </w:pPr>
      <w:bookmarkStart w:id="6895" w:name="Bookmark_para_39_20"/>
      <w:bookmarkEnd w:id="6895"/>
      <w:r>
        <w:rPr>
          <w:rFonts w:ascii="Arial" w:eastAsia="Arial" w:hAnsi="Arial" w:cs="Arial"/>
          <w:color w:val="000000"/>
          <w:sz w:val="20"/>
        </w:rPr>
        <w:t>Applying these standards here, we hold that the officers' initial entry into Sheehan's home was lawful under the emergency aid exception.</w:t>
      </w:r>
    </w:p>
    <w:p w14:paraId="5D88B920" w14:textId="77777777" w:rsidR="002D0E71" w:rsidRDefault="00000000">
      <w:pPr>
        <w:pStyle w:val="Normal45"/>
        <w:widowControl w:val="0"/>
        <w:spacing w:before="200" w:line="260" w:lineRule="atLeast"/>
        <w:jc w:val="both"/>
      </w:pPr>
      <w:bookmarkStart w:id="6896" w:name="Bookmark_para_40_20"/>
      <w:bookmarkEnd w:id="6896"/>
      <w:r>
        <w:rPr>
          <w:rFonts w:ascii="Arial" w:eastAsia="Arial" w:hAnsi="Arial" w:cs="Arial"/>
          <w:color w:val="000000"/>
          <w:sz w:val="20"/>
        </w:rPr>
        <w:t xml:space="preserve"> [*1223]  First, the officers had an objectively reasonable basis for concluding that there was an urgent need to protect Sheehan from serious harm. The officers knew that Sheehan was off her medication, was not taking care of herself and had acted in a threatening manner toward Hodge. They were also aware that, in Hodge's view, she was both "gravely disabled" and in need of temporary, involuntary hospitalization to receive psychological evaluation and treatment. Sheehan points out that she may not have required </w:t>
      </w:r>
      <w:r>
        <w:rPr>
          <w:rFonts w:ascii="Arial" w:eastAsia="Arial" w:hAnsi="Arial" w:cs="Arial"/>
          <w:i/>
          <w:color w:val="000000"/>
          <w:sz w:val="20"/>
        </w:rPr>
        <w:t>immediate</w:t>
      </w:r>
      <w:r>
        <w:rPr>
          <w:rFonts w:ascii="Arial" w:eastAsia="Arial" w:hAnsi="Arial" w:cs="Arial"/>
          <w:color w:val="000000"/>
          <w:sz w:val="20"/>
        </w:rPr>
        <w:t xml:space="preserve"> assistance. Hodge had not suggested Sheehan  [**26] was suicidal and the conditions Hodge described — not eating, not taking medication, not changing clothes — suggested a gradual rather than a sudden deterioration. The officers, however, reasonably took a cautious view of the situation. Hodge, who was a trained social worker and personally familiar with Sheehan's condition, considered the situation dire enough to apply for a § 5150 detention and to call for police assistance in transporting Sheehan to a mental health facility. Hodge had telephoned the police immediately after his encounter with Sheehan, suggesting that the situation was urgent. </w:t>
      </w:r>
      <w:bookmarkStart w:id="6897" w:name="Bookmark_I5BRCY9J2SF8H80040000400"/>
      <w:bookmarkEnd w:id="6897"/>
      <w:r>
        <w:rPr>
          <w:rFonts w:ascii="Arial" w:eastAsia="Arial" w:hAnsi="Arial" w:cs="Arial"/>
          <w:color w:val="000000"/>
          <w:sz w:val="20"/>
        </w:rPr>
        <w:t xml:space="preserve">Sheehan's threatening behavior toward Hodge suggested that her condition had deteriorated precipitously, again suggesting urgency. Under the circumstances, the officers acted reasonably by treating the situation as a genuine emergency. As we stated in </w:t>
      </w:r>
      <w:bookmarkStart w:id="6898" w:name="Bookmark_I5BRCY9J2SF8H80030000400"/>
      <w:bookmarkEnd w:id="6898"/>
      <w:r>
        <w:rPr>
          <w:rFonts w:ascii="Arial" w:eastAsia="Arial" w:hAnsi="Arial" w:cs="Arial"/>
          <w:i/>
          <w:color w:val="000000"/>
          <w:sz w:val="20"/>
        </w:rPr>
        <w:t>United States v. Black</w:t>
      </w:r>
      <w:r>
        <w:rPr>
          <w:rFonts w:ascii="Arial" w:eastAsia="Arial" w:hAnsi="Arial" w:cs="Arial"/>
          <w:color w:val="000000"/>
          <w:sz w:val="20"/>
        </w:rPr>
        <w:t>, 482 F.3d 1035 (9th Cir. 2007):</w:t>
      </w:r>
    </w:p>
    <w:p w14:paraId="6132D897" w14:textId="77777777" w:rsidR="002D0E71" w:rsidRDefault="00000000">
      <w:pPr>
        <w:pStyle w:val="Normal45"/>
        <w:widowControl w:val="0"/>
        <w:spacing w:before="200" w:line="260" w:lineRule="atLeast"/>
        <w:ind w:left="400"/>
        <w:jc w:val="both"/>
      </w:pPr>
      <w:bookmarkStart w:id="6899" w:name="Bookmark_para_41_19"/>
      <w:bookmarkEnd w:id="6899"/>
      <w:r>
        <w:rPr>
          <w:rFonts w:ascii="Arial" w:eastAsia="Arial" w:hAnsi="Arial" w:cs="Arial"/>
          <w:color w:val="000000"/>
          <w:sz w:val="20"/>
        </w:rPr>
        <w:t xml:space="preserve">This is a case where the police would be harshly criticized had they not investigated . . . . </w:t>
      </w:r>
      <w:bookmarkStart w:id="6900" w:name="Bookmark_LNHNREFclscc20_8"/>
      <w:bookmarkEnd w:id="6900"/>
      <w:r>
        <w:rPr>
          <w:rFonts w:ascii="Arial" w:eastAsia="Arial" w:hAnsi="Arial" w:cs="Arial"/>
          <w:color w:val="000000"/>
          <w:sz w:val="20"/>
        </w:rPr>
        <w:t xml:space="preserve">Erring on the side of caution is exactly what we expect of conscientious police officers. </w:t>
      </w:r>
      <w:bookmarkStart w:id="6901" w:name="Bookmark_I5BRCYB52D6N1B0010000400"/>
      <w:bookmarkEnd w:id="6901"/>
      <w:r>
        <w:rPr>
          <w:rFonts w:ascii="Arial" w:eastAsia="Arial" w:hAnsi="Arial" w:cs="Arial"/>
          <w:color w:val="000000"/>
          <w:sz w:val="20"/>
        </w:rPr>
        <w:t xml:space="preserve">This is a "welfare search" where rescue is the objective, rather than a search for crime. </w:t>
      </w:r>
      <w:bookmarkStart w:id="6902" w:name="Bookmark_I5BRCYB52D6N1B0030000400"/>
      <w:bookmarkEnd w:id="6902"/>
      <w:r>
        <w:rPr>
          <w:rFonts w:ascii="Arial" w:eastAsia="Arial" w:hAnsi="Arial" w:cs="Arial"/>
          <w:color w:val="000000"/>
          <w:sz w:val="20"/>
        </w:rPr>
        <w:t>We should not second-guess the officers[']  [**27] objectively reasonable decision in such a case.</w:t>
      </w:r>
    </w:p>
    <w:p w14:paraId="76ABFC22" w14:textId="77777777" w:rsidR="002D0E71" w:rsidRDefault="00000000">
      <w:pPr>
        <w:pStyle w:val="Normal45"/>
        <w:widowControl w:val="0"/>
        <w:spacing w:before="200" w:line="260" w:lineRule="atLeast"/>
        <w:jc w:val="both"/>
      </w:pPr>
      <w:bookmarkStart w:id="6903" w:name="Bookmark_I5BRCYB52D6N1B0030000400_2"/>
      <w:bookmarkStart w:id="6904" w:name="Bookmark_I5BRCYB52D6N1B0010000400_2"/>
      <w:bookmarkStart w:id="6905" w:name="Bookmark_I5BRCY9J2SF8H80050000400"/>
      <w:bookmarkEnd w:id="6903"/>
      <w:bookmarkEnd w:id="6904"/>
      <w:bookmarkEnd w:id="6905"/>
      <w:r>
        <w:rPr>
          <w:rFonts w:ascii="Arial" w:eastAsia="Arial" w:hAnsi="Arial" w:cs="Arial"/>
          <w:i/>
          <w:color w:val="000000"/>
          <w:sz w:val="20"/>
        </w:rPr>
        <w:t>Id</w:t>
      </w:r>
      <w:r>
        <w:rPr>
          <w:rFonts w:ascii="Arial" w:eastAsia="Arial" w:hAnsi="Arial" w:cs="Arial"/>
          <w:color w:val="000000"/>
          <w:sz w:val="20"/>
        </w:rPr>
        <w:t xml:space="preserve">. at 1040. </w:t>
      </w:r>
      <w:r>
        <w:rPr>
          <w:rFonts w:ascii="Arial" w:eastAsia="Arial" w:hAnsi="Arial" w:cs="Arial"/>
          <w:i/>
          <w:color w:val="000000"/>
          <w:sz w:val="20"/>
        </w:rPr>
        <w:t xml:space="preserve">See also </w:t>
      </w:r>
      <w:bookmarkStart w:id="6906" w:name="Bookmark_I5BRCYB52D6N1B0020000400"/>
      <w:bookmarkEnd w:id="6906"/>
      <w:r>
        <w:rPr>
          <w:rFonts w:ascii="Arial" w:eastAsia="Arial" w:hAnsi="Arial" w:cs="Arial"/>
          <w:i/>
          <w:color w:val="000000"/>
          <w:sz w:val="20"/>
        </w:rPr>
        <w:t>Michigan v. Fisher</w:t>
      </w:r>
      <w:r>
        <w:rPr>
          <w:rFonts w:ascii="Arial" w:eastAsia="Arial" w:hAnsi="Arial" w:cs="Arial"/>
          <w:color w:val="000000"/>
          <w:sz w:val="20"/>
        </w:rPr>
        <w:t>, 558 U.S. 45, 49, 130 S. Ct. 546, 175 L. Ed. 2d 410 (2009) (per curiam) ("Officers do not need ironclad proof of 'a likely serious, life-threatening' injury to invoke the emergency aid exception.").</w:t>
      </w:r>
    </w:p>
    <w:p w14:paraId="3EF4980B" w14:textId="77777777" w:rsidR="002D0E71" w:rsidRDefault="00000000">
      <w:pPr>
        <w:pStyle w:val="Normal45"/>
        <w:widowControl w:val="0"/>
        <w:spacing w:before="200" w:line="260" w:lineRule="atLeast"/>
        <w:jc w:val="both"/>
      </w:pPr>
      <w:bookmarkStart w:id="6907" w:name="Bookmark_para_42_15"/>
      <w:bookmarkEnd w:id="6907"/>
      <w:r>
        <w:rPr>
          <w:rFonts w:ascii="Arial" w:eastAsia="Arial" w:hAnsi="Arial" w:cs="Arial"/>
          <w:color w:val="000000"/>
          <w:sz w:val="20"/>
        </w:rPr>
        <w:t>Second, the officers carried out the search or seizure in a reasonable manner up to and including the initial entry. Accompanied by Hodge, the officers knocked and announced that they were police officers. They then used a pass key supplied by Hodge to let themselves in for the purpose of assessing whether Sheehan needed emergency treatment under § 5150. Their weapons were not drawn and they had no reason to believe that their entry would trigger a violent confrontation. The officers therefore used reasonable force under the circumstances.</w:t>
      </w:r>
    </w:p>
    <w:p w14:paraId="4879A2DB" w14:textId="77777777" w:rsidR="002D0E71" w:rsidRDefault="00000000">
      <w:pPr>
        <w:pStyle w:val="Normal45"/>
        <w:widowControl w:val="0"/>
        <w:spacing w:before="200" w:line="260" w:lineRule="atLeast"/>
        <w:jc w:val="both"/>
      </w:pPr>
      <w:bookmarkStart w:id="6908" w:name="Bookmark_para_43_15"/>
      <w:bookmarkEnd w:id="6908"/>
      <w:r>
        <w:rPr>
          <w:rFonts w:ascii="Arial" w:eastAsia="Arial" w:hAnsi="Arial" w:cs="Arial"/>
          <w:color w:val="000000"/>
          <w:sz w:val="20"/>
        </w:rPr>
        <w:t>Accordingly, we hold that the officers' initial entry into Sheehan's home did not violate the Fourth Amendment.</w:t>
      </w:r>
      <w:r>
        <w:rPr>
          <w:rFonts w:ascii="Arial" w:eastAsia="Arial" w:hAnsi="Arial" w:cs="Arial"/>
          <w:vertAlign w:val="superscript"/>
        </w:rPr>
        <w:footnoteReference w:customMarkFollows="1" w:id="287"/>
        <w:t>5</w:t>
      </w:r>
    </w:p>
    <w:p w14:paraId="7D69829F" w14:textId="77777777" w:rsidR="002D0E71" w:rsidRDefault="00000000">
      <w:pPr>
        <w:pStyle w:val="Normal45"/>
        <w:widowControl w:val="0"/>
        <w:spacing w:before="240" w:line="260" w:lineRule="atLeast"/>
      </w:pPr>
      <w:r>
        <w:br/>
      </w:r>
      <w:r>
        <w:rPr>
          <w:rFonts w:ascii="Arial" w:eastAsia="Arial" w:hAnsi="Arial" w:cs="Arial"/>
          <w:b/>
          <w:color w:val="000000"/>
          <w:sz w:val="20"/>
        </w:rPr>
        <w:t>B. Second Entry</w:t>
      </w:r>
    </w:p>
    <w:p w14:paraId="53C51083" w14:textId="77777777" w:rsidR="002D0E71" w:rsidRDefault="00000000">
      <w:pPr>
        <w:pStyle w:val="Normal45"/>
        <w:widowControl w:val="0"/>
        <w:spacing w:before="200" w:line="260" w:lineRule="atLeast"/>
        <w:jc w:val="both"/>
      </w:pPr>
      <w:bookmarkStart w:id="6916" w:name="Bookmark_para_44_12"/>
      <w:bookmarkEnd w:id="6916"/>
      <w:r>
        <w:rPr>
          <w:rFonts w:ascii="Arial" w:eastAsia="Arial" w:hAnsi="Arial" w:cs="Arial"/>
          <w:color w:val="000000"/>
          <w:sz w:val="20"/>
        </w:rPr>
        <w:t>We hold, however, that there are triable issues of fact as to whether the second entry violated the Fourth Amendment.</w:t>
      </w:r>
    </w:p>
    <w:p w14:paraId="4A174A14" w14:textId="77777777" w:rsidR="002D0E71" w:rsidRDefault="00000000">
      <w:pPr>
        <w:pStyle w:val="Normal45"/>
        <w:widowControl w:val="0"/>
        <w:spacing w:before="240" w:line="260" w:lineRule="atLeast"/>
      </w:pPr>
      <w:r>
        <w:br/>
      </w:r>
      <w:r>
        <w:rPr>
          <w:rFonts w:ascii="Arial" w:eastAsia="Arial" w:hAnsi="Arial" w:cs="Arial"/>
          <w:color w:val="000000"/>
          <w:sz w:val="20"/>
        </w:rPr>
        <w:t xml:space="preserve"> [*1224]  </w:t>
      </w:r>
      <w:r>
        <w:rPr>
          <w:rFonts w:ascii="Arial" w:eastAsia="Arial" w:hAnsi="Arial" w:cs="Arial"/>
          <w:b/>
          <w:color w:val="000000"/>
          <w:sz w:val="20"/>
        </w:rPr>
        <w:t>1</w:t>
      </w:r>
      <w:r>
        <w:rPr>
          <w:rFonts w:ascii="Arial" w:eastAsia="Arial" w:hAnsi="Arial" w:cs="Arial"/>
          <w:color w:val="000000"/>
          <w:sz w:val="20"/>
        </w:rPr>
        <w:t>.</w:t>
      </w:r>
    </w:p>
    <w:p w14:paraId="7A81CEF5" w14:textId="77777777" w:rsidR="002D0E71" w:rsidRDefault="00000000">
      <w:pPr>
        <w:pStyle w:val="Normal45"/>
        <w:widowControl w:val="0"/>
        <w:spacing w:before="200" w:line="260" w:lineRule="atLeast"/>
        <w:jc w:val="both"/>
      </w:pPr>
      <w:bookmarkStart w:id="6917" w:name="Bookmark_para_45_11"/>
      <w:bookmarkEnd w:id="6917"/>
      <w:r>
        <w:rPr>
          <w:rFonts w:ascii="Arial" w:eastAsia="Arial" w:hAnsi="Arial" w:cs="Arial"/>
          <w:color w:val="000000"/>
          <w:sz w:val="20"/>
        </w:rPr>
        <w:t xml:space="preserve">We do not suggest that the officers are liable for acting without a warrant. </w:t>
      </w:r>
      <w:bookmarkStart w:id="6918" w:name="Bookmark_I5BRCYC12HM5VF0010000400"/>
      <w:bookmarkEnd w:id="6918"/>
      <w:r>
        <w:rPr>
          <w:rFonts w:ascii="Arial" w:eastAsia="Arial" w:hAnsi="Arial" w:cs="Arial"/>
          <w:color w:val="000000"/>
          <w:sz w:val="20"/>
        </w:rPr>
        <w:t xml:space="preserve">There are at least two, and possibly three, reasons why the officers were permitted to act without a warrant at the time of the second entry. First, the officers continued to have an objectively reasonable basis for concluding that there was an urgent need to protect Sheehan from serious harm, satisfying the emergency aid exception's first prong. </w:t>
      </w:r>
      <w:r>
        <w:rPr>
          <w:rFonts w:ascii="Arial" w:eastAsia="Arial" w:hAnsi="Arial" w:cs="Arial"/>
          <w:i/>
          <w:color w:val="000000"/>
          <w:sz w:val="20"/>
        </w:rPr>
        <w:t xml:space="preserve">See </w:t>
      </w:r>
      <w:bookmarkStart w:id="6919" w:name="Bookmark_I5BRCYBD2N1RG60050000400"/>
      <w:bookmarkEnd w:id="6919"/>
      <w:r>
        <w:rPr>
          <w:rFonts w:ascii="Arial" w:eastAsia="Arial" w:hAnsi="Arial" w:cs="Arial"/>
          <w:i/>
          <w:color w:val="000000"/>
          <w:sz w:val="20"/>
        </w:rPr>
        <w:t>Snipe</w:t>
      </w:r>
      <w:r>
        <w:rPr>
          <w:rFonts w:ascii="Arial" w:eastAsia="Arial" w:hAnsi="Arial" w:cs="Arial"/>
          <w:color w:val="000000"/>
          <w:sz w:val="20"/>
        </w:rPr>
        <w:t>, 515 F.3d at 952.</w:t>
      </w:r>
      <w:r>
        <w:rPr>
          <w:rFonts w:ascii="Arial" w:eastAsia="Arial" w:hAnsi="Arial" w:cs="Arial"/>
          <w:vertAlign w:val="superscript"/>
        </w:rPr>
        <w:footnoteReference w:customMarkFollows="1" w:id="288"/>
        <w:t>6</w:t>
      </w:r>
      <w:r>
        <w:rPr>
          <w:rFonts w:ascii="Arial" w:eastAsia="Arial" w:hAnsi="Arial" w:cs="Arial"/>
          <w:color w:val="000000"/>
          <w:sz w:val="20"/>
        </w:rPr>
        <w:t xml:space="preserve"> The emergency that existed at the time of the initial entry was no less apparent at the time of the second entry. </w:t>
      </w:r>
      <w:bookmarkStart w:id="6924" w:name="Bookmark_I5BRCYC12HM5VF0030000400"/>
      <w:bookmarkEnd w:id="6924"/>
      <w:r>
        <w:rPr>
          <w:rFonts w:ascii="Arial" w:eastAsia="Arial" w:hAnsi="Arial" w:cs="Arial"/>
          <w:color w:val="000000"/>
          <w:sz w:val="20"/>
        </w:rPr>
        <w:t xml:space="preserve">On the  [**29] contrary, Sheehan's behavior toward the officers during their initial entry only confirmed that her condition had deteriorated to the point of creating an emergency. Second, </w:t>
      </w:r>
      <w:bookmarkStart w:id="6925" w:name="Bookmark_LNHNREFclscc21_7"/>
      <w:bookmarkEnd w:id="6925"/>
      <w:r>
        <w:rPr>
          <w:rFonts w:ascii="Arial" w:eastAsia="Arial" w:hAnsi="Arial" w:cs="Arial"/>
          <w:color w:val="000000"/>
          <w:sz w:val="20"/>
        </w:rPr>
        <w:t xml:space="preserve">because the two entries were part of a single, continuous search or seizure, the officers are not required to separately justify the continuing emergency with respect to the second entry. </w:t>
      </w:r>
      <w:r>
        <w:rPr>
          <w:rFonts w:ascii="Arial" w:eastAsia="Arial" w:hAnsi="Arial" w:cs="Arial"/>
          <w:i/>
          <w:color w:val="000000"/>
          <w:sz w:val="20"/>
        </w:rPr>
        <w:t xml:space="preserve">See </w:t>
      </w:r>
      <w:bookmarkStart w:id="6926" w:name="Bookmark_I5BRCYC12HM5VF0020000400"/>
      <w:bookmarkEnd w:id="6926"/>
      <w:r>
        <w:rPr>
          <w:rFonts w:ascii="Arial" w:eastAsia="Arial" w:hAnsi="Arial" w:cs="Arial"/>
          <w:i/>
          <w:color w:val="000000"/>
          <w:sz w:val="20"/>
        </w:rPr>
        <w:t>Michigan v. Tyler</w:t>
      </w:r>
      <w:r>
        <w:rPr>
          <w:rFonts w:ascii="Arial" w:eastAsia="Arial" w:hAnsi="Arial" w:cs="Arial"/>
          <w:color w:val="000000"/>
          <w:sz w:val="20"/>
        </w:rPr>
        <w:t xml:space="preserve">, 436 U.S. 499, 511, 98 S. Ct. 1942, 56 L. Ed. 2d 486 (1978) ("[W]e find that the morning entries were no more than an actual continuation of the first, and the lack of a warrant thus did not invalidate the resulting seizure of evidence" where the initial entry was justified by exigent circumstances); </w:t>
      </w:r>
      <w:bookmarkStart w:id="6927" w:name="Bookmark_I5BRCYC12HM5VF0040000400"/>
      <w:bookmarkEnd w:id="6927"/>
      <w:r>
        <w:rPr>
          <w:rFonts w:ascii="Arial" w:eastAsia="Arial" w:hAnsi="Arial" w:cs="Arial"/>
          <w:i/>
          <w:color w:val="000000"/>
          <w:sz w:val="20"/>
        </w:rPr>
        <w:t>Fisher</w:t>
      </w:r>
      <w:r>
        <w:rPr>
          <w:rFonts w:ascii="Arial" w:eastAsia="Arial" w:hAnsi="Arial" w:cs="Arial"/>
          <w:color w:val="000000"/>
          <w:sz w:val="20"/>
        </w:rPr>
        <w:t xml:space="preserve">, 558 F.3d at 1077 ("[W]e conclude that when Fisher was seized at the beginning of the standoff, the officers were not required to periodically reassess whether the exigency persisted throughout the standoff because the standoff was 'no more than an actual continuation' of the initial seizure."); </w:t>
      </w:r>
      <w:bookmarkStart w:id="6928" w:name="Bookmark_I5BRCYC92D6NJT0010000400"/>
      <w:bookmarkEnd w:id="6928"/>
      <w:r>
        <w:rPr>
          <w:rFonts w:ascii="Arial" w:eastAsia="Arial" w:hAnsi="Arial" w:cs="Arial"/>
          <w:i/>
          <w:color w:val="000000"/>
          <w:sz w:val="20"/>
        </w:rPr>
        <w:t>United States v. Kaplan</w:t>
      </w:r>
      <w:r>
        <w:rPr>
          <w:rFonts w:ascii="Arial" w:eastAsia="Arial" w:hAnsi="Arial" w:cs="Arial"/>
          <w:color w:val="000000"/>
          <w:sz w:val="20"/>
        </w:rPr>
        <w:t xml:space="preserve">, 895 F.2d 618, 623 (9th Cir. 1990); </w:t>
      </w:r>
      <w:bookmarkStart w:id="6929" w:name="Bookmark_I5BRCYC92D6NJT0030000400"/>
      <w:bookmarkEnd w:id="6929"/>
      <w:r>
        <w:rPr>
          <w:rFonts w:ascii="Arial" w:eastAsia="Arial" w:hAnsi="Arial" w:cs="Arial"/>
          <w:i/>
          <w:color w:val="000000"/>
          <w:sz w:val="20"/>
        </w:rPr>
        <w:t>United States v. Echegoyen</w:t>
      </w:r>
      <w:r>
        <w:rPr>
          <w:rFonts w:ascii="Arial" w:eastAsia="Arial" w:hAnsi="Arial" w:cs="Arial"/>
          <w:color w:val="000000"/>
          <w:sz w:val="20"/>
        </w:rPr>
        <w:t>, 799 F.2d 1271, 1280 (9th Cir. 1986).</w:t>
      </w:r>
      <w:r>
        <w:rPr>
          <w:rFonts w:ascii="Arial" w:eastAsia="Arial" w:hAnsi="Arial" w:cs="Arial"/>
          <w:vertAlign w:val="superscript"/>
        </w:rPr>
        <w:footnoteReference w:customMarkFollows="1" w:id="289"/>
        <w:t>7</w:t>
      </w:r>
      <w:r>
        <w:rPr>
          <w:rFonts w:ascii="Arial" w:eastAsia="Arial" w:hAnsi="Arial" w:cs="Arial"/>
          <w:color w:val="000000"/>
          <w:sz w:val="20"/>
        </w:rPr>
        <w:t xml:space="preserve"> Third, although the point is debatable, the officers may have been justified in acting without a warrant under the exigent  [**30] circumstances exception.</w:t>
      </w:r>
      <w:r>
        <w:rPr>
          <w:rFonts w:ascii="Arial" w:eastAsia="Arial" w:hAnsi="Arial" w:cs="Arial"/>
          <w:vertAlign w:val="superscript"/>
        </w:rPr>
        <w:footnoteReference w:customMarkFollows="1" w:id="290"/>
        <w:t>8</w:t>
      </w:r>
      <w:r>
        <w:rPr>
          <w:rFonts w:ascii="Arial" w:eastAsia="Arial" w:hAnsi="Arial" w:cs="Arial"/>
          <w:color w:val="000000"/>
          <w:sz w:val="20"/>
        </w:rPr>
        <w:t xml:space="preserve"> That the officers  [*1225]  did not have a warrant at the time of the second entry, therefore, did not violate the Fourth Amendment.</w:t>
      </w:r>
    </w:p>
    <w:p w14:paraId="60ED8A35" w14:textId="77777777" w:rsidR="002D0E71" w:rsidRDefault="00000000">
      <w:pPr>
        <w:pStyle w:val="Normal45"/>
        <w:widowControl w:val="0"/>
        <w:spacing w:before="240" w:line="260" w:lineRule="atLeast"/>
      </w:pPr>
      <w:r>
        <w:br/>
      </w:r>
      <w:r>
        <w:rPr>
          <w:rFonts w:ascii="Arial" w:eastAsia="Arial" w:hAnsi="Arial" w:cs="Arial"/>
          <w:b/>
          <w:color w:val="000000"/>
          <w:sz w:val="20"/>
        </w:rPr>
        <w:t>2</w:t>
      </w:r>
      <w:r>
        <w:rPr>
          <w:rFonts w:ascii="Arial" w:eastAsia="Arial" w:hAnsi="Arial" w:cs="Arial"/>
          <w:color w:val="000000"/>
          <w:sz w:val="20"/>
        </w:rPr>
        <w:t>.</w:t>
      </w:r>
    </w:p>
    <w:p w14:paraId="13DC012D" w14:textId="77777777" w:rsidR="002D0E71" w:rsidRDefault="00000000">
      <w:pPr>
        <w:pStyle w:val="Normal45"/>
        <w:widowControl w:val="0"/>
        <w:spacing w:before="200" w:line="260" w:lineRule="atLeast"/>
        <w:jc w:val="both"/>
      </w:pPr>
      <w:bookmarkStart w:id="6937" w:name="Bookmark_para_46_10"/>
      <w:bookmarkStart w:id="6938" w:name="Bookmark_I5BRCYCS28T4W90020000400"/>
      <w:bookmarkEnd w:id="6937"/>
      <w:bookmarkEnd w:id="6938"/>
      <w:r>
        <w:rPr>
          <w:rFonts w:ascii="Arial" w:eastAsia="Arial" w:hAnsi="Arial" w:cs="Arial"/>
          <w:color w:val="000000"/>
          <w:sz w:val="20"/>
        </w:rPr>
        <w:t xml:space="preserve">We are not persuaded, however, that the officers carried out the search or seizure in a reasonable manner at the point of the second entry. As we have explained, </w:t>
      </w:r>
      <w:bookmarkStart w:id="6939" w:name="Bookmark_LNHNREFclscc24_5"/>
      <w:bookmarkEnd w:id="6939"/>
      <w:r>
        <w:rPr>
          <w:rFonts w:ascii="Arial" w:eastAsia="Arial" w:hAnsi="Arial" w:cs="Arial"/>
          <w:color w:val="000000"/>
          <w:sz w:val="20"/>
        </w:rPr>
        <w:t xml:space="preserve">regardless of whether the officers invoke the emergency aid exception or the exigent circumstances exception, they were required to carry out the search or seizure in a reasonable manner, without the use of excessive force. </w:t>
      </w:r>
      <w:r>
        <w:rPr>
          <w:rFonts w:ascii="Arial" w:eastAsia="Arial" w:hAnsi="Arial" w:cs="Arial"/>
          <w:i/>
          <w:color w:val="000000"/>
          <w:sz w:val="20"/>
        </w:rPr>
        <w:t xml:space="preserve">See </w:t>
      </w:r>
      <w:bookmarkStart w:id="6940" w:name="Bookmark_I5BRCYCS28T4W90010000400"/>
      <w:bookmarkEnd w:id="6940"/>
      <w:r>
        <w:rPr>
          <w:rFonts w:ascii="Arial" w:eastAsia="Arial" w:hAnsi="Arial" w:cs="Arial"/>
          <w:i/>
          <w:color w:val="000000"/>
          <w:sz w:val="20"/>
        </w:rPr>
        <w:t>Fisher</w:t>
      </w:r>
      <w:r>
        <w:rPr>
          <w:rFonts w:ascii="Arial" w:eastAsia="Arial" w:hAnsi="Arial" w:cs="Arial"/>
          <w:color w:val="000000"/>
          <w:sz w:val="20"/>
        </w:rPr>
        <w:t xml:space="preserve">, 558 F.3d at 1084; </w:t>
      </w:r>
      <w:bookmarkStart w:id="6941" w:name="Bookmark_I5BRCYCS28T4W90030000400"/>
      <w:bookmarkEnd w:id="6941"/>
      <w:r>
        <w:rPr>
          <w:rFonts w:ascii="Arial" w:eastAsia="Arial" w:hAnsi="Arial" w:cs="Arial"/>
          <w:i/>
          <w:color w:val="000000"/>
          <w:sz w:val="20"/>
        </w:rPr>
        <w:t>Snipe</w:t>
      </w:r>
      <w:r>
        <w:rPr>
          <w:rFonts w:ascii="Arial" w:eastAsia="Arial" w:hAnsi="Arial" w:cs="Arial"/>
          <w:color w:val="000000"/>
          <w:sz w:val="20"/>
        </w:rPr>
        <w:t>, 515 F.3d at 952. Although we have no trouble with the manner in which the officers carried out the search or seizure up to and including the initial entry, we cannot say as a matter of law that the officers continued to carry out the search or seizure in a reasonable manner when they decided to force the second entry, without taking Sheehan's mental illness into account and in an apparent departure from their police officer training.</w:t>
      </w:r>
      <w:r>
        <w:rPr>
          <w:rFonts w:ascii="Arial" w:eastAsia="Arial" w:hAnsi="Arial" w:cs="Arial"/>
          <w:vertAlign w:val="superscript"/>
        </w:rPr>
        <w:footnoteReference w:customMarkFollows="1" w:id="291"/>
        <w:t>9</w:t>
      </w:r>
    </w:p>
    <w:p w14:paraId="7A25E0BA" w14:textId="77777777" w:rsidR="002D0E71" w:rsidRDefault="00000000">
      <w:pPr>
        <w:pStyle w:val="Normal45"/>
        <w:widowControl w:val="0"/>
        <w:spacing w:before="200" w:line="260" w:lineRule="atLeast"/>
        <w:jc w:val="both"/>
      </w:pPr>
      <w:bookmarkStart w:id="6945" w:name="Bookmark_para_47_10"/>
      <w:bookmarkStart w:id="6946" w:name="Bookmark_I5BRCYD62SF7RF0030000400"/>
      <w:bookmarkEnd w:id="6945"/>
      <w:bookmarkEnd w:id="6946"/>
      <w:r>
        <w:rPr>
          <w:rFonts w:ascii="Arial" w:eastAsia="Arial" w:hAnsi="Arial" w:cs="Arial"/>
          <w:color w:val="000000"/>
          <w:sz w:val="20"/>
        </w:rPr>
        <w:t xml:space="preserve">Sheehan presented an expert report by Lou Reiter, a former deputy chief of the Los Angeles Police Department. We treat Reiter's report as relevant evidence of reasonableness, as we are required to do. </w:t>
      </w:r>
      <w:bookmarkStart w:id="6947" w:name="Bookmark_LNHNREFclscc25_3"/>
      <w:bookmarkEnd w:id="6947"/>
      <w:r>
        <w:rPr>
          <w:rFonts w:ascii="Arial" w:eastAsia="Arial" w:hAnsi="Arial" w:cs="Arial"/>
          <w:color w:val="000000"/>
          <w:sz w:val="20"/>
        </w:rPr>
        <w:t xml:space="preserve">Although we have held that the mere fact that an expert disagrees with an officer's actions does not itself compel the conclusion that the officer's actions were unreasonable, </w:t>
      </w:r>
      <w:r>
        <w:rPr>
          <w:rFonts w:ascii="Arial" w:eastAsia="Arial" w:hAnsi="Arial" w:cs="Arial"/>
          <w:i/>
          <w:color w:val="000000"/>
          <w:sz w:val="20"/>
        </w:rPr>
        <w:t xml:space="preserve">see </w:t>
      </w:r>
      <w:bookmarkStart w:id="6948" w:name="Bookmark_I5BRCYD62SF7RF0020000400"/>
      <w:bookmarkEnd w:id="6948"/>
      <w:r>
        <w:rPr>
          <w:rFonts w:ascii="Arial" w:eastAsia="Arial" w:hAnsi="Arial" w:cs="Arial"/>
          <w:i/>
          <w:color w:val="000000"/>
          <w:sz w:val="20"/>
        </w:rPr>
        <w:t>Billington v. Smith</w:t>
      </w:r>
      <w:r>
        <w:rPr>
          <w:rFonts w:ascii="Arial" w:eastAsia="Arial" w:hAnsi="Arial" w:cs="Arial"/>
          <w:color w:val="000000"/>
          <w:sz w:val="20"/>
        </w:rPr>
        <w:t xml:space="preserve">, 292 F.3d 1177, 1189 (9th Cir. 2002); </w:t>
      </w:r>
      <w:bookmarkStart w:id="6949" w:name="Bookmark_I5BRCYD62SF7RF0040000400"/>
      <w:bookmarkEnd w:id="6949"/>
      <w:r>
        <w:rPr>
          <w:rFonts w:ascii="Arial" w:eastAsia="Arial" w:hAnsi="Arial" w:cs="Arial"/>
          <w:i/>
          <w:color w:val="000000"/>
          <w:sz w:val="20"/>
        </w:rPr>
        <w:t>Reynolds v. Cnty. of San Diego</w:t>
      </w:r>
      <w:r>
        <w:rPr>
          <w:rFonts w:ascii="Arial" w:eastAsia="Arial" w:hAnsi="Arial" w:cs="Arial"/>
          <w:color w:val="000000"/>
          <w:sz w:val="20"/>
        </w:rPr>
        <w:t xml:space="preserve">, 84 F.3d 1162, 1170 (9th Cir. 1996), </w:t>
      </w:r>
      <w:r>
        <w:rPr>
          <w:rFonts w:ascii="Arial" w:eastAsia="Arial" w:hAnsi="Arial" w:cs="Arial"/>
          <w:i/>
          <w:color w:val="000000"/>
          <w:sz w:val="20"/>
        </w:rPr>
        <w:t xml:space="preserve">overruled on other grounds by </w:t>
      </w:r>
      <w:bookmarkStart w:id="6950" w:name="Bookmark_I5BRCYDJ2SF8080010000400"/>
      <w:bookmarkEnd w:id="6950"/>
      <w:r>
        <w:rPr>
          <w:rFonts w:ascii="Arial" w:eastAsia="Arial" w:hAnsi="Arial" w:cs="Arial"/>
          <w:i/>
          <w:color w:val="000000"/>
          <w:sz w:val="20"/>
        </w:rPr>
        <w:t>Acri v. Varian Assocs., Inc</w:t>
      </w:r>
      <w:r>
        <w:rPr>
          <w:rFonts w:ascii="Arial" w:eastAsia="Arial" w:hAnsi="Arial" w:cs="Arial"/>
          <w:color w:val="000000"/>
          <w:sz w:val="20"/>
        </w:rPr>
        <w:t xml:space="preserve">., 114 F.3d 999, 1001 (9th Cir. 1997), a rational jury may rely upon expert evidence in assessing whether an officer's  [**34] use of force was unreasonable, </w:t>
      </w:r>
      <w:r>
        <w:rPr>
          <w:rFonts w:ascii="Arial" w:eastAsia="Arial" w:hAnsi="Arial" w:cs="Arial"/>
          <w:i/>
          <w:color w:val="000000"/>
          <w:sz w:val="20"/>
        </w:rPr>
        <w:t xml:space="preserve">see </w:t>
      </w:r>
      <w:bookmarkStart w:id="6951" w:name="Bookmark_I5BRCYDJ2SF8080030000400"/>
      <w:bookmarkEnd w:id="6951"/>
      <w:r>
        <w:rPr>
          <w:rFonts w:ascii="Arial" w:eastAsia="Arial" w:hAnsi="Arial" w:cs="Arial"/>
          <w:i/>
          <w:color w:val="000000"/>
          <w:sz w:val="20"/>
        </w:rPr>
        <w:t>Glenn v. Washington Cnty</w:t>
      </w:r>
      <w:r>
        <w:rPr>
          <w:rFonts w:ascii="Arial" w:eastAsia="Arial" w:hAnsi="Arial" w:cs="Arial"/>
          <w:color w:val="000000"/>
          <w:sz w:val="20"/>
        </w:rPr>
        <w:t xml:space="preserve">., 673 F.3d 864, 877 (9th Cir. 2011); </w:t>
      </w:r>
      <w:bookmarkStart w:id="6952" w:name="Bookmark_I5BRCYDJ2SF8080050000400"/>
      <w:bookmarkEnd w:id="6952"/>
      <w:r>
        <w:rPr>
          <w:rFonts w:ascii="Arial" w:eastAsia="Arial" w:hAnsi="Arial" w:cs="Arial"/>
          <w:i/>
          <w:color w:val="000000"/>
          <w:sz w:val="20"/>
        </w:rPr>
        <w:t>Smith v. City of Hemet</w:t>
      </w:r>
      <w:r>
        <w:rPr>
          <w:rFonts w:ascii="Arial" w:eastAsia="Arial" w:hAnsi="Arial" w:cs="Arial"/>
          <w:color w:val="000000"/>
          <w:sz w:val="20"/>
        </w:rPr>
        <w:t xml:space="preserve">, 394 F.3d 689, 703 (9th Cir. 2005) (en banc); </w:t>
      </w:r>
      <w:bookmarkStart w:id="6953" w:name="Bookmark_I5BRCYFX2HM6940020000400"/>
      <w:bookmarkEnd w:id="6953"/>
      <w:r>
        <w:rPr>
          <w:rFonts w:ascii="Arial" w:eastAsia="Arial" w:hAnsi="Arial" w:cs="Arial"/>
          <w:i/>
          <w:color w:val="000000"/>
          <w:sz w:val="20"/>
        </w:rPr>
        <w:t>Reynolds</w:t>
      </w:r>
      <w:r>
        <w:rPr>
          <w:rFonts w:ascii="Arial" w:eastAsia="Arial" w:hAnsi="Arial" w:cs="Arial"/>
          <w:color w:val="000000"/>
          <w:sz w:val="20"/>
        </w:rPr>
        <w:t>, 84 F.3d at 1169. Reiter's report is therefore relevant to the excessive force inquiry.</w:t>
      </w:r>
    </w:p>
    <w:p w14:paraId="1A2B476B" w14:textId="77777777" w:rsidR="002D0E71" w:rsidRDefault="00000000">
      <w:pPr>
        <w:pStyle w:val="Normal45"/>
        <w:widowControl w:val="0"/>
        <w:spacing w:before="200" w:line="260" w:lineRule="atLeast"/>
        <w:jc w:val="both"/>
      </w:pPr>
      <w:bookmarkStart w:id="6954" w:name="Bookmark_para_48_10"/>
      <w:bookmarkStart w:id="6955" w:name="Bookmark_I5BRCYFX2HM6940050000400"/>
      <w:bookmarkEnd w:id="6954"/>
      <w:bookmarkEnd w:id="6955"/>
      <w:r>
        <w:rPr>
          <w:rFonts w:ascii="Arial" w:eastAsia="Arial" w:hAnsi="Arial" w:cs="Arial"/>
          <w:color w:val="000000"/>
          <w:sz w:val="20"/>
        </w:rPr>
        <w:t xml:space="preserve">Reiter described general police practices for dealing with persons who are mentally ill or emotionally disturbed, explaining that officers are trained not to unreasonably agitate or excite the person, to contain the person, to respect the person's comfort zone, to use nonthreatening communications and to employ the passage of time to their advantage. He also cited materials used by the San Francisco Police Department to train officers on "appropriate tactical actions" to be used when confronting the mentally ill. These materials, which are germane to the excessive force inquiry because they were designed to protect individuals such as Sheehan from harm, </w:t>
      </w:r>
      <w:r>
        <w:rPr>
          <w:rFonts w:ascii="Arial" w:eastAsia="Arial" w:hAnsi="Arial" w:cs="Arial"/>
          <w:i/>
          <w:color w:val="000000"/>
          <w:sz w:val="20"/>
        </w:rPr>
        <w:t xml:space="preserve">see </w:t>
      </w:r>
      <w:bookmarkStart w:id="6956" w:name="Bookmark_I5BRCYFX2HM6940040000400"/>
      <w:bookmarkEnd w:id="6956"/>
      <w:r>
        <w:rPr>
          <w:rFonts w:ascii="Arial" w:eastAsia="Arial" w:hAnsi="Arial" w:cs="Arial"/>
          <w:i/>
          <w:color w:val="000000"/>
          <w:sz w:val="20"/>
        </w:rPr>
        <w:t>Scott v. Henrich</w:t>
      </w:r>
      <w:r>
        <w:rPr>
          <w:rFonts w:ascii="Arial" w:eastAsia="Arial" w:hAnsi="Arial" w:cs="Arial"/>
          <w:color w:val="000000"/>
          <w:sz w:val="20"/>
        </w:rPr>
        <w:t>, 39 F.3d 912, 915-16 (9th Cir. 1994), advise officers to request backup, to calm the situation, to communicate, to move slowly, to assume a quiet, nonthreatening manner, to take time to assess the situation and to "give the person time to calm down."</w:t>
      </w:r>
    </w:p>
    <w:p w14:paraId="095F937D" w14:textId="77777777" w:rsidR="002D0E71" w:rsidRDefault="00000000">
      <w:pPr>
        <w:pStyle w:val="Normal45"/>
        <w:widowControl w:val="0"/>
        <w:spacing w:before="200" w:line="260" w:lineRule="atLeast"/>
        <w:jc w:val="both"/>
      </w:pPr>
      <w:bookmarkStart w:id="6957" w:name="Bookmark_para_49_10"/>
      <w:bookmarkEnd w:id="6957"/>
      <w:r>
        <w:rPr>
          <w:rFonts w:ascii="Arial" w:eastAsia="Arial" w:hAnsi="Arial" w:cs="Arial"/>
          <w:color w:val="000000"/>
          <w:sz w:val="20"/>
        </w:rPr>
        <w:t> [*1226]  Reiter  [**35] deemed the officers' second entry into Sheehan's home tactically unreasonable under those policies. In his view, the officers should have "elected to . . . relocate to a safer tactical position, call for special units/equipment, and determine the propriety of seeking a warrant." He opined that there was</w:t>
      </w:r>
    </w:p>
    <w:p w14:paraId="32A9DE0E" w14:textId="77777777" w:rsidR="002D0E71" w:rsidRDefault="00000000">
      <w:pPr>
        <w:pStyle w:val="Normal45"/>
        <w:widowControl w:val="0"/>
        <w:spacing w:line="260" w:lineRule="atLeast"/>
        <w:ind w:left="400"/>
        <w:jc w:val="both"/>
      </w:pPr>
      <w:bookmarkStart w:id="6958" w:name="Bookmark_para_50_9"/>
      <w:bookmarkEnd w:id="6958"/>
      <w:r>
        <w:rPr>
          <w:rFonts w:ascii="Arial" w:eastAsia="Arial" w:hAnsi="Arial" w:cs="Arial"/>
          <w:color w:val="000000"/>
          <w:sz w:val="20"/>
        </w:rPr>
        <w:t>no logical reason that the officers did not pull back from the landing outside Ms. Sheehan's private residence after their first attempt to enter. The location was a tactical disadvantage for the officers. Both officers knew that Ms. Sheehan had refused their entry and made specific comments regarding the necessity for a warrant. They knew that other resources were en-route to their call for backup. Officer Holder's and Sgt. Reynold's [sic] continued conduct exacerbated the confrontation, rather than any effort to [defuse] the agitation.</w:t>
      </w:r>
    </w:p>
    <w:p w14:paraId="39B8890A" w14:textId="77777777" w:rsidR="002D0E71" w:rsidRDefault="00000000">
      <w:pPr>
        <w:pStyle w:val="Normal45"/>
        <w:widowControl w:val="0"/>
        <w:spacing w:before="200" w:line="260" w:lineRule="atLeast"/>
        <w:jc w:val="both"/>
      </w:pPr>
      <w:bookmarkStart w:id="6959" w:name="Bookmark_para_51_8"/>
      <w:bookmarkStart w:id="6960" w:name="Bookmark_I5BRCYG328T52C0020000400"/>
      <w:bookmarkEnd w:id="6959"/>
      <w:bookmarkEnd w:id="6960"/>
      <w:r>
        <w:rPr>
          <w:rFonts w:ascii="Arial" w:eastAsia="Arial" w:hAnsi="Arial" w:cs="Arial"/>
          <w:color w:val="000000"/>
          <w:sz w:val="20"/>
        </w:rPr>
        <w:t xml:space="preserve">In view of Reiter's report, the officers' training and the totality of the circumstances — viewing the facts favorably to Sheehan as we must — we conclude that a reasonable jury could find that the officers' decision to force a confrontation with Sheehan was objectively unreasonable. </w:t>
      </w:r>
      <w:bookmarkStart w:id="6961" w:name="Bookmark_I5BRCYG328T52C0040000400"/>
      <w:bookmarkEnd w:id="6961"/>
      <w:r>
        <w:rPr>
          <w:rFonts w:ascii="Arial" w:eastAsia="Arial" w:hAnsi="Arial" w:cs="Arial"/>
          <w:i/>
          <w:color w:val="000000"/>
          <w:sz w:val="20"/>
        </w:rPr>
        <w:t xml:space="preserve">See </w:t>
      </w:r>
      <w:bookmarkStart w:id="6962" w:name="Bookmark_I5BRCYG328T52C0010000400"/>
      <w:bookmarkEnd w:id="6962"/>
      <w:r>
        <w:rPr>
          <w:rFonts w:ascii="Arial" w:eastAsia="Arial" w:hAnsi="Arial" w:cs="Arial"/>
          <w:i/>
          <w:color w:val="000000"/>
          <w:sz w:val="20"/>
        </w:rPr>
        <w:t>Alexander v. City &amp; Cnty. of San Francisco</w:t>
      </w:r>
      <w:r>
        <w:rPr>
          <w:rFonts w:ascii="Arial" w:eastAsia="Arial" w:hAnsi="Arial" w:cs="Arial"/>
          <w:color w:val="000000"/>
          <w:sz w:val="20"/>
        </w:rPr>
        <w:t xml:space="preserve">, 29 F.3d 1355, 1366 (9th Cir. 1994)  [**36] (explaining that </w:t>
      </w:r>
      <w:bookmarkStart w:id="6963" w:name="Bookmark_LNHNREFclscc26_2"/>
      <w:bookmarkEnd w:id="6963"/>
      <w:r>
        <w:rPr>
          <w:rFonts w:ascii="Arial" w:eastAsia="Arial" w:hAnsi="Arial" w:cs="Arial"/>
          <w:color w:val="000000"/>
          <w:sz w:val="20"/>
        </w:rPr>
        <w:t xml:space="preserve">the operative question is whether "the force the police used was unreasonable under </w:t>
      </w:r>
      <w:r>
        <w:rPr>
          <w:rFonts w:ascii="Arial" w:eastAsia="Arial" w:hAnsi="Arial" w:cs="Arial"/>
          <w:i/>
          <w:color w:val="000000"/>
          <w:sz w:val="20"/>
        </w:rPr>
        <w:t>all</w:t>
      </w:r>
      <w:r>
        <w:rPr>
          <w:rFonts w:ascii="Arial" w:eastAsia="Arial" w:hAnsi="Arial" w:cs="Arial"/>
          <w:color w:val="000000"/>
          <w:sz w:val="20"/>
        </w:rPr>
        <w:t xml:space="preserve"> of the circumstances"). Although Sheehan needed assistance, the officers had no reason to believe that a delay in entering her room would cause her serious harm, especially when weighed against the high likelihood that a deadly confrontation would ensue if they forced a confrontation. </w:t>
      </w:r>
      <w:bookmarkStart w:id="6964" w:name="Bookmark_I5BRCYG328T52C0040000400_2"/>
      <w:bookmarkEnd w:id="6964"/>
      <w:r>
        <w:rPr>
          <w:rFonts w:ascii="Arial" w:eastAsia="Arial" w:hAnsi="Arial" w:cs="Arial"/>
          <w:color w:val="000000"/>
          <w:sz w:val="20"/>
        </w:rPr>
        <w:t xml:space="preserve">Sheehan was not suicidal, </w:t>
      </w:r>
      <w:r>
        <w:rPr>
          <w:rFonts w:ascii="Arial" w:eastAsia="Arial" w:hAnsi="Arial" w:cs="Arial"/>
          <w:i/>
          <w:color w:val="000000"/>
          <w:sz w:val="20"/>
        </w:rPr>
        <w:t xml:space="preserve">cf. </w:t>
      </w:r>
      <w:bookmarkStart w:id="6965" w:name="Bookmark_I5BRCYG328T52C0030000400"/>
      <w:bookmarkEnd w:id="6965"/>
      <w:r>
        <w:rPr>
          <w:rFonts w:ascii="Arial" w:eastAsia="Arial" w:hAnsi="Arial" w:cs="Arial"/>
          <w:i/>
          <w:color w:val="000000"/>
          <w:sz w:val="20"/>
        </w:rPr>
        <w:t>Fitzgerald v. Santoro</w:t>
      </w:r>
      <w:r>
        <w:rPr>
          <w:rFonts w:ascii="Arial" w:eastAsia="Arial" w:hAnsi="Arial" w:cs="Arial"/>
          <w:color w:val="000000"/>
          <w:sz w:val="20"/>
        </w:rPr>
        <w:t xml:space="preserve">, 707 F.3d 725, 731 (7th Cir. 2013); </w:t>
      </w:r>
      <w:bookmarkStart w:id="6966" w:name="Bookmark_I5BRCYG328T52C0050000400"/>
      <w:bookmarkEnd w:id="6966"/>
      <w:r>
        <w:rPr>
          <w:rFonts w:ascii="Arial" w:eastAsia="Arial" w:hAnsi="Arial" w:cs="Arial"/>
          <w:i/>
          <w:color w:val="000000"/>
          <w:sz w:val="20"/>
        </w:rPr>
        <w:t>West v. Keef</w:t>
      </w:r>
      <w:r>
        <w:rPr>
          <w:rFonts w:ascii="Arial" w:eastAsia="Arial" w:hAnsi="Arial" w:cs="Arial"/>
          <w:color w:val="000000"/>
          <w:sz w:val="20"/>
        </w:rPr>
        <w:t xml:space="preserve">, 479 F.3d 757, 759 (10th Cir. 2007); </w:t>
      </w:r>
      <w:bookmarkStart w:id="6967" w:name="Bookmark_I5BRCYGC2D6MX50020000400"/>
      <w:bookmarkEnd w:id="6967"/>
      <w:r>
        <w:rPr>
          <w:rFonts w:ascii="Arial" w:eastAsia="Arial" w:hAnsi="Arial" w:cs="Arial"/>
          <w:i/>
          <w:color w:val="000000"/>
          <w:sz w:val="20"/>
        </w:rPr>
        <w:t>Bias v. Moynihan</w:t>
      </w:r>
      <w:r>
        <w:rPr>
          <w:rFonts w:ascii="Arial" w:eastAsia="Arial" w:hAnsi="Arial" w:cs="Arial"/>
          <w:color w:val="000000"/>
          <w:sz w:val="20"/>
        </w:rPr>
        <w:t>, 508 F.3d 1212, 1220 (9th Cir. 2007), or bleeding to death. In addition, although the officers may have been justified in believing that Sheehan had assaulted them and should be arrested, under her version of the facts there was no immediate need to subdue her and take her into custody. A reasonable jury could find that Sheehan was in a confined area and not a threat to others — so long as they did not invade her home.</w:t>
      </w:r>
    </w:p>
    <w:p w14:paraId="776E292F" w14:textId="77777777" w:rsidR="002D0E71" w:rsidRDefault="00000000">
      <w:pPr>
        <w:pStyle w:val="Normal45"/>
        <w:widowControl w:val="0"/>
        <w:spacing w:before="200" w:line="260" w:lineRule="atLeast"/>
        <w:jc w:val="both"/>
      </w:pPr>
      <w:bookmarkStart w:id="6968" w:name="Bookmark_para_52_6"/>
      <w:bookmarkStart w:id="6969" w:name="Bookmark_I4GW5YDJDBB000RKF9T000R2"/>
      <w:bookmarkStart w:id="6970" w:name="Bookmark_I4GW5YDJKF6000RKF9T000R3"/>
      <w:bookmarkStart w:id="6971" w:name="Bookmark_I4GW5YDJR8B000RKF9T000R4"/>
      <w:bookmarkStart w:id="6972" w:name="Bookmark_I4GW5YDJW3G000RKF9T000R5"/>
      <w:bookmarkStart w:id="6973" w:name="Bookmark_I5BRCYGC2D6MX50050000400"/>
      <w:bookmarkEnd w:id="6968"/>
      <w:bookmarkEnd w:id="6969"/>
      <w:bookmarkEnd w:id="6970"/>
      <w:bookmarkEnd w:id="6971"/>
      <w:bookmarkEnd w:id="6972"/>
      <w:bookmarkEnd w:id="6973"/>
      <w:r>
        <w:rPr>
          <w:rFonts w:ascii="Arial" w:eastAsia="Arial" w:hAnsi="Arial" w:cs="Arial"/>
          <w:color w:val="000000"/>
          <w:sz w:val="20"/>
        </w:rPr>
        <w:t xml:space="preserve">According to Hodge, the officers knew that there was no way out of the room other than the door they were guarding and that there were no other occupants in the building, facts that distinguish this case from those in which officers'  [**37] more confrontational tactics were held to be reasonable based on the need to protect others. </w:t>
      </w:r>
      <w:r>
        <w:rPr>
          <w:rFonts w:ascii="Arial" w:eastAsia="Arial" w:hAnsi="Arial" w:cs="Arial"/>
          <w:i/>
          <w:color w:val="000000"/>
          <w:sz w:val="20"/>
        </w:rPr>
        <w:t xml:space="preserve">See, e.g., </w:t>
      </w:r>
      <w:bookmarkStart w:id="6974" w:name="Bookmark_I5BRCYGC2D6MX50040000400"/>
      <w:bookmarkEnd w:id="6974"/>
      <w:r>
        <w:rPr>
          <w:rFonts w:ascii="Arial" w:eastAsia="Arial" w:hAnsi="Arial" w:cs="Arial"/>
          <w:i/>
          <w:color w:val="000000"/>
          <w:sz w:val="20"/>
        </w:rPr>
        <w:t>Reynolds</w:t>
      </w:r>
      <w:r>
        <w:rPr>
          <w:rFonts w:ascii="Arial" w:eastAsia="Arial" w:hAnsi="Arial" w:cs="Arial"/>
          <w:color w:val="000000"/>
          <w:sz w:val="20"/>
        </w:rPr>
        <w:t xml:space="preserve">, 84 F.3d at 1168 ("Reynolds was not in a confined area and there were other people in the vicinity."); </w:t>
      </w:r>
      <w:bookmarkStart w:id="6975" w:name="Bookmark_I5BRCYGM2SF84W0010000400"/>
      <w:bookmarkEnd w:id="6975"/>
      <w:r>
        <w:rPr>
          <w:rFonts w:ascii="Arial" w:eastAsia="Arial" w:hAnsi="Arial" w:cs="Arial"/>
          <w:i/>
          <w:color w:val="000000"/>
          <w:sz w:val="20"/>
        </w:rPr>
        <w:t>Estate of Bennett v. Wainwright</w:t>
      </w:r>
      <w:r>
        <w:rPr>
          <w:rFonts w:ascii="Arial" w:eastAsia="Arial" w:hAnsi="Arial" w:cs="Arial"/>
          <w:color w:val="000000"/>
          <w:sz w:val="20"/>
        </w:rPr>
        <w:t xml:space="preserve">, 548 F.3d 155, 169 (1st Cir. 2008) ("[A] reasonable officer under the circumstances could have reasonably believed . . . that entering the house without first obtaining a warrant or express consent was necessary to prevent injury to Bennett himself, and to the family members present inside."), </w:t>
      </w:r>
      <w:r>
        <w:rPr>
          <w:rFonts w:ascii="Arial" w:eastAsia="Arial" w:hAnsi="Arial" w:cs="Arial"/>
          <w:i/>
          <w:color w:val="000000"/>
          <w:sz w:val="20"/>
        </w:rPr>
        <w:t xml:space="preserve">overruled on other grounds by </w:t>
      </w:r>
      <w:bookmarkStart w:id="6976" w:name="Bookmark_I5BRCYGM2SF84W0030000400"/>
      <w:bookmarkEnd w:id="6976"/>
      <w:r>
        <w:rPr>
          <w:rFonts w:ascii="Arial" w:eastAsia="Arial" w:hAnsi="Arial" w:cs="Arial"/>
          <w:i/>
          <w:color w:val="000000"/>
          <w:sz w:val="20"/>
        </w:rPr>
        <w:t>Maldonado v. Fontanes</w:t>
      </w:r>
      <w:r>
        <w:rPr>
          <w:rFonts w:ascii="Arial" w:eastAsia="Arial" w:hAnsi="Arial" w:cs="Arial"/>
          <w:color w:val="000000"/>
          <w:sz w:val="20"/>
        </w:rPr>
        <w:t xml:space="preserve">, 568 F.3d 263, 269 (1st Cir. 2009); </w:t>
      </w:r>
      <w:bookmarkStart w:id="6977" w:name="Bookmark_I5BRCYGM2SF84W0050000400"/>
      <w:bookmarkEnd w:id="6977"/>
      <w:r>
        <w:rPr>
          <w:rFonts w:ascii="Arial" w:eastAsia="Arial" w:hAnsi="Arial" w:cs="Arial"/>
          <w:i/>
          <w:color w:val="000000"/>
          <w:sz w:val="20"/>
        </w:rPr>
        <w:t>Black</w:t>
      </w:r>
      <w:r>
        <w:rPr>
          <w:rFonts w:ascii="Arial" w:eastAsia="Arial" w:hAnsi="Arial" w:cs="Arial"/>
          <w:color w:val="000000"/>
          <w:sz w:val="20"/>
        </w:rPr>
        <w:t xml:space="preserve">, 482 F.3d at 1039 ("The police were justified in their entry because they feared that [a domestic violence victim] could have been inside the apartment, badly injured and in need of medical attention . . . ."); </w:t>
      </w:r>
      <w:bookmarkStart w:id="6978" w:name="Bookmark_I5BRCYGW2SF8980020000400"/>
      <w:bookmarkEnd w:id="6978"/>
      <w:r>
        <w:rPr>
          <w:rFonts w:ascii="Arial" w:eastAsia="Arial" w:hAnsi="Arial" w:cs="Arial"/>
          <w:i/>
          <w:color w:val="000000"/>
          <w:sz w:val="20"/>
        </w:rPr>
        <w:t>Ewolski v. City of Brunswick</w:t>
      </w:r>
      <w:r>
        <w:rPr>
          <w:rFonts w:ascii="Arial" w:eastAsia="Arial" w:hAnsi="Arial" w:cs="Arial"/>
          <w:color w:val="000000"/>
          <w:sz w:val="20"/>
        </w:rPr>
        <w:t xml:space="preserve">, 287 F.3d 492, 502 (6th Cir. 2002) (the subject's "dramatic reaction" to police, "combined with the officers' knowledge that he was armed and volatile and that his wife and child were in the house with him, reveals an undisputed body of evidence from which a reasonable officer could have reasonably concluded that there was  [**38] an immediate threat to [the subject's] wife and son"). Sheehan, with some force, argues that whatever her behavior in resisting unwanted medical assistance and claiming the [*1227]  sanctity of her home, once the officers exited her room and her door was shut the threats to the safety of the officers or others were under control and there was no need to force a confrontation. Of significance, all of the information known to the officers suggested that Sheehan wanted only to be left alone in her home. She had shown no desire to leave the room. Although she had acted in a threatening manner, she had done so only to those who had entered her home without her permission. </w:t>
      </w:r>
      <w:bookmarkStart w:id="6979" w:name="Bookmark_I5BRCYGW2SF8980050000400"/>
      <w:bookmarkEnd w:id="6979"/>
      <w:r>
        <w:rPr>
          <w:rFonts w:ascii="Arial" w:eastAsia="Arial" w:hAnsi="Arial" w:cs="Arial"/>
          <w:color w:val="000000"/>
          <w:sz w:val="20"/>
        </w:rPr>
        <w:t xml:space="preserve">The officers also were aware that Sheehan, who they knew was both mentally ill and emotionally disturbed, was not likely to respond rationally to police officers breaking down her door. A rational person, recognizing that she was outnumbered and facing superior firepower, might have been expected to drop the knife and surrender. As the officers knew, however, Sheehan was mentally ill and acting irrationally, and, given her initial reaction to the officers, likely to react violently to an escalating show of force. As we explained  [**39] in </w:t>
      </w:r>
      <w:bookmarkStart w:id="6980" w:name="Bookmark_I5BRCYGW2SF8980040000400"/>
      <w:bookmarkEnd w:id="6980"/>
      <w:r>
        <w:rPr>
          <w:rFonts w:ascii="Arial" w:eastAsia="Arial" w:hAnsi="Arial" w:cs="Arial"/>
          <w:i/>
          <w:color w:val="000000"/>
          <w:sz w:val="20"/>
        </w:rPr>
        <w:t>Deorle v. Rutherford</w:t>
      </w:r>
      <w:r>
        <w:rPr>
          <w:rFonts w:ascii="Arial" w:eastAsia="Arial" w:hAnsi="Arial" w:cs="Arial"/>
          <w:color w:val="000000"/>
          <w:sz w:val="20"/>
        </w:rPr>
        <w:t xml:space="preserve">, 272 F.3d 1272 (9th Cir. 2001), </w:t>
      </w:r>
      <w:bookmarkStart w:id="6981" w:name="Bookmark_LNHNREFclscc27_1"/>
      <w:bookmarkEnd w:id="6981"/>
      <w:r>
        <w:rPr>
          <w:rFonts w:ascii="Arial" w:eastAsia="Arial" w:hAnsi="Arial" w:cs="Arial"/>
          <w:color w:val="000000"/>
          <w:sz w:val="20"/>
        </w:rPr>
        <w:t>the tactics to be employed against an</w:t>
      </w:r>
    </w:p>
    <w:p w14:paraId="582EE722" w14:textId="77777777" w:rsidR="002D0E71" w:rsidRDefault="00000000">
      <w:pPr>
        <w:pStyle w:val="Normal45"/>
        <w:widowControl w:val="0"/>
        <w:spacing w:line="260" w:lineRule="atLeast"/>
        <w:ind w:left="400"/>
        <w:jc w:val="both"/>
      </w:pPr>
      <w:bookmarkStart w:id="6982" w:name="Bookmark_para_53_6"/>
      <w:bookmarkStart w:id="6983" w:name="Bookmark_I5BRCYGW2D6N890020000400"/>
      <w:bookmarkEnd w:id="6982"/>
      <w:bookmarkEnd w:id="6983"/>
      <w:r>
        <w:rPr>
          <w:rFonts w:ascii="Arial" w:eastAsia="Arial" w:hAnsi="Arial" w:cs="Arial"/>
          <w:color w:val="000000"/>
          <w:sz w:val="20"/>
        </w:rPr>
        <w:t>emotionally distraught individual who is creating a disturbance or resisting arrest are ordinarily different from those involved in law enforcement efforts to subdue an armed and dangerous criminal who has recently committed a serious offense. In the former instance, increasing the use of force may, in some circumstances at least, exacerbate the situation; in the latter, a heightened use of less-than-lethal force will usually be helpful in bringing a dangerous situation to a swift end.</w:t>
      </w:r>
    </w:p>
    <w:p w14:paraId="1A65F552" w14:textId="77777777" w:rsidR="002D0E71" w:rsidRDefault="00000000">
      <w:pPr>
        <w:pStyle w:val="Normal45"/>
        <w:widowControl w:val="0"/>
        <w:spacing w:before="200" w:line="260" w:lineRule="atLeast"/>
        <w:jc w:val="both"/>
      </w:pPr>
      <w:bookmarkStart w:id="6984" w:name="Bookmark_I5BRCYGW2D6N890020000400_2"/>
      <w:bookmarkStart w:id="6985" w:name="Bookmark_I4GW5YDS52B000RKF9T000SG"/>
      <w:bookmarkStart w:id="6986" w:name="Bookmark_I5BRCYGW28T48B0050000400"/>
      <w:bookmarkStart w:id="6987" w:name="Bookmark_I5BRCYGW2D6N890010000400"/>
      <w:bookmarkEnd w:id="6984"/>
      <w:bookmarkEnd w:id="6985"/>
      <w:bookmarkEnd w:id="6986"/>
      <w:bookmarkEnd w:id="6987"/>
      <w:r>
        <w:rPr>
          <w:rFonts w:ascii="Arial" w:eastAsia="Arial" w:hAnsi="Arial" w:cs="Arial"/>
          <w:i/>
          <w:color w:val="000000"/>
          <w:sz w:val="20"/>
        </w:rPr>
        <w:t>Id</w:t>
      </w:r>
      <w:r>
        <w:rPr>
          <w:rFonts w:ascii="Arial" w:eastAsia="Arial" w:hAnsi="Arial" w:cs="Arial"/>
          <w:color w:val="000000"/>
          <w:sz w:val="20"/>
        </w:rPr>
        <w:t xml:space="preserve">. at 1282-83; </w:t>
      </w:r>
      <w:r>
        <w:rPr>
          <w:rFonts w:ascii="Arial" w:eastAsia="Arial" w:hAnsi="Arial" w:cs="Arial"/>
          <w:i/>
          <w:color w:val="000000"/>
          <w:sz w:val="20"/>
        </w:rPr>
        <w:t xml:space="preserve">see also </w:t>
      </w:r>
      <w:bookmarkStart w:id="6988" w:name="Bookmark_I5BRCYGW2D6N890030000400"/>
      <w:bookmarkEnd w:id="6988"/>
      <w:r>
        <w:rPr>
          <w:rFonts w:ascii="Arial" w:eastAsia="Arial" w:hAnsi="Arial" w:cs="Arial"/>
          <w:i/>
          <w:color w:val="000000"/>
          <w:sz w:val="20"/>
        </w:rPr>
        <w:t>Glenn</w:t>
      </w:r>
      <w:r>
        <w:rPr>
          <w:rFonts w:ascii="Arial" w:eastAsia="Arial" w:hAnsi="Arial" w:cs="Arial"/>
          <w:color w:val="000000"/>
          <w:sz w:val="20"/>
        </w:rPr>
        <w:t xml:space="preserve">, 673 F.3d at 875 ("Another circumstance relevant to our analysis is whether the officers were or should have been aware that Lukus was emotionally disturbed."); </w:t>
      </w:r>
      <w:bookmarkStart w:id="6989" w:name="Bookmark_I5BRCYGW2D6N890050000400"/>
      <w:bookmarkEnd w:id="6989"/>
      <w:r>
        <w:rPr>
          <w:rFonts w:ascii="Arial" w:eastAsia="Arial" w:hAnsi="Arial" w:cs="Arial"/>
          <w:i/>
          <w:color w:val="000000"/>
          <w:sz w:val="20"/>
        </w:rPr>
        <w:t>Drummond ex rel. Drummond v. City of Anaheim</w:t>
      </w:r>
      <w:r>
        <w:rPr>
          <w:rFonts w:ascii="Arial" w:eastAsia="Arial" w:hAnsi="Arial" w:cs="Arial"/>
          <w:color w:val="000000"/>
          <w:sz w:val="20"/>
        </w:rPr>
        <w:t xml:space="preserve">, 343 F.3d 1052, 1058 (9th Cir. 2003) (if "it is or should be apparent to the officers that the individual involved is emotionally disturbed, that is a factor that must be considered in determining, under </w:t>
      </w:r>
      <w:r>
        <w:rPr>
          <w:rFonts w:ascii="Arial" w:eastAsia="Arial" w:hAnsi="Arial" w:cs="Arial"/>
          <w:i/>
          <w:color w:val="000000"/>
          <w:sz w:val="20"/>
        </w:rPr>
        <w:t>Graham</w:t>
      </w:r>
      <w:r>
        <w:rPr>
          <w:rFonts w:ascii="Arial" w:eastAsia="Arial" w:hAnsi="Arial" w:cs="Arial"/>
          <w:color w:val="000000"/>
          <w:sz w:val="20"/>
        </w:rPr>
        <w:t xml:space="preserve">, the reasonableness of the force employed" (quoting </w:t>
      </w:r>
      <w:bookmarkStart w:id="6990" w:name="Bookmark_I5BRCYGW28T48B0020000400"/>
      <w:bookmarkEnd w:id="6990"/>
      <w:r>
        <w:rPr>
          <w:rFonts w:ascii="Arial" w:eastAsia="Arial" w:hAnsi="Arial" w:cs="Arial"/>
          <w:i/>
          <w:color w:val="000000"/>
          <w:sz w:val="20"/>
        </w:rPr>
        <w:t>Deorle</w:t>
      </w:r>
      <w:r>
        <w:rPr>
          <w:rFonts w:ascii="Arial" w:eastAsia="Arial" w:hAnsi="Arial" w:cs="Arial"/>
          <w:color w:val="000000"/>
          <w:sz w:val="20"/>
        </w:rPr>
        <w:t>, 272 F.3d at 1283)).</w:t>
      </w:r>
      <w:r>
        <w:rPr>
          <w:rFonts w:ascii="Arial" w:eastAsia="Arial" w:hAnsi="Arial" w:cs="Arial"/>
          <w:vertAlign w:val="superscript"/>
        </w:rPr>
        <w:footnoteReference w:customMarkFollows="1" w:id="292"/>
        <w:t>10</w:t>
      </w:r>
      <w:r>
        <w:rPr>
          <w:rFonts w:ascii="Arial" w:eastAsia="Arial" w:hAnsi="Arial" w:cs="Arial"/>
          <w:color w:val="000000"/>
          <w:sz w:val="20"/>
        </w:rPr>
        <w:t xml:space="preserve"> The officers' decision to force an entry was in effect a decision to cause a violent —  [**40] and potentially deadly — confrontation with a mentally ill person without a countervailing need. Thus, on this record, we cannot say as a matter of law that the officers conducted the search or seizure in a reasonable manner or used appropriate force by forcing their way back into Sheehan's home.</w:t>
      </w:r>
    </w:p>
    <w:p w14:paraId="548108D4" w14:textId="77777777" w:rsidR="002D0E71" w:rsidRDefault="00000000">
      <w:pPr>
        <w:pStyle w:val="Normal45"/>
        <w:widowControl w:val="0"/>
        <w:spacing w:before="200" w:line="260" w:lineRule="atLeast"/>
        <w:jc w:val="both"/>
      </w:pPr>
      <w:bookmarkStart w:id="6993" w:name="Bookmark_para_54_4"/>
      <w:bookmarkEnd w:id="6993"/>
      <w:r>
        <w:rPr>
          <w:rFonts w:ascii="Arial" w:eastAsia="Arial" w:hAnsi="Arial" w:cs="Arial"/>
          <w:color w:val="000000"/>
          <w:sz w:val="20"/>
        </w:rPr>
        <w:t xml:space="preserve">Of course, a reasonable jury could find that the officers acted reasonably by forcing the entry. </w:t>
      </w:r>
      <w:bookmarkStart w:id="6994" w:name="Bookmark_I5BRCYGW28T48C0020000400"/>
      <w:bookmarkEnd w:id="6994"/>
      <w:r>
        <w:rPr>
          <w:rFonts w:ascii="Arial" w:eastAsia="Arial" w:hAnsi="Arial" w:cs="Arial"/>
          <w:color w:val="000000"/>
          <w:sz w:val="20"/>
        </w:rPr>
        <w:t xml:space="preserve">Whether Sheehan was contained, the officers had reason to fear Sheehan's escape, the officers knew the building was empty and the officers could have ensured their safety by retreating are all disputed facts that a jury could resolve in the officers' favor. To find the officers liable, moreover, the jury would have to conclude not only that freezing or attempting to de-escalate the situation were reasonable courses of action but also that forcing an entry was </w:t>
      </w:r>
      <w:r>
        <w:rPr>
          <w:rFonts w:ascii="Arial" w:eastAsia="Arial" w:hAnsi="Arial" w:cs="Arial"/>
          <w:i/>
          <w:color w:val="000000"/>
          <w:sz w:val="20"/>
        </w:rPr>
        <w:t>un</w:t>
      </w:r>
      <w:r>
        <w:rPr>
          <w:rFonts w:ascii="Arial" w:eastAsia="Arial" w:hAnsi="Arial" w:cs="Arial"/>
          <w:color w:val="000000"/>
          <w:sz w:val="20"/>
        </w:rPr>
        <w:t xml:space="preserve">reasonable. </w:t>
      </w:r>
      <w:r>
        <w:rPr>
          <w:rFonts w:ascii="Arial" w:eastAsia="Arial" w:hAnsi="Arial" w:cs="Arial"/>
          <w:i/>
          <w:color w:val="000000"/>
          <w:sz w:val="20"/>
        </w:rPr>
        <w:t xml:space="preserve">See </w:t>
      </w:r>
      <w:bookmarkStart w:id="6995" w:name="Bookmark_I5BRCYGW28T48C0010000400"/>
      <w:bookmarkEnd w:id="6995"/>
      <w:r>
        <w:rPr>
          <w:rFonts w:ascii="Arial" w:eastAsia="Arial" w:hAnsi="Arial" w:cs="Arial"/>
          <w:i/>
          <w:color w:val="000000"/>
          <w:sz w:val="20"/>
        </w:rPr>
        <w:t>Glenn</w:t>
      </w:r>
      <w:r>
        <w:rPr>
          <w:rFonts w:ascii="Arial" w:eastAsia="Arial" w:hAnsi="Arial" w:cs="Arial"/>
          <w:color w:val="000000"/>
          <w:sz w:val="20"/>
        </w:rPr>
        <w:t xml:space="preserve">, 673 F.3d at 876 (explaining that </w:t>
      </w:r>
      <w:bookmarkStart w:id="6996" w:name="Bookmark_LNHNREFclscc28_1"/>
      <w:bookmarkEnd w:id="6996"/>
      <w:r>
        <w:rPr>
          <w:rFonts w:ascii="Arial" w:eastAsia="Arial" w:hAnsi="Arial" w:cs="Arial"/>
          <w:color w:val="000000"/>
          <w:sz w:val="20"/>
        </w:rPr>
        <w:t xml:space="preserve">police officers "need not avail themselves of the least intrusive means of responding to an exigent situation" and that "they need only act within that  [**41] range of conduct we identify as reasonable" (quoting </w:t>
      </w:r>
      <w:bookmarkStart w:id="6997" w:name="Bookmark_I5BRCYGW28T48C0030000400"/>
      <w:bookmarkEnd w:id="6997"/>
      <w:r>
        <w:rPr>
          <w:rFonts w:ascii="Arial" w:eastAsia="Arial" w:hAnsi="Arial" w:cs="Arial"/>
          <w:i/>
          <w:color w:val="000000"/>
          <w:sz w:val="20"/>
        </w:rPr>
        <w:t>Scott</w:t>
      </w:r>
      <w:r>
        <w:rPr>
          <w:rFonts w:ascii="Arial" w:eastAsia="Arial" w:hAnsi="Arial" w:cs="Arial"/>
          <w:color w:val="000000"/>
          <w:sz w:val="20"/>
        </w:rPr>
        <w:t xml:space="preserve">, 39 F.3d at 915) (internal quotation marks omitted)). Viewing the evidence favorably to Sheehan, however, we cannot say that the officers acted reasonably </w:t>
      </w:r>
      <w:r>
        <w:rPr>
          <w:rFonts w:ascii="Arial" w:eastAsia="Arial" w:hAnsi="Arial" w:cs="Arial"/>
          <w:i/>
          <w:color w:val="000000"/>
          <w:sz w:val="20"/>
        </w:rPr>
        <w:t>as a matter of law</w:t>
      </w:r>
      <w:r>
        <w:rPr>
          <w:rFonts w:ascii="Arial" w:eastAsia="Arial" w:hAnsi="Arial" w:cs="Arial"/>
          <w:color w:val="000000"/>
          <w:sz w:val="20"/>
        </w:rPr>
        <w:t>.</w:t>
      </w:r>
    </w:p>
    <w:p w14:paraId="753C9623" w14:textId="77777777" w:rsidR="002D0E71" w:rsidRDefault="00000000">
      <w:pPr>
        <w:pStyle w:val="Normal45"/>
        <w:widowControl w:val="0"/>
        <w:spacing w:before="240" w:line="260" w:lineRule="atLeast"/>
      </w:pPr>
      <w:r>
        <w:br/>
      </w:r>
      <w:r>
        <w:rPr>
          <w:rFonts w:ascii="Arial" w:eastAsia="Arial" w:hAnsi="Arial" w:cs="Arial"/>
          <w:color w:val="000000"/>
          <w:sz w:val="20"/>
        </w:rPr>
        <w:t xml:space="preserve"> [*1228]  </w:t>
      </w:r>
      <w:r>
        <w:rPr>
          <w:rFonts w:ascii="Arial" w:eastAsia="Arial" w:hAnsi="Arial" w:cs="Arial"/>
          <w:b/>
          <w:color w:val="000000"/>
          <w:sz w:val="20"/>
        </w:rPr>
        <w:t>3</w:t>
      </w:r>
      <w:r>
        <w:rPr>
          <w:rFonts w:ascii="Arial" w:eastAsia="Arial" w:hAnsi="Arial" w:cs="Arial"/>
          <w:color w:val="000000"/>
          <w:sz w:val="20"/>
        </w:rPr>
        <w:t>.</w:t>
      </w:r>
    </w:p>
    <w:p w14:paraId="3058B6D9" w14:textId="77777777" w:rsidR="002D0E71" w:rsidRDefault="00000000">
      <w:pPr>
        <w:pStyle w:val="Normal45"/>
        <w:widowControl w:val="0"/>
        <w:spacing w:before="200" w:line="260" w:lineRule="atLeast"/>
        <w:jc w:val="both"/>
      </w:pPr>
      <w:bookmarkStart w:id="6998" w:name="Bookmark_para_55_4"/>
      <w:bookmarkStart w:id="6999" w:name="Bookmark_I5BRCYH42SF8FP0010000400"/>
      <w:bookmarkEnd w:id="6998"/>
      <w:bookmarkEnd w:id="6999"/>
      <w:r>
        <w:rPr>
          <w:rFonts w:ascii="Arial" w:eastAsia="Arial" w:hAnsi="Arial" w:cs="Arial"/>
          <w:color w:val="000000"/>
          <w:sz w:val="20"/>
        </w:rPr>
        <w:t xml:space="preserve">Having determined that a reasonable jury could find a Fourth Amendment violation, we next consider whether the officers are nonetheless entitled to qualified immunity. </w:t>
      </w:r>
      <w:bookmarkStart w:id="7000" w:name="Bookmark_LNHNREFclscc29_0"/>
      <w:bookmarkEnd w:id="7000"/>
      <w:r>
        <w:rPr>
          <w:rFonts w:ascii="Arial" w:eastAsia="Arial" w:hAnsi="Arial" w:cs="Arial"/>
          <w:color w:val="000000"/>
          <w:sz w:val="20"/>
        </w:rPr>
        <w:t xml:space="preserve">At this stage of the proceedings, the operative question is whether, again viewing the facts in the light most favorable to Sheehan, the officers violated a clearly established Fourth Amendment right of which all but the plainly incompetent would have been aware. </w:t>
      </w:r>
      <w:r>
        <w:rPr>
          <w:rFonts w:ascii="Arial" w:eastAsia="Arial" w:hAnsi="Arial" w:cs="Arial"/>
          <w:i/>
          <w:color w:val="000000"/>
          <w:sz w:val="20"/>
        </w:rPr>
        <w:t xml:space="preserve">See </w:t>
      </w:r>
      <w:bookmarkStart w:id="7001" w:name="Bookmark_I5BRCYGW28T48C0050000400"/>
      <w:bookmarkEnd w:id="7001"/>
      <w:r>
        <w:rPr>
          <w:rFonts w:ascii="Arial" w:eastAsia="Arial" w:hAnsi="Arial" w:cs="Arial"/>
          <w:i/>
          <w:color w:val="000000"/>
          <w:sz w:val="20"/>
        </w:rPr>
        <w:t>Stanton v. Sims</w:t>
      </w:r>
      <w:r>
        <w:rPr>
          <w:rFonts w:ascii="Arial" w:eastAsia="Arial" w:hAnsi="Arial" w:cs="Arial"/>
          <w:color w:val="000000"/>
          <w:sz w:val="20"/>
        </w:rPr>
        <w:t>, 134 S. Ct. 3, 5, 187 L. Ed. 2d 341 (2013) (per curiam).</w:t>
      </w:r>
    </w:p>
    <w:p w14:paraId="566B7FAB" w14:textId="77777777" w:rsidR="002D0E71" w:rsidRDefault="00000000">
      <w:pPr>
        <w:pStyle w:val="Normal45"/>
        <w:widowControl w:val="0"/>
        <w:spacing w:before="200" w:line="260" w:lineRule="atLeast"/>
        <w:jc w:val="both"/>
      </w:pPr>
      <w:bookmarkStart w:id="7002" w:name="Bookmark_para_56_4"/>
      <w:bookmarkStart w:id="7003" w:name="Bookmark_I5BRCYH42SF8FP0030000400"/>
      <w:bookmarkStart w:id="7004" w:name="Bookmark_I5BRCYH42SF8FP0050000400"/>
      <w:bookmarkEnd w:id="7002"/>
      <w:bookmarkEnd w:id="7003"/>
      <w:bookmarkEnd w:id="7004"/>
      <w:r>
        <w:rPr>
          <w:rFonts w:ascii="Arial" w:eastAsia="Arial" w:hAnsi="Arial" w:cs="Arial"/>
          <w:color w:val="000000"/>
          <w:sz w:val="20"/>
        </w:rPr>
        <w:t xml:space="preserve">As noted, </w:t>
      </w:r>
      <w:bookmarkStart w:id="7005" w:name="Bookmark_LNHNREFclscc30_0"/>
      <w:bookmarkEnd w:id="7005"/>
      <w:r>
        <w:rPr>
          <w:rFonts w:ascii="Arial" w:eastAsia="Arial" w:hAnsi="Arial" w:cs="Arial"/>
          <w:color w:val="000000"/>
          <w:sz w:val="20"/>
        </w:rPr>
        <w:t xml:space="preserve">determining whether the force used to effect a particular search or seizure is reasonable under the Fourth Amendment requires a careful balancing of the nature and quality of the intrusion on the individual's Fourth Amendment interests against the countervailing governmental interests at stake. </w:t>
      </w:r>
      <w:r>
        <w:rPr>
          <w:rFonts w:ascii="Arial" w:eastAsia="Arial" w:hAnsi="Arial" w:cs="Arial"/>
          <w:i/>
          <w:color w:val="000000"/>
          <w:sz w:val="20"/>
        </w:rPr>
        <w:t xml:space="preserve">See </w:t>
      </w:r>
      <w:bookmarkStart w:id="7006" w:name="Bookmark_I5BRCYH42SF8FP0020000400"/>
      <w:bookmarkEnd w:id="7006"/>
      <w:r>
        <w:rPr>
          <w:rFonts w:ascii="Arial" w:eastAsia="Arial" w:hAnsi="Arial" w:cs="Arial"/>
          <w:i/>
          <w:color w:val="000000"/>
          <w:sz w:val="20"/>
        </w:rPr>
        <w:t>Graham</w:t>
      </w:r>
      <w:r>
        <w:rPr>
          <w:rFonts w:ascii="Arial" w:eastAsia="Arial" w:hAnsi="Arial" w:cs="Arial"/>
          <w:color w:val="000000"/>
          <w:sz w:val="20"/>
        </w:rPr>
        <w:t xml:space="preserve">, 490 U.S. at 396. Put differently, we "balance the amount of force applied against the need for that force." </w:t>
      </w:r>
      <w:bookmarkStart w:id="7007" w:name="Bookmark_I5BRCYH42SF8FP0040000400"/>
      <w:bookmarkEnd w:id="7007"/>
      <w:r>
        <w:rPr>
          <w:rFonts w:ascii="Arial" w:eastAsia="Arial" w:hAnsi="Arial" w:cs="Arial"/>
          <w:i/>
          <w:color w:val="000000"/>
          <w:sz w:val="20"/>
        </w:rPr>
        <w:t>Meredith v. Erath</w:t>
      </w:r>
      <w:r>
        <w:rPr>
          <w:rFonts w:ascii="Arial" w:eastAsia="Arial" w:hAnsi="Arial" w:cs="Arial"/>
          <w:color w:val="000000"/>
          <w:sz w:val="20"/>
        </w:rPr>
        <w:t xml:space="preserve">, 342 F.3d 1057, 1061 (9th Cir. 2003).  [**42] Construing the facts favorably to Sheehan, the officers' intrusion on Sheehan's Fourth Amendment rights was profound — the officers forced an entry into her home, apparently without warning and with guns drawn, under conditions that were likely to result in her death. </w:t>
      </w:r>
      <w:bookmarkStart w:id="7008" w:name="Bookmark_I5BRCYHJ2SF8T50020000400"/>
      <w:bookmarkEnd w:id="7008"/>
      <w:r>
        <w:rPr>
          <w:rFonts w:ascii="Arial" w:eastAsia="Arial" w:hAnsi="Arial" w:cs="Arial"/>
          <w:color w:val="000000"/>
          <w:sz w:val="20"/>
        </w:rPr>
        <w:t xml:space="preserve">On the other side of the equation, the governmental interest in the intrusion was minimal because she was fully contained, not a flight risk and not a danger to the safety of the officers or others; backup was on the way; and trained negotiators could have been used to defuse the crisis. If there was no pressing need to rush in, and every reason to expect that doing so would result in Sheehan's death or serious injury, then any reasonable officer would have known that this use of force was excessive. </w:t>
      </w:r>
      <w:r>
        <w:rPr>
          <w:rFonts w:ascii="Arial" w:eastAsia="Arial" w:hAnsi="Arial" w:cs="Arial"/>
          <w:i/>
          <w:color w:val="000000"/>
          <w:sz w:val="20"/>
        </w:rPr>
        <w:t xml:space="preserve">See </w:t>
      </w:r>
      <w:bookmarkStart w:id="7009" w:name="Bookmark_I5BRCYHJ2SF8T50010000400"/>
      <w:bookmarkEnd w:id="7009"/>
      <w:r>
        <w:rPr>
          <w:rFonts w:ascii="Arial" w:eastAsia="Arial" w:hAnsi="Arial" w:cs="Arial"/>
          <w:i/>
          <w:color w:val="000000"/>
          <w:sz w:val="20"/>
        </w:rPr>
        <w:t>Deorle</w:t>
      </w:r>
      <w:r>
        <w:rPr>
          <w:rFonts w:ascii="Arial" w:eastAsia="Arial" w:hAnsi="Arial" w:cs="Arial"/>
          <w:color w:val="000000"/>
          <w:sz w:val="20"/>
        </w:rPr>
        <w:t>, 272 F.3d at 1281-85 (holding that the use of nonlethal force was excessive when the officers had a clear line of retreat and "could easily have avoided a confrontation, and awaited the arrival of a negotiating team").</w:t>
      </w:r>
    </w:p>
    <w:p w14:paraId="750D9EFB" w14:textId="77777777" w:rsidR="002D0E71" w:rsidRDefault="00000000">
      <w:pPr>
        <w:pStyle w:val="Normal45"/>
        <w:widowControl w:val="0"/>
        <w:spacing w:before="200" w:line="260" w:lineRule="atLeast"/>
        <w:jc w:val="both"/>
      </w:pPr>
      <w:bookmarkStart w:id="7010" w:name="Bookmark_para_57_4"/>
      <w:bookmarkStart w:id="7011" w:name="Bookmark_I4GW5YDK0XM000RKF9T000R6"/>
      <w:bookmarkStart w:id="7012" w:name="Bookmark_I5BRCYHJ2SF8T50040000400"/>
      <w:bookmarkStart w:id="7013" w:name="Bookmark_I5BRCYHM28T4V00010000400"/>
      <w:bookmarkEnd w:id="7010"/>
      <w:bookmarkEnd w:id="7011"/>
      <w:bookmarkEnd w:id="7012"/>
      <w:bookmarkEnd w:id="7013"/>
      <w:r>
        <w:rPr>
          <w:rFonts w:ascii="Arial" w:eastAsia="Arial" w:hAnsi="Arial" w:cs="Arial"/>
          <w:color w:val="000000"/>
          <w:sz w:val="20"/>
        </w:rPr>
        <w:t xml:space="preserve">Our decision in </w:t>
      </w:r>
      <w:bookmarkStart w:id="7014" w:name="Bookmark_I5BRCYHJ2SF8T50030000400"/>
      <w:bookmarkEnd w:id="7014"/>
      <w:r>
        <w:rPr>
          <w:rFonts w:ascii="Arial" w:eastAsia="Arial" w:hAnsi="Arial" w:cs="Arial"/>
          <w:i/>
          <w:color w:val="000000"/>
          <w:sz w:val="20"/>
        </w:rPr>
        <w:t>Alexander v. City &amp; County of San Francisco</w:t>
      </w:r>
      <w:r>
        <w:rPr>
          <w:rFonts w:ascii="Arial" w:eastAsia="Arial" w:hAnsi="Arial" w:cs="Arial"/>
          <w:color w:val="000000"/>
          <w:sz w:val="20"/>
        </w:rPr>
        <w:t xml:space="preserve">, 29 F.3d 1355 (9th Cir. 1994), is instructive. There, police were present outside the decedent Quade's home to assist in executing an administrative  [**43] forcible entry warrant permitting local health officials to inspect the home for a sewage leak. </w:t>
      </w:r>
      <w:r>
        <w:rPr>
          <w:rFonts w:ascii="Arial" w:eastAsia="Arial" w:hAnsi="Arial" w:cs="Arial"/>
          <w:i/>
          <w:color w:val="000000"/>
          <w:sz w:val="20"/>
        </w:rPr>
        <w:t xml:space="preserve">See </w:t>
      </w:r>
      <w:bookmarkStart w:id="7015" w:name="Bookmark_I5BRCYHJ2SF8T50050000400"/>
      <w:bookmarkEnd w:id="7015"/>
      <w:r>
        <w:rPr>
          <w:rFonts w:ascii="Arial" w:eastAsia="Arial" w:hAnsi="Arial" w:cs="Arial"/>
          <w:i/>
          <w:color w:val="000000"/>
          <w:sz w:val="20"/>
        </w:rPr>
        <w:t>id</w:t>
      </w:r>
      <w:r>
        <w:rPr>
          <w:rFonts w:ascii="Arial" w:eastAsia="Arial" w:hAnsi="Arial" w:cs="Arial"/>
          <w:color w:val="000000"/>
          <w:sz w:val="20"/>
        </w:rPr>
        <w:t xml:space="preserve">. at 1358. </w:t>
      </w:r>
      <w:bookmarkStart w:id="7016" w:name="Bookmark_I5BRCYHM28T4V00030000400"/>
      <w:bookmarkEnd w:id="7016"/>
      <w:r>
        <w:rPr>
          <w:rFonts w:ascii="Arial" w:eastAsia="Arial" w:hAnsi="Arial" w:cs="Arial"/>
          <w:color w:val="000000"/>
          <w:sz w:val="20"/>
        </w:rPr>
        <w:t xml:space="preserve">Quade refused to let the inspectors in and threatened to shoot anyone who entered. </w:t>
      </w:r>
      <w:bookmarkStart w:id="7017" w:name="Bookmark_I5BRCYHM28T4V00030000400_2"/>
      <w:bookmarkEnd w:id="7017"/>
      <w:r>
        <w:rPr>
          <w:rFonts w:ascii="Arial" w:eastAsia="Arial" w:hAnsi="Arial" w:cs="Arial"/>
          <w:i/>
          <w:color w:val="000000"/>
          <w:sz w:val="20"/>
        </w:rPr>
        <w:t>See id</w:t>
      </w:r>
      <w:r>
        <w:rPr>
          <w:rFonts w:ascii="Arial" w:eastAsia="Arial" w:hAnsi="Arial" w:cs="Arial"/>
          <w:color w:val="000000"/>
          <w:sz w:val="20"/>
        </w:rPr>
        <w:t xml:space="preserve">. The officers cordoned off the area, attempted to negotiate a peaceful resolution of the standoff for an hour and then forcibly entered the home. </w:t>
      </w:r>
      <w:r>
        <w:rPr>
          <w:rFonts w:ascii="Arial" w:eastAsia="Arial" w:hAnsi="Arial" w:cs="Arial"/>
          <w:i/>
          <w:color w:val="000000"/>
          <w:sz w:val="20"/>
        </w:rPr>
        <w:t>See id</w:t>
      </w:r>
      <w:r>
        <w:rPr>
          <w:rFonts w:ascii="Arial" w:eastAsia="Arial" w:hAnsi="Arial" w:cs="Arial"/>
          <w:color w:val="000000"/>
          <w:sz w:val="20"/>
        </w:rPr>
        <w:t xml:space="preserve">. When the officers entered, Quade pointed and fired a gun at the officers, who returned fire, shooting and killing him. </w:t>
      </w:r>
      <w:r>
        <w:rPr>
          <w:rFonts w:ascii="Arial" w:eastAsia="Arial" w:hAnsi="Arial" w:cs="Arial"/>
          <w:i/>
          <w:color w:val="000000"/>
          <w:sz w:val="20"/>
        </w:rPr>
        <w:t>See id</w:t>
      </w:r>
      <w:r>
        <w:rPr>
          <w:rFonts w:ascii="Arial" w:eastAsia="Arial" w:hAnsi="Arial" w:cs="Arial"/>
          <w:color w:val="000000"/>
          <w:sz w:val="20"/>
        </w:rPr>
        <w:t xml:space="preserve">. The plaintiff (Quade's executor) alleged that the officers used excessive force, challenging not the shooting itself but rather the force the officers used in entering the house. </w:t>
      </w:r>
      <w:bookmarkStart w:id="7018" w:name="Bookmark_I5BRCYHM28T4V00050000400"/>
      <w:bookmarkEnd w:id="7018"/>
      <w:r>
        <w:rPr>
          <w:rFonts w:ascii="Arial" w:eastAsia="Arial" w:hAnsi="Arial" w:cs="Arial"/>
          <w:i/>
          <w:color w:val="000000"/>
          <w:sz w:val="20"/>
        </w:rPr>
        <w:t xml:space="preserve">See </w:t>
      </w:r>
      <w:bookmarkStart w:id="7019" w:name="Bookmark_I5BRCYHM28T4V00020000400"/>
      <w:bookmarkEnd w:id="7019"/>
      <w:r>
        <w:rPr>
          <w:rFonts w:ascii="Arial" w:eastAsia="Arial" w:hAnsi="Arial" w:cs="Arial"/>
          <w:i/>
          <w:color w:val="000000"/>
          <w:sz w:val="20"/>
        </w:rPr>
        <w:t>id</w:t>
      </w:r>
      <w:r>
        <w:rPr>
          <w:rFonts w:ascii="Arial" w:eastAsia="Arial" w:hAnsi="Arial" w:cs="Arial"/>
          <w:color w:val="000000"/>
          <w:sz w:val="20"/>
        </w:rPr>
        <w:t xml:space="preserve">. at 1366 &amp; n.12. </w:t>
      </w:r>
      <w:bookmarkStart w:id="7020" w:name="Bookmark_I5BRCYHM28T4V00050000400_2"/>
      <w:bookmarkStart w:id="7021" w:name="Bookmark_I5BRCYJ52D6MSJ0020000400"/>
      <w:bookmarkEnd w:id="7020"/>
      <w:bookmarkEnd w:id="7021"/>
      <w:r>
        <w:rPr>
          <w:rFonts w:ascii="Arial" w:eastAsia="Arial" w:hAnsi="Arial" w:cs="Arial"/>
          <w:color w:val="000000"/>
          <w:sz w:val="20"/>
        </w:rPr>
        <w:t xml:space="preserve">We denied summary judgment to the defendants both on the merits and on their qualified immunity defense. </w:t>
      </w:r>
      <w:bookmarkStart w:id="7022" w:name="Bookmark_I5BRCYJ52D6MSJ0040000400"/>
      <w:bookmarkEnd w:id="7022"/>
      <w:r>
        <w:rPr>
          <w:rFonts w:ascii="Arial" w:eastAsia="Arial" w:hAnsi="Arial" w:cs="Arial"/>
          <w:i/>
          <w:color w:val="000000"/>
          <w:sz w:val="20"/>
        </w:rPr>
        <w:t xml:space="preserve">See </w:t>
      </w:r>
      <w:bookmarkStart w:id="7023" w:name="Bookmark_I5BRCYHM28T4V00040000400"/>
      <w:bookmarkEnd w:id="7023"/>
      <w:r>
        <w:rPr>
          <w:rFonts w:ascii="Arial" w:eastAsia="Arial" w:hAnsi="Arial" w:cs="Arial"/>
          <w:i/>
          <w:color w:val="000000"/>
          <w:sz w:val="20"/>
        </w:rPr>
        <w:t>id</w:t>
      </w:r>
      <w:r>
        <w:rPr>
          <w:rFonts w:ascii="Arial" w:eastAsia="Arial" w:hAnsi="Arial" w:cs="Arial"/>
          <w:color w:val="000000"/>
          <w:sz w:val="20"/>
        </w:rPr>
        <w:t xml:space="preserve">. at 1366-67. </w:t>
      </w:r>
      <w:bookmarkStart w:id="7024" w:name="Bookmark_I5BRCYJ52D6MSJ0040000400_2"/>
      <w:bookmarkStart w:id="7025" w:name="Bookmark_I5BRCYJ52D6MSJ0020000400_2"/>
      <w:bookmarkEnd w:id="7024"/>
      <w:bookmarkEnd w:id="7025"/>
      <w:r>
        <w:rPr>
          <w:rFonts w:ascii="Arial" w:eastAsia="Arial" w:hAnsi="Arial" w:cs="Arial"/>
          <w:color w:val="000000"/>
          <w:sz w:val="20"/>
        </w:rPr>
        <w:t xml:space="preserve">We held that the plaintiff's claim "that it was unreasonable for the officers to storm the house of a man whom they knew to be a mentally ill, elderly, half-blind recluse who had threatened to shoot anybody who entered" stated "a classic Fourth Amendment violation under </w:t>
      </w:r>
      <w:r>
        <w:rPr>
          <w:rFonts w:ascii="Arial" w:eastAsia="Arial" w:hAnsi="Arial" w:cs="Arial"/>
          <w:i/>
          <w:color w:val="000000"/>
          <w:sz w:val="20"/>
        </w:rPr>
        <w:t>Graham</w:t>
      </w:r>
      <w:r>
        <w:rPr>
          <w:rFonts w:ascii="Arial" w:eastAsia="Arial" w:hAnsi="Arial" w:cs="Arial"/>
          <w:color w:val="000000"/>
          <w:sz w:val="20"/>
        </w:rPr>
        <w:t xml:space="preserve">." </w:t>
      </w:r>
      <w:bookmarkStart w:id="7026" w:name="Bookmark_I5BRCYJ52D6MSJ0010000400"/>
      <w:bookmarkEnd w:id="7026"/>
      <w:r>
        <w:rPr>
          <w:rFonts w:ascii="Arial" w:eastAsia="Arial" w:hAnsi="Arial" w:cs="Arial"/>
          <w:i/>
          <w:color w:val="000000"/>
          <w:sz w:val="20"/>
        </w:rPr>
        <w:t>Id</w:t>
      </w:r>
      <w:r>
        <w:rPr>
          <w:rFonts w:ascii="Arial" w:eastAsia="Arial" w:hAnsi="Arial" w:cs="Arial"/>
          <w:color w:val="000000"/>
          <w:sz w:val="20"/>
        </w:rPr>
        <w:t xml:space="preserve">. at 1366. We said that, if the jury were to find that the officers stormed the house to carry out the health  [**44] inspection, "then the jury may also conclude that the force used . . . was excessive in relation to the purpose for which it was used." </w:t>
      </w:r>
      <w:bookmarkStart w:id="7027" w:name="Bookmark_I5BRCYJ52D6MSJ0030000400"/>
      <w:bookmarkEnd w:id="7027"/>
      <w:r>
        <w:rPr>
          <w:rFonts w:ascii="Arial" w:eastAsia="Arial" w:hAnsi="Arial" w:cs="Arial"/>
          <w:i/>
          <w:color w:val="000000"/>
          <w:sz w:val="20"/>
        </w:rPr>
        <w:t>Id</w:t>
      </w:r>
      <w:r>
        <w:rPr>
          <w:rFonts w:ascii="Arial" w:eastAsia="Arial" w:hAnsi="Arial" w:cs="Arial"/>
          <w:color w:val="000000"/>
          <w:sz w:val="20"/>
        </w:rPr>
        <w:t>. at 1367.</w:t>
      </w:r>
    </w:p>
    <w:p w14:paraId="2698F78D" w14:textId="77777777" w:rsidR="002D0E71" w:rsidRDefault="00000000">
      <w:pPr>
        <w:pStyle w:val="Normal45"/>
        <w:widowControl w:val="0"/>
        <w:spacing w:before="200" w:line="260" w:lineRule="atLeast"/>
        <w:jc w:val="both"/>
      </w:pPr>
      <w:bookmarkStart w:id="7028" w:name="Bookmark_para_58_4"/>
      <w:bookmarkStart w:id="7029" w:name="Bookmark_I4GW5YDS8WG000RKF9T000SH"/>
      <w:bookmarkStart w:id="7030" w:name="Bookmark_I5BRCYJD2D6MXS0010000400"/>
      <w:bookmarkStart w:id="7031" w:name="Bookmark_I5BRCYJ52D6MSJ0050000400"/>
      <w:bookmarkEnd w:id="7028"/>
      <w:bookmarkEnd w:id="7029"/>
      <w:bookmarkEnd w:id="7030"/>
      <w:bookmarkEnd w:id="7031"/>
      <w:r>
        <w:rPr>
          <w:rFonts w:ascii="Arial" w:eastAsia="Arial" w:hAnsi="Arial" w:cs="Arial"/>
          <w:i/>
          <w:color w:val="000000"/>
          <w:sz w:val="20"/>
        </w:rPr>
        <w:t>Alexander</w:t>
      </w:r>
      <w:r>
        <w:rPr>
          <w:rFonts w:ascii="Arial" w:eastAsia="Arial" w:hAnsi="Arial" w:cs="Arial"/>
          <w:color w:val="000000"/>
          <w:sz w:val="20"/>
        </w:rPr>
        <w:t xml:space="preserve"> and this case have much in common. In both cases, police officers had a legal right to enter a person's home (to render emergency aid in Sheehan's case [*1229]  and to execute an administrative warrant in </w:t>
      </w:r>
      <w:r>
        <w:rPr>
          <w:rFonts w:ascii="Arial" w:eastAsia="Arial" w:hAnsi="Arial" w:cs="Arial"/>
          <w:i/>
          <w:color w:val="000000"/>
          <w:sz w:val="20"/>
        </w:rPr>
        <w:t>Alexander</w:t>
      </w:r>
      <w:r>
        <w:rPr>
          <w:rFonts w:ascii="Arial" w:eastAsia="Arial" w:hAnsi="Arial" w:cs="Arial"/>
          <w:color w:val="000000"/>
          <w:sz w:val="20"/>
        </w:rPr>
        <w:t xml:space="preserve">). In both cases, the subject was contained and had threatened those who entered. In both, the officers knew they were dealing with someone who was mentally ill and acting irrationally. And in both, police officers decided to force an entry, knowing it was likely to result in a violent confrontation, absent the need to do so. Indeed, the facts here are in one respect even more troubling than those in </w:t>
      </w:r>
      <w:r>
        <w:rPr>
          <w:rFonts w:ascii="Arial" w:eastAsia="Arial" w:hAnsi="Arial" w:cs="Arial"/>
          <w:i/>
          <w:color w:val="000000"/>
          <w:sz w:val="20"/>
        </w:rPr>
        <w:t>Alexander</w:t>
      </w:r>
      <w:r>
        <w:rPr>
          <w:rFonts w:ascii="Arial" w:eastAsia="Arial" w:hAnsi="Arial" w:cs="Arial"/>
          <w:color w:val="000000"/>
          <w:sz w:val="20"/>
        </w:rPr>
        <w:t xml:space="preserve">. The officers radioed for reinforcements in both cases, but only in </w:t>
      </w:r>
      <w:r>
        <w:rPr>
          <w:rFonts w:ascii="Arial" w:eastAsia="Arial" w:hAnsi="Arial" w:cs="Arial"/>
          <w:i/>
          <w:color w:val="000000"/>
          <w:sz w:val="20"/>
        </w:rPr>
        <w:t>Alexander</w:t>
      </w:r>
      <w:r>
        <w:rPr>
          <w:rFonts w:ascii="Arial" w:eastAsia="Arial" w:hAnsi="Arial" w:cs="Arial"/>
          <w:color w:val="000000"/>
          <w:sz w:val="20"/>
        </w:rPr>
        <w:t xml:space="preserve"> did the officers wait for backup to arrive and at least attempt negotiation before storming in.</w:t>
      </w:r>
      <w:r>
        <w:rPr>
          <w:rFonts w:ascii="Arial" w:eastAsia="Arial" w:hAnsi="Arial" w:cs="Arial"/>
          <w:vertAlign w:val="superscript"/>
        </w:rPr>
        <w:footnoteReference w:customMarkFollows="1" w:id="293"/>
        <w:t>11</w:t>
      </w:r>
    </w:p>
    <w:p w14:paraId="555D9325" w14:textId="77777777" w:rsidR="002D0E71" w:rsidRDefault="00000000">
      <w:pPr>
        <w:pStyle w:val="Normal45"/>
        <w:widowControl w:val="0"/>
        <w:spacing w:before="200" w:line="260" w:lineRule="atLeast"/>
        <w:jc w:val="both"/>
      </w:pPr>
      <w:bookmarkStart w:id="7038" w:name="Bookmark_para_59_4"/>
      <w:bookmarkEnd w:id="7038"/>
      <w:r>
        <w:rPr>
          <w:rFonts w:ascii="Arial" w:eastAsia="Arial" w:hAnsi="Arial" w:cs="Arial"/>
          <w:color w:val="000000"/>
          <w:sz w:val="20"/>
        </w:rPr>
        <w:t xml:space="preserve">Although the facts of </w:t>
      </w:r>
      <w:r>
        <w:rPr>
          <w:rFonts w:ascii="Arial" w:eastAsia="Arial" w:hAnsi="Arial" w:cs="Arial"/>
          <w:i/>
          <w:color w:val="000000"/>
          <w:sz w:val="20"/>
        </w:rPr>
        <w:t>Alexander</w:t>
      </w:r>
      <w:r>
        <w:rPr>
          <w:rFonts w:ascii="Arial" w:eastAsia="Arial" w:hAnsi="Arial" w:cs="Arial"/>
          <w:color w:val="000000"/>
          <w:sz w:val="20"/>
        </w:rPr>
        <w:t xml:space="preserve"> are not identical to those of this case, </w:t>
      </w:r>
      <w:r>
        <w:rPr>
          <w:rFonts w:ascii="Arial" w:eastAsia="Arial" w:hAnsi="Arial" w:cs="Arial"/>
          <w:i/>
          <w:color w:val="000000"/>
          <w:sz w:val="20"/>
        </w:rPr>
        <w:t>Graham, Alexander</w:t>
      </w:r>
      <w:r>
        <w:rPr>
          <w:rFonts w:ascii="Arial" w:eastAsia="Arial" w:hAnsi="Arial" w:cs="Arial"/>
          <w:color w:val="000000"/>
          <w:sz w:val="20"/>
        </w:rPr>
        <w:t xml:space="preserve"> and </w:t>
      </w:r>
      <w:r>
        <w:rPr>
          <w:rFonts w:ascii="Arial" w:eastAsia="Arial" w:hAnsi="Arial" w:cs="Arial"/>
          <w:i/>
          <w:color w:val="000000"/>
          <w:sz w:val="20"/>
        </w:rPr>
        <w:t>Deorle</w:t>
      </w:r>
      <w:r>
        <w:rPr>
          <w:rFonts w:ascii="Arial" w:eastAsia="Arial" w:hAnsi="Arial" w:cs="Arial"/>
          <w:color w:val="000000"/>
          <w:sz w:val="20"/>
        </w:rPr>
        <w:t xml:space="preserve"> would have placed any reasonable, competent officer on notice that it is unreasonable to forcibly enter the home of an armed, mentally ill subject who had been acting irrationally and had threatened anyone who entered when there was no objective need for immediate entry. </w:t>
      </w:r>
      <w:bookmarkStart w:id="7039" w:name="Bookmark_I5BRCYJX2D6N6P0020000400"/>
      <w:bookmarkStart w:id="7040" w:name="Bookmark_I5BRCYK52N1PVN0010000400"/>
      <w:bookmarkEnd w:id="7039"/>
      <w:bookmarkEnd w:id="7040"/>
      <w:r>
        <w:rPr>
          <w:rFonts w:ascii="Arial" w:eastAsia="Arial" w:hAnsi="Arial" w:cs="Arial"/>
          <w:color w:val="000000"/>
          <w:sz w:val="20"/>
        </w:rPr>
        <w:t xml:space="preserve">We emphasize that at trial the facts may show that Sheehan was not contained, that she presented a flight risk, that officers or others were in danger, or that the officers reasonably but mistakenly believed that their entry was necessary to prevent Sheehan's escape or ensure the safety of themselves or others. The facts, however, are disputed, and it would be premature to hold at this stage of the proceedings  [**46] that the officers are — as a matter of law — entitled to qualified immunity. </w:t>
      </w:r>
      <w:r>
        <w:rPr>
          <w:rFonts w:ascii="Arial" w:eastAsia="Arial" w:hAnsi="Arial" w:cs="Arial"/>
          <w:i/>
          <w:color w:val="000000"/>
          <w:sz w:val="20"/>
        </w:rPr>
        <w:t xml:space="preserve">See </w:t>
      </w:r>
      <w:bookmarkStart w:id="7041" w:name="Bookmark_I5BRCYJX2D6N6P0010000400"/>
      <w:bookmarkEnd w:id="7041"/>
      <w:r>
        <w:rPr>
          <w:rFonts w:ascii="Arial" w:eastAsia="Arial" w:hAnsi="Arial" w:cs="Arial"/>
          <w:i/>
          <w:color w:val="000000"/>
          <w:sz w:val="20"/>
        </w:rPr>
        <w:t>Glenn</w:t>
      </w:r>
      <w:r>
        <w:rPr>
          <w:rFonts w:ascii="Arial" w:eastAsia="Arial" w:hAnsi="Arial" w:cs="Arial"/>
          <w:color w:val="000000"/>
          <w:sz w:val="20"/>
        </w:rPr>
        <w:t xml:space="preserve">, 673 F.3d at 870 &amp; n.7; </w:t>
      </w:r>
      <w:bookmarkStart w:id="7042" w:name="Bookmark_I5BRCYJX2D6N6P0030000400"/>
      <w:bookmarkEnd w:id="7042"/>
      <w:r>
        <w:rPr>
          <w:rFonts w:ascii="Arial" w:eastAsia="Arial" w:hAnsi="Arial" w:cs="Arial"/>
          <w:i/>
          <w:color w:val="000000"/>
          <w:sz w:val="20"/>
        </w:rPr>
        <w:t>Alexander</w:t>
      </w:r>
      <w:r>
        <w:rPr>
          <w:rFonts w:ascii="Arial" w:eastAsia="Arial" w:hAnsi="Arial" w:cs="Arial"/>
          <w:color w:val="000000"/>
          <w:sz w:val="20"/>
        </w:rPr>
        <w:t>, 29 F.3d at 1366-67.</w:t>
      </w:r>
      <w:r>
        <w:rPr>
          <w:rFonts w:ascii="Arial" w:eastAsia="Arial" w:hAnsi="Arial" w:cs="Arial"/>
          <w:vertAlign w:val="superscript"/>
        </w:rPr>
        <w:footnoteReference w:customMarkFollows="1" w:id="294"/>
        <w:t>12</w:t>
      </w:r>
    </w:p>
    <w:p w14:paraId="01E2D1C1" w14:textId="77777777" w:rsidR="002D0E71" w:rsidRDefault="00000000">
      <w:pPr>
        <w:pStyle w:val="Normal45"/>
        <w:widowControl w:val="0"/>
        <w:spacing w:before="240" w:line="260" w:lineRule="atLeast"/>
      </w:pPr>
      <w:r>
        <w:br/>
      </w:r>
      <w:r>
        <w:rPr>
          <w:rFonts w:ascii="Arial" w:eastAsia="Arial" w:hAnsi="Arial" w:cs="Arial"/>
          <w:b/>
          <w:color w:val="000000"/>
          <w:sz w:val="20"/>
        </w:rPr>
        <w:t>C. Deadly Force</w:t>
      </w:r>
    </w:p>
    <w:p w14:paraId="75958E62" w14:textId="77777777" w:rsidR="002D0E71" w:rsidRDefault="00000000">
      <w:pPr>
        <w:pStyle w:val="Normal45"/>
        <w:widowControl w:val="0"/>
        <w:spacing w:before="200" w:line="260" w:lineRule="atLeast"/>
        <w:jc w:val="both"/>
      </w:pPr>
      <w:bookmarkStart w:id="7045" w:name="Bookmark_para_60_3"/>
      <w:bookmarkStart w:id="7046" w:name="Bookmark_I5BRCYK52N1PVN0030000400"/>
      <w:bookmarkStart w:id="7047" w:name="Bookmark_I5BRCYKG2HM5Y10020000400"/>
      <w:bookmarkEnd w:id="7045"/>
      <w:bookmarkEnd w:id="7046"/>
      <w:bookmarkEnd w:id="7047"/>
      <w:r>
        <w:rPr>
          <w:rFonts w:ascii="Arial" w:eastAsia="Arial" w:hAnsi="Arial" w:cs="Arial"/>
          <w:color w:val="000000"/>
          <w:sz w:val="20"/>
        </w:rPr>
        <w:t xml:space="preserve">We turn, then, to the officers' use of deadly force. </w:t>
      </w:r>
      <w:bookmarkStart w:id="7048" w:name="Bookmark_LNHNREFclscc31_0"/>
      <w:bookmarkEnd w:id="7048"/>
      <w:r>
        <w:rPr>
          <w:rFonts w:ascii="Arial" w:eastAsia="Arial" w:hAnsi="Arial" w:cs="Arial"/>
          <w:color w:val="000000"/>
          <w:sz w:val="20"/>
        </w:rPr>
        <w:t xml:space="preserve">"[A]n officer's use of deadly force is reasonable if 'the officer has probable cause to believe that the suspect poses a significant threat of death or serious physical injury to the officer or others.'" </w:t>
      </w:r>
      <w:bookmarkStart w:id="7049" w:name="Bookmark_I5BRCYK52N1PVN0020000400"/>
      <w:bookmarkEnd w:id="7049"/>
      <w:r>
        <w:rPr>
          <w:rFonts w:ascii="Arial" w:eastAsia="Arial" w:hAnsi="Arial" w:cs="Arial"/>
          <w:i/>
          <w:color w:val="000000"/>
          <w:sz w:val="20"/>
        </w:rPr>
        <w:t>Reynolds</w:t>
      </w:r>
      <w:r>
        <w:rPr>
          <w:rFonts w:ascii="Arial" w:eastAsia="Arial" w:hAnsi="Arial" w:cs="Arial"/>
          <w:color w:val="000000"/>
          <w:sz w:val="20"/>
        </w:rPr>
        <w:t xml:space="preserve">, 84 F.3d at 1167 (quoting </w:t>
      </w:r>
      <w:bookmarkStart w:id="7050" w:name="Bookmark_I5BRCYK52N1PVN0040000400"/>
      <w:bookmarkEnd w:id="7050"/>
      <w:r>
        <w:rPr>
          <w:rFonts w:ascii="Arial" w:eastAsia="Arial" w:hAnsi="Arial" w:cs="Arial"/>
          <w:i/>
          <w:color w:val="000000"/>
          <w:sz w:val="20"/>
        </w:rPr>
        <w:t>Tennessee v. Garner</w:t>
      </w:r>
      <w:r>
        <w:rPr>
          <w:rFonts w:ascii="Arial" w:eastAsia="Arial" w:hAnsi="Arial" w:cs="Arial"/>
          <w:color w:val="000000"/>
          <w:sz w:val="20"/>
        </w:rPr>
        <w:t xml:space="preserve">, 471 U.S. 1, 3, 105 S. Ct. 1694, 85 L. Ed. 2d 1 (1985)). "Thus, where a suspect threatens an officer with a weapon such as a gun or a knife, the officer is justified in using deadly force." </w:t>
      </w:r>
      <w:bookmarkStart w:id="7051" w:name="Bookmark_I5BRCYKG2HM5Y10010000400"/>
      <w:bookmarkEnd w:id="7051"/>
      <w:r>
        <w:rPr>
          <w:rFonts w:ascii="Arial" w:eastAsia="Arial" w:hAnsi="Arial" w:cs="Arial"/>
          <w:i/>
          <w:color w:val="000000"/>
          <w:sz w:val="20"/>
        </w:rPr>
        <w:t>Smith v. City of Hemet</w:t>
      </w:r>
      <w:r>
        <w:rPr>
          <w:rFonts w:ascii="Arial" w:eastAsia="Arial" w:hAnsi="Arial" w:cs="Arial"/>
          <w:color w:val="000000"/>
          <w:sz w:val="20"/>
        </w:rPr>
        <w:t>, 394 F.3d 689, 704 (9th Cir. 2005) (en banc).</w:t>
      </w:r>
    </w:p>
    <w:p w14:paraId="05844B6E" w14:textId="77777777" w:rsidR="002D0E71" w:rsidRDefault="00000000">
      <w:pPr>
        <w:pStyle w:val="Normal45"/>
        <w:widowControl w:val="0"/>
        <w:spacing w:before="200" w:line="260" w:lineRule="atLeast"/>
        <w:jc w:val="both"/>
      </w:pPr>
      <w:bookmarkStart w:id="7052" w:name="Bookmark_para_61_3"/>
      <w:bookmarkEnd w:id="7052"/>
      <w:r>
        <w:rPr>
          <w:rFonts w:ascii="Arial" w:eastAsia="Arial" w:hAnsi="Arial" w:cs="Arial"/>
          <w:color w:val="000000"/>
          <w:sz w:val="20"/>
        </w:rPr>
        <w:t xml:space="preserve">Here, the officers' use of deadly force — </w:t>
      </w:r>
      <w:r>
        <w:rPr>
          <w:rFonts w:ascii="Arial" w:eastAsia="Arial" w:hAnsi="Arial" w:cs="Arial"/>
          <w:i/>
          <w:color w:val="000000"/>
          <w:sz w:val="20"/>
        </w:rPr>
        <w:t>viewed from the standpoint of the moment of the shooting</w:t>
      </w:r>
      <w:r>
        <w:rPr>
          <w:rFonts w:ascii="Arial" w:eastAsia="Arial" w:hAnsi="Arial" w:cs="Arial"/>
          <w:color w:val="000000"/>
          <w:sz w:val="20"/>
        </w:rPr>
        <w:t xml:space="preserve"> — was  [**47] reasonable as a matter of law. Although the parties disagree over the details surrounding the shooting, the material facts are undisputed: Sheehan had threatened to kill the officers, she wielded a knife in an upraised position, she advanced toward the officers, she did not drop the knife after being pepper sprayed (or even after being shot) and the shooting took place while Sheehan was only a few feet from a cornered Officer Holder. Although Sheehan insists that she was blinded and disabled by the pepper spray, she indisputably continued to [*1230]  hold the knife and advance toward the officers, in cramped quarters, after being sprayed. Thus, even if Sheehan </w:t>
      </w:r>
      <w:r>
        <w:rPr>
          <w:rFonts w:ascii="Arial" w:eastAsia="Arial" w:hAnsi="Arial" w:cs="Arial"/>
          <w:i/>
          <w:color w:val="000000"/>
          <w:sz w:val="20"/>
        </w:rPr>
        <w:t>in fact</w:t>
      </w:r>
      <w:r>
        <w:rPr>
          <w:rFonts w:ascii="Arial" w:eastAsia="Arial" w:hAnsi="Arial" w:cs="Arial"/>
          <w:color w:val="000000"/>
          <w:sz w:val="20"/>
        </w:rPr>
        <w:t xml:space="preserve"> was not intending to attack the officers at that point in the confrontation, the officers reasonably believed they were still in danger. At the moment of the shooting, the defensive use of deadly force, although unfortunate, did not violate the Fourth Amendment.</w:t>
      </w:r>
    </w:p>
    <w:p w14:paraId="3F4E6EE3" w14:textId="77777777" w:rsidR="002D0E71" w:rsidRDefault="00000000">
      <w:pPr>
        <w:pStyle w:val="Normal45"/>
        <w:widowControl w:val="0"/>
        <w:spacing w:before="200" w:line="260" w:lineRule="atLeast"/>
        <w:jc w:val="both"/>
      </w:pPr>
      <w:bookmarkStart w:id="7053" w:name="Bookmark_para_62_3"/>
      <w:bookmarkStart w:id="7054" w:name="Bookmark_I5BRCYKG2HM5Y10040000400"/>
      <w:bookmarkEnd w:id="7053"/>
      <w:bookmarkEnd w:id="7054"/>
      <w:r>
        <w:rPr>
          <w:rFonts w:ascii="Arial" w:eastAsia="Arial" w:hAnsi="Arial" w:cs="Arial"/>
          <w:color w:val="000000"/>
          <w:sz w:val="20"/>
        </w:rPr>
        <w:t xml:space="preserve">We must also consider whether the shooting was reasonable when the events leading up to the shooting are taken into account. As previously discussed, </w:t>
      </w:r>
      <w:bookmarkStart w:id="7055" w:name="Bookmark_LNHNREFclscc32_0"/>
      <w:bookmarkEnd w:id="7055"/>
      <w:r>
        <w:rPr>
          <w:rFonts w:ascii="Arial" w:eastAsia="Arial" w:hAnsi="Arial" w:cs="Arial"/>
          <w:color w:val="000000"/>
          <w:sz w:val="20"/>
        </w:rPr>
        <w:t xml:space="preserve">"where an officer intentionally or recklessly provokes a violent confrontation, if the provocation is an independent Fourth Amendment  [**48] violation, he may be held liable for his otherwise defensive use of deadly force." </w:t>
      </w:r>
      <w:bookmarkStart w:id="7056" w:name="Bookmark_I5BRCYKG2HM5Y10030000400"/>
      <w:bookmarkEnd w:id="7056"/>
      <w:r>
        <w:rPr>
          <w:rFonts w:ascii="Arial" w:eastAsia="Arial" w:hAnsi="Arial" w:cs="Arial"/>
          <w:i/>
          <w:color w:val="000000"/>
          <w:sz w:val="20"/>
        </w:rPr>
        <w:t>Billington</w:t>
      </w:r>
      <w:r>
        <w:rPr>
          <w:rFonts w:ascii="Arial" w:eastAsia="Arial" w:hAnsi="Arial" w:cs="Arial"/>
          <w:color w:val="000000"/>
          <w:sz w:val="20"/>
        </w:rPr>
        <w:t>, 292 F.3d at 1189 (emphasis added). Here, Sheehan has presented a triable issue as to whether the officers committed an independent Fourth Amendment violation by their forcible second entry into her room, as discussed above. In addition, Sheehan has presented evidence from which a reasonable jury could find that the officers acted recklessly in failing to take Sheehan's mental illness into account and in forcing a deadly confrontation rather than freezing or attempting to de-escalate the situation. We therefore hold that there are triable issues of fact as to whether the shooting was unreasonable on a provocation theory.</w:t>
      </w:r>
    </w:p>
    <w:p w14:paraId="3F00CF95" w14:textId="77777777" w:rsidR="002D0E71" w:rsidRDefault="00000000">
      <w:pPr>
        <w:pStyle w:val="Normal45"/>
        <w:widowControl w:val="0"/>
        <w:spacing w:before="200" w:line="260" w:lineRule="atLeast"/>
        <w:jc w:val="both"/>
      </w:pPr>
      <w:bookmarkStart w:id="7057" w:name="Bookmark_para_63_3"/>
      <w:bookmarkStart w:id="7058" w:name="Bookmark_I5BRCYM02HM63P0010000400"/>
      <w:bookmarkEnd w:id="7057"/>
      <w:bookmarkEnd w:id="7058"/>
      <w:r>
        <w:rPr>
          <w:rFonts w:ascii="Arial" w:eastAsia="Arial" w:hAnsi="Arial" w:cs="Arial"/>
          <w:color w:val="000000"/>
          <w:sz w:val="20"/>
        </w:rPr>
        <w:t xml:space="preserve">Finally, we address Sheehan's claim that Sergeant Reynolds' final shot amounted to excessive force. Assuming, as we must, that Sheehan had already reached the ground when Reynolds fired the final shot, we nonetheless hold that Reynolds is entitled to qualified immunity. Even if Reynolds continued to fire after Sheehan reached the ground, "it is clear from the very brief time that elapsed that [Reynolds] made a split-second judgment in responding to an imminent threat and fired  [**49] a fusillade in an emergency situation." </w:t>
      </w:r>
      <w:bookmarkStart w:id="7059" w:name="Bookmark_I5BRCYKG2HM5Y10050000400"/>
      <w:bookmarkEnd w:id="7059"/>
      <w:r>
        <w:rPr>
          <w:rFonts w:ascii="Arial" w:eastAsia="Arial" w:hAnsi="Arial" w:cs="Arial"/>
          <w:i/>
          <w:color w:val="000000"/>
          <w:sz w:val="20"/>
        </w:rPr>
        <w:t>Berube v. Conley</w:t>
      </w:r>
      <w:r>
        <w:rPr>
          <w:rFonts w:ascii="Arial" w:eastAsia="Arial" w:hAnsi="Arial" w:cs="Arial"/>
          <w:color w:val="000000"/>
          <w:sz w:val="20"/>
        </w:rPr>
        <w:t xml:space="preserve">, 506 F.3d 79, 85 (1st Cir. 2007). Reynolds' actions "cannot be found unreasonable because she may have failed to perfectly calibrate the amount of force required to protect herself." </w:t>
      </w:r>
      <w:r>
        <w:rPr>
          <w:rFonts w:ascii="Arial" w:eastAsia="Arial" w:hAnsi="Arial" w:cs="Arial"/>
          <w:i/>
          <w:color w:val="000000"/>
          <w:sz w:val="20"/>
        </w:rPr>
        <w:t>Id</w:t>
      </w:r>
      <w:r>
        <w:rPr>
          <w:rFonts w:ascii="Arial" w:eastAsia="Arial" w:hAnsi="Arial" w:cs="Arial"/>
          <w:color w:val="000000"/>
          <w:sz w:val="20"/>
        </w:rPr>
        <w:t>. Even if Sheehan was on the ground, she was certainly not subdued, and she continued to hold a knife and threaten the officers, especially Holder, who was cornered and in close proximity to Sheehan. Sheehan has presented no authority holding that the use of deadly force under similar circumstances was excessive. Thus, Reynolds is entitled to qualified immunity on this basis.</w:t>
      </w:r>
    </w:p>
    <w:p w14:paraId="1D286E28" w14:textId="77777777" w:rsidR="002D0E71" w:rsidRDefault="00000000">
      <w:pPr>
        <w:pStyle w:val="Normal45"/>
        <w:widowControl w:val="0"/>
        <w:spacing w:before="240" w:line="260" w:lineRule="atLeast"/>
      </w:pPr>
      <w:r>
        <w:br/>
      </w:r>
      <w:r>
        <w:rPr>
          <w:rFonts w:ascii="Arial" w:eastAsia="Arial" w:hAnsi="Arial" w:cs="Arial"/>
          <w:b/>
          <w:color w:val="000000"/>
          <w:sz w:val="20"/>
        </w:rPr>
        <w:t xml:space="preserve">II. </w:t>
      </w:r>
      <w:r>
        <w:rPr>
          <w:rFonts w:ascii="Arial" w:eastAsia="Arial" w:hAnsi="Arial" w:cs="Arial"/>
          <w:b/>
          <w:i/>
          <w:color w:val="000000"/>
          <w:sz w:val="20"/>
        </w:rPr>
        <w:t>MONELL</w:t>
      </w:r>
      <w:r>
        <w:rPr>
          <w:rFonts w:ascii="Arial" w:eastAsia="Arial" w:hAnsi="Arial" w:cs="Arial"/>
          <w:b/>
          <w:color w:val="000000"/>
          <w:sz w:val="20"/>
        </w:rPr>
        <w:t xml:space="preserve"> CLAIMS</w:t>
      </w:r>
    </w:p>
    <w:p w14:paraId="3316C501" w14:textId="77777777" w:rsidR="002D0E71" w:rsidRDefault="00000000">
      <w:pPr>
        <w:pStyle w:val="Normal45"/>
        <w:widowControl w:val="0"/>
        <w:spacing w:before="200" w:line="260" w:lineRule="atLeast"/>
        <w:jc w:val="both"/>
      </w:pPr>
      <w:bookmarkStart w:id="7060" w:name="Bookmark_para_64_3"/>
      <w:bookmarkStart w:id="7061" w:name="Bookmark_I5BRCYM02HM63P0030000400"/>
      <w:bookmarkEnd w:id="7060"/>
      <w:bookmarkEnd w:id="7061"/>
      <w:r>
        <w:rPr>
          <w:rFonts w:ascii="Arial" w:eastAsia="Arial" w:hAnsi="Arial" w:cs="Arial"/>
          <w:color w:val="000000"/>
          <w:sz w:val="20"/>
        </w:rPr>
        <w:t xml:space="preserve">Sheehan asserted § 1983 claims against the city under </w:t>
      </w:r>
      <w:bookmarkStart w:id="7062" w:name="Bookmark_I5BRCYM02HM63P0020000400"/>
      <w:bookmarkEnd w:id="7062"/>
      <w:r>
        <w:rPr>
          <w:rFonts w:ascii="Arial" w:eastAsia="Arial" w:hAnsi="Arial" w:cs="Arial"/>
          <w:i/>
          <w:color w:val="000000"/>
          <w:sz w:val="20"/>
        </w:rPr>
        <w:t>Monell v. Department of Social Services of the City of New York</w:t>
      </w:r>
      <w:r>
        <w:rPr>
          <w:rFonts w:ascii="Arial" w:eastAsia="Arial" w:hAnsi="Arial" w:cs="Arial"/>
          <w:color w:val="000000"/>
          <w:sz w:val="20"/>
        </w:rPr>
        <w:t>, 436 U.S. 658, 98 S. Ct. 2018, 56 L. Ed. 2d 611 (1978). She raises two theories of municipal liability: (1) failure to train and (2) ratification. We hold that the district court properly granted summary judgment to the city on each of these claims.</w:t>
      </w:r>
    </w:p>
    <w:p w14:paraId="0B90945A" w14:textId="77777777" w:rsidR="002D0E71" w:rsidRDefault="00000000">
      <w:pPr>
        <w:pStyle w:val="Normal45"/>
        <w:widowControl w:val="0"/>
        <w:spacing w:before="240" w:line="260" w:lineRule="atLeast"/>
      </w:pPr>
      <w:r>
        <w:br/>
      </w:r>
      <w:r>
        <w:rPr>
          <w:rFonts w:ascii="Arial" w:eastAsia="Arial" w:hAnsi="Arial" w:cs="Arial"/>
          <w:b/>
          <w:color w:val="000000"/>
          <w:sz w:val="20"/>
        </w:rPr>
        <w:t>A. Failure to Train</w:t>
      </w:r>
    </w:p>
    <w:p w14:paraId="44980421" w14:textId="77777777" w:rsidR="002D0E71" w:rsidRDefault="00000000">
      <w:pPr>
        <w:pStyle w:val="Normal45"/>
        <w:widowControl w:val="0"/>
        <w:spacing w:before="200" w:line="260" w:lineRule="atLeast"/>
        <w:jc w:val="both"/>
      </w:pPr>
      <w:bookmarkStart w:id="7063" w:name="Bookmark_para_65_3"/>
      <w:bookmarkStart w:id="7064" w:name="Bookmark_I5BRCYM02HM63P0050000400"/>
      <w:bookmarkStart w:id="7065" w:name="Bookmark_LNHNREFclscc33"/>
      <w:bookmarkEnd w:id="7063"/>
      <w:bookmarkEnd w:id="7064"/>
      <w:bookmarkEnd w:id="7065"/>
      <w:r>
        <w:rPr>
          <w:rFonts w:ascii="Arial" w:eastAsia="Arial" w:hAnsi="Arial" w:cs="Arial"/>
          <w:color w:val="000000"/>
          <w:sz w:val="20"/>
        </w:rPr>
        <w:t xml:space="preserve">"The 'inadequacy of police training may serve as the basis for § 1983  [**50] liability only where the failure to train amounts to deliberate indifference to the rights of persons with whom the police come into contact.'" </w:t>
      </w:r>
      <w:bookmarkStart w:id="7066" w:name="Bookmark_I5BRCYM02HM63P0040000400"/>
      <w:bookmarkEnd w:id="7066"/>
      <w:r>
        <w:rPr>
          <w:rFonts w:ascii="Arial" w:eastAsia="Arial" w:hAnsi="Arial" w:cs="Arial"/>
          <w:i/>
          <w:color w:val="000000"/>
          <w:sz w:val="20"/>
        </w:rPr>
        <w:t>Price v. Sery</w:t>
      </w:r>
      <w:r>
        <w:rPr>
          <w:rFonts w:ascii="Arial" w:eastAsia="Arial" w:hAnsi="Arial" w:cs="Arial"/>
          <w:color w:val="000000"/>
          <w:sz w:val="20"/>
        </w:rPr>
        <w:t xml:space="preserve">, 513 F.3d 962, 973 (9th Cir. 2008) (quoting </w:t>
      </w:r>
      <w:bookmarkStart w:id="7067" w:name="Bookmark_I5BRCYM42D6NW10010000400"/>
      <w:bookmarkEnd w:id="7067"/>
      <w:r>
        <w:rPr>
          <w:rFonts w:ascii="Arial" w:eastAsia="Arial" w:hAnsi="Arial" w:cs="Arial"/>
          <w:i/>
          <w:color w:val="000000"/>
          <w:sz w:val="20"/>
        </w:rPr>
        <w:t>City of Canton v. Harris</w:t>
      </w:r>
      <w:r>
        <w:rPr>
          <w:rFonts w:ascii="Arial" w:eastAsia="Arial" w:hAnsi="Arial" w:cs="Arial"/>
          <w:color w:val="000000"/>
          <w:sz w:val="20"/>
        </w:rPr>
        <w:t>, 489 U.S. 378, 388, 109 S. Ct. 1197, 103 L. Ed. 2d 412 (1989)). Here, Reynolds acknowledges that she did not take Sheehan's mental illness into account when she ordered the second entry into Sheehan's room. Sheehan, however, has not pointed to anything in the record to suggest that Reynolds' training was responsible for her decision to disregard Sheehan's mental illness. On the contrary,  [*1231]  Sheehan concedes that the department employed appropriate training materials to guide police officers' responses to persons they knew to be suffering from mental illness. That Reynolds may have disregarded her training does not show that the city was deliberately indifferent.</w:t>
      </w:r>
    </w:p>
    <w:p w14:paraId="16E3521D" w14:textId="77777777" w:rsidR="002D0E71" w:rsidRDefault="00000000">
      <w:pPr>
        <w:pStyle w:val="Normal45"/>
        <w:widowControl w:val="0"/>
        <w:spacing w:before="240" w:line="260" w:lineRule="atLeast"/>
      </w:pPr>
      <w:r>
        <w:br/>
      </w:r>
      <w:r>
        <w:rPr>
          <w:rFonts w:ascii="Arial" w:eastAsia="Arial" w:hAnsi="Arial" w:cs="Arial"/>
          <w:b/>
          <w:color w:val="000000"/>
          <w:sz w:val="20"/>
        </w:rPr>
        <w:t>B. Ratification</w:t>
      </w:r>
    </w:p>
    <w:p w14:paraId="29D1DA22" w14:textId="77777777" w:rsidR="002D0E71" w:rsidRDefault="00000000">
      <w:pPr>
        <w:pStyle w:val="Normal45"/>
        <w:widowControl w:val="0"/>
        <w:spacing w:before="200" w:line="260" w:lineRule="atLeast"/>
        <w:jc w:val="both"/>
      </w:pPr>
      <w:bookmarkStart w:id="7068" w:name="Bookmark_para_66_3"/>
      <w:bookmarkStart w:id="7069" w:name="Bookmark_I5BRCYM42D6NW10040000400"/>
      <w:bookmarkStart w:id="7070" w:name="Bookmark_I5BRCYM728T4180030000400"/>
      <w:bookmarkEnd w:id="7068"/>
      <w:bookmarkEnd w:id="7069"/>
      <w:bookmarkEnd w:id="7070"/>
      <w:r>
        <w:rPr>
          <w:rFonts w:ascii="Arial" w:eastAsia="Arial" w:hAnsi="Arial" w:cs="Arial"/>
          <w:color w:val="000000"/>
          <w:sz w:val="20"/>
        </w:rPr>
        <w:t xml:space="preserve">Sheehan's ratification theory also fails. </w:t>
      </w:r>
      <w:bookmarkStart w:id="7071" w:name="Bookmark_LNHNREFclscc34"/>
      <w:bookmarkEnd w:id="7071"/>
      <w:r>
        <w:rPr>
          <w:rFonts w:ascii="Arial" w:eastAsia="Arial" w:hAnsi="Arial" w:cs="Arial"/>
          <w:color w:val="000000"/>
          <w:sz w:val="20"/>
        </w:rPr>
        <w:t xml:space="preserve">"To show ratification, a plaintiff must prove that the 'authorized policymakers approve a subordinate's decision and the basis for it.'" </w:t>
      </w:r>
      <w:bookmarkStart w:id="7072" w:name="Bookmark_I5BRCYM42D6NW10030000400"/>
      <w:bookmarkEnd w:id="7072"/>
      <w:r>
        <w:rPr>
          <w:rFonts w:ascii="Arial" w:eastAsia="Arial" w:hAnsi="Arial" w:cs="Arial"/>
          <w:i/>
          <w:color w:val="000000"/>
          <w:sz w:val="20"/>
        </w:rPr>
        <w:t>Christie v. Iopa</w:t>
      </w:r>
      <w:r>
        <w:rPr>
          <w:rFonts w:ascii="Arial" w:eastAsia="Arial" w:hAnsi="Arial" w:cs="Arial"/>
          <w:color w:val="000000"/>
          <w:sz w:val="20"/>
        </w:rPr>
        <w:t xml:space="preserve">, 176 F.3d 1231, 1239 (9th Cir. 1999) (quoting </w:t>
      </w:r>
      <w:bookmarkStart w:id="7073" w:name="Bookmark_I5BRCYM42D6NW10050000400"/>
      <w:bookmarkEnd w:id="7073"/>
      <w:r>
        <w:rPr>
          <w:rFonts w:ascii="Arial" w:eastAsia="Arial" w:hAnsi="Arial" w:cs="Arial"/>
          <w:i/>
          <w:color w:val="000000"/>
          <w:sz w:val="20"/>
        </w:rPr>
        <w:t>City of St. Louis v. Praprotnik</w:t>
      </w:r>
      <w:r>
        <w:rPr>
          <w:rFonts w:ascii="Arial" w:eastAsia="Arial" w:hAnsi="Arial" w:cs="Arial"/>
          <w:color w:val="000000"/>
          <w:sz w:val="20"/>
        </w:rPr>
        <w:t xml:space="preserve">, 485 U.S. 112, 127, 108 S. Ct. 915, 99 L. Ed. 2d 107 (1988)). "We have found municipal  [**51] liability on the basis of ratification when the officials involved adopted and expressly approved of the acts of others who caused the constitutional violation." </w:t>
      </w:r>
      <w:bookmarkStart w:id="7074" w:name="Bookmark_I5BRCYM728T4180020000400"/>
      <w:bookmarkEnd w:id="7074"/>
      <w:r>
        <w:rPr>
          <w:rFonts w:ascii="Arial" w:eastAsia="Arial" w:hAnsi="Arial" w:cs="Arial"/>
          <w:i/>
          <w:color w:val="000000"/>
          <w:sz w:val="20"/>
        </w:rPr>
        <w:t>Trevino v. Gates</w:t>
      </w:r>
      <w:r>
        <w:rPr>
          <w:rFonts w:ascii="Arial" w:eastAsia="Arial" w:hAnsi="Arial" w:cs="Arial"/>
          <w:color w:val="000000"/>
          <w:sz w:val="20"/>
        </w:rPr>
        <w:t>, 99 F.3d 911, 920 (9th Cir. 1996).</w:t>
      </w:r>
    </w:p>
    <w:p w14:paraId="72AA1BA5" w14:textId="77777777" w:rsidR="002D0E71" w:rsidRDefault="00000000">
      <w:pPr>
        <w:pStyle w:val="Normal45"/>
        <w:widowControl w:val="0"/>
        <w:spacing w:before="200" w:line="260" w:lineRule="atLeast"/>
        <w:jc w:val="both"/>
      </w:pPr>
      <w:bookmarkStart w:id="7075" w:name="Bookmark_para_67_3"/>
      <w:bookmarkStart w:id="7076" w:name="Bookmark_I5BRCYM728T4180050000400"/>
      <w:bookmarkEnd w:id="7075"/>
      <w:bookmarkEnd w:id="7076"/>
      <w:r>
        <w:rPr>
          <w:rFonts w:ascii="Arial" w:eastAsia="Arial" w:hAnsi="Arial" w:cs="Arial"/>
          <w:color w:val="000000"/>
          <w:sz w:val="20"/>
        </w:rPr>
        <w:t xml:space="preserve">Sheehan contends that the city ratified the officers' conduct by not disciplining them. </w:t>
      </w:r>
      <w:bookmarkStart w:id="7077" w:name="Bookmark_LNHNREFclscc35"/>
      <w:bookmarkEnd w:id="7077"/>
      <w:r>
        <w:rPr>
          <w:rFonts w:ascii="Arial" w:eastAsia="Arial" w:hAnsi="Arial" w:cs="Arial"/>
          <w:color w:val="000000"/>
          <w:sz w:val="20"/>
        </w:rPr>
        <w:t xml:space="preserve">Ratification, however, generally requires more than acquiescence. There is no evidence in the record that policymakers "made a deliberate choice to endorse" the officers' actions. </w:t>
      </w:r>
      <w:bookmarkStart w:id="7078" w:name="Bookmark_I5BRCYN628T4HN0020000400"/>
      <w:bookmarkStart w:id="7079" w:name="Bookmark_I5BRCYM728T4180040000400"/>
      <w:bookmarkEnd w:id="7078"/>
      <w:bookmarkEnd w:id="7079"/>
      <w:r>
        <w:rPr>
          <w:rFonts w:ascii="Arial" w:eastAsia="Arial" w:hAnsi="Arial" w:cs="Arial"/>
          <w:i/>
          <w:color w:val="000000"/>
          <w:sz w:val="20"/>
        </w:rPr>
        <w:t>Gillette v. Delmore</w:t>
      </w:r>
      <w:r>
        <w:rPr>
          <w:rFonts w:ascii="Arial" w:eastAsia="Arial" w:hAnsi="Arial" w:cs="Arial"/>
          <w:color w:val="000000"/>
          <w:sz w:val="20"/>
        </w:rPr>
        <w:t xml:space="preserve">, 979 F.2d 1342, 1348 (9th Cir. 1992). </w:t>
      </w:r>
      <w:bookmarkStart w:id="7080" w:name="Bookmark_I5BRCYN628T4HN0020000400_2"/>
      <w:bookmarkEnd w:id="7080"/>
      <w:r>
        <w:rPr>
          <w:rFonts w:ascii="Arial" w:eastAsia="Arial" w:hAnsi="Arial" w:cs="Arial"/>
          <w:color w:val="000000"/>
          <w:sz w:val="20"/>
        </w:rPr>
        <w:t xml:space="preserve">The mere failure to discipline Reynolds and Holder does not amount to ratification of their allegedly unconstitutional actions. </w:t>
      </w:r>
      <w:r>
        <w:rPr>
          <w:rFonts w:ascii="Arial" w:eastAsia="Arial" w:hAnsi="Arial" w:cs="Arial"/>
          <w:i/>
          <w:color w:val="000000"/>
          <w:sz w:val="20"/>
        </w:rPr>
        <w:t xml:space="preserve">See </w:t>
      </w:r>
      <w:bookmarkStart w:id="7081" w:name="Bookmark_I5BRCYN628T4HN0010000400"/>
      <w:bookmarkEnd w:id="7081"/>
      <w:r>
        <w:rPr>
          <w:rFonts w:ascii="Arial" w:eastAsia="Arial" w:hAnsi="Arial" w:cs="Arial"/>
          <w:i/>
          <w:color w:val="000000"/>
          <w:sz w:val="20"/>
        </w:rPr>
        <w:t>Clouthier v. Cnty. of Contra Costa</w:t>
      </w:r>
      <w:r>
        <w:rPr>
          <w:rFonts w:ascii="Arial" w:eastAsia="Arial" w:hAnsi="Arial" w:cs="Arial"/>
          <w:color w:val="000000"/>
          <w:sz w:val="20"/>
        </w:rPr>
        <w:t xml:space="preserve">, 591 F.3d 1232, 1253-54 (9th Cir. 2010) (holding that the failure to discipline employees, without more, was insufficient to establish ratification); </w:t>
      </w:r>
      <w:bookmarkStart w:id="7082" w:name="Bookmark_I5BRCYN628T4HN0030000400"/>
      <w:bookmarkEnd w:id="7082"/>
      <w:r>
        <w:rPr>
          <w:rFonts w:ascii="Arial" w:eastAsia="Arial" w:hAnsi="Arial" w:cs="Arial"/>
          <w:i/>
          <w:color w:val="000000"/>
          <w:sz w:val="20"/>
        </w:rPr>
        <w:t>Santiago v. Fenton</w:t>
      </w:r>
      <w:r>
        <w:rPr>
          <w:rFonts w:ascii="Arial" w:eastAsia="Arial" w:hAnsi="Arial" w:cs="Arial"/>
          <w:color w:val="000000"/>
          <w:sz w:val="20"/>
        </w:rPr>
        <w:t xml:space="preserve">, 891 F.2d 373, 382 (1st Cir. 1989) (refusing to hold that the "failure of a police department to discipline in a specific instance is an adequate basis for municipal liability under </w:t>
      </w:r>
      <w:r>
        <w:rPr>
          <w:rFonts w:ascii="Arial" w:eastAsia="Arial" w:hAnsi="Arial" w:cs="Arial"/>
          <w:i/>
          <w:color w:val="000000"/>
          <w:sz w:val="20"/>
        </w:rPr>
        <w:t>Monell</w:t>
      </w:r>
      <w:r>
        <w:rPr>
          <w:rFonts w:ascii="Arial" w:eastAsia="Arial" w:hAnsi="Arial" w:cs="Arial"/>
          <w:color w:val="000000"/>
          <w:sz w:val="20"/>
        </w:rPr>
        <w:t>").</w:t>
      </w:r>
    </w:p>
    <w:p w14:paraId="02F38C38" w14:textId="77777777" w:rsidR="002D0E71" w:rsidRDefault="00000000">
      <w:pPr>
        <w:pStyle w:val="Normal45"/>
        <w:widowControl w:val="0"/>
        <w:spacing w:before="240" w:line="260" w:lineRule="atLeast"/>
      </w:pPr>
      <w:r>
        <w:br/>
      </w:r>
      <w:r>
        <w:rPr>
          <w:rFonts w:ascii="Arial" w:eastAsia="Arial" w:hAnsi="Arial" w:cs="Arial"/>
          <w:b/>
          <w:color w:val="000000"/>
          <w:sz w:val="20"/>
        </w:rPr>
        <w:t>III. AMERICANS WITH DISABILITIES ACT</w:t>
      </w:r>
    </w:p>
    <w:p w14:paraId="5456FCCF" w14:textId="77777777" w:rsidR="002D0E71" w:rsidRDefault="00000000">
      <w:pPr>
        <w:pStyle w:val="Normal45"/>
        <w:widowControl w:val="0"/>
        <w:spacing w:before="200" w:line="260" w:lineRule="atLeast"/>
        <w:jc w:val="both"/>
      </w:pPr>
      <w:bookmarkStart w:id="7083" w:name="Bookmark_para_68_3"/>
      <w:bookmarkEnd w:id="7083"/>
      <w:r>
        <w:rPr>
          <w:rFonts w:ascii="Arial" w:eastAsia="Arial" w:hAnsi="Arial" w:cs="Arial"/>
          <w:color w:val="000000"/>
          <w:sz w:val="20"/>
        </w:rPr>
        <w:t>We next address Sheehan's claim that the city violated her rights under the Americans with Disabilities  [**52] Act (ADA).</w:t>
      </w:r>
    </w:p>
    <w:p w14:paraId="282D8172" w14:textId="77777777" w:rsidR="002D0E71" w:rsidRDefault="00000000">
      <w:pPr>
        <w:pStyle w:val="Normal45"/>
        <w:widowControl w:val="0"/>
        <w:spacing w:before="200" w:line="260" w:lineRule="atLeast"/>
        <w:jc w:val="both"/>
      </w:pPr>
      <w:bookmarkStart w:id="7084" w:name="Bookmark_para_69_3"/>
      <w:bookmarkEnd w:id="7084"/>
      <w:r>
        <w:rPr>
          <w:rFonts w:ascii="Arial" w:eastAsia="Arial" w:hAnsi="Arial" w:cs="Arial"/>
          <w:color w:val="000000"/>
          <w:sz w:val="20"/>
        </w:rPr>
        <w:t xml:space="preserve">Title II of the ADA provides that </w:t>
      </w:r>
      <w:bookmarkStart w:id="7085" w:name="Bookmark_LNHNREFclscc36"/>
      <w:bookmarkEnd w:id="7085"/>
      <w:r>
        <w:rPr>
          <w:rFonts w:ascii="Arial" w:eastAsia="Arial" w:hAnsi="Arial" w:cs="Arial"/>
          <w:color w:val="000000"/>
          <w:sz w:val="20"/>
        </w:rPr>
        <w:t xml:space="preserve">"no qualified individual with a disability shall, by reason of such disability, be excluded from participation in or be denied the benefits of the services, programs, or activities of a public entity, or be subjected to discrimination by any such entity." 42 U.S.C. § 12132. </w:t>
      </w:r>
      <w:bookmarkStart w:id="7086" w:name="Bookmark_LNHNREFclscc37"/>
      <w:bookmarkEnd w:id="7086"/>
      <w:r>
        <w:rPr>
          <w:rFonts w:ascii="Arial" w:eastAsia="Arial" w:hAnsi="Arial" w:cs="Arial"/>
          <w:color w:val="000000"/>
          <w:sz w:val="20"/>
        </w:rPr>
        <w:t>Discrimination includes a failure to reasonably accommodate a person's disability. As United States Department of Justice regulations state:</w:t>
      </w:r>
    </w:p>
    <w:p w14:paraId="74CBC0A3" w14:textId="77777777" w:rsidR="002D0E71" w:rsidRDefault="00000000">
      <w:pPr>
        <w:pStyle w:val="Normal45"/>
        <w:widowControl w:val="0"/>
        <w:spacing w:line="260" w:lineRule="atLeast"/>
        <w:ind w:left="400"/>
        <w:jc w:val="both"/>
      </w:pPr>
      <w:bookmarkStart w:id="7087" w:name="Bookmark_para_70_3"/>
      <w:bookmarkStart w:id="7088" w:name="Bookmark_LNHNREFclscc38"/>
      <w:bookmarkEnd w:id="7087"/>
      <w:bookmarkEnd w:id="7088"/>
      <w:r>
        <w:rPr>
          <w:rFonts w:ascii="Arial" w:eastAsia="Arial" w:hAnsi="Arial" w:cs="Arial"/>
          <w:color w:val="000000"/>
          <w:sz w:val="20"/>
        </w:rPr>
        <w:t>A public entity shall make reasonable modifications in policies, practices, or procedures when the modifications are necessary to avoid discrimination on the basis of disability, unless the public entity can demonstrate that making the modifications would fundamentally alter the nature of the service, program, or activity.</w:t>
      </w:r>
    </w:p>
    <w:p w14:paraId="47AA1F55" w14:textId="77777777" w:rsidR="002D0E71" w:rsidRDefault="00000000">
      <w:pPr>
        <w:pStyle w:val="Normal45"/>
        <w:widowControl w:val="0"/>
        <w:spacing w:line="260" w:lineRule="atLeast"/>
        <w:jc w:val="both"/>
      </w:pPr>
      <w:r>
        <w:rPr>
          <w:rFonts w:ascii="Arial" w:eastAsia="Arial" w:hAnsi="Arial" w:cs="Arial"/>
          <w:color w:val="000000"/>
          <w:sz w:val="20"/>
        </w:rPr>
        <w:t>28 C.F.R. § 35.130(b)(7).</w:t>
      </w:r>
    </w:p>
    <w:p w14:paraId="6480CBEE" w14:textId="77777777" w:rsidR="002D0E71" w:rsidRDefault="00000000">
      <w:pPr>
        <w:pStyle w:val="Normal45"/>
        <w:widowControl w:val="0"/>
        <w:spacing w:before="200" w:line="260" w:lineRule="atLeast"/>
        <w:jc w:val="both"/>
      </w:pPr>
      <w:bookmarkStart w:id="7089" w:name="Bookmark_para_71_3"/>
      <w:bookmarkStart w:id="7090" w:name="Bookmark_I5BRCYNF28T4P50010000400"/>
      <w:bookmarkStart w:id="7091" w:name="Bookmark_I4GW5YDKDD2000RKF9T000R9"/>
      <w:bookmarkStart w:id="7092" w:name="Bookmark_I5BRCYNF28T4P50030000400"/>
      <w:bookmarkEnd w:id="7089"/>
      <w:bookmarkEnd w:id="7090"/>
      <w:bookmarkEnd w:id="7091"/>
      <w:bookmarkEnd w:id="7092"/>
      <w:r>
        <w:rPr>
          <w:rFonts w:ascii="Arial" w:eastAsia="Arial" w:hAnsi="Arial" w:cs="Arial"/>
          <w:color w:val="000000"/>
          <w:sz w:val="20"/>
        </w:rPr>
        <w:t xml:space="preserve">We have not previously addressed whether the ADA applies to arrests, </w:t>
      </w:r>
      <w:r>
        <w:rPr>
          <w:rFonts w:ascii="Arial" w:eastAsia="Arial" w:hAnsi="Arial" w:cs="Arial"/>
          <w:i/>
          <w:color w:val="000000"/>
          <w:sz w:val="20"/>
        </w:rPr>
        <w:t xml:space="preserve">see </w:t>
      </w:r>
      <w:bookmarkStart w:id="7093" w:name="Bookmark_I5BRCYN628T4HN0050000400"/>
      <w:bookmarkEnd w:id="7093"/>
      <w:r>
        <w:rPr>
          <w:rFonts w:ascii="Arial" w:eastAsia="Arial" w:hAnsi="Arial" w:cs="Arial"/>
          <w:i/>
          <w:color w:val="000000"/>
          <w:sz w:val="20"/>
        </w:rPr>
        <w:t>Thompson v. Davis</w:t>
      </w:r>
      <w:r>
        <w:rPr>
          <w:rFonts w:ascii="Arial" w:eastAsia="Arial" w:hAnsi="Arial" w:cs="Arial"/>
          <w:color w:val="000000"/>
          <w:sz w:val="20"/>
        </w:rPr>
        <w:t xml:space="preserve">, 295 F.3d 890, 897 (9th Cir. 2002), and the question is a matter of some disagreement among other circuits. </w:t>
      </w:r>
      <w:bookmarkStart w:id="7094" w:name="Bookmark_I4GW5YDKJ76000RKF9T000RB"/>
      <w:bookmarkStart w:id="7095" w:name="Bookmark_I5BRCYNF28T4P50050000400"/>
      <w:bookmarkEnd w:id="7094"/>
      <w:bookmarkEnd w:id="7095"/>
      <w:r>
        <w:rPr>
          <w:rFonts w:ascii="Arial" w:eastAsia="Arial" w:hAnsi="Arial" w:cs="Arial"/>
          <w:color w:val="000000"/>
          <w:sz w:val="20"/>
        </w:rPr>
        <w:t xml:space="preserve">The Fifth Circuit has held that "Title II does not apply to an officer's on-the-street responses to reported disturbances or other similar incidents, whether or not those calls involve subjects  [**53] with mental disabilities, prior to the officer's securing the scene and ensuring that there is no threat to human life." </w:t>
      </w:r>
      <w:bookmarkStart w:id="7096" w:name="Bookmark_I5BRCYNF28T4P50020000400"/>
      <w:bookmarkEnd w:id="7096"/>
      <w:r>
        <w:rPr>
          <w:rFonts w:ascii="Arial" w:eastAsia="Arial" w:hAnsi="Arial" w:cs="Arial"/>
          <w:i/>
          <w:color w:val="000000"/>
          <w:sz w:val="20"/>
        </w:rPr>
        <w:t>Hainze v. Richards</w:t>
      </w:r>
      <w:r>
        <w:rPr>
          <w:rFonts w:ascii="Arial" w:eastAsia="Arial" w:hAnsi="Arial" w:cs="Arial"/>
          <w:color w:val="000000"/>
          <w:sz w:val="20"/>
        </w:rPr>
        <w:t xml:space="preserve">, 207 F.3d 795, 801 (5th Cir. 2000). </w:t>
      </w:r>
      <w:bookmarkStart w:id="7097" w:name="Bookmark_I5BRCYNS28T4VJ0020000400"/>
      <w:bookmarkEnd w:id="7097"/>
      <w:r>
        <w:rPr>
          <w:rFonts w:ascii="Arial" w:eastAsia="Arial" w:hAnsi="Arial" w:cs="Arial"/>
          <w:color w:val="000000"/>
          <w:sz w:val="20"/>
        </w:rPr>
        <w:t xml:space="preserve">Other circuits have declined to adopt the Fifth Circuit's approach. </w:t>
      </w:r>
      <w:bookmarkStart w:id="7098" w:name="Bookmark_I5BRCYNS28T4VJ0020000400_2"/>
      <w:bookmarkStart w:id="7099" w:name="Bookmark_I5BRCYNF28T4P50050000400_2"/>
      <w:bookmarkStart w:id="7100" w:name="Bookmark_I4GW5YDKTWG000RKF9T000RD"/>
      <w:bookmarkStart w:id="7101" w:name="Bookmark_I5BRCYNS28T4VJ0040000400"/>
      <w:bookmarkEnd w:id="7098"/>
      <w:bookmarkEnd w:id="7099"/>
      <w:bookmarkEnd w:id="7100"/>
      <w:bookmarkEnd w:id="7101"/>
      <w:r>
        <w:rPr>
          <w:rFonts w:ascii="Arial" w:eastAsia="Arial" w:hAnsi="Arial" w:cs="Arial"/>
          <w:color w:val="000000"/>
          <w:sz w:val="20"/>
        </w:rPr>
        <w:t xml:space="preserve">In </w:t>
      </w:r>
      <w:bookmarkStart w:id="7102" w:name="Bookmark_I5BRCYNF28T4P50040000400"/>
      <w:bookmarkEnd w:id="7102"/>
      <w:r>
        <w:rPr>
          <w:rFonts w:ascii="Arial" w:eastAsia="Arial" w:hAnsi="Arial" w:cs="Arial"/>
          <w:i/>
          <w:color w:val="000000"/>
          <w:sz w:val="20"/>
        </w:rPr>
        <w:t>Bircoll v. Miami-Dade County</w:t>
      </w:r>
      <w:r>
        <w:rPr>
          <w:rFonts w:ascii="Arial" w:eastAsia="Arial" w:hAnsi="Arial" w:cs="Arial"/>
          <w:color w:val="000000"/>
          <w:sz w:val="20"/>
        </w:rPr>
        <w:t xml:space="preserve">, 480 F.3d 1072 (11th Cir. 2007), </w:t>
      </w:r>
      <w:bookmarkStart w:id="7103" w:name="Bookmark_LNHNREFclscc39"/>
      <w:bookmarkEnd w:id="7103"/>
      <w:r>
        <w:rPr>
          <w:rFonts w:ascii="Arial" w:eastAsia="Arial" w:hAnsi="Arial" w:cs="Arial"/>
          <w:color w:val="000000"/>
          <w:sz w:val="20"/>
        </w:rPr>
        <w:t xml:space="preserve">the Eleventh Circuit held that "the question is not so much one of the applicability of the ADA because Title II prohibits  [*1232]  discrimination by a public entity by reason of [a person's] disability. </w:t>
      </w:r>
      <w:bookmarkStart w:id="7104" w:name="Bookmark_I5BRCYNS28T4VJ0040000400_2"/>
      <w:bookmarkStart w:id="7105" w:name="Bookmark_I4GW5YDM8MM000RKF9T000RH"/>
      <w:bookmarkStart w:id="7106" w:name="Bookmark_I5BRCYNT2SF7S50030000400"/>
      <w:bookmarkEnd w:id="7104"/>
      <w:bookmarkEnd w:id="7105"/>
      <w:bookmarkEnd w:id="7106"/>
      <w:r>
        <w:rPr>
          <w:rFonts w:ascii="Arial" w:eastAsia="Arial" w:hAnsi="Arial" w:cs="Arial"/>
          <w:color w:val="000000"/>
          <w:sz w:val="20"/>
        </w:rPr>
        <w:t xml:space="preserve">The exigent circumstances presented by criminal activity and the already onerous tasks of police on the scene go more to the reasonableness of the requested ADA modification than whether the ADA applies in the first instance." </w:t>
      </w:r>
      <w:bookmarkStart w:id="7107" w:name="Bookmark_I5BRCYNS28T4VJ0010000400"/>
      <w:bookmarkEnd w:id="7107"/>
      <w:r>
        <w:rPr>
          <w:rFonts w:ascii="Arial" w:eastAsia="Arial" w:hAnsi="Arial" w:cs="Arial"/>
          <w:i/>
          <w:color w:val="000000"/>
          <w:sz w:val="20"/>
        </w:rPr>
        <w:t>Id</w:t>
      </w:r>
      <w:r>
        <w:rPr>
          <w:rFonts w:ascii="Arial" w:eastAsia="Arial" w:hAnsi="Arial" w:cs="Arial"/>
          <w:color w:val="000000"/>
          <w:sz w:val="20"/>
        </w:rPr>
        <w:t xml:space="preserve">. at 1085. </w:t>
      </w:r>
      <w:bookmarkStart w:id="7108" w:name="Bookmark_I5BRCYNT2SF7S50030000400_2"/>
      <w:bookmarkStart w:id="7109" w:name="Bookmark_I5BRCYNS28T4VJ0040000400_3"/>
      <w:bookmarkStart w:id="7110" w:name="Bookmark_I5BRCYNT2SF7S50050000400"/>
      <w:bookmarkEnd w:id="7108"/>
      <w:bookmarkEnd w:id="7109"/>
      <w:bookmarkEnd w:id="7110"/>
      <w:r>
        <w:rPr>
          <w:rFonts w:ascii="Arial" w:eastAsia="Arial" w:hAnsi="Arial" w:cs="Arial"/>
          <w:color w:val="000000"/>
          <w:sz w:val="20"/>
        </w:rPr>
        <w:t xml:space="preserve">Similarly, in </w:t>
      </w:r>
      <w:bookmarkStart w:id="7111" w:name="Bookmark_I5BRCYNS28T4VJ0030000400"/>
      <w:bookmarkEnd w:id="7111"/>
      <w:r>
        <w:rPr>
          <w:rFonts w:ascii="Arial" w:eastAsia="Arial" w:hAnsi="Arial" w:cs="Arial"/>
          <w:i/>
          <w:color w:val="000000"/>
          <w:sz w:val="20"/>
        </w:rPr>
        <w:t>Gohier v. Enright</w:t>
      </w:r>
      <w:r>
        <w:rPr>
          <w:rFonts w:ascii="Arial" w:eastAsia="Arial" w:hAnsi="Arial" w:cs="Arial"/>
          <w:color w:val="000000"/>
          <w:sz w:val="20"/>
        </w:rPr>
        <w:t xml:space="preserve">, 186 F.3d 1216 (10th Cir. 1999), the Tenth Circuit held that "a broad rule categorically excluding arrests from the scope of Title II . . . is not the law." </w:t>
      </w:r>
      <w:bookmarkStart w:id="7112" w:name="Bookmark_I5BRCYNS28T4VJ0050000400"/>
      <w:bookmarkEnd w:id="7112"/>
      <w:r>
        <w:rPr>
          <w:rFonts w:ascii="Arial" w:eastAsia="Arial" w:hAnsi="Arial" w:cs="Arial"/>
          <w:i/>
          <w:color w:val="000000"/>
          <w:sz w:val="20"/>
        </w:rPr>
        <w:t>Id</w:t>
      </w:r>
      <w:r>
        <w:rPr>
          <w:rFonts w:ascii="Arial" w:eastAsia="Arial" w:hAnsi="Arial" w:cs="Arial"/>
          <w:color w:val="000000"/>
          <w:sz w:val="20"/>
        </w:rPr>
        <w:t xml:space="preserve">. at 1221. </w:t>
      </w:r>
      <w:bookmarkStart w:id="7113" w:name="Bookmark_I5BRCYNT2SF7S50050000400_2"/>
      <w:bookmarkEnd w:id="7113"/>
      <w:r>
        <w:rPr>
          <w:rFonts w:ascii="Arial" w:eastAsia="Arial" w:hAnsi="Arial" w:cs="Arial"/>
          <w:color w:val="000000"/>
          <w:sz w:val="20"/>
        </w:rPr>
        <w:t xml:space="preserve">In </w:t>
      </w:r>
      <w:bookmarkStart w:id="7114" w:name="Bookmark_I5BRCYNT2SF7S50020000400"/>
      <w:bookmarkEnd w:id="7114"/>
      <w:r>
        <w:rPr>
          <w:rFonts w:ascii="Arial" w:eastAsia="Arial" w:hAnsi="Arial" w:cs="Arial"/>
          <w:i/>
          <w:color w:val="000000"/>
          <w:sz w:val="20"/>
        </w:rPr>
        <w:t>Waller ex rel. Estate of Hunt v. City of Danville</w:t>
      </w:r>
      <w:r>
        <w:rPr>
          <w:rFonts w:ascii="Arial" w:eastAsia="Arial" w:hAnsi="Arial" w:cs="Arial"/>
          <w:color w:val="000000"/>
          <w:sz w:val="20"/>
        </w:rPr>
        <w:t xml:space="preserve">, 556 F.3d 171, 175 (4th Cir. 2009), the Fourth Circuit reserved judgment on the Fifth Circuit's approach and then went on to consider a reasonable accommodation claim involving an arrest. </w:t>
      </w:r>
      <w:bookmarkStart w:id="7115" w:name="Bookmark_I5BRCYNT2SF7S50050000400_3"/>
      <w:bookmarkEnd w:id="7115"/>
      <w:r>
        <w:rPr>
          <w:rFonts w:ascii="Arial" w:eastAsia="Arial" w:hAnsi="Arial" w:cs="Arial"/>
          <w:color w:val="000000"/>
          <w:sz w:val="20"/>
        </w:rPr>
        <w:t xml:space="preserve">Like the Eleventh  [**54] Circuit, </w:t>
      </w:r>
      <w:bookmarkStart w:id="7116" w:name="Bookmark_LNHNREFclscc40"/>
      <w:bookmarkEnd w:id="7116"/>
      <w:r>
        <w:rPr>
          <w:rFonts w:ascii="Arial" w:eastAsia="Arial" w:hAnsi="Arial" w:cs="Arial"/>
          <w:i/>
          <w:color w:val="000000"/>
          <w:sz w:val="20"/>
        </w:rPr>
        <w:t>Waller</w:t>
      </w:r>
      <w:r>
        <w:rPr>
          <w:rFonts w:ascii="Arial" w:eastAsia="Arial" w:hAnsi="Arial" w:cs="Arial"/>
          <w:color w:val="000000"/>
          <w:sz w:val="20"/>
        </w:rPr>
        <w:t xml:space="preserve"> held that "exigency is one circumstance that bears materially on the inquiry into reasonableness under the ADA." </w:t>
      </w:r>
      <w:r>
        <w:rPr>
          <w:rFonts w:ascii="Arial" w:eastAsia="Arial" w:hAnsi="Arial" w:cs="Arial"/>
          <w:i/>
          <w:color w:val="000000"/>
          <w:sz w:val="20"/>
        </w:rPr>
        <w:t xml:space="preserve">Id. See also </w:t>
      </w:r>
      <w:bookmarkStart w:id="7117" w:name="Bookmark_I5BRCYNT2SF7S50040000400"/>
      <w:bookmarkEnd w:id="7117"/>
      <w:r>
        <w:rPr>
          <w:rFonts w:ascii="Arial" w:eastAsia="Arial" w:hAnsi="Arial" w:cs="Arial"/>
          <w:i/>
          <w:color w:val="000000"/>
          <w:sz w:val="20"/>
        </w:rPr>
        <w:t>Tucker v. Tennessee</w:t>
      </w:r>
      <w:r>
        <w:rPr>
          <w:rFonts w:ascii="Arial" w:eastAsia="Arial" w:hAnsi="Arial" w:cs="Arial"/>
          <w:color w:val="000000"/>
          <w:sz w:val="20"/>
        </w:rPr>
        <w:t>, 539 F.3d 526, 534 (6th Cir. 2008) (addressing a Title II reasonable accommodation claim in which the plaintiffs asserted that police officers "discriminated against them in violation of the ADA by failing to provide a qualified sign language interpreter or other such reasonable accommodation(s) during the domestic disturbance call that resulted in their arrest").</w:t>
      </w:r>
    </w:p>
    <w:p w14:paraId="3C1C5150" w14:textId="77777777" w:rsidR="002D0E71" w:rsidRDefault="00000000">
      <w:pPr>
        <w:pStyle w:val="Normal45"/>
        <w:widowControl w:val="0"/>
        <w:spacing w:before="200" w:line="260" w:lineRule="atLeast"/>
        <w:jc w:val="both"/>
      </w:pPr>
      <w:bookmarkStart w:id="7118" w:name="Bookmark_para_72_3"/>
      <w:bookmarkStart w:id="7119" w:name="Bookmark_I5BRCYP52N1RDF0020000400"/>
      <w:bookmarkEnd w:id="7118"/>
      <w:bookmarkEnd w:id="7119"/>
      <w:r>
        <w:rPr>
          <w:rFonts w:ascii="Arial" w:eastAsia="Arial" w:hAnsi="Arial" w:cs="Arial"/>
          <w:color w:val="000000"/>
          <w:sz w:val="20"/>
        </w:rPr>
        <w:t xml:space="preserve">We agree with the majority of circuits to have addressed the question that </w:t>
      </w:r>
      <w:bookmarkStart w:id="7120" w:name="Bookmark_LNHNREFclscc41"/>
      <w:bookmarkEnd w:id="7120"/>
      <w:r>
        <w:rPr>
          <w:rFonts w:ascii="Arial" w:eastAsia="Arial" w:hAnsi="Arial" w:cs="Arial"/>
          <w:color w:val="000000"/>
          <w:sz w:val="20"/>
        </w:rPr>
        <w:t xml:space="preserve">Title II applies to arrests. The ADA applies broadly to police "services, programs, or activities." 42 U.S.C. § 12132. </w:t>
      </w:r>
      <w:bookmarkStart w:id="7121" w:name="Bookmark_I5BRCYPS2SF83N0010000400"/>
      <w:bookmarkEnd w:id="7121"/>
      <w:r>
        <w:rPr>
          <w:rFonts w:ascii="Arial" w:eastAsia="Arial" w:hAnsi="Arial" w:cs="Arial"/>
          <w:color w:val="000000"/>
          <w:sz w:val="20"/>
        </w:rPr>
        <w:t xml:space="preserve">We have interpreted these terms to encompass "anything a public entity does." </w:t>
      </w:r>
      <w:bookmarkStart w:id="7122" w:name="Bookmark_I5BRCYP52N1RDF0010000400"/>
      <w:bookmarkEnd w:id="7122"/>
      <w:r>
        <w:rPr>
          <w:rFonts w:ascii="Arial" w:eastAsia="Arial" w:hAnsi="Arial" w:cs="Arial"/>
          <w:i/>
          <w:color w:val="000000"/>
          <w:sz w:val="20"/>
        </w:rPr>
        <w:t>Barden v. City of Sacramento</w:t>
      </w:r>
      <w:r>
        <w:rPr>
          <w:rFonts w:ascii="Arial" w:eastAsia="Arial" w:hAnsi="Arial" w:cs="Arial"/>
          <w:color w:val="000000"/>
          <w:sz w:val="20"/>
        </w:rPr>
        <w:t xml:space="preserve">, 292 F.3d 1073, 1076 (9th Cir. 2002) (quoting </w:t>
      </w:r>
      <w:bookmarkStart w:id="7123" w:name="Bookmark_I5BRCYP52N1RDF0030000400"/>
      <w:bookmarkEnd w:id="7123"/>
      <w:r>
        <w:rPr>
          <w:rFonts w:ascii="Arial" w:eastAsia="Arial" w:hAnsi="Arial" w:cs="Arial"/>
          <w:i/>
          <w:color w:val="000000"/>
          <w:sz w:val="20"/>
        </w:rPr>
        <w:t>Lee v. City of Los Angeles</w:t>
      </w:r>
      <w:r>
        <w:rPr>
          <w:rFonts w:ascii="Arial" w:eastAsia="Arial" w:hAnsi="Arial" w:cs="Arial"/>
          <w:color w:val="000000"/>
          <w:sz w:val="20"/>
        </w:rPr>
        <w:t xml:space="preserve">, 250 F.3d 668, 691 (9th Cir. 2001)) (internal quotation marks omitted). </w:t>
      </w:r>
      <w:bookmarkStart w:id="7124" w:name="Bookmark_I5BRCYPS2SF83N0010000400_2"/>
      <w:bookmarkEnd w:id="7124"/>
      <w:r>
        <w:rPr>
          <w:rFonts w:ascii="Arial" w:eastAsia="Arial" w:hAnsi="Arial" w:cs="Arial"/>
          <w:color w:val="000000"/>
          <w:sz w:val="20"/>
        </w:rPr>
        <w:t xml:space="preserve">The ADA therefore applies to arrests, though we agree with the Eleventh and Fourth Circuits that exigent circumstances inform the reasonableness analysis under the ADA, just as they inform the distinct reasonableness analysis  [**55] under the Fourth Amendment. </w:t>
      </w:r>
      <w:r>
        <w:rPr>
          <w:rFonts w:ascii="Arial" w:eastAsia="Arial" w:hAnsi="Arial" w:cs="Arial"/>
          <w:i/>
          <w:color w:val="000000"/>
          <w:sz w:val="20"/>
        </w:rPr>
        <w:t xml:space="preserve">See </w:t>
      </w:r>
      <w:bookmarkStart w:id="7125" w:name="Bookmark_I5BRCYP52N1RDF0050000400"/>
      <w:bookmarkEnd w:id="7125"/>
      <w:r>
        <w:rPr>
          <w:rFonts w:ascii="Arial" w:eastAsia="Arial" w:hAnsi="Arial" w:cs="Arial"/>
          <w:i/>
          <w:color w:val="000000"/>
          <w:sz w:val="20"/>
        </w:rPr>
        <w:t>Waller</w:t>
      </w:r>
      <w:r>
        <w:rPr>
          <w:rFonts w:ascii="Arial" w:eastAsia="Arial" w:hAnsi="Arial" w:cs="Arial"/>
          <w:color w:val="000000"/>
          <w:sz w:val="20"/>
        </w:rPr>
        <w:t>, 556 F.3d at 175 ("Just as the constraints of time figure in what is required of police under the Fourth Amendment, they bear on what is reasonable under the ADA.").</w:t>
      </w:r>
    </w:p>
    <w:p w14:paraId="25683A76" w14:textId="77777777" w:rsidR="002D0E71" w:rsidRDefault="00000000">
      <w:pPr>
        <w:pStyle w:val="Normal45"/>
        <w:widowControl w:val="0"/>
        <w:spacing w:before="200" w:line="260" w:lineRule="atLeast"/>
        <w:jc w:val="both"/>
      </w:pPr>
      <w:bookmarkStart w:id="7126" w:name="Bookmark_para_73_3"/>
      <w:bookmarkStart w:id="7127" w:name="Bookmark_I5BRCYPS2SF83N0030000400"/>
      <w:bookmarkStart w:id="7128" w:name="Bookmark_LNHNREFclscc42"/>
      <w:bookmarkEnd w:id="7126"/>
      <w:bookmarkEnd w:id="7127"/>
      <w:bookmarkEnd w:id="7128"/>
      <w:r>
        <w:rPr>
          <w:rFonts w:ascii="Arial" w:eastAsia="Arial" w:hAnsi="Arial" w:cs="Arial"/>
          <w:color w:val="000000"/>
          <w:sz w:val="20"/>
        </w:rPr>
        <w:t xml:space="preserve">Courts have recognized at least two types of Title II claims applicable to arrests: (1) wrongful arrest, where police wrongly arrest someone with a disability because they misperceive the effects of that disability as criminal activity; and (2) reasonable accommodation, where, although police properly investigate and arrest a person with a disability for a crime unrelated to that disability, they fail to reasonably accommodate the person's disability in the course of investigation or arrest, causing the person to suffer greater injury or indignity in that process than other arrestees. </w:t>
      </w:r>
      <w:r>
        <w:rPr>
          <w:rFonts w:ascii="Arial" w:eastAsia="Arial" w:hAnsi="Arial" w:cs="Arial"/>
          <w:i/>
          <w:color w:val="000000"/>
          <w:sz w:val="20"/>
        </w:rPr>
        <w:t xml:space="preserve">See </w:t>
      </w:r>
      <w:bookmarkStart w:id="7129" w:name="Bookmark_I5BRCYPS2SF83N0020000400"/>
      <w:bookmarkEnd w:id="7129"/>
      <w:r>
        <w:rPr>
          <w:rFonts w:ascii="Arial" w:eastAsia="Arial" w:hAnsi="Arial" w:cs="Arial"/>
          <w:i/>
          <w:color w:val="000000"/>
          <w:sz w:val="20"/>
        </w:rPr>
        <w:t>Waller</w:t>
      </w:r>
      <w:r>
        <w:rPr>
          <w:rFonts w:ascii="Arial" w:eastAsia="Arial" w:hAnsi="Arial" w:cs="Arial"/>
          <w:color w:val="000000"/>
          <w:sz w:val="20"/>
        </w:rPr>
        <w:t xml:space="preserve">, 556 F.3d at 174; </w:t>
      </w:r>
      <w:bookmarkStart w:id="7130" w:name="Bookmark_I5BRCYPS2SF83N0040000400"/>
      <w:bookmarkEnd w:id="7130"/>
      <w:r>
        <w:rPr>
          <w:rFonts w:ascii="Arial" w:eastAsia="Arial" w:hAnsi="Arial" w:cs="Arial"/>
          <w:i/>
          <w:color w:val="000000"/>
          <w:sz w:val="20"/>
        </w:rPr>
        <w:t>Gohier</w:t>
      </w:r>
      <w:r>
        <w:rPr>
          <w:rFonts w:ascii="Arial" w:eastAsia="Arial" w:hAnsi="Arial" w:cs="Arial"/>
          <w:color w:val="000000"/>
          <w:sz w:val="20"/>
        </w:rPr>
        <w:t>, 186 F.3d at 1220-21.</w:t>
      </w:r>
    </w:p>
    <w:p w14:paraId="2A9796E3" w14:textId="77777777" w:rsidR="002D0E71" w:rsidRDefault="00000000">
      <w:pPr>
        <w:pStyle w:val="Normal45"/>
        <w:widowControl w:val="0"/>
        <w:spacing w:before="200" w:line="260" w:lineRule="atLeast"/>
        <w:jc w:val="both"/>
      </w:pPr>
      <w:bookmarkStart w:id="7131" w:name="Bookmark_para_74_3"/>
      <w:bookmarkStart w:id="7132" w:name="Bookmark_I4GW5YDMJ8X000RKF9T000RK"/>
      <w:bookmarkStart w:id="7133" w:name="Bookmark_I5BRCYR22SF87X0020000400"/>
      <w:bookmarkEnd w:id="7131"/>
      <w:bookmarkEnd w:id="7132"/>
      <w:bookmarkEnd w:id="7133"/>
      <w:r>
        <w:rPr>
          <w:rFonts w:ascii="Arial" w:eastAsia="Arial" w:hAnsi="Arial" w:cs="Arial"/>
          <w:color w:val="000000"/>
          <w:sz w:val="20"/>
        </w:rPr>
        <w:t xml:space="preserve">Sheehan raises the second type of claim here. She asserts that the officers failed to reasonably accommodate her disability by forcing their way back into her room without taking her mental illness into account and without employing tactics that would have been likely to resolve the situation without injury to herself or others. </w:t>
      </w:r>
      <w:bookmarkStart w:id="7134" w:name="Bookmark_LNHNREFclscc43"/>
      <w:bookmarkEnd w:id="7134"/>
      <w:r>
        <w:rPr>
          <w:rFonts w:ascii="Arial" w:eastAsia="Arial" w:hAnsi="Arial" w:cs="Arial"/>
          <w:color w:val="000000"/>
          <w:sz w:val="20"/>
        </w:rPr>
        <w:t xml:space="preserve">To state a claim  [**56] under Title II of the ADA, a plaintiff generally must show: (1) she is an individual with a disability; (2) she is otherwise qualified to participate in or receive the benefit of a public entity's services, programs or activities; (3) she was either excluded from participation in or denied the benefits of the public entity's services, programs or activities or was otherwise discriminated against by the public entity; and (4) such exclusion, denial of benefits or discrimination was by reason of her disability. </w:t>
      </w:r>
      <w:bookmarkStart w:id="7135" w:name="Bookmark_I5BRCYR22SF87X0040000400"/>
      <w:bookmarkEnd w:id="7135"/>
      <w:r>
        <w:rPr>
          <w:rFonts w:ascii="Arial" w:eastAsia="Arial" w:hAnsi="Arial" w:cs="Arial"/>
          <w:i/>
          <w:color w:val="000000"/>
          <w:sz w:val="20"/>
        </w:rPr>
        <w:t xml:space="preserve">See </w:t>
      </w:r>
      <w:bookmarkStart w:id="7136" w:name="Bookmark_I5BRCYR22SF87X0010000400"/>
      <w:bookmarkEnd w:id="7136"/>
      <w:r>
        <w:rPr>
          <w:rFonts w:ascii="Arial" w:eastAsia="Arial" w:hAnsi="Arial" w:cs="Arial"/>
          <w:i/>
          <w:color w:val="000000"/>
          <w:sz w:val="20"/>
        </w:rPr>
        <w:t>O'Guinn v. Lovelock Corr. Ctr</w:t>
      </w:r>
      <w:r>
        <w:rPr>
          <w:rFonts w:ascii="Arial" w:eastAsia="Arial" w:hAnsi="Arial" w:cs="Arial"/>
          <w:color w:val="000000"/>
          <w:sz w:val="20"/>
        </w:rPr>
        <w:t xml:space="preserve">., 502 F.3d 1056, 1060 (9th Cir. 2007). </w:t>
      </w:r>
      <w:bookmarkStart w:id="7137" w:name="Bookmark_I5BRCYR22SF87X0040000400_2"/>
      <w:bookmarkStart w:id="7138" w:name="Bookmark_I5BRCYRF2D6N1S0010000400"/>
      <w:bookmarkStart w:id="7139" w:name="Bookmark_LNHNREFclscc44"/>
      <w:bookmarkEnd w:id="7137"/>
      <w:bookmarkEnd w:id="7138"/>
      <w:bookmarkEnd w:id="7139"/>
      <w:r>
        <w:rPr>
          <w:rFonts w:ascii="Arial" w:eastAsia="Arial" w:hAnsi="Arial" w:cs="Arial"/>
          <w:color w:val="000000"/>
          <w:sz w:val="20"/>
        </w:rPr>
        <w:t xml:space="preserve">In a Title II claim grounded in a public entity's alleged [*1233]  failure to provide a reasonable accommodation under 28 C.F.R. § 35.130(b)(7), the plaintiff bears the initial burden of producing evidence of the existence of a reasonable accommodation. </w:t>
      </w:r>
      <w:r>
        <w:rPr>
          <w:rFonts w:ascii="Arial" w:eastAsia="Arial" w:hAnsi="Arial" w:cs="Arial"/>
          <w:i/>
          <w:color w:val="000000"/>
          <w:sz w:val="20"/>
        </w:rPr>
        <w:t xml:space="preserve">See </w:t>
      </w:r>
      <w:bookmarkStart w:id="7140" w:name="Bookmark_I5BRCYR22SF87X0030000400"/>
      <w:bookmarkEnd w:id="7140"/>
      <w:r>
        <w:rPr>
          <w:rFonts w:ascii="Arial" w:eastAsia="Arial" w:hAnsi="Arial" w:cs="Arial"/>
          <w:i/>
          <w:color w:val="000000"/>
          <w:sz w:val="20"/>
        </w:rPr>
        <w:t>Vinson v. Thomas</w:t>
      </w:r>
      <w:r>
        <w:rPr>
          <w:rFonts w:ascii="Arial" w:eastAsia="Arial" w:hAnsi="Arial" w:cs="Arial"/>
          <w:color w:val="000000"/>
          <w:sz w:val="20"/>
        </w:rPr>
        <w:t xml:space="preserve">, 288 F.3d 1145, 1154 (9th Cir. 2002). </w:t>
      </w:r>
      <w:bookmarkStart w:id="7141" w:name="Bookmark_I5BRCYRF2D6N1S0010000400_2"/>
      <w:bookmarkEnd w:id="7141"/>
      <w:r>
        <w:rPr>
          <w:rFonts w:ascii="Arial" w:eastAsia="Arial" w:hAnsi="Arial" w:cs="Arial"/>
          <w:color w:val="000000"/>
          <w:sz w:val="20"/>
        </w:rPr>
        <w:t xml:space="preserve">A public entity may defeat a reasonable accommodation claim by showing "that making the modifications would fundamentally alter the nature of the service, program, or activity." 28 C.F.R. § 35.130(b)(7); </w:t>
      </w:r>
      <w:r>
        <w:rPr>
          <w:rFonts w:ascii="Arial" w:eastAsia="Arial" w:hAnsi="Arial" w:cs="Arial"/>
          <w:i/>
          <w:color w:val="000000"/>
          <w:sz w:val="20"/>
        </w:rPr>
        <w:t xml:space="preserve">see </w:t>
      </w:r>
      <w:bookmarkStart w:id="7142" w:name="Bookmark_I5BRCYR22SF87X0050000400"/>
      <w:bookmarkEnd w:id="7142"/>
      <w:r>
        <w:rPr>
          <w:rFonts w:ascii="Arial" w:eastAsia="Arial" w:hAnsi="Arial" w:cs="Arial"/>
          <w:i/>
          <w:color w:val="000000"/>
          <w:sz w:val="20"/>
        </w:rPr>
        <w:t>Zukle v. Regents of Univ. of Cal</w:t>
      </w:r>
      <w:r>
        <w:rPr>
          <w:rFonts w:ascii="Arial" w:eastAsia="Arial" w:hAnsi="Arial" w:cs="Arial"/>
          <w:color w:val="000000"/>
          <w:sz w:val="20"/>
        </w:rPr>
        <w:t>., 166 F.3d 1041, 1047 (9th Cir. 1999).</w:t>
      </w:r>
    </w:p>
    <w:p w14:paraId="14844A06" w14:textId="77777777" w:rsidR="002D0E71" w:rsidRDefault="00000000">
      <w:pPr>
        <w:pStyle w:val="Normal45"/>
        <w:widowControl w:val="0"/>
        <w:spacing w:before="200" w:line="260" w:lineRule="atLeast"/>
        <w:jc w:val="both"/>
      </w:pPr>
      <w:bookmarkStart w:id="7143" w:name="Bookmark_para_75_2"/>
      <w:bookmarkEnd w:id="7143"/>
      <w:r>
        <w:rPr>
          <w:rFonts w:ascii="Arial" w:eastAsia="Arial" w:hAnsi="Arial" w:cs="Arial"/>
          <w:color w:val="000000"/>
          <w:sz w:val="20"/>
        </w:rPr>
        <w:t xml:space="preserve">It is undisputed that Sheehan  [**57] had a disability and that the officers knew it at the time they encountered her. We turn, therefore, to whether the city discriminated against Sheehan by failing to provide a reasonable accommodation during the second entry. Sheehan asserts that the city failed to provide a reasonable accommodation when the officers forced their way back into her room without taking her mental illness into account. She asserts that the officers should have respected her comfort zone, engaged in non-threatening communications and used the passage of time to defuse the situation rather than precipitating a deadly confrontation. </w:t>
      </w:r>
      <w:bookmarkStart w:id="7144" w:name="Bookmark_I5BRCYRF2D6N1S0030000400"/>
      <w:bookmarkEnd w:id="7144"/>
      <w:r>
        <w:rPr>
          <w:rFonts w:ascii="Arial" w:eastAsia="Arial" w:hAnsi="Arial" w:cs="Arial"/>
          <w:color w:val="000000"/>
          <w:sz w:val="20"/>
        </w:rPr>
        <w:t xml:space="preserve">We acknowledge that the officers were forced to make split-second decisions. A reasonable jury nevertheless could find that the situation had been defused sufficiently, following the initial retreat from Sheehan's room, to afford the officers an opportunity to wait for backup and to employ less confrontational tactics, including the accommodations that Sheehan asserts were necessary. For the reasons stated here, and because the reasonableness of an accommodation is ordinarily a question of fact, </w:t>
      </w:r>
      <w:r>
        <w:rPr>
          <w:rFonts w:ascii="Arial" w:eastAsia="Arial" w:hAnsi="Arial" w:cs="Arial"/>
          <w:i/>
          <w:color w:val="000000"/>
          <w:sz w:val="20"/>
        </w:rPr>
        <w:t xml:space="preserve">see </w:t>
      </w:r>
      <w:bookmarkStart w:id="7145" w:name="Bookmark_I5BRCYRF2D6N1S0020000400"/>
      <w:bookmarkEnd w:id="7145"/>
      <w:r>
        <w:rPr>
          <w:rFonts w:ascii="Arial" w:eastAsia="Arial" w:hAnsi="Arial" w:cs="Arial"/>
          <w:i/>
          <w:color w:val="000000"/>
          <w:sz w:val="20"/>
        </w:rPr>
        <w:t>EEOC v. UPS Supply Chain Solutions</w:t>
      </w:r>
      <w:r>
        <w:rPr>
          <w:rFonts w:ascii="Arial" w:eastAsia="Arial" w:hAnsi="Arial" w:cs="Arial"/>
          <w:color w:val="000000"/>
          <w:sz w:val="20"/>
        </w:rPr>
        <w:t>, 620 F.3d 1103, 1110 (9th Cir. 2010), we hold  [**58] that the city is not entitled to judgment as a matter of law on Sheehan's ADA claim.</w:t>
      </w:r>
    </w:p>
    <w:p w14:paraId="32188D91" w14:textId="77777777" w:rsidR="002D0E71" w:rsidRDefault="00000000">
      <w:pPr>
        <w:pStyle w:val="Normal45"/>
        <w:widowControl w:val="0"/>
        <w:spacing w:before="240" w:line="260" w:lineRule="atLeast"/>
      </w:pPr>
      <w:r>
        <w:br/>
      </w:r>
      <w:r>
        <w:rPr>
          <w:rFonts w:ascii="Arial" w:eastAsia="Arial" w:hAnsi="Arial" w:cs="Arial"/>
          <w:b/>
          <w:color w:val="000000"/>
          <w:sz w:val="20"/>
        </w:rPr>
        <w:t>IV. STATE LAW CLAIMS</w:t>
      </w:r>
    </w:p>
    <w:p w14:paraId="72FBAECB" w14:textId="77777777" w:rsidR="002D0E71" w:rsidRDefault="00000000">
      <w:pPr>
        <w:pStyle w:val="Normal45"/>
        <w:widowControl w:val="0"/>
        <w:spacing w:before="200" w:line="260" w:lineRule="atLeast"/>
        <w:jc w:val="both"/>
      </w:pPr>
      <w:bookmarkStart w:id="7146" w:name="Bookmark_para_76_2"/>
      <w:bookmarkEnd w:id="7146"/>
      <w:r>
        <w:rPr>
          <w:rFonts w:ascii="Arial" w:eastAsia="Arial" w:hAnsi="Arial" w:cs="Arial"/>
          <w:color w:val="000000"/>
          <w:sz w:val="20"/>
        </w:rPr>
        <w:t xml:space="preserve">Sheehan asserts state law claims for negligence, assault and battery, intentional infliction of emotional distress and violation of California Civil Code § 52.1. The district court ruled that the defendants are immune from liability on those claims under California Welfare &amp; Institutions Code § 5278, which provides: </w:t>
      </w:r>
      <w:bookmarkStart w:id="7147" w:name="Bookmark_LNHNREFclscc45"/>
      <w:bookmarkEnd w:id="7147"/>
      <w:r>
        <w:rPr>
          <w:rFonts w:ascii="Arial" w:eastAsia="Arial" w:hAnsi="Arial" w:cs="Arial"/>
          <w:color w:val="000000"/>
          <w:sz w:val="20"/>
        </w:rPr>
        <w:t>"Individuals authorized under this part to detain a person for 72-hour treatment and evaluation . . . shall not be held either criminally or civilly liable for exercising this authority in accordance with the law."</w:t>
      </w:r>
    </w:p>
    <w:p w14:paraId="3C6D87A6" w14:textId="77777777" w:rsidR="002D0E71" w:rsidRDefault="00000000">
      <w:pPr>
        <w:pStyle w:val="Normal45"/>
        <w:widowControl w:val="0"/>
        <w:spacing w:before="200" w:line="260" w:lineRule="atLeast"/>
        <w:jc w:val="both"/>
      </w:pPr>
      <w:bookmarkStart w:id="7148" w:name="Bookmark_para_77_2"/>
      <w:bookmarkStart w:id="7149" w:name="Bookmark_I5BRCYRF2D6N1S0050000400"/>
      <w:bookmarkEnd w:id="7148"/>
      <w:bookmarkEnd w:id="7149"/>
      <w:r>
        <w:rPr>
          <w:rFonts w:ascii="Arial" w:eastAsia="Arial" w:hAnsi="Arial" w:cs="Arial"/>
          <w:color w:val="000000"/>
          <w:sz w:val="20"/>
        </w:rPr>
        <w:t xml:space="preserve">In </w:t>
      </w:r>
      <w:bookmarkStart w:id="7150" w:name="Bookmark_I5BRCYRF2D6N1S0040000400"/>
      <w:bookmarkEnd w:id="7150"/>
      <w:r>
        <w:rPr>
          <w:rFonts w:ascii="Arial" w:eastAsia="Arial" w:hAnsi="Arial" w:cs="Arial"/>
          <w:i/>
          <w:color w:val="000000"/>
          <w:sz w:val="20"/>
        </w:rPr>
        <w:t>Bias v. Moynihan</w:t>
      </w:r>
      <w:r>
        <w:rPr>
          <w:rFonts w:ascii="Arial" w:eastAsia="Arial" w:hAnsi="Arial" w:cs="Arial"/>
          <w:color w:val="000000"/>
          <w:sz w:val="20"/>
        </w:rPr>
        <w:t xml:space="preserve">, 508 F.3d 1212, 1221 (9th Cir. 2007), we held that a police officer was immune under § 5278 from state law claims for assault and battery, false arrest, illegal imprisonment and intentional infliction of emotional distress where the officer had probable cause to take the plaintiff into custody in accordance with § 5150. </w:t>
      </w:r>
      <w:bookmarkStart w:id="7151" w:name="Bookmark_I5BRCYRH2SF8HG0020000400"/>
      <w:bookmarkEnd w:id="7151"/>
      <w:r>
        <w:rPr>
          <w:rFonts w:ascii="Arial" w:eastAsia="Arial" w:hAnsi="Arial" w:cs="Arial"/>
          <w:color w:val="000000"/>
          <w:sz w:val="20"/>
        </w:rPr>
        <w:t xml:space="preserve">The scope of § 5278 immunity, however, is not as all-encompassing as the defendants argue. </w:t>
      </w:r>
      <w:bookmarkStart w:id="7152" w:name="Bookmark_I5BRCYRH2SF8HG0040000400"/>
      <w:bookmarkStart w:id="7153" w:name="Bookmark_LNHNREFclscc46"/>
      <w:bookmarkEnd w:id="7152"/>
      <w:bookmarkEnd w:id="7153"/>
      <w:r>
        <w:rPr>
          <w:rFonts w:ascii="Arial" w:eastAsia="Arial" w:hAnsi="Arial" w:cs="Arial"/>
          <w:color w:val="000000"/>
          <w:sz w:val="20"/>
        </w:rPr>
        <w:t xml:space="preserve">Section 5278 is part of the Lanterman-Petris-Short Act, which must be construed to protect mentally disordered persons. </w:t>
      </w:r>
      <w:bookmarkStart w:id="7154" w:name="Bookmark_I5BRCYRH2SF8HG0040000400_2"/>
      <w:bookmarkStart w:id="7155" w:name="Bookmark_I5BRCYRH2SF8HG0020000400_2"/>
      <w:bookmarkEnd w:id="7154"/>
      <w:bookmarkEnd w:id="7155"/>
      <w:r>
        <w:rPr>
          <w:rFonts w:ascii="Arial" w:eastAsia="Arial" w:hAnsi="Arial" w:cs="Arial"/>
          <w:i/>
          <w:color w:val="000000"/>
          <w:sz w:val="20"/>
        </w:rPr>
        <w:t xml:space="preserve">See </w:t>
      </w:r>
      <w:bookmarkStart w:id="7156" w:name="Bookmark_I5BRCYRH2SF8HG0010000400"/>
      <w:bookmarkEnd w:id="7156"/>
      <w:r>
        <w:rPr>
          <w:rFonts w:ascii="Arial" w:eastAsia="Arial" w:hAnsi="Arial" w:cs="Arial"/>
          <w:i/>
          <w:color w:val="000000"/>
          <w:sz w:val="20"/>
        </w:rPr>
        <w:t>Gonzalez v. Paradise Valley Hosp</w:t>
      </w:r>
      <w:r>
        <w:rPr>
          <w:rFonts w:ascii="Arial" w:eastAsia="Arial" w:hAnsi="Arial" w:cs="Arial"/>
          <w:color w:val="000000"/>
          <w:sz w:val="20"/>
        </w:rPr>
        <w:t xml:space="preserve">., 111 Cal. App. 4th 735, 3 Cal. Rptr. 3d 903, 907 (Ct. App. 2003).  [**59] In </w:t>
      </w:r>
      <w:bookmarkStart w:id="7157" w:name="Bookmark_I5BRCYRH2SF8HG0030000400"/>
      <w:bookmarkEnd w:id="7157"/>
      <w:r>
        <w:rPr>
          <w:rFonts w:ascii="Arial" w:eastAsia="Arial" w:hAnsi="Arial" w:cs="Arial"/>
          <w:i/>
          <w:color w:val="000000"/>
          <w:sz w:val="20"/>
        </w:rPr>
        <w:t>Jacobs v. Grossmont Hospital</w:t>
      </w:r>
      <w:r>
        <w:rPr>
          <w:rFonts w:ascii="Arial" w:eastAsia="Arial" w:hAnsi="Arial" w:cs="Arial"/>
          <w:color w:val="000000"/>
          <w:sz w:val="20"/>
        </w:rPr>
        <w:t>, 108 Cal. App. 4th 69, 133 Cal. Rptr. 2d 9 (Ct. App. 2003), the California Court of Appeal held that</w:t>
      </w:r>
    </w:p>
    <w:p w14:paraId="50F9C658" w14:textId="77777777" w:rsidR="002D0E71" w:rsidRDefault="00000000">
      <w:pPr>
        <w:pStyle w:val="Normal45"/>
        <w:widowControl w:val="0"/>
        <w:spacing w:before="200" w:line="260" w:lineRule="atLeast"/>
        <w:ind w:left="400"/>
        <w:jc w:val="both"/>
      </w:pPr>
      <w:bookmarkStart w:id="7158" w:name="Bookmark_para_78_2"/>
      <w:bookmarkEnd w:id="7158"/>
      <w:r>
        <w:rPr>
          <w:rFonts w:ascii="Arial" w:eastAsia="Arial" w:hAnsi="Arial" w:cs="Arial"/>
          <w:color w:val="000000"/>
          <w:sz w:val="20"/>
        </w:rPr>
        <w:t xml:space="preserve">the immunity of section 5278 extends to claims based on </w:t>
      </w:r>
      <w:r>
        <w:rPr>
          <w:rFonts w:ascii="Arial" w:eastAsia="Arial" w:hAnsi="Arial" w:cs="Arial"/>
          <w:i/>
          <w:color w:val="000000"/>
          <w:sz w:val="20"/>
        </w:rPr>
        <w:t>circumstances that are inherent in an involuntary detention</w:t>
      </w:r>
      <w:r>
        <w:rPr>
          <w:rFonts w:ascii="Arial" w:eastAsia="Arial" w:hAnsi="Arial" w:cs="Arial"/>
          <w:color w:val="000000"/>
          <w:sz w:val="20"/>
        </w:rPr>
        <w:t xml:space="preserve"> pursuant to section 5150. Without the immunity provided by section 5278, an involuntary detention and treatment without consent would arguably constitute kidnapping, false imprisonment, or battery. </w:t>
      </w:r>
      <w:bookmarkStart w:id="7159" w:name="Bookmark_I5BRCYRK2SF8KB0010000400"/>
      <w:bookmarkEnd w:id="7159"/>
      <w:r>
        <w:rPr>
          <w:rFonts w:ascii="Arial" w:eastAsia="Arial" w:hAnsi="Arial" w:cs="Arial"/>
          <w:color w:val="000000"/>
          <w:sz w:val="20"/>
        </w:rPr>
        <w:t xml:space="preserve">Section 5278 was intended to provide immunity for claims based on </w:t>
      </w:r>
      <w:r>
        <w:rPr>
          <w:rFonts w:ascii="Arial" w:eastAsia="Arial" w:hAnsi="Arial" w:cs="Arial"/>
          <w:i/>
          <w:color w:val="000000"/>
          <w:sz w:val="20"/>
        </w:rPr>
        <w:t>conduct that is expressly authorized by the LPS Act but would otherwise constitute [*1234]  a civil or criminal wrong</w:t>
      </w:r>
      <w:r>
        <w:rPr>
          <w:rFonts w:ascii="Arial" w:eastAsia="Arial" w:hAnsi="Arial" w:cs="Arial"/>
          <w:color w:val="000000"/>
          <w:sz w:val="20"/>
        </w:rPr>
        <w:t>. . . . [A] plaintiff who is properly detained in accordance with the LPS Act may not assert any civil claim based solely on the fact that he was detained, evaluated, or treated without his consent [but] section 5278 [does not] confer blanket immunity for any act or omission that might occur during a 72-hour hold, no matter how negligent, wrongful, or even criminal.</w:t>
      </w:r>
    </w:p>
    <w:p w14:paraId="193AEC0C" w14:textId="77777777" w:rsidR="002D0E71" w:rsidRDefault="00000000">
      <w:pPr>
        <w:pStyle w:val="Normal45"/>
        <w:widowControl w:val="0"/>
        <w:spacing w:before="200" w:line="260" w:lineRule="atLeast"/>
        <w:jc w:val="both"/>
      </w:pPr>
      <w:bookmarkStart w:id="7160" w:name="Bookmark_I5BRCYRK2SF8KB0010000400_2"/>
      <w:bookmarkStart w:id="7161" w:name="Bookmark_I5BRCYRH2SF8HG0050000400"/>
      <w:bookmarkEnd w:id="7160"/>
      <w:bookmarkEnd w:id="7161"/>
      <w:r>
        <w:rPr>
          <w:rFonts w:ascii="Arial" w:eastAsia="Arial" w:hAnsi="Arial" w:cs="Arial"/>
          <w:i/>
          <w:color w:val="000000"/>
          <w:sz w:val="20"/>
        </w:rPr>
        <w:t>Id</w:t>
      </w:r>
      <w:r>
        <w:rPr>
          <w:rFonts w:ascii="Arial" w:eastAsia="Arial" w:hAnsi="Arial" w:cs="Arial"/>
          <w:color w:val="000000"/>
          <w:sz w:val="20"/>
        </w:rPr>
        <w:t>. at 15 (emphasis added).</w:t>
      </w:r>
    </w:p>
    <w:p w14:paraId="047E462E" w14:textId="77777777" w:rsidR="002D0E71" w:rsidRDefault="00000000">
      <w:pPr>
        <w:pStyle w:val="Normal45"/>
        <w:widowControl w:val="0"/>
        <w:spacing w:before="200" w:line="260" w:lineRule="atLeast"/>
        <w:jc w:val="both"/>
      </w:pPr>
      <w:bookmarkStart w:id="7162" w:name="Bookmark_para_79_2"/>
      <w:bookmarkEnd w:id="7162"/>
      <w:r>
        <w:rPr>
          <w:rFonts w:ascii="Arial" w:eastAsia="Arial" w:hAnsi="Arial" w:cs="Arial"/>
          <w:color w:val="000000"/>
          <w:sz w:val="20"/>
        </w:rPr>
        <w:t xml:space="preserve">Thus, § 5278 immunizes the police officers from the </w:t>
      </w:r>
      <w:r>
        <w:rPr>
          <w:rFonts w:ascii="Arial" w:eastAsia="Arial" w:hAnsi="Arial" w:cs="Arial"/>
          <w:i/>
          <w:color w:val="000000"/>
          <w:sz w:val="20"/>
        </w:rPr>
        <w:t>decision to detain</w:t>
      </w:r>
      <w:r>
        <w:rPr>
          <w:rFonts w:ascii="Arial" w:eastAsia="Arial" w:hAnsi="Arial" w:cs="Arial"/>
          <w:color w:val="000000"/>
          <w:sz w:val="20"/>
        </w:rPr>
        <w:t xml:space="preserve"> Sheehan under § 5150. </w:t>
      </w:r>
      <w:bookmarkStart w:id="7163" w:name="Bookmark_I5BRCYRK2SF8KB0030000400"/>
      <w:bookmarkEnd w:id="7163"/>
      <w:r>
        <w:rPr>
          <w:rFonts w:ascii="Arial" w:eastAsia="Arial" w:hAnsi="Arial" w:cs="Arial"/>
          <w:color w:val="000000"/>
          <w:sz w:val="20"/>
        </w:rPr>
        <w:t xml:space="preserve">Section 5278 also immunizes the officers from liability for the </w:t>
      </w:r>
      <w:r>
        <w:rPr>
          <w:rFonts w:ascii="Arial" w:eastAsia="Arial" w:hAnsi="Arial" w:cs="Arial"/>
          <w:i/>
          <w:color w:val="000000"/>
          <w:sz w:val="20"/>
        </w:rPr>
        <w:t>fact of Sheehan's detention</w:t>
      </w:r>
      <w:r>
        <w:rPr>
          <w:rFonts w:ascii="Arial" w:eastAsia="Arial" w:hAnsi="Arial" w:cs="Arial"/>
          <w:color w:val="000000"/>
          <w:sz w:val="20"/>
        </w:rPr>
        <w:t xml:space="preserve">. Finally, § 5278 immunizes  [**60] the officers based on circumstances </w:t>
      </w:r>
      <w:r>
        <w:rPr>
          <w:rFonts w:ascii="Arial" w:eastAsia="Arial" w:hAnsi="Arial" w:cs="Arial"/>
          <w:i/>
          <w:color w:val="000000"/>
          <w:sz w:val="20"/>
        </w:rPr>
        <w:t>inherent</w:t>
      </w:r>
      <w:r>
        <w:rPr>
          <w:rFonts w:ascii="Arial" w:eastAsia="Arial" w:hAnsi="Arial" w:cs="Arial"/>
          <w:color w:val="000000"/>
          <w:sz w:val="20"/>
        </w:rPr>
        <w:t xml:space="preserve"> in her involuntary detention. </w:t>
      </w:r>
      <w:r>
        <w:rPr>
          <w:rFonts w:ascii="Arial" w:eastAsia="Arial" w:hAnsi="Arial" w:cs="Arial"/>
          <w:i/>
          <w:color w:val="000000"/>
          <w:sz w:val="20"/>
        </w:rPr>
        <w:t xml:space="preserve">See </w:t>
      </w:r>
      <w:bookmarkStart w:id="7164" w:name="Bookmark_I5BRCYRK2SF8KB0020000400"/>
      <w:bookmarkEnd w:id="7164"/>
      <w:r>
        <w:rPr>
          <w:rFonts w:ascii="Arial" w:eastAsia="Arial" w:hAnsi="Arial" w:cs="Arial"/>
          <w:i/>
          <w:color w:val="000000"/>
          <w:sz w:val="20"/>
        </w:rPr>
        <w:t>id</w:t>
      </w:r>
      <w:r>
        <w:rPr>
          <w:rFonts w:ascii="Arial" w:eastAsia="Arial" w:hAnsi="Arial" w:cs="Arial"/>
          <w:color w:val="000000"/>
          <w:sz w:val="20"/>
        </w:rPr>
        <w:t xml:space="preserve">. at 16. Section 5278, however, does not immunize the officers if they were negligent in executing the detention. Any injury Sheehan suffered from the officers' failure to exercise ordinary care in taking Sheehan into custody would not be an "inherent attribute[]" of her detention and therefore would not be subject to § 5278 immunity. </w:t>
      </w:r>
      <w:r>
        <w:rPr>
          <w:rFonts w:ascii="Arial" w:eastAsia="Arial" w:hAnsi="Arial" w:cs="Arial"/>
          <w:i/>
          <w:color w:val="000000"/>
          <w:sz w:val="20"/>
        </w:rPr>
        <w:t>Id. Bias</w:t>
      </w:r>
      <w:r>
        <w:rPr>
          <w:rFonts w:ascii="Arial" w:eastAsia="Arial" w:hAnsi="Arial" w:cs="Arial"/>
          <w:color w:val="000000"/>
          <w:sz w:val="20"/>
        </w:rPr>
        <w:t xml:space="preserve"> does not hold to the contrary.</w:t>
      </w:r>
    </w:p>
    <w:p w14:paraId="7B570090" w14:textId="77777777" w:rsidR="002D0E71" w:rsidRDefault="00000000">
      <w:pPr>
        <w:pStyle w:val="Normal45"/>
        <w:widowControl w:val="0"/>
        <w:spacing w:before="200" w:line="260" w:lineRule="atLeast"/>
        <w:jc w:val="both"/>
      </w:pPr>
      <w:bookmarkStart w:id="7165" w:name="Bookmark_para_80_2"/>
      <w:bookmarkEnd w:id="7165"/>
      <w:r>
        <w:rPr>
          <w:rFonts w:ascii="Arial" w:eastAsia="Arial" w:hAnsi="Arial" w:cs="Arial"/>
          <w:color w:val="000000"/>
          <w:sz w:val="20"/>
        </w:rPr>
        <w:t xml:space="preserve">The district court therefore erred by granting summary judgment to the defendants under § 5278. The defendants argue that they are entitled to immunity under several other statutes. </w:t>
      </w:r>
      <w:r>
        <w:rPr>
          <w:rFonts w:ascii="Arial" w:eastAsia="Arial" w:hAnsi="Arial" w:cs="Arial"/>
          <w:i/>
          <w:color w:val="000000"/>
          <w:sz w:val="20"/>
        </w:rPr>
        <w:t>See</w:t>
      </w:r>
      <w:r>
        <w:rPr>
          <w:rFonts w:ascii="Arial" w:eastAsia="Arial" w:hAnsi="Arial" w:cs="Arial"/>
          <w:color w:val="000000"/>
          <w:sz w:val="20"/>
        </w:rPr>
        <w:t xml:space="preserve"> Cal. Gov't Code § 821.6; Cal. Penal Code §§ 196, 836.5, 835a, 847(b). Although we may affirm on any ground supported by the record, we decline to address the defendants' alternative arguments because they have not been passed upon by the district court. We therefore vacate the dismissal of these claims and remand to the district court.</w:t>
      </w:r>
    </w:p>
    <w:p w14:paraId="53BD9ACF" w14:textId="77777777" w:rsidR="002D0E71" w:rsidRDefault="00000000">
      <w:pPr>
        <w:pStyle w:val="Normal45"/>
        <w:widowControl w:val="0"/>
        <w:spacing w:before="240" w:line="260" w:lineRule="atLeast"/>
      </w:pPr>
      <w:r>
        <w:br/>
      </w:r>
      <w:r>
        <w:rPr>
          <w:rFonts w:ascii="Arial" w:eastAsia="Arial" w:hAnsi="Arial" w:cs="Arial"/>
          <w:b/>
          <w:color w:val="000000"/>
          <w:sz w:val="20"/>
        </w:rPr>
        <w:t>CONCLUSION</w:t>
      </w:r>
    </w:p>
    <w:p w14:paraId="2BE8D2D7" w14:textId="77777777" w:rsidR="002D0E71" w:rsidRDefault="00000000">
      <w:pPr>
        <w:pStyle w:val="Normal45"/>
        <w:widowControl w:val="0"/>
        <w:spacing w:before="200" w:line="260" w:lineRule="atLeast"/>
        <w:jc w:val="both"/>
      </w:pPr>
      <w:bookmarkStart w:id="7166" w:name="Bookmark_para_81_2"/>
      <w:bookmarkEnd w:id="7166"/>
      <w:r>
        <w:rPr>
          <w:rFonts w:ascii="Arial" w:eastAsia="Arial" w:hAnsi="Arial" w:cs="Arial"/>
          <w:color w:val="000000"/>
          <w:sz w:val="20"/>
        </w:rPr>
        <w:t xml:space="preserve">The district court properly granted summary judgment to the defendants on Sheehan's warrantless entry Fourth Amendment claims and on her </w:t>
      </w:r>
      <w:r>
        <w:rPr>
          <w:rFonts w:ascii="Arial" w:eastAsia="Arial" w:hAnsi="Arial" w:cs="Arial"/>
          <w:i/>
          <w:color w:val="000000"/>
          <w:sz w:val="20"/>
        </w:rPr>
        <w:t>Monell</w:t>
      </w:r>
      <w:r>
        <w:rPr>
          <w:rFonts w:ascii="Arial" w:eastAsia="Arial" w:hAnsi="Arial" w:cs="Arial"/>
          <w:color w:val="000000"/>
          <w:sz w:val="20"/>
        </w:rPr>
        <w:t xml:space="preserve"> claims against the city. The district court erred by granting summary  [**61] judgment on Sheehan's Fourth Amendment claims challenging the manner of the second entry and the use of deadly force and on her ADA and state law claims. We therefore affirm the judgment in part, vacate it in part and remand for further proceedings. Each party shall bear its own costs on appeal.</w:t>
      </w:r>
    </w:p>
    <w:p w14:paraId="1DED3B34" w14:textId="77777777" w:rsidR="002D0E71" w:rsidRDefault="00000000">
      <w:pPr>
        <w:pStyle w:val="Normal45"/>
        <w:widowControl w:val="0"/>
        <w:spacing w:before="200" w:line="260" w:lineRule="atLeast"/>
        <w:jc w:val="both"/>
      </w:pPr>
      <w:bookmarkStart w:id="7167" w:name="Bookmark_para_82_2"/>
      <w:bookmarkEnd w:id="7167"/>
      <w:r>
        <w:rPr>
          <w:rFonts w:ascii="Arial" w:eastAsia="Arial" w:hAnsi="Arial" w:cs="Arial"/>
          <w:b/>
          <w:color w:val="000000"/>
          <w:sz w:val="20"/>
        </w:rPr>
        <w:t>AFFIRMED IN PART, VACATED IN PART AND REMANDED</w:t>
      </w:r>
      <w:r>
        <w:rPr>
          <w:rFonts w:ascii="Arial" w:eastAsia="Arial" w:hAnsi="Arial" w:cs="Arial"/>
          <w:color w:val="000000"/>
          <w:sz w:val="20"/>
        </w:rPr>
        <w:t>.</w:t>
      </w:r>
    </w:p>
    <w:p w14:paraId="3104FD1A" w14:textId="77777777" w:rsidR="002D0E71" w:rsidRDefault="00000000">
      <w:pPr>
        <w:pStyle w:val="Normal45"/>
        <w:widowControl w:val="0"/>
        <w:spacing w:before="240" w:line="260" w:lineRule="atLeast"/>
      </w:pPr>
      <w:bookmarkStart w:id="7168" w:name="Concur_by_1"/>
      <w:bookmarkEnd w:id="7168"/>
      <w:r>
        <w:rPr>
          <w:rFonts w:ascii="Arial" w:eastAsia="Arial" w:hAnsi="Arial" w:cs="Arial"/>
          <w:b/>
          <w:color w:val="000000"/>
          <w:sz w:val="20"/>
        </w:rPr>
        <w:t>Concur by:</w:t>
      </w:r>
      <w:r>
        <w:rPr>
          <w:rFonts w:ascii="Arial" w:eastAsia="Arial" w:hAnsi="Arial" w:cs="Arial"/>
          <w:color w:val="000000"/>
          <w:sz w:val="20"/>
        </w:rPr>
        <w:t> Susan P. Graber (In Part)</w:t>
      </w:r>
    </w:p>
    <w:p w14:paraId="276EA5AA" w14:textId="77777777" w:rsidR="002D0E71" w:rsidRDefault="00000000">
      <w:pPr>
        <w:pStyle w:val="Normal45"/>
        <w:widowControl w:val="0"/>
        <w:spacing w:before="240" w:line="260" w:lineRule="atLeast"/>
      </w:pPr>
      <w:bookmarkStart w:id="7169" w:name="Dissent_by_3"/>
      <w:bookmarkEnd w:id="7169"/>
      <w:r>
        <w:rPr>
          <w:rFonts w:ascii="Arial" w:eastAsia="Arial" w:hAnsi="Arial" w:cs="Arial"/>
          <w:b/>
          <w:color w:val="000000"/>
          <w:sz w:val="20"/>
        </w:rPr>
        <w:t>Dissent by:</w:t>
      </w:r>
      <w:r>
        <w:rPr>
          <w:rFonts w:ascii="Arial" w:eastAsia="Arial" w:hAnsi="Arial" w:cs="Arial"/>
          <w:color w:val="000000"/>
          <w:sz w:val="20"/>
        </w:rPr>
        <w:t> Susan P. Graber (In Part)</w:t>
      </w:r>
    </w:p>
    <w:p w14:paraId="5AD62EB7" w14:textId="77777777" w:rsidR="002D0E71" w:rsidRDefault="00000000">
      <w:pPr>
        <w:pStyle w:val="Normal45"/>
        <w:keepNext/>
        <w:widowControl w:val="0"/>
        <w:spacing w:before="240" w:line="340" w:lineRule="atLeast"/>
      </w:pPr>
      <w:bookmarkStart w:id="7170" w:name="Dissent_3"/>
      <w:bookmarkEnd w:id="7170"/>
      <w:r>
        <w:rPr>
          <w:rFonts w:ascii="Arial" w:eastAsia="Arial" w:hAnsi="Arial" w:cs="Arial"/>
          <w:b/>
          <w:color w:val="000000"/>
          <w:sz w:val="28"/>
        </w:rPr>
        <w:t>Dissent</w:t>
      </w:r>
    </w:p>
    <w:p w14:paraId="65CB1904" w14:textId="50DE0FDF" w:rsidR="002D0E71" w:rsidRDefault="002939DF">
      <w:pPr>
        <w:pStyle w:val="Normal45"/>
        <w:spacing w:line="60" w:lineRule="exact"/>
      </w:pPr>
      <w:r>
        <w:rPr>
          <w:noProof/>
        </w:rPr>
        <mc:AlternateContent>
          <mc:Choice Requires="wps">
            <w:drawing>
              <wp:anchor distT="0" distB="0" distL="114300" distR="114300" simplePos="0" relativeHeight="251756544" behindDoc="0" locked="0" layoutInCell="1" allowOverlap="1" wp14:anchorId="5B832A01" wp14:editId="1DD35E86">
                <wp:simplePos x="0" y="0"/>
                <wp:positionH relativeFrom="column">
                  <wp:posOffset>0</wp:posOffset>
                </wp:positionH>
                <wp:positionV relativeFrom="paragraph">
                  <wp:posOffset>25400</wp:posOffset>
                </wp:positionV>
                <wp:extent cx="3187700" cy="0"/>
                <wp:effectExtent l="19050" t="15875" r="12700" b="12700"/>
                <wp:wrapTopAndBottom/>
                <wp:docPr id="973762215"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EE41A" id="Line 102"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B8B95EE" w14:textId="77777777" w:rsidR="002D0E71" w:rsidRDefault="002D0E71">
      <w:pPr>
        <w:pStyle w:val="Normal45"/>
      </w:pPr>
    </w:p>
    <w:p w14:paraId="75039F61" w14:textId="77777777" w:rsidR="002D0E71" w:rsidRDefault="00000000">
      <w:pPr>
        <w:pStyle w:val="Normal45"/>
        <w:widowControl w:val="0"/>
        <w:spacing w:before="200" w:line="260" w:lineRule="atLeast"/>
        <w:jc w:val="both"/>
      </w:pPr>
      <w:bookmarkStart w:id="7171" w:name="Bookmark_para_83_2"/>
      <w:bookmarkEnd w:id="7171"/>
      <w:r>
        <w:rPr>
          <w:rFonts w:ascii="Arial" w:eastAsia="Arial" w:hAnsi="Arial" w:cs="Arial"/>
          <w:color w:val="000000"/>
          <w:sz w:val="20"/>
        </w:rPr>
        <w:t>GRABER, Circuit Judge, concurring in part and dissenting in part:</w:t>
      </w:r>
    </w:p>
    <w:p w14:paraId="270636DD" w14:textId="77777777" w:rsidR="002D0E71" w:rsidRDefault="00000000">
      <w:pPr>
        <w:pStyle w:val="Normal45"/>
        <w:widowControl w:val="0"/>
        <w:spacing w:before="200" w:line="260" w:lineRule="atLeast"/>
        <w:jc w:val="both"/>
      </w:pPr>
      <w:bookmarkStart w:id="7172" w:name="Bookmark_para_84_1"/>
      <w:bookmarkEnd w:id="7172"/>
      <w:r>
        <w:rPr>
          <w:rFonts w:ascii="Arial" w:eastAsia="Arial" w:hAnsi="Arial" w:cs="Arial"/>
          <w:color w:val="000000"/>
          <w:sz w:val="20"/>
        </w:rPr>
        <w:t>Although I agree with the remainder of the opinion, I respectfully dissent from the majority's decision on the Fourth Amendment excessive force claim with respect to the second entry into Plaintiff's apartment. Whether that second entry is viewed as a separate search or, instead, as part of one continuous search, the officers are entitled to qualified immunity even when taking all facts in the summary judgment record in Plaintiff's favor. Accordingly, I would affirm the summary judgment in favor of Defendants on that claim.</w:t>
      </w:r>
    </w:p>
    <w:p w14:paraId="3473820B" w14:textId="77777777" w:rsidR="002D0E71" w:rsidRDefault="00000000">
      <w:pPr>
        <w:pStyle w:val="Normal45"/>
        <w:widowControl w:val="0"/>
        <w:spacing w:before="120" w:line="260" w:lineRule="atLeast"/>
      </w:pPr>
      <w:r>
        <w:rPr>
          <w:rFonts w:ascii="Arial" w:eastAsia="Arial" w:hAnsi="Arial" w:cs="Arial"/>
          <w:color w:val="000000"/>
          <w:sz w:val="20"/>
        </w:rPr>
        <w:t xml:space="preserve">A. </w:t>
      </w:r>
      <w:r>
        <w:rPr>
          <w:rFonts w:ascii="Arial" w:eastAsia="Arial" w:hAnsi="Arial" w:cs="Arial"/>
          <w:i/>
          <w:color w:val="000000"/>
          <w:sz w:val="20"/>
        </w:rPr>
        <w:t>If the Second Entry Is a Separate Search</w:t>
      </w:r>
    </w:p>
    <w:p w14:paraId="4E50BDF5" w14:textId="77777777" w:rsidR="002D0E71" w:rsidRDefault="00000000">
      <w:pPr>
        <w:pStyle w:val="Normal45"/>
        <w:widowControl w:val="0"/>
        <w:spacing w:before="200" w:line="260" w:lineRule="atLeast"/>
        <w:jc w:val="both"/>
      </w:pPr>
      <w:bookmarkStart w:id="7173" w:name="Bookmark_para_85_1"/>
      <w:bookmarkEnd w:id="7173"/>
      <w:r>
        <w:rPr>
          <w:rFonts w:ascii="Arial" w:eastAsia="Arial" w:hAnsi="Arial" w:cs="Arial"/>
          <w:color w:val="000000"/>
          <w:sz w:val="20"/>
        </w:rPr>
        <w:t>The second entry met an exception to the warrant requirement—the emergency aid doctrine or the exigent circumstances doctrine or both. Plaintiff was off her psychotropic  [**62] medications, was not taking care of herself, and was making violent threats toward other people. Upon the first entry, which the majority agrees was lawful under the Fourth Amendment, Plaintiff had threatened to kill the officers while wielding a knife. Defendants did not know whether Plaintiff could escape from the apartment by another route, such as a window, or whether she had access to additional weapons, such as firearms, in either  [*1235]  event creating the immediate possibility of harm to the officers, Plaintiff, and others. Accordingly, as the majority holds, the officers could enter the apartment for the second time without violating the warrant requirement of the Fourth Amendment.</w:t>
      </w:r>
    </w:p>
    <w:p w14:paraId="0A94314E" w14:textId="77777777" w:rsidR="002D0E71" w:rsidRDefault="00000000">
      <w:pPr>
        <w:pStyle w:val="Normal45"/>
        <w:widowControl w:val="0"/>
        <w:spacing w:before="200" w:line="260" w:lineRule="atLeast"/>
        <w:jc w:val="both"/>
      </w:pPr>
      <w:bookmarkStart w:id="7174" w:name="Bookmark_para_86_1"/>
      <w:bookmarkEnd w:id="7174"/>
      <w:r>
        <w:rPr>
          <w:rFonts w:ascii="Arial" w:eastAsia="Arial" w:hAnsi="Arial" w:cs="Arial"/>
          <w:color w:val="000000"/>
          <w:sz w:val="20"/>
        </w:rPr>
        <w:t>As to the method of effecting the second entry, Defendants determinedly pushed the door open while holding pepper spray and a service weapon. In light of the danger posed by Plaintiff, who held a knife and had threatened to kill the officers, the officers reasonably could conclude that entering the apartment in that way would not violate the Fourth Amendment's prohibition on the use of excessive force.</w:t>
      </w:r>
    </w:p>
    <w:p w14:paraId="723433E2" w14:textId="77777777" w:rsidR="002D0E71" w:rsidRDefault="00000000">
      <w:pPr>
        <w:pStyle w:val="Normal45"/>
        <w:widowControl w:val="0"/>
        <w:spacing w:before="200" w:line="260" w:lineRule="atLeast"/>
        <w:jc w:val="both"/>
      </w:pPr>
      <w:bookmarkStart w:id="7175" w:name="Bookmark_para_87_1"/>
      <w:bookmarkStart w:id="7176" w:name="Bookmark_I4GW5YDMP42000RKF9T000RM"/>
      <w:bookmarkStart w:id="7177" w:name="Bookmark_I5BRCYRK2SF8KB0050000400"/>
      <w:bookmarkEnd w:id="7175"/>
      <w:bookmarkEnd w:id="7176"/>
      <w:bookmarkEnd w:id="7177"/>
      <w:r>
        <w:rPr>
          <w:rFonts w:ascii="Arial" w:eastAsia="Arial" w:hAnsi="Arial" w:cs="Arial"/>
          <w:color w:val="000000"/>
          <w:sz w:val="20"/>
        </w:rPr>
        <w:t xml:space="preserve">The expert's report that faulted the officers for electing to enter Plaintiff's apartment when and as they  [**63] did does not create an issue of fact on either the timing or the method of the second entry. </w:t>
      </w:r>
      <w:bookmarkStart w:id="7178" w:name="Bookmark_I4GW5YDMYSB000RKF9T000RP"/>
      <w:bookmarkStart w:id="7179" w:name="Bookmark_I4GW5YDN7DM000RKF9T000RS"/>
      <w:bookmarkStart w:id="7180" w:name="Bookmark_I5BRCYRS2SF8PJ0020000400"/>
      <w:bookmarkEnd w:id="7178"/>
      <w:bookmarkEnd w:id="7179"/>
      <w:bookmarkEnd w:id="7180"/>
      <w:r>
        <w:rPr>
          <w:rFonts w:ascii="Arial" w:eastAsia="Arial" w:hAnsi="Arial" w:cs="Arial"/>
          <w:color w:val="000000"/>
          <w:sz w:val="20"/>
        </w:rPr>
        <w:t>As we have cautioned, a plaintiff cannot avoid summary judgment merely by producing an expert's report opining that an officer's conduct was imprudent or inappropriate:</w:t>
      </w:r>
    </w:p>
    <w:p w14:paraId="57B747EE" w14:textId="77777777" w:rsidR="002D0E71" w:rsidRDefault="00000000">
      <w:pPr>
        <w:pStyle w:val="Normal45"/>
        <w:widowControl w:val="0"/>
        <w:spacing w:before="200" w:line="260" w:lineRule="atLeast"/>
        <w:ind w:left="400"/>
        <w:jc w:val="both"/>
      </w:pPr>
      <w:bookmarkStart w:id="7181" w:name="Bookmark_para_88_1"/>
      <w:bookmarkStart w:id="7182" w:name="Bookmark_I5BRCYRS2SF8PJ0020000400_2"/>
      <w:bookmarkStart w:id="7183" w:name="Bookmark_I5BRCYRK2SF8KB0050000400_2"/>
      <w:bookmarkStart w:id="7184" w:name="Bookmark_I4GW5YDNJBM000RKF9T000RV"/>
      <w:bookmarkStart w:id="7185" w:name="Bookmark_I5BRCYRW2SF8TC0010000400"/>
      <w:bookmarkEnd w:id="7181"/>
      <w:bookmarkEnd w:id="7182"/>
      <w:bookmarkEnd w:id="7183"/>
      <w:bookmarkEnd w:id="7184"/>
      <w:bookmarkEnd w:id="7185"/>
      <w:r>
        <w:rPr>
          <w:rFonts w:ascii="Arial" w:eastAsia="Arial" w:hAnsi="Arial" w:cs="Arial"/>
          <w:color w:val="000000"/>
          <w:sz w:val="20"/>
        </w:rPr>
        <w:t>We have since placed important limitations on</w:t>
      </w:r>
      <w:bookmarkStart w:id="7186" w:name="Bookmark_I5BRCYRK2SF8KB0040000400"/>
      <w:bookmarkEnd w:id="7186"/>
      <w:r>
        <w:rPr>
          <w:rFonts w:ascii="Arial" w:eastAsia="Arial" w:hAnsi="Arial" w:cs="Arial"/>
          <w:i/>
          <w:color w:val="000000"/>
          <w:sz w:val="20"/>
        </w:rPr>
        <w:t xml:space="preserve"> Alexander [v. City of San Francisco</w:t>
      </w:r>
      <w:r>
        <w:rPr>
          <w:rFonts w:ascii="Arial" w:eastAsia="Arial" w:hAnsi="Arial" w:cs="Arial"/>
          <w:color w:val="000000"/>
          <w:sz w:val="20"/>
        </w:rPr>
        <w:t xml:space="preserve">, 29 F.3d 1355 (9th Cir. 1994)]. </w:t>
      </w:r>
      <w:bookmarkStart w:id="7187" w:name="Bookmark_I5BRCYRW2SF8TC0010000400_2"/>
      <w:bookmarkStart w:id="7188" w:name="Bookmark_I4GW5YDP13S000RKF9T000RY"/>
      <w:bookmarkStart w:id="7189" w:name="Bookmark_I5BRCYRW2SF8TC0030000400"/>
      <w:bookmarkEnd w:id="7187"/>
      <w:bookmarkEnd w:id="7188"/>
      <w:bookmarkEnd w:id="7189"/>
      <w:r>
        <w:rPr>
          <w:rFonts w:ascii="Arial" w:eastAsia="Arial" w:hAnsi="Arial" w:cs="Arial"/>
          <w:color w:val="000000"/>
          <w:sz w:val="20"/>
        </w:rPr>
        <w:t xml:space="preserve">In </w:t>
      </w:r>
      <w:bookmarkStart w:id="7190" w:name="Bookmark_I5BRCYRS2SF8PJ0010000400"/>
      <w:bookmarkEnd w:id="7190"/>
      <w:r>
        <w:rPr>
          <w:rFonts w:ascii="Arial" w:eastAsia="Arial" w:hAnsi="Arial" w:cs="Arial"/>
          <w:i/>
          <w:color w:val="000000"/>
          <w:sz w:val="20"/>
        </w:rPr>
        <w:t>Scott v. Henrich</w:t>
      </w:r>
      <w:r>
        <w:rPr>
          <w:rFonts w:ascii="Arial" w:eastAsia="Arial" w:hAnsi="Arial" w:cs="Arial"/>
          <w:color w:val="000000"/>
          <w:sz w:val="20"/>
        </w:rPr>
        <w:t xml:space="preserve">, [39 F.3d 912, 915 (9th Cir. 1994)], we held that even though the officers might have had "less intrusive alternatives available to them," and perhaps under departmental guidelines should have "developed a tactical plan" instead of attempting an immediate seizure, police officers "need not avail themselves of the least intrusive means of responding" and need only act "within that range of conduct we identify as reasonable." We reinforced this point in </w:t>
      </w:r>
      <w:bookmarkStart w:id="7191" w:name="Bookmark_I5BRCYRS2SF8PJ0030000400"/>
      <w:bookmarkEnd w:id="7191"/>
      <w:r>
        <w:rPr>
          <w:rFonts w:ascii="Arial" w:eastAsia="Arial" w:hAnsi="Arial" w:cs="Arial"/>
          <w:i/>
          <w:color w:val="000000"/>
          <w:sz w:val="20"/>
        </w:rPr>
        <w:t>Reynolds v. County of San Diego</w:t>
      </w:r>
      <w:r>
        <w:rPr>
          <w:rFonts w:ascii="Arial" w:eastAsia="Arial" w:hAnsi="Arial" w:cs="Arial"/>
          <w:color w:val="000000"/>
          <w:sz w:val="20"/>
        </w:rPr>
        <w:t xml:space="preserve">, [84 F.3d 1162, 1169 (9th Cir. 1996),] which distinguished </w:t>
      </w:r>
      <w:r>
        <w:rPr>
          <w:rFonts w:ascii="Arial" w:eastAsia="Arial" w:hAnsi="Arial" w:cs="Arial"/>
          <w:i/>
          <w:color w:val="000000"/>
          <w:sz w:val="20"/>
        </w:rPr>
        <w:t>Alexander</w:t>
      </w:r>
      <w:r>
        <w:rPr>
          <w:rFonts w:ascii="Arial" w:eastAsia="Arial" w:hAnsi="Arial" w:cs="Arial"/>
          <w:color w:val="000000"/>
          <w:sz w:val="20"/>
        </w:rPr>
        <w:t xml:space="preserve"> because "the court must allow for the fact that officers are forced to make split second decisions." We affirmed summary judgment for the defendant police officers despite experts' reports stating—like the expert report in the case at bar—that the  [**64] officers should have called and waited for backup, rather than taking immediate action that led to deadly combat. </w:t>
      </w:r>
      <w:bookmarkStart w:id="7192" w:name="Bookmark_I5BRCYRW2SF8TC0030000400_2"/>
      <w:bookmarkStart w:id="7193" w:name="Bookmark_I5BRCYRW2SF8TC0010000400_3"/>
      <w:bookmarkEnd w:id="7192"/>
      <w:bookmarkEnd w:id="7193"/>
      <w:r>
        <w:rPr>
          <w:rFonts w:ascii="Arial" w:eastAsia="Arial" w:hAnsi="Arial" w:cs="Arial"/>
          <w:color w:val="000000"/>
          <w:sz w:val="20"/>
        </w:rPr>
        <w:t>[</w:t>
      </w:r>
      <w:bookmarkStart w:id="7194" w:name="Bookmark_I5BRCYRS2SF8PJ0050000400"/>
      <w:bookmarkEnd w:id="7194"/>
      <w:r>
        <w:rPr>
          <w:rFonts w:ascii="Arial" w:eastAsia="Arial" w:hAnsi="Arial" w:cs="Arial"/>
          <w:i/>
          <w:color w:val="000000"/>
          <w:sz w:val="20"/>
        </w:rPr>
        <w:t>Id</w:t>
      </w:r>
      <w:r>
        <w:rPr>
          <w:rFonts w:ascii="Arial" w:eastAsia="Arial" w:hAnsi="Arial" w:cs="Arial"/>
          <w:color w:val="000000"/>
          <w:sz w:val="20"/>
        </w:rPr>
        <w:t>. at 1169-70.] We held that, even for summary judgment purposes, "the fact that an expert disagrees with the officer's actions does not render the officer's actions unreasonable." [</w:t>
      </w:r>
      <w:bookmarkStart w:id="7195" w:name="Bookmark_I5BRCYRW2SF8TC0020000400"/>
      <w:bookmarkEnd w:id="7195"/>
      <w:r>
        <w:rPr>
          <w:rFonts w:ascii="Arial" w:eastAsia="Arial" w:hAnsi="Arial" w:cs="Arial"/>
          <w:i/>
          <w:color w:val="000000"/>
          <w:sz w:val="20"/>
        </w:rPr>
        <w:t>Id</w:t>
      </w:r>
      <w:r>
        <w:rPr>
          <w:rFonts w:ascii="Arial" w:eastAsia="Arial" w:hAnsi="Arial" w:cs="Arial"/>
          <w:color w:val="000000"/>
          <w:sz w:val="20"/>
        </w:rPr>
        <w:t xml:space="preserve">. at 1170.] Together, </w:t>
      </w:r>
      <w:r>
        <w:rPr>
          <w:rFonts w:ascii="Arial" w:eastAsia="Arial" w:hAnsi="Arial" w:cs="Arial"/>
          <w:i/>
          <w:color w:val="000000"/>
          <w:sz w:val="20"/>
        </w:rPr>
        <w:t>Scott</w:t>
      </w:r>
      <w:r>
        <w:rPr>
          <w:rFonts w:ascii="Arial" w:eastAsia="Arial" w:hAnsi="Arial" w:cs="Arial"/>
          <w:color w:val="000000"/>
          <w:sz w:val="20"/>
        </w:rPr>
        <w:t xml:space="preserve"> and </w:t>
      </w:r>
      <w:r>
        <w:rPr>
          <w:rFonts w:ascii="Arial" w:eastAsia="Arial" w:hAnsi="Arial" w:cs="Arial"/>
          <w:i/>
          <w:color w:val="000000"/>
          <w:sz w:val="20"/>
        </w:rPr>
        <w:t>Reynolds</w:t>
      </w:r>
      <w:r>
        <w:rPr>
          <w:rFonts w:ascii="Arial" w:eastAsia="Arial" w:hAnsi="Arial" w:cs="Arial"/>
          <w:color w:val="000000"/>
          <w:sz w:val="20"/>
        </w:rPr>
        <w:t xml:space="preserve"> prevent a plaintiff from avoiding summary judgment by simply producing an expert's report that an officer's conduct leading up to a deadly confrontation was imprudent, inappropriate, or even reckless. </w:t>
      </w:r>
      <w:bookmarkStart w:id="7196" w:name="Bookmark_I4GW5YDP8S2000RKF9T000S1"/>
      <w:bookmarkStart w:id="7197" w:name="Bookmark_I5BRCYRW2SF8TC0050000400"/>
      <w:bookmarkEnd w:id="7196"/>
      <w:bookmarkEnd w:id="7197"/>
      <w:r>
        <w:rPr>
          <w:rFonts w:ascii="Arial" w:eastAsia="Arial" w:hAnsi="Arial" w:cs="Arial"/>
          <w:color w:val="000000"/>
          <w:sz w:val="20"/>
        </w:rPr>
        <w:t>[</w:t>
      </w:r>
      <w:r>
        <w:rPr>
          <w:rFonts w:ascii="Arial" w:eastAsia="Arial" w:hAnsi="Arial" w:cs="Arial"/>
          <w:i/>
          <w:color w:val="000000"/>
          <w:sz w:val="20"/>
        </w:rPr>
        <w:t>Id</w:t>
      </w:r>
      <w:r>
        <w:rPr>
          <w:rFonts w:ascii="Arial" w:eastAsia="Arial" w:hAnsi="Arial" w:cs="Arial"/>
          <w:color w:val="000000"/>
          <w:sz w:val="20"/>
        </w:rPr>
        <w:t>.] Rather, the court must decide as a matter of law "whether a reasonable officer could have believed that his conduct was justified." [</w:t>
      </w:r>
      <w:r>
        <w:rPr>
          <w:rFonts w:ascii="Arial" w:eastAsia="Arial" w:hAnsi="Arial" w:cs="Arial"/>
          <w:i/>
          <w:color w:val="000000"/>
          <w:sz w:val="20"/>
        </w:rPr>
        <w:t>Id</w:t>
      </w:r>
      <w:r>
        <w:rPr>
          <w:rFonts w:ascii="Arial" w:eastAsia="Arial" w:hAnsi="Arial" w:cs="Arial"/>
          <w:color w:val="000000"/>
          <w:sz w:val="20"/>
        </w:rPr>
        <w:t>.]</w:t>
      </w:r>
    </w:p>
    <w:p w14:paraId="2D4F65C8" w14:textId="77777777" w:rsidR="002D0E71" w:rsidRDefault="00000000">
      <w:pPr>
        <w:pStyle w:val="Normal45"/>
        <w:widowControl w:val="0"/>
        <w:spacing w:before="200" w:line="260" w:lineRule="atLeast"/>
        <w:jc w:val="both"/>
      </w:pPr>
      <w:bookmarkStart w:id="7198" w:name="Bookmark_I5BRCYRW2SF8TC0050000400_2"/>
      <w:bookmarkStart w:id="7199" w:name="Bookmark_I5BRCYRW2SF8TC0040000400"/>
      <w:bookmarkEnd w:id="7198"/>
      <w:bookmarkEnd w:id="7199"/>
      <w:r>
        <w:rPr>
          <w:rFonts w:ascii="Arial" w:eastAsia="Arial" w:hAnsi="Arial" w:cs="Arial"/>
          <w:i/>
          <w:color w:val="000000"/>
          <w:sz w:val="20"/>
        </w:rPr>
        <w:t>Billington v. Smith</w:t>
      </w:r>
      <w:r>
        <w:rPr>
          <w:rFonts w:ascii="Arial" w:eastAsia="Arial" w:hAnsi="Arial" w:cs="Arial"/>
          <w:color w:val="000000"/>
          <w:sz w:val="20"/>
        </w:rPr>
        <w:t>, 292 F.3d 1177, 1188-89 (9th Cir. 2002) (footnotes omitted).</w:t>
      </w:r>
    </w:p>
    <w:p w14:paraId="5A0067D8" w14:textId="77777777" w:rsidR="002D0E71" w:rsidRDefault="00000000">
      <w:pPr>
        <w:pStyle w:val="Normal45"/>
        <w:widowControl w:val="0"/>
        <w:spacing w:before="120" w:line="260" w:lineRule="atLeast"/>
      </w:pPr>
      <w:r>
        <w:rPr>
          <w:rFonts w:ascii="Arial" w:eastAsia="Arial" w:hAnsi="Arial" w:cs="Arial"/>
          <w:color w:val="000000"/>
          <w:sz w:val="20"/>
        </w:rPr>
        <w:t xml:space="preserve">B. </w:t>
      </w:r>
      <w:r>
        <w:rPr>
          <w:rFonts w:ascii="Arial" w:eastAsia="Arial" w:hAnsi="Arial" w:cs="Arial"/>
          <w:i/>
          <w:color w:val="000000"/>
          <w:sz w:val="20"/>
        </w:rPr>
        <w:t>If the Second Entry Is Part of a Continuous Search</w:t>
      </w:r>
    </w:p>
    <w:p w14:paraId="5C9CC087" w14:textId="77777777" w:rsidR="002D0E71" w:rsidRDefault="00000000">
      <w:pPr>
        <w:pStyle w:val="Normal45"/>
        <w:widowControl w:val="0"/>
        <w:spacing w:before="200" w:line="260" w:lineRule="atLeast"/>
        <w:jc w:val="both"/>
      </w:pPr>
      <w:bookmarkStart w:id="7200" w:name="Bookmark_para_89_1"/>
      <w:bookmarkEnd w:id="7200"/>
      <w:r>
        <w:rPr>
          <w:rFonts w:ascii="Arial" w:eastAsia="Arial" w:hAnsi="Arial" w:cs="Arial"/>
          <w:color w:val="000000"/>
          <w:sz w:val="20"/>
        </w:rPr>
        <w:t>The first and second entries may, in the alternative, be considered part of a single, continuous search. Insofar as the exigent circumstances that justified the first entry were ongoing, the second entry was justified under the emergency aid exception.</w:t>
      </w:r>
    </w:p>
    <w:p w14:paraId="0492ECF0" w14:textId="77777777" w:rsidR="002D0E71" w:rsidRDefault="00000000">
      <w:pPr>
        <w:pStyle w:val="Normal45"/>
        <w:widowControl w:val="0"/>
        <w:spacing w:before="200" w:line="260" w:lineRule="atLeast"/>
        <w:jc w:val="both"/>
      </w:pPr>
      <w:bookmarkStart w:id="7201" w:name="Bookmark_para_90_1"/>
      <w:bookmarkEnd w:id="7201"/>
      <w:r>
        <w:rPr>
          <w:rFonts w:ascii="Arial" w:eastAsia="Arial" w:hAnsi="Arial" w:cs="Arial"/>
          <w:color w:val="000000"/>
          <w:sz w:val="20"/>
        </w:rPr>
        <w:t xml:space="preserve">When the officers retreated from Plaintiff's apartment after she had threatened them with a knife upon their initial entry, they had  [**65] confirmation that Plaintiff in fact had a deadly weapon and appeared willing to use it. That is, Plaintiff's behavior toward the officers during their initial entry only confirmed that her condition had deteriorated to the point of creating an emergency. </w:t>
      </w:r>
      <w:bookmarkStart w:id="7202" w:name="Bookmark_I4GW5YDPJDB000RKF9T000S3"/>
      <w:bookmarkStart w:id="7203" w:name="Bookmark_I4GW5YDPP7G000RKF9T000S4"/>
      <w:bookmarkStart w:id="7204" w:name="Bookmark_I4GW5YDPV2M000RKF9T000S5"/>
      <w:bookmarkStart w:id="7205" w:name="Bookmark_I4GW5YDPYWS000RKF9T000S6"/>
      <w:bookmarkStart w:id="7206" w:name="Bookmark_I5BRCYSM2HM62H0020000400"/>
      <w:bookmarkEnd w:id="7202"/>
      <w:bookmarkEnd w:id="7203"/>
      <w:bookmarkEnd w:id="7204"/>
      <w:bookmarkEnd w:id="7205"/>
      <w:bookmarkEnd w:id="7206"/>
      <w:r>
        <w:rPr>
          <w:rFonts w:ascii="Arial" w:eastAsia="Arial" w:hAnsi="Arial" w:cs="Arial"/>
          <w:color w:val="000000"/>
          <w:sz w:val="20"/>
        </w:rPr>
        <w:t xml:space="preserve">She was now out of sight behind closed doors, where additional weapons, including firearms, could have been present. It was objectively reasonable, therefore, for the officers to believe that Plaintiff was even </w:t>
      </w:r>
      <w:r>
        <w:rPr>
          <w:rFonts w:ascii="Arial" w:eastAsia="Arial" w:hAnsi="Arial" w:cs="Arial"/>
          <w:i/>
          <w:color w:val="000000"/>
          <w:sz w:val="20"/>
        </w:rPr>
        <w:t>more</w:t>
      </w:r>
      <w:r>
        <w:rPr>
          <w:rFonts w:ascii="Arial" w:eastAsia="Arial" w:hAnsi="Arial" w:cs="Arial"/>
          <w:color w:val="000000"/>
          <w:sz w:val="20"/>
        </w:rPr>
        <w:t xml:space="preserve"> of a danger to herself and to others than they had assumed before [*1236]  the first entry. Here, as in </w:t>
      </w:r>
      <w:bookmarkStart w:id="7207" w:name="Bookmark_I5BRCYSM2HM62H0010000400"/>
      <w:bookmarkEnd w:id="7207"/>
      <w:r>
        <w:rPr>
          <w:rFonts w:ascii="Arial" w:eastAsia="Arial" w:hAnsi="Arial" w:cs="Arial"/>
          <w:i/>
          <w:color w:val="000000"/>
          <w:sz w:val="20"/>
        </w:rPr>
        <w:t>Michigan v. Tyler</w:t>
      </w:r>
      <w:r>
        <w:rPr>
          <w:rFonts w:ascii="Arial" w:eastAsia="Arial" w:hAnsi="Arial" w:cs="Arial"/>
          <w:color w:val="000000"/>
          <w:sz w:val="20"/>
        </w:rPr>
        <w:t xml:space="preserve">, 436 U.S. 499, 511, 98 S. Ct. 1942, 56 L. Ed. 2d 486 (1978), and </w:t>
      </w:r>
      <w:bookmarkStart w:id="7208" w:name="Bookmark_I5BRCYSM2HM62H0030000400"/>
      <w:bookmarkEnd w:id="7208"/>
      <w:r>
        <w:rPr>
          <w:rFonts w:ascii="Arial" w:eastAsia="Arial" w:hAnsi="Arial" w:cs="Arial"/>
          <w:i/>
          <w:color w:val="000000"/>
          <w:sz w:val="20"/>
        </w:rPr>
        <w:t>Fisher v. City of San Jose</w:t>
      </w:r>
      <w:r>
        <w:rPr>
          <w:rFonts w:ascii="Arial" w:eastAsia="Arial" w:hAnsi="Arial" w:cs="Arial"/>
          <w:color w:val="000000"/>
          <w:sz w:val="20"/>
        </w:rPr>
        <w:t xml:space="preserve">, 558 F.3d 1069, 1077 (9th Cir. 2009) (en banc), the passage of time was brief and the exigent circumstances that motivated the first entry "did not materially change from the beginning of the standoff to the end." Because the exigency persisted or worsened throughout, "the officers were not required to periodically reassess whether the exigency persisted throughout the standoff because the standoff was 'no more than an actual continuation' of the initial seizure." </w:t>
      </w:r>
      <w:bookmarkStart w:id="7209" w:name="Bookmark_I5BRCYSM2HM62H0050000400"/>
      <w:bookmarkEnd w:id="7209"/>
      <w:r>
        <w:rPr>
          <w:rFonts w:ascii="Arial" w:eastAsia="Arial" w:hAnsi="Arial" w:cs="Arial"/>
          <w:i/>
          <w:color w:val="000000"/>
          <w:sz w:val="20"/>
        </w:rPr>
        <w:t>Fisher</w:t>
      </w:r>
      <w:r>
        <w:rPr>
          <w:rFonts w:ascii="Arial" w:eastAsia="Arial" w:hAnsi="Arial" w:cs="Arial"/>
          <w:color w:val="000000"/>
          <w:sz w:val="20"/>
        </w:rPr>
        <w:t xml:space="preserve">, 558 F.3d at 1077 (quoting </w:t>
      </w:r>
      <w:bookmarkStart w:id="7210" w:name="Bookmark_I5BRCYT22SF88B0020000400"/>
      <w:bookmarkEnd w:id="7210"/>
      <w:r>
        <w:rPr>
          <w:rFonts w:ascii="Arial" w:eastAsia="Arial" w:hAnsi="Arial" w:cs="Arial"/>
          <w:i/>
          <w:color w:val="000000"/>
          <w:sz w:val="20"/>
        </w:rPr>
        <w:t>Tyler</w:t>
      </w:r>
      <w:r>
        <w:rPr>
          <w:rFonts w:ascii="Arial" w:eastAsia="Arial" w:hAnsi="Arial" w:cs="Arial"/>
          <w:color w:val="000000"/>
          <w:sz w:val="20"/>
        </w:rPr>
        <w:t>, 436 U.S. at 511).</w:t>
      </w:r>
    </w:p>
    <w:p w14:paraId="13986A43" w14:textId="77777777" w:rsidR="002D0E71" w:rsidRDefault="00000000">
      <w:pPr>
        <w:pStyle w:val="Normal45"/>
        <w:widowControl w:val="0"/>
        <w:spacing w:before="200" w:line="260" w:lineRule="atLeast"/>
        <w:jc w:val="both"/>
      </w:pPr>
      <w:bookmarkStart w:id="7211" w:name="Bookmark_para_91_1"/>
      <w:bookmarkStart w:id="7212" w:name="Bookmark_I4GW5YDR50M000RKF9T000S7"/>
      <w:bookmarkStart w:id="7213" w:name="Bookmark_I5BRCYT22SF88B0050000400"/>
      <w:bookmarkStart w:id="7214" w:name="Bookmark_I4GW5YDR8TS000RKF9T000S8"/>
      <w:bookmarkStart w:id="7215" w:name="Bookmark_I5BRCYTH2SF8F80020000400"/>
      <w:bookmarkEnd w:id="7211"/>
      <w:bookmarkEnd w:id="7212"/>
      <w:bookmarkEnd w:id="7213"/>
      <w:bookmarkEnd w:id="7214"/>
      <w:bookmarkEnd w:id="7215"/>
      <w:r>
        <w:rPr>
          <w:rFonts w:ascii="Arial" w:eastAsia="Arial" w:hAnsi="Arial" w:cs="Arial"/>
          <w:color w:val="000000"/>
          <w:sz w:val="20"/>
        </w:rPr>
        <w:t xml:space="preserve">I would hold that reasonable officers  [**66] could have concluded that they were entitled to continue the initial search and that determinedly pushing the door open with weapons readied was a reasonable amount of force when balanced against the need to resolve an ongoing emergency that involved a deadly weapon. </w:t>
      </w:r>
      <w:r>
        <w:rPr>
          <w:rFonts w:ascii="Arial" w:eastAsia="Arial" w:hAnsi="Arial" w:cs="Arial"/>
          <w:i/>
          <w:color w:val="000000"/>
          <w:sz w:val="20"/>
        </w:rPr>
        <w:t xml:space="preserve">See </w:t>
      </w:r>
      <w:bookmarkStart w:id="7216" w:name="Bookmark_I5BRCYT22SF88B0040000400"/>
      <w:bookmarkEnd w:id="7216"/>
      <w:r>
        <w:rPr>
          <w:rFonts w:ascii="Arial" w:eastAsia="Arial" w:hAnsi="Arial" w:cs="Arial"/>
          <w:i/>
          <w:color w:val="000000"/>
          <w:sz w:val="20"/>
        </w:rPr>
        <w:t>Billington</w:t>
      </w:r>
      <w:r>
        <w:rPr>
          <w:rFonts w:ascii="Arial" w:eastAsia="Arial" w:hAnsi="Arial" w:cs="Arial"/>
          <w:color w:val="000000"/>
          <w:sz w:val="20"/>
        </w:rPr>
        <w:t xml:space="preserve">, 292 F.3d at 1184 ("We analyze excessive force claims in the arrest context under the Fourth Amendment's reasonableness standard. We balance 'the nature and quality of the intrusion on the individual's Fourth Amendment interests against the countervailing governmental interests at stake' and ask whether, under the circumstances, 'including the severity of the crime at issue, the suspect poses an immediate threat to the safety of the officers or others . . .'" (quoting </w:t>
      </w:r>
      <w:bookmarkStart w:id="7217" w:name="Bookmark_I5BRCYTH2SF8F80010000400"/>
      <w:bookmarkEnd w:id="7217"/>
      <w:r>
        <w:rPr>
          <w:rFonts w:ascii="Arial" w:eastAsia="Arial" w:hAnsi="Arial" w:cs="Arial"/>
          <w:i/>
          <w:color w:val="000000"/>
          <w:sz w:val="20"/>
        </w:rPr>
        <w:t>Graham v. Connor</w:t>
      </w:r>
      <w:r>
        <w:rPr>
          <w:rFonts w:ascii="Arial" w:eastAsia="Arial" w:hAnsi="Arial" w:cs="Arial"/>
          <w:color w:val="000000"/>
          <w:sz w:val="20"/>
        </w:rPr>
        <w:t xml:space="preserve">, 490 U.S. 386, 395-96, 109 S. Ct. 1865, 104 L. Ed. 2d 443 (1989)). </w:t>
      </w:r>
      <w:bookmarkStart w:id="7218" w:name="Bookmark_I4GW5YDRDMX000RKF9T000S9"/>
      <w:bookmarkStart w:id="7219" w:name="Bookmark_I5BRCYTH2SF8F80040000400"/>
      <w:bookmarkEnd w:id="7218"/>
      <w:bookmarkEnd w:id="7219"/>
      <w:r>
        <w:rPr>
          <w:rFonts w:ascii="Arial" w:eastAsia="Arial" w:hAnsi="Arial" w:cs="Arial"/>
          <w:color w:val="000000"/>
          <w:sz w:val="20"/>
        </w:rPr>
        <w:t xml:space="preserve">In view of the extant legal principles, reasonable officers could conclude that their actions were permitted even though Plaintiff suffered from a mental illness. </w:t>
      </w:r>
      <w:bookmarkStart w:id="7220" w:name="Bookmark_I4GW5YDRJG2000RKF9T000SB"/>
      <w:bookmarkStart w:id="7221" w:name="Bookmark_I4GW5YDRV4B000RKF9T000SD"/>
      <w:bookmarkStart w:id="7222" w:name="Bookmark_I5BRCYTY2D6N1X0010000400"/>
      <w:bookmarkEnd w:id="7220"/>
      <w:bookmarkEnd w:id="7221"/>
      <w:bookmarkEnd w:id="7222"/>
      <w:r>
        <w:rPr>
          <w:rFonts w:ascii="Arial" w:eastAsia="Arial" w:hAnsi="Arial" w:cs="Arial"/>
          <w:color w:val="000000"/>
          <w:sz w:val="20"/>
        </w:rPr>
        <w:t>Police officers often interact with individuals who have a wide variety of specific needs, and there is no controlling case law that requires a different Fourth Amendment analysis for an officer on the street who faces those circumstances.  [**67] </w:t>
      </w:r>
      <w:r>
        <w:rPr>
          <w:rFonts w:ascii="Arial" w:eastAsia="Arial" w:hAnsi="Arial" w:cs="Arial"/>
          <w:i/>
          <w:color w:val="000000"/>
          <w:sz w:val="20"/>
        </w:rPr>
        <w:t xml:space="preserve">See </w:t>
      </w:r>
      <w:bookmarkStart w:id="7223" w:name="Bookmark_I5BRCYTH2SF8F80030000400"/>
      <w:bookmarkEnd w:id="7223"/>
      <w:r>
        <w:rPr>
          <w:rFonts w:ascii="Arial" w:eastAsia="Arial" w:hAnsi="Arial" w:cs="Arial"/>
          <w:i/>
          <w:color w:val="000000"/>
          <w:sz w:val="20"/>
        </w:rPr>
        <w:t>Deorle v. Rutherford</w:t>
      </w:r>
      <w:r>
        <w:rPr>
          <w:rFonts w:ascii="Arial" w:eastAsia="Arial" w:hAnsi="Arial" w:cs="Arial"/>
          <w:color w:val="000000"/>
          <w:sz w:val="20"/>
        </w:rPr>
        <w:t xml:space="preserve">, 272 F.3d 1272, 1283 (9th Cir. 2001) ("We do not adopt a per se rule [for excessive force] establishing two different classifications of suspects: mentally disabled persons and serious criminals."). </w:t>
      </w:r>
      <w:bookmarkStart w:id="7224" w:name="Bookmark_I5BRCYTY2D6N1X0010000400_2"/>
      <w:bookmarkEnd w:id="7224"/>
      <w:r>
        <w:rPr>
          <w:rFonts w:ascii="Arial" w:eastAsia="Arial" w:hAnsi="Arial" w:cs="Arial"/>
          <w:color w:val="000000"/>
          <w:sz w:val="20"/>
        </w:rPr>
        <w:t xml:space="preserve">Moreover, we must "judge reasonableness 'from the perspective of a reasonable officer on the scene, rather than with the 20/20 vision of hindsight' and allow 'for the fact that police officers are often forced to make split-second judgments—in circumstances that are tense, uncertain, and rapidly evolving—about the amount of force that is necessary in a particular situation.'" </w:t>
      </w:r>
      <w:bookmarkStart w:id="7225" w:name="Bookmark_I5BRCYTH2SF8F80050000400"/>
      <w:bookmarkEnd w:id="7225"/>
      <w:r>
        <w:rPr>
          <w:rFonts w:ascii="Arial" w:eastAsia="Arial" w:hAnsi="Arial" w:cs="Arial"/>
          <w:i/>
          <w:color w:val="000000"/>
          <w:sz w:val="20"/>
        </w:rPr>
        <w:t>Billington</w:t>
      </w:r>
      <w:r>
        <w:rPr>
          <w:rFonts w:ascii="Arial" w:eastAsia="Arial" w:hAnsi="Arial" w:cs="Arial"/>
          <w:color w:val="000000"/>
          <w:sz w:val="20"/>
        </w:rPr>
        <w:t xml:space="preserve">, 292 F.3d at 1184 (quoting </w:t>
      </w:r>
      <w:bookmarkStart w:id="7226" w:name="Bookmark_I5BRCYTY2D6N1X0020000400"/>
      <w:bookmarkEnd w:id="7226"/>
      <w:r>
        <w:rPr>
          <w:rFonts w:ascii="Arial" w:eastAsia="Arial" w:hAnsi="Arial" w:cs="Arial"/>
          <w:i/>
          <w:color w:val="000000"/>
          <w:sz w:val="20"/>
        </w:rPr>
        <w:t>Graham</w:t>
      </w:r>
      <w:r>
        <w:rPr>
          <w:rFonts w:ascii="Arial" w:eastAsia="Arial" w:hAnsi="Arial" w:cs="Arial"/>
          <w:color w:val="000000"/>
          <w:sz w:val="20"/>
        </w:rPr>
        <w:t>, 490 U.S. at 396).</w:t>
      </w:r>
    </w:p>
    <w:p w14:paraId="59315339" w14:textId="77777777" w:rsidR="002D0E71" w:rsidRDefault="00000000">
      <w:pPr>
        <w:pStyle w:val="Normal45"/>
        <w:widowControl w:val="0"/>
        <w:spacing w:before="120" w:line="260" w:lineRule="atLeast"/>
      </w:pPr>
      <w:r>
        <w:rPr>
          <w:rFonts w:ascii="Arial" w:eastAsia="Arial" w:hAnsi="Arial" w:cs="Arial"/>
          <w:color w:val="000000"/>
          <w:sz w:val="20"/>
        </w:rPr>
        <w:t xml:space="preserve">C. </w:t>
      </w:r>
      <w:r>
        <w:rPr>
          <w:rFonts w:ascii="Arial" w:eastAsia="Arial" w:hAnsi="Arial" w:cs="Arial"/>
          <w:i/>
          <w:color w:val="000000"/>
          <w:sz w:val="20"/>
        </w:rPr>
        <w:t>Conclusion</w:t>
      </w:r>
    </w:p>
    <w:p w14:paraId="5452851A" w14:textId="77777777" w:rsidR="002D0E71" w:rsidRDefault="00000000">
      <w:pPr>
        <w:pStyle w:val="Normal45"/>
        <w:widowControl w:val="0"/>
        <w:spacing w:before="200" w:line="260" w:lineRule="atLeast"/>
        <w:jc w:val="both"/>
      </w:pPr>
      <w:bookmarkStart w:id="7227" w:name="Bookmark_para_92_1"/>
      <w:bookmarkEnd w:id="7227"/>
      <w:r>
        <w:rPr>
          <w:rFonts w:ascii="Arial" w:eastAsia="Arial" w:hAnsi="Arial" w:cs="Arial"/>
          <w:color w:val="000000"/>
          <w:sz w:val="20"/>
        </w:rPr>
        <w:t>The district court properly granted summary judgment to Defendants on the Fourth Amendment excessive force claim concerning the second entry into Plaintiff's apartment. Defendants are entitled to qualified immunity. I therefore respectfully dissent from the majority's contrary holding on that claim, but otherwise concur.</w:t>
      </w:r>
    </w:p>
    <w:p w14:paraId="7CC916A6" w14:textId="77777777" w:rsidR="002D0E71" w:rsidRDefault="002D0E71">
      <w:pPr>
        <w:pStyle w:val="Normal45"/>
      </w:pPr>
    </w:p>
    <w:p w14:paraId="4976E733" w14:textId="2CC3FB78" w:rsidR="002D0E71" w:rsidRDefault="00000000">
      <w:pPr>
        <w:pStyle w:val="Normal45"/>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57568" behindDoc="0" locked="0" layoutInCell="1" allowOverlap="1" wp14:anchorId="51EF4FB0" wp14:editId="27EC3BEF">
                <wp:simplePos x="0" y="0"/>
                <wp:positionH relativeFrom="column">
                  <wp:posOffset>0</wp:posOffset>
                </wp:positionH>
                <wp:positionV relativeFrom="paragraph">
                  <wp:posOffset>127000</wp:posOffset>
                </wp:positionV>
                <wp:extent cx="6502400" cy="0"/>
                <wp:effectExtent l="9525" t="12700" r="12700" b="6350"/>
                <wp:wrapNone/>
                <wp:docPr id="59006520"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C9C61A" id="Line 10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19063F8" w14:textId="77777777" w:rsidR="002D0E71" w:rsidRDefault="002D0E71">
      <w:pPr>
        <w:pStyle w:val="Normal46"/>
        <w:sectPr w:rsidR="002D0E71">
          <w:headerReference w:type="even" r:id="rId287"/>
          <w:headerReference w:type="default" r:id="rId288"/>
          <w:footerReference w:type="even" r:id="rId289"/>
          <w:footerReference w:type="default" r:id="rId290"/>
          <w:headerReference w:type="first" r:id="rId291"/>
          <w:footerReference w:type="first" r:id="rId292"/>
          <w:pgSz w:w="12240" w:h="15840"/>
          <w:pgMar w:top="840" w:right="1000" w:bottom="840" w:left="1000" w:header="400" w:footer="400" w:gutter="0"/>
          <w:cols w:space="720"/>
          <w:titlePg/>
        </w:sectPr>
      </w:pPr>
    </w:p>
    <w:p w14:paraId="4B581622" w14:textId="77777777" w:rsidR="002D0E71" w:rsidRDefault="002D0E71">
      <w:pPr>
        <w:pStyle w:val="Normal46"/>
      </w:pPr>
    </w:p>
    <w:p w14:paraId="0D55E5B4" w14:textId="77777777" w:rsidR="002D0E71" w:rsidRDefault="00000000">
      <w:pPr>
        <w:pStyle w:val="Heading145"/>
        <w:keepNext w:val="0"/>
        <w:widowControl w:val="0"/>
        <w:spacing w:after="200" w:line="340" w:lineRule="atLeast"/>
        <w:jc w:val="center"/>
      </w:pPr>
      <w:r>
        <w:rPr>
          <w:rFonts w:eastAsia="Arial"/>
          <w:color w:val="000000"/>
          <w:sz w:val="28"/>
        </w:rPr>
        <w:t>Rhodes v. Southern Nazarene Univ.</w:t>
      </w:r>
    </w:p>
    <w:p w14:paraId="3359EB94" w14:textId="77777777" w:rsidR="002D0E71" w:rsidRDefault="00000000">
      <w:pPr>
        <w:pStyle w:val="Normal46"/>
        <w:widowControl w:val="0"/>
        <w:spacing w:before="120" w:line="260" w:lineRule="atLeast"/>
        <w:jc w:val="center"/>
      </w:pPr>
      <w:r>
        <w:rPr>
          <w:rFonts w:ascii="Arial" w:eastAsia="Arial" w:hAnsi="Arial" w:cs="Arial"/>
          <w:color w:val="000000"/>
          <w:sz w:val="20"/>
        </w:rPr>
        <w:t>United States Court of Appeals for the Tenth Circuit</w:t>
      </w:r>
    </w:p>
    <w:p w14:paraId="1BAF67A8" w14:textId="77777777" w:rsidR="002D0E71" w:rsidRDefault="00000000">
      <w:pPr>
        <w:pStyle w:val="Normal46"/>
        <w:widowControl w:val="0"/>
        <w:spacing w:before="120" w:line="260" w:lineRule="atLeast"/>
        <w:jc w:val="center"/>
      </w:pPr>
      <w:r>
        <w:rPr>
          <w:rFonts w:ascii="Arial" w:eastAsia="Arial" w:hAnsi="Arial" w:cs="Arial"/>
          <w:color w:val="000000"/>
          <w:sz w:val="20"/>
        </w:rPr>
        <w:t>January 30, 2014, Filed</w:t>
      </w:r>
    </w:p>
    <w:p w14:paraId="3328582C" w14:textId="77777777" w:rsidR="002D0E71" w:rsidRDefault="00000000">
      <w:pPr>
        <w:pStyle w:val="Normal46"/>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13-6051</w:t>
      </w:r>
    </w:p>
    <w:p w14:paraId="2DCB560B" w14:textId="77777777" w:rsidR="002D0E71" w:rsidRDefault="002D0E71">
      <w:pPr>
        <w:pStyle w:val="Normal46"/>
        <w:widowControl w:val="0"/>
        <w:spacing w:line="240" w:lineRule="atLeast"/>
        <w:jc w:val="both"/>
      </w:pPr>
      <w:bookmarkStart w:id="7228" w:name="Bookmark_47"/>
      <w:bookmarkEnd w:id="7228"/>
    </w:p>
    <w:p w14:paraId="6CB0B777" w14:textId="77777777" w:rsidR="002D0E71" w:rsidRDefault="00000000">
      <w:pPr>
        <w:pStyle w:val="Normal46"/>
        <w:widowControl w:val="0"/>
        <w:spacing w:before="200" w:line="240" w:lineRule="atLeast"/>
      </w:pPr>
      <w:bookmarkStart w:id="7229" w:name="Reporter_45"/>
      <w:bookmarkEnd w:id="7229"/>
      <w:r>
        <w:rPr>
          <w:rFonts w:ascii="Arial" w:eastAsia="Arial" w:hAnsi="Arial" w:cs="Arial"/>
          <w:b/>
          <w:color w:val="000000"/>
          <w:sz w:val="18"/>
        </w:rPr>
        <w:t>Reporter</w:t>
      </w:r>
    </w:p>
    <w:p w14:paraId="527B3768" w14:textId="77777777" w:rsidR="002D0E71" w:rsidRDefault="00000000">
      <w:pPr>
        <w:pStyle w:val="Normal46"/>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554 Fed. Appx. 685 *; 2014 U.S. App. LEXIS 1851 **; 2014 WL 323251</w:t>
      </w:r>
    </w:p>
    <w:p w14:paraId="5C096F44" w14:textId="77777777" w:rsidR="002D0E71" w:rsidRDefault="00000000">
      <w:pPr>
        <w:pStyle w:val="Normal46"/>
        <w:widowControl w:val="0"/>
        <w:spacing w:before="120" w:line="260" w:lineRule="atLeast"/>
      </w:pPr>
      <w:r>
        <w:rPr>
          <w:rFonts w:ascii="Arial" w:eastAsia="Arial" w:hAnsi="Arial" w:cs="Arial"/>
          <w:color w:val="000000"/>
          <w:sz w:val="20"/>
        </w:rPr>
        <w:t>BRENT LEE RHODES, an individual, Plaintiff - Appellant, v. SOUTHERN NAZARENE UNIVERSITY, a not-for-profit corporation, Defendant - Appellee.</w:t>
      </w:r>
    </w:p>
    <w:p w14:paraId="70FE5F6A" w14:textId="77777777" w:rsidR="002D0E71" w:rsidRDefault="00000000">
      <w:pPr>
        <w:pStyle w:val="Normal46"/>
        <w:widowControl w:val="0"/>
        <w:spacing w:before="240" w:line="260" w:lineRule="atLeast"/>
        <w:jc w:val="both"/>
      </w:pPr>
      <w:bookmarkStart w:id="7230" w:name="Notice_13"/>
      <w:bookmarkEnd w:id="7230"/>
      <w:r>
        <w:rPr>
          <w:rFonts w:ascii="Arial" w:eastAsia="Arial" w:hAnsi="Arial" w:cs="Arial"/>
          <w:b/>
          <w:color w:val="000000"/>
          <w:sz w:val="20"/>
        </w:rPr>
        <w:t>Notice:</w:t>
      </w:r>
      <w:r>
        <w:rPr>
          <w:rFonts w:ascii="Arial" w:eastAsia="Arial" w:hAnsi="Arial" w:cs="Arial"/>
          <w:color w:val="000000"/>
          <w:sz w:val="20"/>
        </w:rPr>
        <w:t> </w:t>
      </w:r>
      <w:bookmarkStart w:id="7231" w:name="Bookmark_para_1_45"/>
      <w:bookmarkEnd w:id="7231"/>
      <w:r>
        <w:rPr>
          <w:rFonts w:ascii="Arial" w:eastAsia="Arial" w:hAnsi="Arial" w:cs="Arial"/>
          <w:color w:val="000000"/>
          <w:sz w:val="20"/>
        </w:rPr>
        <w:t>PLEASE REFER TO FEDERAL RULES OF APPELLATE PROCEDURE RULE 32.1 GOVERNING THE CITATION TO UNPUBLISHED OPINIONS.</w:t>
      </w:r>
    </w:p>
    <w:p w14:paraId="699F4BEF" w14:textId="77777777" w:rsidR="002D0E71" w:rsidRDefault="00000000">
      <w:pPr>
        <w:pStyle w:val="Normal46"/>
        <w:widowControl w:val="0"/>
        <w:spacing w:before="240" w:line="260" w:lineRule="atLeast"/>
      </w:pPr>
      <w:bookmarkStart w:id="7232" w:name="Subsequent_History_19"/>
      <w:bookmarkEnd w:id="7232"/>
      <w:r>
        <w:rPr>
          <w:rFonts w:ascii="Arial" w:eastAsia="Arial" w:hAnsi="Arial" w:cs="Arial"/>
          <w:b/>
          <w:color w:val="000000"/>
          <w:sz w:val="20"/>
        </w:rPr>
        <w:t>Subsequent History:</w:t>
      </w:r>
      <w:r>
        <w:rPr>
          <w:rFonts w:ascii="Arial" w:eastAsia="Arial" w:hAnsi="Arial" w:cs="Arial"/>
          <w:color w:val="000000"/>
          <w:sz w:val="20"/>
        </w:rPr>
        <w:t> Related proceeding at Rhodes v. Bethune, 2016 U.S. Dist. LEXIS 97222 (W.D. Okla., July 26, 2016)</w:t>
      </w:r>
    </w:p>
    <w:p w14:paraId="1F30F55B" w14:textId="77777777" w:rsidR="002D0E71" w:rsidRDefault="00000000">
      <w:pPr>
        <w:pStyle w:val="Normal46"/>
        <w:widowControl w:val="0"/>
        <w:spacing w:before="240" w:line="260" w:lineRule="atLeast"/>
        <w:jc w:val="both"/>
      </w:pPr>
      <w:bookmarkStart w:id="7233" w:name="Prior_History_44"/>
      <w:bookmarkEnd w:id="7233"/>
      <w:r>
        <w:rPr>
          <w:rFonts w:ascii="Arial" w:eastAsia="Arial" w:hAnsi="Arial" w:cs="Arial"/>
          <w:b/>
          <w:color w:val="000000"/>
          <w:sz w:val="20"/>
        </w:rPr>
        <w:t>Prior History:</w:t>
      </w:r>
      <w:r>
        <w:rPr>
          <w:rFonts w:ascii="Arial" w:eastAsia="Arial" w:hAnsi="Arial" w:cs="Arial"/>
          <w:color w:val="000000"/>
          <w:sz w:val="20"/>
        </w:rPr>
        <w:t>  [**1] </w:t>
      </w:r>
      <w:bookmarkStart w:id="7234" w:name="Bookmark_para_2_45"/>
      <w:bookmarkEnd w:id="7234"/>
      <w:r>
        <w:rPr>
          <w:rFonts w:ascii="Arial" w:eastAsia="Arial" w:hAnsi="Arial" w:cs="Arial"/>
          <w:color w:val="000000"/>
          <w:sz w:val="20"/>
        </w:rPr>
        <w:t>(D.C. No. 5:11-CV-00071-F). (W.D. Okla.).</w:t>
      </w:r>
    </w:p>
    <w:p w14:paraId="34415C41" w14:textId="77777777" w:rsidR="002D0E71" w:rsidRDefault="00000000">
      <w:pPr>
        <w:pStyle w:val="Normal46"/>
        <w:widowControl w:val="0"/>
        <w:spacing w:before="240" w:line="260" w:lineRule="atLeast"/>
      </w:pPr>
      <w:bookmarkStart w:id="7235" w:name="Counsel_45"/>
      <w:bookmarkEnd w:id="7235"/>
      <w:r>
        <w:rPr>
          <w:rFonts w:ascii="Arial" w:eastAsia="Arial" w:hAnsi="Arial" w:cs="Arial"/>
          <w:b/>
          <w:color w:val="000000"/>
          <w:sz w:val="20"/>
        </w:rPr>
        <w:t>Counsel:</w:t>
      </w:r>
      <w:r>
        <w:rPr>
          <w:rFonts w:ascii="Arial" w:eastAsia="Arial" w:hAnsi="Arial" w:cs="Arial"/>
          <w:color w:val="000000"/>
          <w:sz w:val="20"/>
        </w:rPr>
        <w:t> BRENT L. RHODES, an individual, Plaintiff - Appellant, Pro se, Oklahoma City, OK.</w:t>
      </w:r>
    </w:p>
    <w:p w14:paraId="4A7D0C4B" w14:textId="77777777" w:rsidR="002D0E71" w:rsidRDefault="00000000">
      <w:pPr>
        <w:pStyle w:val="Normal46"/>
        <w:widowControl w:val="0"/>
        <w:spacing w:before="120" w:line="260" w:lineRule="atLeast"/>
      </w:pPr>
      <w:r>
        <w:rPr>
          <w:rFonts w:ascii="Arial" w:eastAsia="Arial" w:hAnsi="Arial" w:cs="Arial"/>
          <w:color w:val="000000"/>
          <w:sz w:val="20"/>
        </w:rPr>
        <w:t>For SOUTHERN NAZARENE UNIVERSITY, a not-for-profit corporation, Defendant - Appellee: Adam Wade Childers, Daniel P. Johnson, Crowe &amp; Dunlevy, Oklahoma City, OK.</w:t>
      </w:r>
    </w:p>
    <w:p w14:paraId="3A4D7B8D" w14:textId="77777777" w:rsidR="002D0E71" w:rsidRDefault="00000000">
      <w:pPr>
        <w:pStyle w:val="Normal46"/>
        <w:widowControl w:val="0"/>
        <w:spacing w:before="240" w:line="260" w:lineRule="atLeast"/>
      </w:pPr>
      <w:bookmarkStart w:id="7236" w:name="Judges_45"/>
      <w:bookmarkEnd w:id="7236"/>
      <w:r>
        <w:rPr>
          <w:rFonts w:ascii="Arial" w:eastAsia="Arial" w:hAnsi="Arial" w:cs="Arial"/>
          <w:b/>
          <w:color w:val="000000"/>
          <w:sz w:val="20"/>
        </w:rPr>
        <w:t>Judges:</w:t>
      </w:r>
      <w:r>
        <w:rPr>
          <w:rFonts w:ascii="Arial" w:eastAsia="Arial" w:hAnsi="Arial" w:cs="Arial"/>
          <w:color w:val="000000"/>
          <w:sz w:val="20"/>
        </w:rPr>
        <w:t> Before LUCERO and BALDOCK, Circuit Judges, and BRORBY, Senior Circuit Judge.</w:t>
      </w:r>
    </w:p>
    <w:p w14:paraId="4989B60D" w14:textId="77777777" w:rsidR="002D0E71" w:rsidRDefault="00000000">
      <w:pPr>
        <w:pStyle w:val="Normal46"/>
        <w:widowControl w:val="0"/>
        <w:spacing w:before="240" w:line="260" w:lineRule="atLeast"/>
      </w:pPr>
      <w:bookmarkStart w:id="7237" w:name="Opinion_by_34"/>
      <w:bookmarkEnd w:id="7237"/>
      <w:r>
        <w:rPr>
          <w:rFonts w:ascii="Arial" w:eastAsia="Arial" w:hAnsi="Arial" w:cs="Arial"/>
          <w:b/>
          <w:color w:val="000000"/>
          <w:sz w:val="20"/>
        </w:rPr>
        <w:t>Opinion by:</w:t>
      </w:r>
      <w:r>
        <w:rPr>
          <w:rFonts w:ascii="Arial" w:eastAsia="Arial" w:hAnsi="Arial" w:cs="Arial"/>
          <w:color w:val="000000"/>
          <w:sz w:val="20"/>
        </w:rPr>
        <w:t> Wade Brorby</w:t>
      </w:r>
    </w:p>
    <w:p w14:paraId="4319E4CB" w14:textId="77777777" w:rsidR="002D0E71" w:rsidRDefault="00000000">
      <w:pPr>
        <w:pStyle w:val="Normal46"/>
        <w:keepNext/>
        <w:widowControl w:val="0"/>
        <w:spacing w:before="240" w:line="340" w:lineRule="atLeast"/>
      </w:pPr>
      <w:bookmarkStart w:id="7238" w:name="Opinion_45"/>
      <w:bookmarkEnd w:id="7238"/>
      <w:r>
        <w:rPr>
          <w:rFonts w:ascii="Arial" w:eastAsia="Arial" w:hAnsi="Arial" w:cs="Arial"/>
          <w:b/>
          <w:color w:val="000000"/>
          <w:sz w:val="28"/>
        </w:rPr>
        <w:t>Opinion</w:t>
      </w:r>
    </w:p>
    <w:p w14:paraId="536B11F1" w14:textId="005D3D63" w:rsidR="002D0E71" w:rsidRDefault="002939DF">
      <w:pPr>
        <w:pStyle w:val="Normal46"/>
        <w:spacing w:line="60" w:lineRule="exact"/>
      </w:pPr>
      <w:r>
        <w:rPr>
          <w:noProof/>
        </w:rPr>
        <mc:AlternateContent>
          <mc:Choice Requires="wps">
            <w:drawing>
              <wp:anchor distT="0" distB="0" distL="114300" distR="114300" simplePos="0" relativeHeight="251758592" behindDoc="0" locked="0" layoutInCell="1" allowOverlap="1" wp14:anchorId="64D0FF48" wp14:editId="7725CE03">
                <wp:simplePos x="0" y="0"/>
                <wp:positionH relativeFrom="column">
                  <wp:posOffset>0</wp:posOffset>
                </wp:positionH>
                <wp:positionV relativeFrom="paragraph">
                  <wp:posOffset>25400</wp:posOffset>
                </wp:positionV>
                <wp:extent cx="3187700" cy="0"/>
                <wp:effectExtent l="19050" t="15875" r="12700" b="12700"/>
                <wp:wrapTopAndBottom/>
                <wp:docPr id="1304437614"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642FA" id="Line 104"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D9C2E5B" w14:textId="77777777" w:rsidR="002D0E71" w:rsidRDefault="002D0E71">
      <w:pPr>
        <w:pStyle w:val="Normal46"/>
        <w:spacing w:line="120" w:lineRule="exact"/>
      </w:pPr>
    </w:p>
    <w:p w14:paraId="7BAB30CC" w14:textId="77777777" w:rsidR="002D0E71" w:rsidRDefault="00000000">
      <w:pPr>
        <w:pStyle w:val="Normal46"/>
        <w:widowControl w:val="0"/>
        <w:spacing w:before="240" w:line="260" w:lineRule="atLeast"/>
      </w:pPr>
      <w:r>
        <w:br/>
      </w:r>
      <w:r>
        <w:rPr>
          <w:rFonts w:ascii="Arial" w:eastAsia="Arial" w:hAnsi="Arial" w:cs="Arial"/>
          <w:color w:val="000000"/>
          <w:sz w:val="20"/>
        </w:rPr>
        <w:t xml:space="preserve"> [*687]  </w:t>
      </w:r>
      <w:r>
        <w:rPr>
          <w:rFonts w:ascii="Arial" w:eastAsia="Arial" w:hAnsi="Arial" w:cs="Arial"/>
          <w:b/>
          <w:color w:val="000000"/>
          <w:sz w:val="20"/>
        </w:rPr>
        <w:t>ORDER AND JUDGMENT</w:t>
      </w:r>
      <w:r>
        <w:rPr>
          <w:rFonts w:ascii="Arial" w:eastAsia="Arial" w:hAnsi="Arial" w:cs="Arial"/>
          <w:vertAlign w:val="superscript"/>
        </w:rPr>
        <w:footnoteReference w:customMarkFollows="1" w:id="295"/>
        <w:t>*</w:t>
      </w:r>
    </w:p>
    <w:p w14:paraId="717BF6D8" w14:textId="77777777" w:rsidR="002D0E71" w:rsidRDefault="00000000">
      <w:pPr>
        <w:pStyle w:val="Normal46"/>
        <w:widowControl w:val="0"/>
        <w:spacing w:before="200" w:line="260" w:lineRule="atLeast"/>
        <w:jc w:val="both"/>
      </w:pPr>
      <w:bookmarkStart w:id="7240" w:name="Bookmark_para_3_45"/>
      <w:bookmarkEnd w:id="7240"/>
      <w:r>
        <w:rPr>
          <w:rFonts w:ascii="Arial" w:eastAsia="Arial" w:hAnsi="Arial" w:cs="Arial"/>
          <w:color w:val="000000"/>
          <w:sz w:val="20"/>
        </w:rPr>
        <w:t>Brett L. Rhodes appeals pro se the district court's grant of summary judgment to Southern Nazarene University ("SNU") on his claims brought pursuant to Title III of the Americans with Disabilities Act ("ADA"), Section 504 of the Rehabilitation Act ("RA"), and the Oklahoma Anti-Discrimination  [**2] Act (OADA).</w:t>
      </w:r>
      <w:r>
        <w:rPr>
          <w:rFonts w:ascii="Arial" w:eastAsia="Arial" w:hAnsi="Arial" w:cs="Arial"/>
          <w:vertAlign w:val="superscript"/>
        </w:rPr>
        <w:footnoteReference w:customMarkFollows="1" w:id="296"/>
        <w:t>1</w:t>
      </w:r>
      <w:r>
        <w:rPr>
          <w:rFonts w:ascii="Arial" w:eastAsia="Arial" w:hAnsi="Arial" w:cs="Arial"/>
          <w:color w:val="000000"/>
          <w:sz w:val="20"/>
        </w:rPr>
        <w:t xml:space="preserve"> We affirm.</w:t>
      </w:r>
    </w:p>
    <w:p w14:paraId="3BB9BCAC" w14:textId="77777777" w:rsidR="002D0E71" w:rsidRDefault="00000000">
      <w:pPr>
        <w:pStyle w:val="Normal46"/>
        <w:widowControl w:val="0"/>
        <w:spacing w:before="120" w:line="260" w:lineRule="atLeast"/>
      </w:pPr>
      <w:r>
        <w:rPr>
          <w:rFonts w:ascii="Arial" w:eastAsia="Arial" w:hAnsi="Arial" w:cs="Arial"/>
          <w:color w:val="000000"/>
          <w:sz w:val="20"/>
        </w:rPr>
        <w:t xml:space="preserve">I. </w:t>
      </w:r>
      <w:r>
        <w:rPr>
          <w:rFonts w:ascii="Arial" w:eastAsia="Arial" w:hAnsi="Arial" w:cs="Arial"/>
          <w:smallCaps/>
          <w:color w:val="000000"/>
          <w:sz w:val="20"/>
        </w:rPr>
        <w:t>Background</w:t>
      </w:r>
    </w:p>
    <w:p w14:paraId="5F87E43B" w14:textId="77777777" w:rsidR="002D0E71" w:rsidRDefault="00000000">
      <w:pPr>
        <w:pStyle w:val="Normal46"/>
        <w:widowControl w:val="0"/>
        <w:spacing w:before="200" w:line="260" w:lineRule="atLeast"/>
        <w:jc w:val="both"/>
      </w:pPr>
      <w:bookmarkStart w:id="7242" w:name="Bookmark_para_4_45"/>
      <w:bookmarkEnd w:id="7242"/>
      <w:r>
        <w:rPr>
          <w:rFonts w:ascii="Arial" w:eastAsia="Arial" w:hAnsi="Arial" w:cs="Arial"/>
          <w:color w:val="000000"/>
          <w:sz w:val="20"/>
        </w:rPr>
        <w:t>Mr. Rhodes was involved in a car accident that left him with substantial physical and mental disabilities. After some time had passed since the accident, Mr. Rhodes enrolled at SNU, initially to pursue a bachelor's degree in nursing. Before classes began, he submitted to the school an application for disability accommodation, on which he requested extended time on exams and assignments, a note taker, and to receive his class syllabi in advance. He also submitted supporting medical documents such as a neuropsychological evaluation, a summary of his condition, and previous requests for accommodation from other colleges.</w:t>
      </w:r>
    </w:p>
    <w:p w14:paraId="7B4B8BCA" w14:textId="77777777" w:rsidR="002D0E71" w:rsidRDefault="00000000">
      <w:pPr>
        <w:pStyle w:val="Normal46"/>
        <w:widowControl w:val="0"/>
        <w:spacing w:before="200" w:line="260" w:lineRule="atLeast"/>
        <w:jc w:val="both"/>
      </w:pPr>
      <w:bookmarkStart w:id="7243" w:name="Bookmark_para_5_45"/>
      <w:bookmarkEnd w:id="7243"/>
      <w:r>
        <w:rPr>
          <w:rFonts w:ascii="Arial" w:eastAsia="Arial" w:hAnsi="Arial" w:cs="Arial"/>
          <w:color w:val="000000"/>
          <w:sz w:val="20"/>
        </w:rPr>
        <w:t>SNU's disability policy provides that eligibility for accommodation is dependent on the nature of the disability. The school requires supporting documentation as proof of disability and to help determine eligibility for requested accommodations. Ultimately, eligibility is decided by the school's disability services  [**3] director, Erin Toler. In Mr. Rhodes' case, SNU agreed to—and did—provide extended time on assignments when requested, use of a tape recorder in class, a copy of syllabi prior to the start of classes at the professors' discretion, and access to the Paper Resources Center, which provides personal academic support. SNU also encouraged Mr.  [*688]  Rhodes to use preferential seating and to attend study sessions.</w:t>
      </w:r>
    </w:p>
    <w:p w14:paraId="1C3EB4DA" w14:textId="77777777" w:rsidR="002D0E71" w:rsidRDefault="00000000">
      <w:pPr>
        <w:pStyle w:val="Normal46"/>
        <w:widowControl w:val="0"/>
        <w:spacing w:before="200" w:line="260" w:lineRule="atLeast"/>
        <w:jc w:val="both"/>
      </w:pPr>
      <w:bookmarkStart w:id="7244" w:name="Bookmark_para_6_45"/>
      <w:bookmarkEnd w:id="7244"/>
      <w:r>
        <w:rPr>
          <w:rFonts w:ascii="Arial" w:eastAsia="Arial" w:hAnsi="Arial" w:cs="Arial"/>
          <w:color w:val="000000"/>
          <w:sz w:val="20"/>
        </w:rPr>
        <w:t>Mr. Rhodes' relationship with SNU quickly deteriorated, however, because he became dissatisfied with the accommodations made for him and believed he was entitled to more. For one, Mr. Rhodes sought to receive his textbooks on CDs, but Ms. Toler informed him that his medical documentation did not support such accommodation and the school would need proof that electronic books would benefit him. Nearly a year after his initial request, Mr. Rhodes provided the school with a medical evaluation recommending the usefulness of books on CD and his request was granted shortly thereafter.</w:t>
      </w:r>
    </w:p>
    <w:p w14:paraId="2CACDB66" w14:textId="77777777" w:rsidR="002D0E71" w:rsidRDefault="00000000">
      <w:pPr>
        <w:pStyle w:val="Normal46"/>
        <w:widowControl w:val="0"/>
        <w:spacing w:before="200" w:line="260" w:lineRule="atLeast"/>
        <w:jc w:val="both"/>
      </w:pPr>
      <w:bookmarkStart w:id="7245" w:name="Bookmark_para_7_44"/>
      <w:bookmarkEnd w:id="7245"/>
      <w:r>
        <w:rPr>
          <w:rFonts w:ascii="Arial" w:eastAsia="Arial" w:hAnsi="Arial" w:cs="Arial"/>
          <w:color w:val="000000"/>
          <w:sz w:val="20"/>
        </w:rPr>
        <w:t>Mr. Rhodes also requested that he receive syllabi, assignments, and his textbooks six weeks in advance of classes, but SNU did not grant the request. The school noted that syllabi are often unknown that far in advance  [**4] and, in any event, Mr. Rhodes' supporting documentation said nothing about the need to have the materials six weeks in advance. During his time at SNU, the school secured Mr. Rhodes syllabi in advance twice—for the other five classes, he received a syllabus at the same time as the rest of the class or, in one case, when he entered the class late.</w:t>
      </w:r>
    </w:p>
    <w:p w14:paraId="7E69A77A" w14:textId="77777777" w:rsidR="002D0E71" w:rsidRDefault="00000000">
      <w:pPr>
        <w:pStyle w:val="Normal46"/>
        <w:widowControl w:val="0"/>
        <w:spacing w:before="200" w:line="260" w:lineRule="atLeast"/>
        <w:jc w:val="both"/>
      </w:pPr>
      <w:bookmarkStart w:id="7246" w:name="Bookmark_para_8_44"/>
      <w:bookmarkEnd w:id="7246"/>
      <w:r>
        <w:rPr>
          <w:rFonts w:ascii="Arial" w:eastAsia="Arial" w:hAnsi="Arial" w:cs="Arial"/>
          <w:color w:val="000000"/>
          <w:sz w:val="20"/>
        </w:rPr>
        <w:t>Mr. Rhodes additionally complained to the school that grading allowances should be made to adjust for his difficulty with spelling and grammar. The school provided him access to an electronic dictionary and suggested he use a laptop but did not provide him a different grading scale. Furthermore, Mr. Rhodes' access to the Paper Resource Center was lost after he transferred out of the nursing program into a non-traditional program. The Paper Resource Center is available only to students in traditional undergraduate programs according to SNU policy.</w:t>
      </w:r>
    </w:p>
    <w:p w14:paraId="364AE1D7" w14:textId="77777777" w:rsidR="002D0E71" w:rsidRDefault="00000000">
      <w:pPr>
        <w:pStyle w:val="Normal46"/>
        <w:widowControl w:val="0"/>
        <w:spacing w:before="200" w:line="260" w:lineRule="atLeast"/>
        <w:jc w:val="both"/>
      </w:pPr>
      <w:bookmarkStart w:id="7247" w:name="Bookmark_para_9_44"/>
      <w:bookmarkEnd w:id="7247"/>
      <w:r>
        <w:rPr>
          <w:rFonts w:ascii="Arial" w:eastAsia="Arial" w:hAnsi="Arial" w:cs="Arial"/>
          <w:color w:val="000000"/>
          <w:sz w:val="20"/>
        </w:rPr>
        <w:t>Lastly, Mr. Rhodes became upset with the amount of assistance he received from professors. Although he received good grades by virtually any measure during his time at SNU, he alleges several professors did not provide adequate support. His frustration on this point culminated in the spring of 2009  [**5] with one teacher in particular, Professor Long. Believing he was being treated unfairly, Mr. Rhodes had many email communications with Professor Long. Eventually, Professor Long sought the assistance of Ms. Toler. Professor Long reported that she felt threatened by the content of Mr. Rhodes' communications, which included references to a lawsuit against a different university and in a journal entry, a reference to guns in his home. After Ms. Toler intervened, Mr. Rhodes began sending her a flood of emails over the course of one day—most sent minutes apart from each other—containing lengthy, agitated, and threatening content.</w:t>
      </w:r>
    </w:p>
    <w:p w14:paraId="71C6CBF2" w14:textId="77777777" w:rsidR="002D0E71" w:rsidRDefault="00000000">
      <w:pPr>
        <w:pStyle w:val="Normal46"/>
        <w:widowControl w:val="0"/>
        <w:spacing w:before="200" w:line="260" w:lineRule="atLeast"/>
        <w:jc w:val="both"/>
      </w:pPr>
      <w:bookmarkStart w:id="7248" w:name="Bookmark_para_10_43"/>
      <w:bookmarkEnd w:id="7248"/>
      <w:r>
        <w:rPr>
          <w:rFonts w:ascii="Arial" w:eastAsia="Arial" w:hAnsi="Arial" w:cs="Arial"/>
          <w:color w:val="000000"/>
          <w:sz w:val="20"/>
        </w:rPr>
        <w:t>After learning of the email communications, SNU's vice president for student development placed Mr. Rhodes on emergency suspension because he determined the emails could be construed as attempts to threaten, intimidate, and harass. At a subsequent school judicial hearing, the school found Mr. Rhodes had violated several school policies and he was placed on disciplinary probation. For the length of his probation, Mr. Rhodes was required to speak with professors and staff before enrolling in classes and had limitations placed on his communications with staff. Mr.  [**6] Rhodes was, however, allowed to return to class immediately. The school denied Mr. Rhodes' appeals.</w:t>
      </w:r>
    </w:p>
    <w:p w14:paraId="728AF0C2" w14:textId="77777777" w:rsidR="002D0E71" w:rsidRDefault="00000000">
      <w:pPr>
        <w:pStyle w:val="Normal46"/>
        <w:widowControl w:val="0"/>
        <w:spacing w:before="200" w:line="260" w:lineRule="atLeast"/>
        <w:jc w:val="both"/>
      </w:pPr>
      <w:bookmarkStart w:id="7249" w:name="Bookmark_para_11_43"/>
      <w:bookmarkEnd w:id="7249"/>
      <w:r>
        <w:rPr>
          <w:rFonts w:ascii="Arial" w:eastAsia="Arial" w:hAnsi="Arial" w:cs="Arial"/>
          <w:color w:val="000000"/>
          <w:sz w:val="20"/>
        </w:rPr>
        <w:t>Mr. Rhodes then filed a charge of discrimination with the U.S. Department of Education's Office of Civil Rights, which investigated Mr. Rhodes' claims. The agency and the school thereafter entered  [*689]  into a resolution agreement. Under the agreement, SNU lifted Mr. Rhodes' probation and put him in good standing. The school complied with all of the agreement's dictates and the agency considered the matter was resolved. However, Mr. Rhodes never re-enrolled at SNU.</w:t>
      </w:r>
    </w:p>
    <w:p w14:paraId="57432767" w14:textId="77777777" w:rsidR="002D0E71" w:rsidRDefault="00000000">
      <w:pPr>
        <w:pStyle w:val="Normal46"/>
        <w:widowControl w:val="0"/>
        <w:spacing w:before="200" w:line="260" w:lineRule="atLeast"/>
        <w:jc w:val="both"/>
      </w:pPr>
      <w:bookmarkStart w:id="7250" w:name="Bookmark_para_12_42"/>
      <w:bookmarkStart w:id="7251" w:name="Bookmark_I5BJGRXF2HM6B60020000400"/>
      <w:bookmarkEnd w:id="7250"/>
      <w:bookmarkEnd w:id="7251"/>
      <w:r>
        <w:rPr>
          <w:rFonts w:ascii="Arial" w:eastAsia="Arial" w:hAnsi="Arial" w:cs="Arial"/>
          <w:color w:val="000000"/>
          <w:sz w:val="20"/>
        </w:rPr>
        <w:t>Mr. Rhodes filed suit in federal court claiming that SNU discriminated against him for his disabilities, failed to provide reasonable accommodation as required by law, and retaliated against him. Following discovery, SNU moved for summary judgment, which the district court granted. The court found that the only relief available to Mr. Rhodes under the ADA was equitable relief, but because there was no present live controversy, that claim was moot.</w:t>
      </w:r>
      <w:r>
        <w:rPr>
          <w:rFonts w:ascii="Arial" w:eastAsia="Arial" w:hAnsi="Arial" w:cs="Arial"/>
          <w:vertAlign w:val="superscript"/>
        </w:rPr>
        <w:footnoteReference w:customMarkFollows="1" w:id="297"/>
        <w:t>2</w:t>
      </w:r>
      <w:r>
        <w:rPr>
          <w:rFonts w:ascii="Arial" w:eastAsia="Arial" w:hAnsi="Arial" w:cs="Arial"/>
          <w:color w:val="000000"/>
          <w:sz w:val="20"/>
        </w:rPr>
        <w:t xml:space="preserve"> The court also found that to the extent emotional distress damages were recoverable under the RA, Mr. Rhodes could not recover such damages in this case because the record did not disclose  [**7] any intentional discrimination on the part of the school. </w:t>
      </w:r>
      <w:r>
        <w:rPr>
          <w:rFonts w:ascii="Arial" w:eastAsia="Arial" w:hAnsi="Arial" w:cs="Arial"/>
          <w:i/>
          <w:color w:val="000000"/>
          <w:sz w:val="20"/>
        </w:rPr>
        <w:t xml:space="preserve">See </w:t>
      </w:r>
      <w:bookmarkStart w:id="7253" w:name="Bookmark_I5BJGRXF2HM6B60010000400"/>
      <w:bookmarkEnd w:id="7253"/>
      <w:r>
        <w:rPr>
          <w:rFonts w:ascii="Arial" w:eastAsia="Arial" w:hAnsi="Arial" w:cs="Arial"/>
          <w:i/>
          <w:color w:val="000000"/>
          <w:sz w:val="20"/>
        </w:rPr>
        <w:t>Sheely v. MRI Radiology Network, P.A.</w:t>
      </w:r>
      <w:r>
        <w:rPr>
          <w:rFonts w:ascii="Arial" w:eastAsia="Arial" w:hAnsi="Arial" w:cs="Arial"/>
          <w:color w:val="000000"/>
          <w:sz w:val="20"/>
        </w:rPr>
        <w:t>, 505 F.3d 1173, 1198 (11th Cir. 2007) (compensatory damages under § 504 are available for intentional discrimination). Finally, the court made alternative rulings that all of Mr. Rhodes' claims based on events occurring prior to January 21, 2009, were time-barred, and that he had additionally failed to produce evidence to survive judgment on his reasonable accommodation and retaliation claims. Mr. Rhodes now appeals.</w:t>
      </w:r>
    </w:p>
    <w:p w14:paraId="464B8E08" w14:textId="77777777" w:rsidR="002D0E71" w:rsidRDefault="00000000">
      <w:pPr>
        <w:pStyle w:val="Normal46"/>
        <w:widowControl w:val="0"/>
        <w:spacing w:before="120" w:line="260" w:lineRule="atLeast"/>
      </w:pPr>
      <w:r>
        <w:rPr>
          <w:rFonts w:ascii="Arial" w:eastAsia="Arial" w:hAnsi="Arial" w:cs="Arial"/>
          <w:color w:val="000000"/>
          <w:sz w:val="20"/>
        </w:rPr>
        <w:t xml:space="preserve">II. </w:t>
      </w:r>
      <w:r>
        <w:rPr>
          <w:rFonts w:ascii="Arial" w:eastAsia="Arial" w:hAnsi="Arial" w:cs="Arial"/>
          <w:smallCaps/>
          <w:color w:val="000000"/>
          <w:sz w:val="20"/>
        </w:rPr>
        <w:t>Discussion</w:t>
      </w:r>
    </w:p>
    <w:p w14:paraId="5B94AD29" w14:textId="77777777" w:rsidR="002D0E71" w:rsidRDefault="00000000">
      <w:pPr>
        <w:pStyle w:val="Normal46"/>
        <w:widowControl w:val="0"/>
        <w:spacing w:before="200" w:line="260" w:lineRule="atLeast"/>
        <w:jc w:val="both"/>
      </w:pPr>
      <w:bookmarkStart w:id="7254" w:name="Bookmark_para_13_42"/>
      <w:bookmarkStart w:id="7255" w:name="Bookmark_I5BJGRXF2HM6B60040000400"/>
      <w:bookmarkStart w:id="7256" w:name="Bookmark_LNHNREFclscc1_40"/>
      <w:bookmarkEnd w:id="7254"/>
      <w:bookmarkEnd w:id="7255"/>
      <w:bookmarkEnd w:id="7256"/>
      <w:r>
        <w:rPr>
          <w:rFonts w:ascii="Arial" w:eastAsia="Arial" w:hAnsi="Arial" w:cs="Arial"/>
          <w:color w:val="000000"/>
          <w:sz w:val="20"/>
        </w:rPr>
        <w:t xml:space="preserve">We review the district court's grant of summary judgment de novo, viewing the evidence in the light most favorable to Mr. Rhodes. </w:t>
      </w:r>
      <w:bookmarkStart w:id="7257" w:name="Bookmark_I5BJGRXF2SF8GN0010000400"/>
      <w:bookmarkStart w:id="7258" w:name="Bookmark_I5BJGRXF2HM6B60030000400"/>
      <w:bookmarkEnd w:id="7257"/>
      <w:bookmarkEnd w:id="7258"/>
      <w:r>
        <w:rPr>
          <w:rFonts w:ascii="Arial" w:eastAsia="Arial" w:hAnsi="Arial" w:cs="Arial"/>
          <w:i/>
          <w:color w:val="000000"/>
          <w:sz w:val="20"/>
        </w:rPr>
        <w:t>Robert v. Bd. of Cnty. Comm 'rs</w:t>
      </w:r>
      <w:r>
        <w:rPr>
          <w:rFonts w:ascii="Arial" w:eastAsia="Arial" w:hAnsi="Arial" w:cs="Arial"/>
          <w:color w:val="000000"/>
          <w:sz w:val="20"/>
        </w:rPr>
        <w:t xml:space="preserve">, 691 F.3d 1211, 1216 (10th Cir. 2012). </w:t>
      </w:r>
      <w:bookmarkStart w:id="7259" w:name="Bookmark_I5BJGRXF2SF8GN0030000400"/>
      <w:bookmarkStart w:id="7260" w:name="Bookmark_LNHNREFclscc2_40"/>
      <w:bookmarkEnd w:id="7259"/>
      <w:bookmarkEnd w:id="7260"/>
      <w:r>
        <w:rPr>
          <w:rFonts w:ascii="Arial" w:eastAsia="Arial" w:hAnsi="Arial" w:cs="Arial"/>
          <w:color w:val="000000"/>
          <w:sz w:val="20"/>
        </w:rPr>
        <w:t xml:space="preserve">A party is entitled to summary judgment if it demonstrates through pleadings, depositions, answers to interrogatories, admissions on file, or affidavits, that there is no genuine issue as to any material fact. Fed. R. Civ. P. 56(a), (c). </w:t>
      </w:r>
      <w:bookmarkStart w:id="7261" w:name="Bookmark_I5BJGRXF2SF8GN0030000400_2"/>
      <w:bookmarkStart w:id="7262" w:name="Bookmark_I5BJGRXF2SF8GN0010000400_2"/>
      <w:bookmarkEnd w:id="7261"/>
      <w:bookmarkEnd w:id="7262"/>
      <w:r>
        <w:rPr>
          <w:rFonts w:ascii="Arial" w:eastAsia="Arial" w:hAnsi="Arial" w:cs="Arial"/>
          <w:color w:val="000000"/>
          <w:sz w:val="20"/>
        </w:rPr>
        <w:t>A genuine issue of material fact exists when "a reasonable jury could return a verdict for the non-moving party."  [**8] </w:t>
      </w:r>
      <w:bookmarkStart w:id="7263" w:name="Bookmark_I5BJGRXF2HM6B60050000400"/>
      <w:bookmarkEnd w:id="7263"/>
      <w:r>
        <w:rPr>
          <w:rFonts w:ascii="Arial" w:eastAsia="Arial" w:hAnsi="Arial" w:cs="Arial"/>
          <w:i/>
          <w:color w:val="000000"/>
          <w:sz w:val="20"/>
        </w:rPr>
        <w:t>Bones v. Honeywell Int'l, Inc.</w:t>
      </w:r>
      <w:r>
        <w:rPr>
          <w:rFonts w:ascii="Arial" w:eastAsia="Arial" w:hAnsi="Arial" w:cs="Arial"/>
          <w:color w:val="000000"/>
          <w:sz w:val="20"/>
        </w:rPr>
        <w:t xml:space="preserve">, 366 F.3d 869, 875 (10th Cir. 2004). </w:t>
      </w:r>
      <w:bookmarkStart w:id="7264" w:name="Bookmark_LNHNREFclscc3_39"/>
      <w:bookmarkEnd w:id="7264"/>
      <w:r>
        <w:rPr>
          <w:rFonts w:ascii="Arial" w:eastAsia="Arial" w:hAnsi="Arial" w:cs="Arial"/>
          <w:color w:val="000000"/>
          <w:sz w:val="20"/>
        </w:rPr>
        <w:t xml:space="preserve">While we construe pro se pleadings liberally, "we do not assume the role of advocate." </w:t>
      </w:r>
      <w:bookmarkStart w:id="7265" w:name="Bookmark_I5BJGRXF2SF8GN0020000400"/>
      <w:bookmarkEnd w:id="7265"/>
      <w:r>
        <w:rPr>
          <w:rFonts w:ascii="Arial" w:eastAsia="Arial" w:hAnsi="Arial" w:cs="Arial"/>
          <w:i/>
          <w:color w:val="000000"/>
          <w:sz w:val="20"/>
        </w:rPr>
        <w:t>Yang v. Archuleta</w:t>
      </w:r>
      <w:r>
        <w:rPr>
          <w:rFonts w:ascii="Arial" w:eastAsia="Arial" w:hAnsi="Arial" w:cs="Arial"/>
          <w:color w:val="000000"/>
          <w:sz w:val="20"/>
        </w:rPr>
        <w:t>, 525 F.3d 925, 927 n.1 (10th Cir. 2008) (internal quotation marks omitted).</w:t>
      </w:r>
    </w:p>
    <w:p w14:paraId="71C3D914" w14:textId="77777777" w:rsidR="002D0E71" w:rsidRDefault="00000000">
      <w:pPr>
        <w:pStyle w:val="Normal46"/>
        <w:widowControl w:val="0"/>
        <w:spacing w:before="200" w:line="260" w:lineRule="atLeast"/>
        <w:jc w:val="both"/>
      </w:pPr>
      <w:bookmarkStart w:id="7266" w:name="Bookmark_para_14_41"/>
      <w:bookmarkStart w:id="7267" w:name="Bookmark_I5BJGRXF2SF8GN0050000400"/>
      <w:bookmarkEnd w:id="7266"/>
      <w:bookmarkEnd w:id="7267"/>
      <w:r>
        <w:rPr>
          <w:rFonts w:ascii="Arial" w:eastAsia="Arial" w:hAnsi="Arial" w:cs="Arial"/>
          <w:color w:val="000000"/>
          <w:sz w:val="20"/>
        </w:rPr>
        <w:t xml:space="preserve">To begin, we note that Mr. Rhodes' appellate briefing consists primarily of alleged factual disputes, most of which were not raised in the district court, and otherwise consists of unfounded allegations of fraud—namely, doctored discovery files—on the part of SNU (which also could have been, but were not, raised in the district court). We reject Mr. Rhodes' arguments that rely on evidence neither presented to the district court during summary judgment proceedings nor shown to have been unavailable to Mr. Rhodes at that time. </w:t>
      </w:r>
      <w:r>
        <w:rPr>
          <w:rFonts w:ascii="Arial" w:eastAsia="Arial" w:hAnsi="Arial" w:cs="Arial"/>
          <w:i/>
          <w:color w:val="000000"/>
          <w:sz w:val="20"/>
        </w:rPr>
        <w:t xml:space="preserve">See, e.g., </w:t>
      </w:r>
      <w:bookmarkStart w:id="7268" w:name="Bookmark_I5BJGRXF2SF8GN0040000400"/>
      <w:bookmarkEnd w:id="7268"/>
      <w:r>
        <w:rPr>
          <w:rFonts w:ascii="Arial" w:eastAsia="Arial" w:hAnsi="Arial" w:cs="Arial"/>
          <w:i/>
          <w:color w:val="000000"/>
          <w:sz w:val="20"/>
        </w:rPr>
        <w:t>VBF, Inc. v. Chubb Grp. of Ins. Cos.</w:t>
      </w:r>
      <w:r>
        <w:rPr>
          <w:rFonts w:ascii="Arial" w:eastAsia="Arial" w:hAnsi="Arial" w:cs="Arial"/>
          <w:color w:val="000000"/>
          <w:sz w:val="20"/>
        </w:rPr>
        <w:t>, 263 F.3d 1226, 1229 n.2 (10th Cir. 2001) (</w:t>
      </w:r>
      <w:bookmarkStart w:id="7269" w:name="Bookmark_LNHNREFclscc4_39"/>
      <w:bookmarkEnd w:id="7269"/>
      <w:r>
        <w:rPr>
          <w:rFonts w:ascii="Arial" w:eastAsia="Arial" w:hAnsi="Arial" w:cs="Arial"/>
          <w:color w:val="000000"/>
          <w:sz w:val="20"/>
        </w:rPr>
        <w:t>a party cannot seek to have a grant of summary judgment reversed based on facts not presented to the district court). We now take each issue in turn.</w:t>
      </w:r>
    </w:p>
    <w:p w14:paraId="016BD6A5" w14:textId="77777777" w:rsidR="002D0E71" w:rsidRDefault="00000000">
      <w:pPr>
        <w:pStyle w:val="Normal46"/>
        <w:widowControl w:val="0"/>
        <w:spacing w:before="120" w:line="260" w:lineRule="atLeast"/>
      </w:pPr>
      <w:r>
        <w:rPr>
          <w:rFonts w:ascii="Arial" w:eastAsia="Arial" w:hAnsi="Arial" w:cs="Arial"/>
          <w:color w:val="000000"/>
          <w:sz w:val="20"/>
        </w:rPr>
        <w:t>A. Equitable Relief</w:t>
      </w:r>
    </w:p>
    <w:p w14:paraId="21162D84" w14:textId="77777777" w:rsidR="002D0E71" w:rsidRDefault="00000000">
      <w:pPr>
        <w:pStyle w:val="Normal46"/>
        <w:widowControl w:val="0"/>
        <w:spacing w:before="200" w:line="260" w:lineRule="atLeast"/>
        <w:jc w:val="both"/>
      </w:pPr>
      <w:bookmarkStart w:id="7270" w:name="Bookmark_para_15_40"/>
      <w:bookmarkStart w:id="7271" w:name="Bookmark_I5BJGRXF2HM6B70020000400"/>
      <w:bookmarkEnd w:id="7270"/>
      <w:bookmarkEnd w:id="7271"/>
      <w:r>
        <w:rPr>
          <w:rFonts w:ascii="Arial" w:eastAsia="Arial" w:hAnsi="Arial" w:cs="Arial"/>
          <w:color w:val="000000"/>
          <w:sz w:val="20"/>
        </w:rPr>
        <w:t xml:space="preserve">Mr. </w:t>
      </w:r>
      <w:bookmarkStart w:id="7272" w:name="Bookmark_I5BJGRXF2HM6B70040000400"/>
      <w:bookmarkEnd w:id="7272"/>
      <w:r>
        <w:rPr>
          <w:rFonts w:ascii="Arial" w:eastAsia="Arial" w:hAnsi="Arial" w:cs="Arial"/>
          <w:color w:val="000000"/>
          <w:sz w:val="20"/>
        </w:rPr>
        <w:t xml:space="preserve">Rhodes contends that he is entitled to equitable relief under the ADA and RA. He asserts the district court erred in ruling his claims for equitable relief were  [**9] moot because it was not his choice to not return to SNU; rather, he asserts he was forced by circumstances the  [*690]  school set in motion to not return against his wishes. This argument, however, does not address the fact that Mr. Rhodes has no intention of </w:t>
      </w:r>
      <w:r>
        <w:rPr>
          <w:rFonts w:ascii="Arial" w:eastAsia="Arial" w:hAnsi="Arial" w:cs="Arial"/>
          <w:i/>
          <w:color w:val="000000"/>
          <w:sz w:val="20"/>
        </w:rPr>
        <w:t>ever</w:t>
      </w:r>
      <w:r>
        <w:rPr>
          <w:rFonts w:ascii="Arial" w:eastAsia="Arial" w:hAnsi="Arial" w:cs="Arial"/>
          <w:color w:val="000000"/>
          <w:sz w:val="20"/>
        </w:rPr>
        <w:t xml:space="preserve"> returning to SNU. </w:t>
      </w:r>
      <w:bookmarkStart w:id="7273" w:name="Bookmark_LNHNREFclscc5_39"/>
      <w:bookmarkEnd w:id="7273"/>
      <w:r>
        <w:rPr>
          <w:rFonts w:ascii="Arial" w:eastAsia="Arial" w:hAnsi="Arial" w:cs="Arial"/>
          <w:color w:val="000000"/>
          <w:sz w:val="20"/>
        </w:rPr>
        <w:t xml:space="preserve">"It is a basic principle of Article III that a justiciable case or controversy must remain extant at all stages of review, not merely at the time the complaint is filed." </w:t>
      </w:r>
      <w:bookmarkStart w:id="7274" w:name="Bookmark_I5BJGRXF2HM6B70010000400"/>
      <w:bookmarkEnd w:id="7274"/>
      <w:r>
        <w:rPr>
          <w:rFonts w:ascii="Arial" w:eastAsia="Arial" w:hAnsi="Arial" w:cs="Arial"/>
          <w:i/>
          <w:color w:val="000000"/>
          <w:sz w:val="20"/>
        </w:rPr>
        <w:t>United States v. Juvenile Male</w:t>
      </w:r>
      <w:r>
        <w:rPr>
          <w:rFonts w:ascii="Arial" w:eastAsia="Arial" w:hAnsi="Arial" w:cs="Arial"/>
          <w:color w:val="000000"/>
          <w:sz w:val="20"/>
        </w:rPr>
        <w:t xml:space="preserve">, 131 S. Ct. 2860, 2864, 180 L. Ed. 2d 811 (2011) (per curiam) (internal quotation marks omitted). </w:t>
      </w:r>
      <w:bookmarkStart w:id="7275" w:name="Bookmark_I5BJGRXF2HM6B70040000400_2"/>
      <w:bookmarkStart w:id="7276" w:name="Bookmark_I5BJGRXF2D6NFH0010000400"/>
      <w:bookmarkEnd w:id="7275"/>
      <w:bookmarkEnd w:id="7276"/>
      <w:r>
        <w:rPr>
          <w:rFonts w:ascii="Arial" w:eastAsia="Arial" w:hAnsi="Arial" w:cs="Arial"/>
          <w:color w:val="000000"/>
          <w:sz w:val="20"/>
        </w:rPr>
        <w:t xml:space="preserve">And "[t]he hallmark of a moot case or controversy is that the relief sought can no longer be given or is no longer needed." </w:t>
      </w:r>
      <w:bookmarkStart w:id="7277" w:name="Bookmark_I5BJGRXF2HM6B70030000400"/>
      <w:bookmarkEnd w:id="7277"/>
      <w:r>
        <w:rPr>
          <w:rFonts w:ascii="Arial" w:eastAsia="Arial" w:hAnsi="Arial" w:cs="Arial"/>
          <w:i/>
          <w:color w:val="000000"/>
          <w:sz w:val="20"/>
        </w:rPr>
        <w:t>Martin-Trigona v. Shiff</w:t>
      </w:r>
      <w:r>
        <w:rPr>
          <w:rFonts w:ascii="Arial" w:eastAsia="Arial" w:hAnsi="Arial" w:cs="Arial"/>
          <w:color w:val="000000"/>
          <w:sz w:val="20"/>
        </w:rPr>
        <w:t xml:space="preserve">, 702 F.2d 380, 386 (2d Cir. 1983). </w:t>
      </w:r>
      <w:bookmarkStart w:id="7278" w:name="Bookmark_I5BJGRXF2D6NFH0010000400_2"/>
      <w:bookmarkEnd w:id="7278"/>
      <w:r>
        <w:rPr>
          <w:rFonts w:ascii="Arial" w:eastAsia="Arial" w:hAnsi="Arial" w:cs="Arial"/>
          <w:color w:val="000000"/>
          <w:sz w:val="20"/>
        </w:rPr>
        <w:t xml:space="preserve">In other words, the relief sought must have some effect in the real world. </w:t>
      </w:r>
      <w:bookmarkStart w:id="7279" w:name="Bookmark_I5BJGRXF2HM6B70050000400"/>
      <w:bookmarkEnd w:id="7279"/>
      <w:r>
        <w:rPr>
          <w:rFonts w:ascii="Arial" w:eastAsia="Arial" w:hAnsi="Arial" w:cs="Arial"/>
          <w:i/>
          <w:color w:val="000000"/>
          <w:sz w:val="20"/>
        </w:rPr>
        <w:t>Kennecott Utah Copper Corp. v. Becker</w:t>
      </w:r>
      <w:r>
        <w:rPr>
          <w:rFonts w:ascii="Arial" w:eastAsia="Arial" w:hAnsi="Arial" w:cs="Arial"/>
          <w:color w:val="000000"/>
          <w:sz w:val="20"/>
        </w:rPr>
        <w:t>, 186 F.3d 1261, 1266 (10th Cir. 1999).</w:t>
      </w:r>
    </w:p>
    <w:p w14:paraId="6ADCF5EC" w14:textId="77777777" w:rsidR="002D0E71" w:rsidRDefault="00000000">
      <w:pPr>
        <w:pStyle w:val="Normal46"/>
        <w:widowControl w:val="0"/>
        <w:spacing w:before="200" w:line="260" w:lineRule="atLeast"/>
        <w:jc w:val="both"/>
      </w:pPr>
      <w:bookmarkStart w:id="7280" w:name="Bookmark_para_16_39"/>
      <w:bookmarkEnd w:id="7280"/>
      <w:r>
        <w:rPr>
          <w:rFonts w:ascii="Arial" w:eastAsia="Arial" w:hAnsi="Arial" w:cs="Arial"/>
          <w:color w:val="000000"/>
          <w:sz w:val="20"/>
        </w:rPr>
        <w:t xml:space="preserve">Here, it is without dispute that Mr. Rhodes has not attended SNU since his emergency suspension in 2009 and, by the time this litigation commenced, had no intention of returning to the school despite being in good standing. </w:t>
      </w:r>
      <w:r>
        <w:rPr>
          <w:rFonts w:ascii="Arial" w:eastAsia="Arial" w:hAnsi="Arial" w:cs="Arial"/>
          <w:i/>
          <w:color w:val="000000"/>
          <w:sz w:val="20"/>
        </w:rPr>
        <w:t>See</w:t>
      </w:r>
      <w:r>
        <w:rPr>
          <w:rFonts w:ascii="Arial" w:eastAsia="Arial" w:hAnsi="Arial" w:cs="Arial"/>
          <w:color w:val="000000"/>
          <w:sz w:val="20"/>
        </w:rPr>
        <w:t xml:space="preserve"> Aplee. </w:t>
      </w:r>
      <w:bookmarkStart w:id="7281" w:name="Bookmark_I0BBSR5FRFX00109RT40035Y"/>
      <w:bookmarkStart w:id="7282" w:name="Bookmark_I5BJGRXF2D6NFH0030000400"/>
      <w:bookmarkEnd w:id="7281"/>
      <w:bookmarkEnd w:id="7282"/>
      <w:r>
        <w:rPr>
          <w:rFonts w:ascii="Arial" w:eastAsia="Arial" w:hAnsi="Arial" w:cs="Arial"/>
          <w:color w:val="000000"/>
          <w:sz w:val="20"/>
        </w:rPr>
        <w:t xml:space="preserve">Supp. App. Vol. Ill at 1132, 1245. Because he no longer intends to ever attend  [**10] SNU, Mr. Rhodes is not susceptible to continued injury. As such, there is no current dispute presented that is "definite, concrete, and </w:t>
      </w:r>
      <w:r>
        <w:rPr>
          <w:rFonts w:ascii="Arial" w:eastAsia="Arial" w:hAnsi="Arial" w:cs="Arial"/>
          <w:i/>
          <w:color w:val="000000"/>
          <w:sz w:val="20"/>
        </w:rPr>
        <w:t>amenable to specific relief</w:t>
      </w:r>
      <w:r>
        <w:rPr>
          <w:rFonts w:ascii="Arial" w:eastAsia="Arial" w:hAnsi="Arial" w:cs="Arial"/>
          <w:color w:val="000000"/>
          <w:sz w:val="20"/>
        </w:rPr>
        <w:t xml:space="preserve">," as required by law. </w:t>
      </w:r>
      <w:bookmarkStart w:id="7283" w:name="Bookmark_I5BJGRXF2D6NFH0020000400"/>
      <w:bookmarkEnd w:id="7283"/>
      <w:r>
        <w:rPr>
          <w:rFonts w:ascii="Arial" w:eastAsia="Arial" w:hAnsi="Arial" w:cs="Arial"/>
          <w:i/>
          <w:color w:val="000000"/>
          <w:sz w:val="20"/>
        </w:rPr>
        <w:t>Jordan v. Sosa</w:t>
      </w:r>
      <w:r>
        <w:rPr>
          <w:rFonts w:ascii="Arial" w:eastAsia="Arial" w:hAnsi="Arial" w:cs="Arial"/>
          <w:color w:val="000000"/>
          <w:sz w:val="20"/>
        </w:rPr>
        <w:t>, 654 F.3d 1012, 1024 (10th Cir. 2011) (internal quotation marks omitted). Accordingly, the district court did not err in dismissing Mr. Rhodes' claims for equitable relief as moot.</w:t>
      </w:r>
    </w:p>
    <w:p w14:paraId="39D34354" w14:textId="77777777" w:rsidR="002D0E71" w:rsidRDefault="00000000">
      <w:pPr>
        <w:pStyle w:val="Normal46"/>
        <w:widowControl w:val="0"/>
        <w:spacing w:before="120" w:line="260" w:lineRule="atLeast"/>
      </w:pPr>
      <w:r>
        <w:rPr>
          <w:rFonts w:ascii="Arial" w:eastAsia="Arial" w:hAnsi="Arial" w:cs="Arial"/>
          <w:color w:val="000000"/>
          <w:sz w:val="20"/>
        </w:rPr>
        <w:t>B. Emotional Distress</w:t>
      </w:r>
    </w:p>
    <w:p w14:paraId="78CAAEA0" w14:textId="77777777" w:rsidR="002D0E71" w:rsidRDefault="00000000">
      <w:pPr>
        <w:pStyle w:val="Normal46"/>
        <w:widowControl w:val="0"/>
        <w:spacing w:before="200" w:line="260" w:lineRule="atLeast"/>
        <w:jc w:val="both"/>
      </w:pPr>
      <w:bookmarkStart w:id="7284" w:name="Bookmark_para_17_37"/>
      <w:bookmarkEnd w:id="7284"/>
      <w:r>
        <w:rPr>
          <w:rFonts w:ascii="Arial" w:eastAsia="Arial" w:hAnsi="Arial" w:cs="Arial"/>
          <w:color w:val="000000"/>
          <w:sz w:val="20"/>
        </w:rPr>
        <w:t xml:space="preserve">Mr. </w:t>
      </w:r>
      <w:bookmarkStart w:id="7285" w:name="Bookmark_I5BJGRXF2D6NFH0050000400"/>
      <w:bookmarkEnd w:id="7285"/>
      <w:r>
        <w:rPr>
          <w:rFonts w:ascii="Arial" w:eastAsia="Arial" w:hAnsi="Arial" w:cs="Arial"/>
          <w:color w:val="000000"/>
          <w:sz w:val="20"/>
        </w:rPr>
        <w:t xml:space="preserve">Rhodes also argues the district court erred when it ruled that emotional distress damages under the ADA and RA are not recoverable. We can dismiss at the outset Mr. Rhodes' contention about the ADA because he brought his claims under </w:t>
      </w:r>
      <w:bookmarkStart w:id="7286" w:name="Bookmark_LNHNREFclscc6_38"/>
      <w:bookmarkEnd w:id="7286"/>
      <w:r>
        <w:rPr>
          <w:rFonts w:ascii="Arial" w:eastAsia="Arial" w:hAnsi="Arial" w:cs="Arial"/>
          <w:color w:val="000000"/>
          <w:sz w:val="20"/>
        </w:rPr>
        <w:t xml:space="preserve">Title III of that Act, which provides for only injunctive relief and not compensatory damages. </w:t>
      </w:r>
      <w:bookmarkStart w:id="7287" w:name="Bookmark_I5BJGRXF28T4TK0020000400"/>
      <w:bookmarkEnd w:id="7287"/>
      <w:r>
        <w:rPr>
          <w:rFonts w:ascii="Arial" w:eastAsia="Arial" w:hAnsi="Arial" w:cs="Arial"/>
          <w:i/>
          <w:color w:val="000000"/>
          <w:sz w:val="20"/>
        </w:rPr>
        <w:t>See</w:t>
      </w:r>
      <w:r>
        <w:rPr>
          <w:rFonts w:ascii="Arial" w:eastAsia="Arial" w:hAnsi="Arial" w:cs="Arial"/>
          <w:color w:val="000000"/>
          <w:sz w:val="20"/>
        </w:rPr>
        <w:t xml:space="preserve"> 42 U.S.C. § 12188(a)(1); </w:t>
      </w:r>
      <w:bookmarkStart w:id="7288" w:name="Bookmark_I5BJGRXF2D6NFH0040000400"/>
      <w:bookmarkEnd w:id="7288"/>
      <w:r>
        <w:rPr>
          <w:rFonts w:ascii="Arial" w:eastAsia="Arial" w:hAnsi="Arial" w:cs="Arial"/>
          <w:i/>
          <w:color w:val="000000"/>
          <w:sz w:val="20"/>
        </w:rPr>
        <w:t>Powell v. Nat'l Bd. of Med. Exam 'rs</w:t>
      </w:r>
      <w:r>
        <w:rPr>
          <w:rFonts w:ascii="Arial" w:eastAsia="Arial" w:hAnsi="Arial" w:cs="Arial"/>
          <w:color w:val="000000"/>
          <w:sz w:val="20"/>
        </w:rPr>
        <w:t xml:space="preserve">, 364 F.3d 79, 86 (2d Cir. 2004) ("A private individual may only obtain injunctive relief for violations of a right granted under Title III; he cannot recover damages."). </w:t>
      </w:r>
      <w:bookmarkStart w:id="7289" w:name="Bookmark_I5BJGRXF28T4TK0020000400_2"/>
      <w:bookmarkEnd w:id="7289"/>
      <w:r>
        <w:rPr>
          <w:rFonts w:ascii="Arial" w:eastAsia="Arial" w:hAnsi="Arial" w:cs="Arial"/>
          <w:color w:val="000000"/>
          <w:sz w:val="20"/>
        </w:rPr>
        <w:t xml:space="preserve">As to the RA, this court has not ruled whether emotional distress damages are available under § 504 of the RA. But we have no occasion to do so here, because </w:t>
      </w:r>
      <w:bookmarkStart w:id="7290" w:name="Bookmark_LNHNREFclscc7_36"/>
      <w:bookmarkEnd w:id="7290"/>
      <w:r>
        <w:rPr>
          <w:rFonts w:ascii="Arial" w:eastAsia="Arial" w:hAnsi="Arial" w:cs="Arial"/>
          <w:color w:val="000000"/>
          <w:sz w:val="20"/>
        </w:rPr>
        <w:t xml:space="preserve">even if this court did determine that emotional damages are available under  [**11] § 504, such damages would only be available in cases of intentional discrimination. </w:t>
      </w:r>
      <w:r>
        <w:rPr>
          <w:rFonts w:ascii="Arial" w:eastAsia="Arial" w:hAnsi="Arial" w:cs="Arial"/>
          <w:i/>
          <w:color w:val="000000"/>
          <w:sz w:val="20"/>
        </w:rPr>
        <w:t xml:space="preserve">See </w:t>
      </w:r>
      <w:bookmarkStart w:id="7291" w:name="Bookmark_I5BJGRXF28T4TK0010000400"/>
      <w:bookmarkEnd w:id="7291"/>
      <w:r>
        <w:rPr>
          <w:rFonts w:ascii="Arial" w:eastAsia="Arial" w:hAnsi="Arial" w:cs="Arial"/>
          <w:i/>
          <w:color w:val="000000"/>
          <w:sz w:val="20"/>
        </w:rPr>
        <w:t>Franklin v. Gwinnett Cnty. Pub. Sch.</w:t>
      </w:r>
      <w:r>
        <w:rPr>
          <w:rFonts w:ascii="Arial" w:eastAsia="Arial" w:hAnsi="Arial" w:cs="Arial"/>
          <w:color w:val="000000"/>
          <w:sz w:val="20"/>
        </w:rPr>
        <w:t xml:space="preserve">, 503 U.S. 60, 74, 112 S. Ct. 1028, 117 L. Ed. 2d 208 (1992) (remedies are limited under Spending Clause statutes [like the RA] "when the alleged violation was </w:t>
      </w:r>
      <w:r>
        <w:rPr>
          <w:rFonts w:ascii="Arial" w:eastAsia="Arial" w:hAnsi="Arial" w:cs="Arial"/>
          <w:i/>
          <w:color w:val="000000"/>
          <w:sz w:val="20"/>
        </w:rPr>
        <w:t>unintentional</w:t>
      </w:r>
      <w:r>
        <w:rPr>
          <w:rFonts w:ascii="Arial" w:eastAsia="Arial" w:hAnsi="Arial" w:cs="Arial"/>
          <w:color w:val="000000"/>
          <w:sz w:val="20"/>
        </w:rPr>
        <w:t xml:space="preserve">"); </w:t>
      </w:r>
      <w:r>
        <w:rPr>
          <w:rFonts w:ascii="Arial" w:eastAsia="Arial" w:hAnsi="Arial" w:cs="Arial"/>
          <w:i/>
          <w:color w:val="000000"/>
          <w:sz w:val="20"/>
        </w:rPr>
        <w:t xml:space="preserve">see also </w:t>
      </w:r>
      <w:bookmarkStart w:id="7292" w:name="Bookmark_I5BJGRXF28T4TK0030000400"/>
      <w:bookmarkEnd w:id="7292"/>
      <w:r>
        <w:rPr>
          <w:rFonts w:ascii="Arial" w:eastAsia="Arial" w:hAnsi="Arial" w:cs="Arial"/>
          <w:i/>
          <w:color w:val="000000"/>
          <w:sz w:val="20"/>
        </w:rPr>
        <w:t>Sheely</w:t>
      </w:r>
      <w:r>
        <w:rPr>
          <w:rFonts w:ascii="Arial" w:eastAsia="Arial" w:hAnsi="Arial" w:cs="Arial"/>
          <w:color w:val="000000"/>
          <w:sz w:val="20"/>
        </w:rPr>
        <w:t>, 505 F.3d at 1198.</w:t>
      </w:r>
    </w:p>
    <w:p w14:paraId="129A2A69" w14:textId="77777777" w:rsidR="002D0E71" w:rsidRDefault="00000000">
      <w:pPr>
        <w:pStyle w:val="Normal46"/>
        <w:widowControl w:val="0"/>
        <w:spacing w:before="200" w:line="260" w:lineRule="atLeast"/>
        <w:jc w:val="both"/>
      </w:pPr>
      <w:bookmarkStart w:id="7293" w:name="Bookmark_para_18_37"/>
      <w:bookmarkEnd w:id="7293"/>
      <w:r>
        <w:rPr>
          <w:rFonts w:ascii="Arial" w:eastAsia="Arial" w:hAnsi="Arial" w:cs="Arial"/>
          <w:color w:val="000000"/>
          <w:sz w:val="20"/>
        </w:rPr>
        <w:t>Here, nothing in the record supports Mr. Rhodes' allegations of intentional discrimination. Each time the school denied an accommodation request it was because Mr. Rhodes did not provide supporting medical documentation; when he did provide documentation supporting a particular request, SNU quickly granted it. In sum, as the district court correctly noted, Mr. Rhodes did not identify a single accommodation to which he was entitled but denied. The district court did not err when it determined he could not recover emotional distress damages.</w:t>
      </w:r>
    </w:p>
    <w:p w14:paraId="3F59C268" w14:textId="77777777" w:rsidR="002D0E71" w:rsidRDefault="00000000">
      <w:pPr>
        <w:pStyle w:val="Normal46"/>
        <w:widowControl w:val="0"/>
        <w:spacing w:before="120" w:line="260" w:lineRule="atLeast"/>
      </w:pPr>
      <w:r>
        <w:rPr>
          <w:rFonts w:ascii="Arial" w:eastAsia="Arial" w:hAnsi="Arial" w:cs="Arial"/>
          <w:color w:val="000000"/>
          <w:sz w:val="20"/>
        </w:rPr>
        <w:t>C. Alternate Grounds</w:t>
      </w:r>
    </w:p>
    <w:p w14:paraId="7183D576" w14:textId="77777777" w:rsidR="002D0E71" w:rsidRDefault="00000000">
      <w:pPr>
        <w:pStyle w:val="Normal46"/>
        <w:widowControl w:val="0"/>
        <w:spacing w:before="200" w:line="260" w:lineRule="atLeast"/>
        <w:jc w:val="both"/>
      </w:pPr>
      <w:bookmarkStart w:id="7294" w:name="Bookmark_para_19_37"/>
      <w:bookmarkEnd w:id="7294"/>
      <w:r>
        <w:rPr>
          <w:rFonts w:ascii="Arial" w:eastAsia="Arial" w:hAnsi="Arial" w:cs="Arial"/>
          <w:color w:val="000000"/>
          <w:sz w:val="20"/>
        </w:rPr>
        <w:t xml:space="preserve">We also discern no error in the district court's alternate grounds for granting summary judgment. To the extent Mr. Rhodes' claims are based on events that occurred before January 21, 2009—and many, though not all, are—such claims are time-barred by Oklahoma's two-year statute of limitations. </w:t>
      </w:r>
      <w:r>
        <w:rPr>
          <w:rFonts w:ascii="Arial" w:eastAsia="Arial" w:hAnsi="Arial" w:cs="Arial"/>
          <w:i/>
          <w:color w:val="000000"/>
          <w:sz w:val="20"/>
        </w:rPr>
        <w:t>See</w:t>
      </w:r>
      <w:r>
        <w:rPr>
          <w:rFonts w:ascii="Arial" w:eastAsia="Arial" w:hAnsi="Arial" w:cs="Arial"/>
          <w:color w:val="000000"/>
          <w:sz w:val="20"/>
        </w:rPr>
        <w:t xml:space="preserve"> </w:t>
      </w:r>
      <w:r>
        <w:rPr>
          <w:rFonts w:ascii="Arial" w:eastAsia="Arial" w:hAnsi="Arial" w:cs="Arial"/>
          <w:smallCaps/>
          <w:color w:val="000000"/>
          <w:sz w:val="20"/>
        </w:rPr>
        <w:t>Okla. Stat. Ann.</w:t>
      </w:r>
      <w:r>
        <w:rPr>
          <w:rFonts w:ascii="Arial" w:eastAsia="Arial" w:hAnsi="Arial" w:cs="Arial"/>
          <w:color w:val="000000"/>
          <w:sz w:val="20"/>
        </w:rPr>
        <w:t xml:space="preserve"> tit. 12, § 95(3)  [*691]  (2009).  [**12] Mr. Rhodes did not bring his lawsuit until January 21, 2011, and his contention that he was not aware of the school's failure to accommodate him until May 2009 is undermined by voluminous record evidence.</w:t>
      </w:r>
    </w:p>
    <w:p w14:paraId="69A10D38" w14:textId="77777777" w:rsidR="002D0E71" w:rsidRDefault="00000000">
      <w:pPr>
        <w:pStyle w:val="Normal46"/>
        <w:widowControl w:val="0"/>
        <w:spacing w:before="200" w:line="260" w:lineRule="atLeast"/>
        <w:jc w:val="both"/>
      </w:pPr>
      <w:bookmarkStart w:id="7295" w:name="Bookmark_para_20_35"/>
      <w:bookmarkStart w:id="7296" w:name="Bookmark_I5BJGRXF2D6NFJ0010000400"/>
      <w:bookmarkEnd w:id="7295"/>
      <w:bookmarkEnd w:id="7296"/>
      <w:r>
        <w:rPr>
          <w:rFonts w:ascii="Arial" w:eastAsia="Arial" w:hAnsi="Arial" w:cs="Arial"/>
          <w:color w:val="000000"/>
          <w:sz w:val="20"/>
        </w:rPr>
        <w:t xml:space="preserve">Further, as noted above, Mr. Rhodes failed to produce evidence that he was denied reasonable accommodations to which he was entitled and thus summary judgment was appropriate on his failure-to-accommodate claim. </w:t>
      </w:r>
      <w:bookmarkStart w:id="7297" w:name="Bookmark_I0BBSR5FYVG00109RT400361"/>
      <w:bookmarkStart w:id="7298" w:name="Bookmark_I5BJGRXF2D6NFJ0030000400"/>
      <w:bookmarkEnd w:id="7297"/>
      <w:bookmarkEnd w:id="7298"/>
      <w:r>
        <w:rPr>
          <w:rFonts w:ascii="Arial" w:eastAsia="Arial" w:hAnsi="Arial" w:cs="Arial"/>
          <w:i/>
          <w:color w:val="000000"/>
          <w:sz w:val="20"/>
        </w:rPr>
        <w:t xml:space="preserve">See </w:t>
      </w:r>
      <w:bookmarkStart w:id="7299" w:name="Bookmark_I5BJGRXF28T4TK0050000400"/>
      <w:bookmarkEnd w:id="7299"/>
      <w:r>
        <w:rPr>
          <w:rFonts w:ascii="Arial" w:eastAsia="Arial" w:hAnsi="Arial" w:cs="Arial"/>
          <w:i/>
          <w:color w:val="000000"/>
          <w:sz w:val="20"/>
        </w:rPr>
        <w:t>Mershon v. St. Louis Univ.</w:t>
      </w:r>
      <w:r>
        <w:rPr>
          <w:rFonts w:ascii="Arial" w:eastAsia="Arial" w:hAnsi="Arial" w:cs="Arial"/>
          <w:color w:val="000000"/>
          <w:sz w:val="20"/>
        </w:rPr>
        <w:t>, 442 F.3d 1069, 1076 (8th Cir. 2006) (</w:t>
      </w:r>
      <w:bookmarkStart w:id="7300" w:name="Bookmark_LNHNREFclscc8_35"/>
      <w:bookmarkEnd w:id="7300"/>
      <w:r>
        <w:rPr>
          <w:rFonts w:ascii="Arial" w:eastAsia="Arial" w:hAnsi="Arial" w:cs="Arial"/>
          <w:color w:val="000000"/>
          <w:sz w:val="20"/>
        </w:rPr>
        <w:t xml:space="preserve">a plaintiff alleging a failure-to-accommodate claim must establish, among other elements, that the defendant failed to make reasonable modifications to accommodate the plaintiff's disabilities). Mr. Rhodes argues that when a doctor is unaware of the specific accommodations a school can provide and hence gives the school only a summary of the patient's conditions, the school should contact the doctor to clarify whether the patient qualifies for a particular accommodation request if it is not clear. </w:t>
      </w:r>
      <w:bookmarkStart w:id="7301" w:name="Bookmark_I5BJGRXF2D6NFJ0030000400_2"/>
      <w:bookmarkEnd w:id="7301"/>
      <w:r>
        <w:rPr>
          <w:rFonts w:ascii="Arial" w:eastAsia="Arial" w:hAnsi="Arial" w:cs="Arial"/>
          <w:color w:val="000000"/>
          <w:sz w:val="20"/>
        </w:rPr>
        <w:t xml:space="preserve">But Mr. Rhodes had the initial burden to establish that his requests were facially reasonable, </w:t>
      </w:r>
      <w:r>
        <w:rPr>
          <w:rFonts w:ascii="Arial" w:eastAsia="Arial" w:hAnsi="Arial" w:cs="Arial"/>
          <w:i/>
          <w:color w:val="000000"/>
          <w:sz w:val="20"/>
        </w:rPr>
        <w:t xml:space="preserve">see </w:t>
      </w:r>
      <w:bookmarkStart w:id="7302" w:name="Bookmark_I5BJGRXF2D6NFJ0020000400"/>
      <w:bookmarkEnd w:id="7302"/>
      <w:r>
        <w:rPr>
          <w:rFonts w:ascii="Arial" w:eastAsia="Arial" w:hAnsi="Arial" w:cs="Arial"/>
          <w:i/>
          <w:color w:val="000000"/>
          <w:sz w:val="20"/>
        </w:rPr>
        <w:t>Hennagir v. Utah Dep't of Corr.</w:t>
      </w:r>
      <w:r>
        <w:rPr>
          <w:rFonts w:ascii="Arial" w:eastAsia="Arial" w:hAnsi="Arial" w:cs="Arial"/>
          <w:color w:val="000000"/>
          <w:sz w:val="20"/>
        </w:rPr>
        <w:t xml:space="preserve">, 587 F.3d 1255, 1264 (10th Cir. 2009), and the record evidence suggests that many  [**13] were not. For example, his requests for receiving syllabi and course materials six weeks in advance of the class beginning were not reasonable considering that each course module was five weeks long. This meant that in order for SNU to accommodate Mr. Rhodes' request, the school would have to know the course syllabus and possess the course materials before the </w:t>
      </w:r>
      <w:r>
        <w:rPr>
          <w:rFonts w:ascii="Arial" w:eastAsia="Arial" w:hAnsi="Arial" w:cs="Arial"/>
          <w:i/>
          <w:color w:val="000000"/>
          <w:sz w:val="20"/>
        </w:rPr>
        <w:t>previous</w:t>
      </w:r>
      <w:r>
        <w:rPr>
          <w:rFonts w:ascii="Arial" w:eastAsia="Arial" w:hAnsi="Arial" w:cs="Arial"/>
          <w:color w:val="000000"/>
          <w:sz w:val="20"/>
        </w:rPr>
        <w:t xml:space="preserve"> module even began.</w:t>
      </w:r>
    </w:p>
    <w:p w14:paraId="62851933" w14:textId="77777777" w:rsidR="002D0E71" w:rsidRDefault="00000000">
      <w:pPr>
        <w:pStyle w:val="Normal46"/>
        <w:widowControl w:val="0"/>
        <w:spacing w:before="200" w:line="260" w:lineRule="atLeast"/>
        <w:jc w:val="both"/>
      </w:pPr>
      <w:bookmarkStart w:id="7303" w:name="Bookmark_para_21_34"/>
      <w:bookmarkEnd w:id="7303"/>
      <w:r>
        <w:rPr>
          <w:rFonts w:ascii="Arial" w:eastAsia="Arial" w:hAnsi="Arial" w:cs="Arial"/>
          <w:color w:val="000000"/>
          <w:sz w:val="20"/>
        </w:rPr>
        <w:t>Nevertheless, to the extent that Mr. Rhodes' requests were reasonable, the evidence demonstrates the school reasonably accommodated such requests. For instance, the school provided Mr. Rhodes visual aids and course materials in advance when they were available. And although the school did not grant his request for a note taker—a request for which there was no specific medical support—it offered Mr. Rhodes the right to record classes on a tape recorder. In short, Mr. Rhodes does not identify a single reasonable request that SNU did not reasonably accommodate.</w:t>
      </w:r>
    </w:p>
    <w:p w14:paraId="27249D09" w14:textId="77777777" w:rsidR="002D0E71" w:rsidRDefault="00000000">
      <w:pPr>
        <w:pStyle w:val="Normal46"/>
        <w:widowControl w:val="0"/>
        <w:spacing w:before="200" w:line="260" w:lineRule="atLeast"/>
        <w:jc w:val="both"/>
      </w:pPr>
      <w:bookmarkStart w:id="7304" w:name="Bookmark_para_22_34"/>
      <w:bookmarkStart w:id="7305" w:name="Bookmark_I5BJGRXF2D6NFJ0050000400"/>
      <w:bookmarkEnd w:id="7304"/>
      <w:bookmarkEnd w:id="7305"/>
      <w:r>
        <w:rPr>
          <w:rFonts w:ascii="Arial" w:eastAsia="Arial" w:hAnsi="Arial" w:cs="Arial"/>
          <w:color w:val="000000"/>
          <w:sz w:val="20"/>
        </w:rPr>
        <w:t xml:space="preserve">Finally, in contrast to the evidence SNU provided that its disciplinary decisions were justified due to Mr. Rhodes' frantic and at times aggressive communications, Mr. Rhodes failed to provide any evidence that SNU's reasons for suspending him and  [**14] putting him on probation were merely pretext for discrimination. </w:t>
      </w:r>
      <w:r>
        <w:rPr>
          <w:rFonts w:ascii="Arial" w:eastAsia="Arial" w:hAnsi="Arial" w:cs="Arial"/>
          <w:i/>
          <w:color w:val="000000"/>
          <w:sz w:val="20"/>
        </w:rPr>
        <w:t xml:space="preserve">See </w:t>
      </w:r>
      <w:bookmarkStart w:id="7306" w:name="Bookmark_I5BJGRXF2D6NFJ0040000400"/>
      <w:bookmarkEnd w:id="7306"/>
      <w:r>
        <w:rPr>
          <w:rFonts w:ascii="Arial" w:eastAsia="Arial" w:hAnsi="Arial" w:cs="Arial"/>
          <w:i/>
          <w:color w:val="000000"/>
          <w:sz w:val="20"/>
        </w:rPr>
        <w:t>Mershon</w:t>
      </w:r>
      <w:r>
        <w:rPr>
          <w:rFonts w:ascii="Arial" w:eastAsia="Arial" w:hAnsi="Arial" w:cs="Arial"/>
          <w:color w:val="000000"/>
          <w:sz w:val="20"/>
        </w:rPr>
        <w:t>, 442 F.3d at 1074 (</w:t>
      </w:r>
      <w:bookmarkStart w:id="7307" w:name="Bookmark_LNHNREFclscc9_33"/>
      <w:bookmarkEnd w:id="7307"/>
      <w:r>
        <w:rPr>
          <w:rFonts w:ascii="Arial" w:eastAsia="Arial" w:hAnsi="Arial" w:cs="Arial"/>
          <w:color w:val="000000"/>
          <w:sz w:val="20"/>
        </w:rPr>
        <w:t xml:space="preserve">retaliation claim requires showing that the defendant's stated reasons for its actions were pretextual). SNU admitted only that it found no evidence that Mr. Rhodes </w:t>
      </w:r>
      <w:r>
        <w:rPr>
          <w:rFonts w:ascii="Arial" w:eastAsia="Arial" w:hAnsi="Arial" w:cs="Arial"/>
          <w:i/>
          <w:color w:val="000000"/>
          <w:sz w:val="20"/>
        </w:rPr>
        <w:t>directly</w:t>
      </w:r>
      <w:r>
        <w:rPr>
          <w:rFonts w:ascii="Arial" w:eastAsia="Arial" w:hAnsi="Arial" w:cs="Arial"/>
          <w:color w:val="000000"/>
          <w:sz w:val="20"/>
        </w:rPr>
        <w:t xml:space="preserve"> or </w:t>
      </w:r>
      <w:r>
        <w:rPr>
          <w:rFonts w:ascii="Arial" w:eastAsia="Arial" w:hAnsi="Arial" w:cs="Arial"/>
          <w:i/>
          <w:color w:val="000000"/>
          <w:sz w:val="20"/>
        </w:rPr>
        <w:t>overtly</w:t>
      </w:r>
      <w:r>
        <w:rPr>
          <w:rFonts w:ascii="Arial" w:eastAsia="Arial" w:hAnsi="Arial" w:cs="Arial"/>
          <w:color w:val="000000"/>
          <w:sz w:val="20"/>
        </w:rPr>
        <w:t xml:space="preserve"> attempted to threaten faculty; the school has always maintained that he still violated the school conduct code for harassment and creating disturbances, which the record supports. Therefore, the district court did not err in granting summary judgment on Mr. Rhodes' retaliation claim.</w:t>
      </w:r>
    </w:p>
    <w:p w14:paraId="42A91E23" w14:textId="77777777" w:rsidR="002D0E71" w:rsidRDefault="00000000">
      <w:pPr>
        <w:pStyle w:val="Normal46"/>
        <w:widowControl w:val="0"/>
        <w:spacing w:before="200" w:line="260" w:lineRule="atLeast"/>
        <w:jc w:val="both"/>
      </w:pPr>
      <w:bookmarkStart w:id="7308" w:name="Bookmark_para_23_33"/>
      <w:bookmarkEnd w:id="7308"/>
      <w:r>
        <w:rPr>
          <w:rFonts w:ascii="Arial" w:eastAsia="Arial" w:hAnsi="Arial" w:cs="Arial"/>
          <w:color w:val="000000"/>
          <w:sz w:val="20"/>
        </w:rPr>
        <w:t>The judgment of the district court is affirmed. Mr. Rhodes' motions to supplement the record, to appoint him an attorney, and for a court subpoena are denied.</w:t>
      </w:r>
    </w:p>
    <w:p w14:paraId="6CF60392" w14:textId="77777777" w:rsidR="002D0E71" w:rsidRDefault="00000000">
      <w:pPr>
        <w:pStyle w:val="Normal46"/>
        <w:widowControl w:val="0"/>
        <w:spacing w:before="200" w:line="260" w:lineRule="atLeast"/>
        <w:jc w:val="both"/>
      </w:pPr>
      <w:bookmarkStart w:id="7309" w:name="Bookmark_para_24_33"/>
      <w:bookmarkEnd w:id="7309"/>
      <w:r>
        <w:rPr>
          <w:rFonts w:ascii="Arial" w:eastAsia="Arial" w:hAnsi="Arial" w:cs="Arial"/>
          <w:color w:val="000000"/>
          <w:sz w:val="20"/>
        </w:rPr>
        <w:t>Entered for the Court</w:t>
      </w:r>
    </w:p>
    <w:p w14:paraId="34F3F698" w14:textId="77777777" w:rsidR="002D0E71" w:rsidRDefault="00000000">
      <w:pPr>
        <w:pStyle w:val="Normal46"/>
        <w:widowControl w:val="0"/>
        <w:spacing w:before="200" w:line="260" w:lineRule="atLeast"/>
        <w:jc w:val="both"/>
      </w:pPr>
      <w:bookmarkStart w:id="7310" w:name="Bookmark_para_25_33"/>
      <w:bookmarkEnd w:id="7310"/>
      <w:r>
        <w:rPr>
          <w:rFonts w:ascii="Arial" w:eastAsia="Arial" w:hAnsi="Arial" w:cs="Arial"/>
          <w:color w:val="000000"/>
          <w:sz w:val="20"/>
        </w:rPr>
        <w:t>Wade Brorby</w:t>
      </w:r>
    </w:p>
    <w:p w14:paraId="0E47F71E" w14:textId="77777777" w:rsidR="002D0E71" w:rsidRDefault="00000000">
      <w:pPr>
        <w:pStyle w:val="Normal46"/>
        <w:widowControl w:val="0"/>
        <w:spacing w:before="200" w:line="260" w:lineRule="atLeast"/>
        <w:jc w:val="both"/>
      </w:pPr>
      <w:bookmarkStart w:id="7311" w:name="Bookmark_para_26_32"/>
      <w:bookmarkEnd w:id="7311"/>
      <w:r>
        <w:rPr>
          <w:rFonts w:ascii="Arial" w:eastAsia="Arial" w:hAnsi="Arial" w:cs="Arial"/>
          <w:color w:val="000000"/>
          <w:sz w:val="20"/>
        </w:rPr>
        <w:t>Senior Circuit Judge</w:t>
      </w:r>
    </w:p>
    <w:p w14:paraId="79E001D4" w14:textId="77777777" w:rsidR="002D0E71" w:rsidRDefault="002D0E71">
      <w:pPr>
        <w:pStyle w:val="Normal46"/>
      </w:pPr>
    </w:p>
    <w:p w14:paraId="21B30A3E" w14:textId="750E48C2" w:rsidR="002D0E71" w:rsidRDefault="00000000">
      <w:pPr>
        <w:pStyle w:val="Normal46"/>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59616" behindDoc="0" locked="0" layoutInCell="1" allowOverlap="1" wp14:anchorId="40DE6006" wp14:editId="6A3B03D1">
                <wp:simplePos x="0" y="0"/>
                <wp:positionH relativeFrom="column">
                  <wp:posOffset>0</wp:posOffset>
                </wp:positionH>
                <wp:positionV relativeFrom="paragraph">
                  <wp:posOffset>127000</wp:posOffset>
                </wp:positionV>
                <wp:extent cx="6502400" cy="0"/>
                <wp:effectExtent l="9525" t="12700" r="12700" b="6350"/>
                <wp:wrapNone/>
                <wp:docPr id="127067350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0CB52A" id="Line 105"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C9CB979" w14:textId="77777777" w:rsidR="002D0E71" w:rsidRDefault="002D0E71">
      <w:pPr>
        <w:pStyle w:val="Normal47"/>
        <w:sectPr w:rsidR="002D0E71">
          <w:headerReference w:type="even" r:id="rId293"/>
          <w:headerReference w:type="default" r:id="rId294"/>
          <w:footerReference w:type="even" r:id="rId295"/>
          <w:footerReference w:type="default" r:id="rId296"/>
          <w:headerReference w:type="first" r:id="rId297"/>
          <w:footerReference w:type="first" r:id="rId298"/>
          <w:pgSz w:w="12240" w:h="15840"/>
          <w:pgMar w:top="840" w:right="1000" w:bottom="840" w:left="1000" w:header="400" w:footer="400" w:gutter="0"/>
          <w:cols w:space="720"/>
          <w:titlePg/>
        </w:sectPr>
      </w:pPr>
    </w:p>
    <w:p w14:paraId="538445B3" w14:textId="77777777" w:rsidR="002D0E71" w:rsidRDefault="002D0E71">
      <w:pPr>
        <w:pStyle w:val="Normal47"/>
      </w:pPr>
    </w:p>
    <w:p w14:paraId="1472CFDA" w14:textId="77777777" w:rsidR="002D0E71" w:rsidRDefault="00000000">
      <w:pPr>
        <w:pStyle w:val="Heading146"/>
        <w:keepNext w:val="0"/>
        <w:widowControl w:val="0"/>
        <w:spacing w:after="200" w:line="340" w:lineRule="atLeast"/>
        <w:jc w:val="center"/>
      </w:pPr>
      <w:r>
        <w:rPr>
          <w:rFonts w:eastAsia="Arial"/>
          <w:color w:val="000000"/>
          <w:sz w:val="28"/>
        </w:rPr>
        <w:t>Fernandez v. Frank</w:t>
      </w:r>
    </w:p>
    <w:p w14:paraId="139CA049" w14:textId="77777777" w:rsidR="002D0E71" w:rsidRDefault="00000000">
      <w:pPr>
        <w:pStyle w:val="Normal47"/>
        <w:widowControl w:val="0"/>
        <w:spacing w:before="120" w:line="260" w:lineRule="atLeast"/>
        <w:jc w:val="center"/>
      </w:pPr>
      <w:r>
        <w:rPr>
          <w:rFonts w:ascii="Arial" w:eastAsia="Arial" w:hAnsi="Arial" w:cs="Arial"/>
          <w:color w:val="000000"/>
          <w:sz w:val="20"/>
        </w:rPr>
        <w:t>United States Court of Appeals for the Ninth Circuit</w:t>
      </w:r>
    </w:p>
    <w:p w14:paraId="7ABDCBEF" w14:textId="77777777" w:rsidR="002D0E71" w:rsidRDefault="00000000">
      <w:pPr>
        <w:pStyle w:val="Normal47"/>
        <w:widowControl w:val="0"/>
        <w:spacing w:before="120" w:line="260" w:lineRule="atLeast"/>
        <w:jc w:val="center"/>
      </w:pPr>
      <w:r>
        <w:rPr>
          <w:rFonts w:ascii="Arial" w:eastAsia="Arial" w:hAnsi="Arial" w:cs="Arial"/>
          <w:color w:val="000000"/>
          <w:sz w:val="20"/>
        </w:rPr>
        <w:t>November 19, 2013</w:t>
      </w:r>
      <w:r>
        <w:rPr>
          <w:rFonts w:ascii="Arial" w:eastAsia="Arial" w:hAnsi="Arial" w:cs="Arial"/>
          <w:vertAlign w:val="superscript"/>
        </w:rPr>
        <w:footnoteReference w:customMarkFollows="1" w:id="298"/>
        <w:t>**</w:t>
      </w:r>
      <w:r>
        <w:rPr>
          <w:rFonts w:ascii="Arial" w:eastAsia="Arial" w:hAnsi="Arial" w:cs="Arial"/>
          <w:color w:val="000000"/>
          <w:sz w:val="20"/>
        </w:rPr>
        <w:t xml:space="preserve"> , Submitted; December 10, 2013, Filed</w:t>
      </w:r>
    </w:p>
    <w:p w14:paraId="5E459199" w14:textId="77777777" w:rsidR="002D0E71" w:rsidRDefault="00000000">
      <w:pPr>
        <w:pStyle w:val="Normal47"/>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12-15837</w:t>
      </w:r>
    </w:p>
    <w:p w14:paraId="2DEF8B80" w14:textId="77777777" w:rsidR="002D0E71" w:rsidRDefault="002D0E71">
      <w:pPr>
        <w:pStyle w:val="Normal47"/>
        <w:widowControl w:val="0"/>
        <w:spacing w:line="240" w:lineRule="atLeast"/>
        <w:jc w:val="both"/>
      </w:pPr>
      <w:bookmarkStart w:id="7313" w:name="Bookmark_48"/>
      <w:bookmarkEnd w:id="7313"/>
    </w:p>
    <w:p w14:paraId="59C77D13" w14:textId="77777777" w:rsidR="002D0E71" w:rsidRDefault="00000000">
      <w:pPr>
        <w:pStyle w:val="Normal47"/>
        <w:widowControl w:val="0"/>
        <w:spacing w:before="200" w:line="240" w:lineRule="atLeast"/>
      </w:pPr>
      <w:bookmarkStart w:id="7314" w:name="Reporter_46"/>
      <w:bookmarkEnd w:id="7314"/>
      <w:r>
        <w:rPr>
          <w:rFonts w:ascii="Arial" w:eastAsia="Arial" w:hAnsi="Arial" w:cs="Arial"/>
          <w:b/>
          <w:color w:val="000000"/>
          <w:sz w:val="18"/>
        </w:rPr>
        <w:t>Reporter</w:t>
      </w:r>
    </w:p>
    <w:p w14:paraId="551617FE" w14:textId="77777777" w:rsidR="002D0E71" w:rsidRDefault="00000000">
      <w:pPr>
        <w:pStyle w:val="Normal47"/>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548 Fed. Appx. 504 *; 2013 U.S. App. LEXIS 24536 **; 2013 WL 6440209</w:t>
      </w:r>
    </w:p>
    <w:p w14:paraId="4BA36029" w14:textId="77777777" w:rsidR="002D0E71" w:rsidRDefault="00000000">
      <w:pPr>
        <w:pStyle w:val="Normal47"/>
        <w:widowControl w:val="0"/>
        <w:spacing w:before="120" w:line="260" w:lineRule="atLeast"/>
      </w:pPr>
      <w:r>
        <w:rPr>
          <w:rFonts w:ascii="Arial" w:eastAsia="Arial" w:hAnsi="Arial" w:cs="Arial"/>
          <w:color w:val="000000"/>
          <w:sz w:val="20"/>
        </w:rPr>
        <w:t>AMBROSE S. FERNANDEZ, Jr., Plaintiff - Appellant, v. CLAYTON FRANK, Director, Department of Public Safety; et al., Defendants - Appellees.</w:t>
      </w:r>
    </w:p>
    <w:p w14:paraId="55ACEC85" w14:textId="77777777" w:rsidR="002D0E71" w:rsidRDefault="00000000">
      <w:pPr>
        <w:pStyle w:val="Normal47"/>
        <w:widowControl w:val="0"/>
        <w:spacing w:before="240" w:line="260" w:lineRule="atLeast"/>
        <w:jc w:val="both"/>
      </w:pPr>
      <w:bookmarkStart w:id="7315" w:name="Notice_14"/>
      <w:bookmarkEnd w:id="7315"/>
      <w:r>
        <w:rPr>
          <w:rFonts w:ascii="Arial" w:eastAsia="Arial" w:hAnsi="Arial" w:cs="Arial"/>
          <w:b/>
          <w:color w:val="000000"/>
          <w:sz w:val="20"/>
        </w:rPr>
        <w:t>Notice:</w:t>
      </w:r>
      <w:r>
        <w:rPr>
          <w:rFonts w:ascii="Arial" w:eastAsia="Arial" w:hAnsi="Arial" w:cs="Arial"/>
          <w:color w:val="000000"/>
          <w:sz w:val="20"/>
        </w:rPr>
        <w:t> </w:t>
      </w:r>
      <w:bookmarkStart w:id="7316" w:name="Bookmark_para_1_46"/>
      <w:bookmarkEnd w:id="7316"/>
      <w:r>
        <w:rPr>
          <w:rFonts w:ascii="Arial" w:eastAsia="Arial" w:hAnsi="Arial" w:cs="Arial"/>
          <w:color w:val="000000"/>
          <w:sz w:val="20"/>
        </w:rPr>
        <w:t>PLEASE REFER TO FEDERAL RULES OF APPELLATE PROCEDURE RULE 32.1 GOVERNING THE CITATION TO UNPUBLISHED OPINIONS.</w:t>
      </w:r>
    </w:p>
    <w:p w14:paraId="65FA8C2C" w14:textId="77777777" w:rsidR="002D0E71" w:rsidRDefault="00000000">
      <w:pPr>
        <w:pStyle w:val="Normal47"/>
        <w:widowControl w:val="0"/>
        <w:spacing w:before="240" w:line="260" w:lineRule="atLeast"/>
        <w:jc w:val="both"/>
      </w:pPr>
      <w:bookmarkStart w:id="7317" w:name="Prior_History_45"/>
      <w:bookmarkEnd w:id="7317"/>
      <w:r>
        <w:rPr>
          <w:rFonts w:ascii="Arial" w:eastAsia="Arial" w:hAnsi="Arial" w:cs="Arial"/>
          <w:b/>
          <w:color w:val="000000"/>
          <w:sz w:val="20"/>
        </w:rPr>
        <w:t>Prior History:</w:t>
      </w:r>
      <w:r>
        <w:rPr>
          <w:rFonts w:ascii="Arial" w:eastAsia="Arial" w:hAnsi="Arial" w:cs="Arial"/>
          <w:color w:val="000000"/>
          <w:sz w:val="20"/>
        </w:rPr>
        <w:t>  [**1] </w:t>
      </w:r>
      <w:bookmarkStart w:id="7318" w:name="Bookmark_para_2_46"/>
      <w:bookmarkEnd w:id="7318"/>
      <w:r>
        <w:rPr>
          <w:rFonts w:ascii="Arial" w:eastAsia="Arial" w:hAnsi="Arial" w:cs="Arial"/>
          <w:color w:val="000000"/>
          <w:sz w:val="20"/>
        </w:rPr>
        <w:t>Appeal from the United States District Court for the District of Hawaii. D.C. No. 1:10-cv-00573-SOM-BMK. Susan Oki Mollway, Chief Judge, Presiding.</w:t>
      </w:r>
    </w:p>
    <w:p w14:paraId="57E0565D" w14:textId="77777777" w:rsidR="002D0E71" w:rsidRDefault="00000000">
      <w:pPr>
        <w:pStyle w:val="Normal47"/>
        <w:widowControl w:val="0"/>
        <w:spacing w:before="120" w:line="260" w:lineRule="atLeast"/>
      </w:pPr>
      <w:r>
        <w:rPr>
          <w:rFonts w:ascii="Arial" w:eastAsia="Arial" w:hAnsi="Arial" w:cs="Arial"/>
          <w:color w:val="000000"/>
          <w:sz w:val="20"/>
        </w:rPr>
        <w:t>Fernandez v. Frank, 2012 U.S. Dist. LEXIS 40070 (D. Haw., Mar. 23, 2012)</w:t>
      </w:r>
    </w:p>
    <w:p w14:paraId="545E1A95" w14:textId="77777777" w:rsidR="002D0E71" w:rsidRDefault="00000000">
      <w:pPr>
        <w:pStyle w:val="Normal47"/>
        <w:widowControl w:val="0"/>
        <w:spacing w:before="240" w:line="260" w:lineRule="atLeast"/>
        <w:jc w:val="both"/>
      </w:pPr>
      <w:bookmarkStart w:id="7319" w:name="Disposition_21"/>
      <w:bookmarkEnd w:id="7319"/>
      <w:r>
        <w:rPr>
          <w:rFonts w:ascii="Arial" w:eastAsia="Arial" w:hAnsi="Arial" w:cs="Arial"/>
          <w:b/>
          <w:color w:val="000000"/>
          <w:sz w:val="20"/>
        </w:rPr>
        <w:t>Disposition:</w:t>
      </w:r>
      <w:r>
        <w:rPr>
          <w:rFonts w:ascii="Arial" w:eastAsia="Arial" w:hAnsi="Arial" w:cs="Arial"/>
          <w:color w:val="000000"/>
          <w:sz w:val="20"/>
        </w:rPr>
        <w:t> </w:t>
      </w:r>
      <w:bookmarkStart w:id="7320" w:name="Bookmark_clspara_1_2"/>
      <w:bookmarkEnd w:id="7320"/>
      <w:r>
        <w:rPr>
          <w:rFonts w:ascii="Arial" w:eastAsia="Arial" w:hAnsi="Arial" w:cs="Arial"/>
          <w:color w:val="000000"/>
          <w:sz w:val="20"/>
        </w:rPr>
        <w:t>AFFIRMED.</w:t>
      </w:r>
    </w:p>
    <w:p w14:paraId="392E9614" w14:textId="77777777" w:rsidR="002D0E71" w:rsidRDefault="00000000">
      <w:pPr>
        <w:pStyle w:val="Normal47"/>
        <w:widowControl w:val="0"/>
        <w:spacing w:before="240" w:line="260" w:lineRule="atLeast"/>
      </w:pPr>
      <w:bookmarkStart w:id="7321" w:name="Counsel_46"/>
      <w:bookmarkEnd w:id="7321"/>
      <w:r>
        <w:rPr>
          <w:rFonts w:ascii="Arial" w:eastAsia="Arial" w:hAnsi="Arial" w:cs="Arial"/>
          <w:b/>
          <w:color w:val="000000"/>
          <w:sz w:val="20"/>
        </w:rPr>
        <w:t>Counsel:</w:t>
      </w:r>
      <w:r>
        <w:rPr>
          <w:rFonts w:ascii="Arial" w:eastAsia="Arial" w:hAnsi="Arial" w:cs="Arial"/>
          <w:color w:val="000000"/>
          <w:sz w:val="20"/>
        </w:rPr>
        <w:t> AMBROSE S. FERNANDEZ, Jr., Plaintiff - Appellant, Pro se, Honolulu, HI.</w:t>
      </w:r>
    </w:p>
    <w:p w14:paraId="4B404FD6" w14:textId="77777777" w:rsidR="002D0E71" w:rsidRDefault="00000000">
      <w:pPr>
        <w:pStyle w:val="Normal47"/>
        <w:widowControl w:val="0"/>
        <w:spacing w:before="120" w:line="260" w:lineRule="atLeast"/>
      </w:pPr>
      <w:r>
        <w:rPr>
          <w:rFonts w:ascii="Arial" w:eastAsia="Arial" w:hAnsi="Arial" w:cs="Arial"/>
          <w:color w:val="000000"/>
          <w:sz w:val="20"/>
        </w:rPr>
        <w:t>For CLAYTON FRANK, Director, Department of Public Safety, PAUL MACINTYRE, State Sheriff, DEPARTMENT OF PUBLIC SAFETY, Defendants - Appellees: Caron M. Inagaki, Deputy Attorney General, Henry S. Kim, AGHI - OFFICE OF THE HAWAII ATTORNEY GENERAL, Honolulu, HI.</w:t>
      </w:r>
    </w:p>
    <w:p w14:paraId="7D43A506" w14:textId="77777777" w:rsidR="002D0E71" w:rsidRDefault="00000000">
      <w:pPr>
        <w:pStyle w:val="Normal47"/>
        <w:widowControl w:val="0"/>
        <w:spacing w:before="120" w:line="260" w:lineRule="atLeast"/>
      </w:pPr>
      <w:r>
        <w:rPr>
          <w:rFonts w:ascii="Arial" w:eastAsia="Arial" w:hAnsi="Arial" w:cs="Arial"/>
          <w:color w:val="000000"/>
          <w:sz w:val="20"/>
        </w:rPr>
        <w:t>For NINO, Inspector, Defendant - Appellee: Richard James Kowen, Esquire, Attorney, Alston Hunt Floyd &amp; Ing, Honolulu, HI.</w:t>
      </w:r>
    </w:p>
    <w:p w14:paraId="271EC0AE" w14:textId="77777777" w:rsidR="002D0E71" w:rsidRDefault="00000000">
      <w:pPr>
        <w:pStyle w:val="Normal47"/>
        <w:widowControl w:val="0"/>
        <w:spacing w:before="120" w:line="260" w:lineRule="atLeast"/>
      </w:pPr>
      <w:r>
        <w:rPr>
          <w:rFonts w:ascii="Arial" w:eastAsia="Arial" w:hAnsi="Arial" w:cs="Arial"/>
          <w:color w:val="000000"/>
          <w:sz w:val="20"/>
        </w:rPr>
        <w:t>For SANJ SAPPEL, Vice President, Securitas - Securitas Security Service Systems, Inc., SECURITAS SECURITY SERVICES USA, INC., Defendants - Appellees: Richard M. Rand, Esquire, Attorney, MARR JONES &amp; WANG, LLP, Honolulu, HI.</w:t>
      </w:r>
    </w:p>
    <w:p w14:paraId="61D2A375" w14:textId="77777777" w:rsidR="002D0E71" w:rsidRDefault="00000000">
      <w:pPr>
        <w:pStyle w:val="Normal47"/>
        <w:widowControl w:val="0"/>
        <w:spacing w:before="240" w:line="260" w:lineRule="atLeast"/>
      </w:pPr>
      <w:bookmarkStart w:id="7322" w:name="Judges_46"/>
      <w:bookmarkEnd w:id="7322"/>
      <w:r>
        <w:rPr>
          <w:rFonts w:ascii="Arial" w:eastAsia="Arial" w:hAnsi="Arial" w:cs="Arial"/>
          <w:b/>
          <w:color w:val="000000"/>
          <w:sz w:val="20"/>
        </w:rPr>
        <w:t>Judges:</w:t>
      </w:r>
      <w:r>
        <w:rPr>
          <w:rFonts w:ascii="Arial" w:eastAsia="Arial" w:hAnsi="Arial" w:cs="Arial"/>
          <w:color w:val="000000"/>
          <w:sz w:val="20"/>
        </w:rPr>
        <w:t> Before: CANBY, TROTT, and THOMAS, Circuit Judges.</w:t>
      </w:r>
    </w:p>
    <w:p w14:paraId="68D5ADF2" w14:textId="77777777" w:rsidR="002D0E71" w:rsidRDefault="00000000">
      <w:pPr>
        <w:pStyle w:val="Normal47"/>
        <w:keepNext/>
        <w:widowControl w:val="0"/>
        <w:spacing w:before="240" w:line="340" w:lineRule="atLeast"/>
      </w:pPr>
      <w:bookmarkStart w:id="7323" w:name="Opinion_46"/>
      <w:bookmarkEnd w:id="7323"/>
      <w:r>
        <w:rPr>
          <w:rFonts w:ascii="Arial" w:eastAsia="Arial" w:hAnsi="Arial" w:cs="Arial"/>
          <w:b/>
          <w:color w:val="000000"/>
          <w:sz w:val="28"/>
        </w:rPr>
        <w:t>Opinion</w:t>
      </w:r>
    </w:p>
    <w:p w14:paraId="687F1313" w14:textId="32D76044" w:rsidR="002D0E71" w:rsidRDefault="002939DF">
      <w:pPr>
        <w:pStyle w:val="Normal47"/>
        <w:spacing w:line="60" w:lineRule="exact"/>
      </w:pPr>
      <w:r>
        <w:rPr>
          <w:noProof/>
        </w:rPr>
        <mc:AlternateContent>
          <mc:Choice Requires="wps">
            <w:drawing>
              <wp:anchor distT="0" distB="0" distL="114300" distR="114300" simplePos="0" relativeHeight="251760640" behindDoc="0" locked="0" layoutInCell="1" allowOverlap="1" wp14:anchorId="2E168B1D" wp14:editId="5709ED09">
                <wp:simplePos x="0" y="0"/>
                <wp:positionH relativeFrom="column">
                  <wp:posOffset>0</wp:posOffset>
                </wp:positionH>
                <wp:positionV relativeFrom="paragraph">
                  <wp:posOffset>25400</wp:posOffset>
                </wp:positionV>
                <wp:extent cx="3187700" cy="0"/>
                <wp:effectExtent l="19050" t="15875" r="12700" b="12700"/>
                <wp:wrapTopAndBottom/>
                <wp:docPr id="1133658418"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A2E2D8" id="Line 106"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E0BAAE6" w14:textId="77777777" w:rsidR="002D0E71" w:rsidRDefault="002D0E71">
      <w:pPr>
        <w:pStyle w:val="Normal47"/>
        <w:spacing w:line="120" w:lineRule="exact"/>
      </w:pPr>
    </w:p>
    <w:p w14:paraId="50A82214" w14:textId="77777777" w:rsidR="002D0E71" w:rsidRDefault="00000000">
      <w:pPr>
        <w:pStyle w:val="Normal47"/>
        <w:widowControl w:val="0"/>
        <w:spacing w:before="240" w:line="260" w:lineRule="atLeast"/>
      </w:pPr>
      <w:r>
        <w:br/>
      </w:r>
      <w:r>
        <w:rPr>
          <w:rFonts w:ascii="Arial" w:eastAsia="Arial" w:hAnsi="Arial" w:cs="Arial"/>
          <w:color w:val="000000"/>
          <w:sz w:val="20"/>
        </w:rPr>
        <w:t xml:space="preserve"> [*504]  MEMORANDUM </w:t>
      </w:r>
      <w:r>
        <w:rPr>
          <w:rFonts w:ascii="Arial" w:eastAsia="Arial" w:hAnsi="Arial" w:cs="Arial"/>
          <w:vertAlign w:val="superscript"/>
        </w:rPr>
        <w:footnoteReference w:customMarkFollows="1" w:id="299"/>
        <w:t>*</w:t>
      </w:r>
    </w:p>
    <w:p w14:paraId="5D304217" w14:textId="77777777" w:rsidR="002D0E71" w:rsidRDefault="00000000">
      <w:pPr>
        <w:pStyle w:val="Normal47"/>
        <w:widowControl w:val="0"/>
        <w:spacing w:before="200" w:line="260" w:lineRule="atLeast"/>
        <w:jc w:val="both"/>
      </w:pPr>
      <w:bookmarkStart w:id="7325" w:name="Bookmark_para_3_46"/>
      <w:bookmarkStart w:id="7326" w:name="Bookmark_I5B5M20M2HM62Y0020000400"/>
      <w:bookmarkEnd w:id="7325"/>
      <w:bookmarkEnd w:id="7326"/>
      <w:r>
        <w:rPr>
          <w:rFonts w:ascii="Arial" w:eastAsia="Arial" w:hAnsi="Arial" w:cs="Arial"/>
          <w:color w:val="000000"/>
          <w:sz w:val="20"/>
        </w:rPr>
        <w:t xml:space="preserve">Ambrose S. Fernandez, Jr., appeals pro se from the district court's summary judgment in his action under the Americans with Disabilities Act ("ADA") concerning disability accommodations at the Hawaii  [**2] Supreme Court building. We have jurisdiction under 28 U.S.C. § 1291. We review de novo. </w:t>
      </w:r>
      <w:bookmarkStart w:id="7327" w:name="Bookmark_I5B5M20M2HM62Y0010000400"/>
      <w:bookmarkEnd w:id="7327"/>
      <w:r>
        <w:rPr>
          <w:rFonts w:ascii="Arial" w:eastAsia="Arial" w:hAnsi="Arial" w:cs="Arial"/>
          <w:i/>
          <w:color w:val="000000"/>
          <w:sz w:val="20"/>
        </w:rPr>
        <w:t>Kaplan v. City of N. Las Vegas</w:t>
      </w:r>
      <w:r>
        <w:rPr>
          <w:rFonts w:ascii="Arial" w:eastAsia="Arial" w:hAnsi="Arial" w:cs="Arial"/>
          <w:color w:val="000000"/>
          <w:sz w:val="20"/>
        </w:rPr>
        <w:t>, 323 F.3d 1226, 1229 (9th Cir. 2003). We affirm.</w:t>
      </w:r>
    </w:p>
    <w:p w14:paraId="1F644A9E" w14:textId="77777777" w:rsidR="002D0E71" w:rsidRDefault="00000000">
      <w:pPr>
        <w:pStyle w:val="Normal47"/>
        <w:widowControl w:val="0"/>
        <w:spacing w:before="200" w:line="260" w:lineRule="atLeast"/>
        <w:jc w:val="both"/>
      </w:pPr>
      <w:bookmarkStart w:id="7328" w:name="Bookmark_para_4_46"/>
      <w:bookmarkStart w:id="7329" w:name="Bookmark_I5B5M20M2HM62Y0040000400"/>
      <w:bookmarkEnd w:id="7328"/>
      <w:bookmarkEnd w:id="7329"/>
      <w:r>
        <w:rPr>
          <w:rFonts w:ascii="Arial" w:eastAsia="Arial" w:hAnsi="Arial" w:cs="Arial"/>
          <w:color w:val="000000"/>
          <w:sz w:val="20"/>
        </w:rPr>
        <w:t xml:space="preserve">The district court properly determined that, except with respect to the security procedures, Fernandez lacked standing to assert that the Hawaii Supreme Court building did not comply with the ADA because Fernandez failed to raise a genuine dispute of material fact as to whether he had suffered or will suffer any injury traceable to the alleged deficiencies he identified. </w:t>
      </w:r>
      <w:r>
        <w:rPr>
          <w:rFonts w:ascii="Arial" w:eastAsia="Arial" w:hAnsi="Arial" w:cs="Arial"/>
          <w:i/>
          <w:color w:val="000000"/>
          <w:sz w:val="20"/>
        </w:rPr>
        <w:t xml:space="preserve">See </w:t>
      </w:r>
      <w:bookmarkStart w:id="7330" w:name="Bookmark_I5B5M20M2HM62Y0030000400"/>
      <w:bookmarkEnd w:id="7330"/>
      <w:r>
        <w:rPr>
          <w:rFonts w:ascii="Arial" w:eastAsia="Arial" w:hAnsi="Arial" w:cs="Arial"/>
          <w:i/>
          <w:color w:val="000000"/>
          <w:sz w:val="20"/>
        </w:rPr>
        <w:t>Lujan v. Defenders of Wildlife</w:t>
      </w:r>
      <w:r>
        <w:rPr>
          <w:rFonts w:ascii="Arial" w:eastAsia="Arial" w:hAnsi="Arial" w:cs="Arial"/>
          <w:color w:val="000000"/>
          <w:sz w:val="20"/>
        </w:rPr>
        <w:t>, 504 U.S. 555, 560-61, 112 S. Ct. 2130, 119 L. Ed. 2d 351 (1992) (requirements to establish standing).</w:t>
      </w:r>
    </w:p>
    <w:p w14:paraId="658F5634" w14:textId="77777777" w:rsidR="002D0E71" w:rsidRDefault="00000000">
      <w:pPr>
        <w:pStyle w:val="Normal47"/>
        <w:widowControl w:val="0"/>
        <w:spacing w:before="200" w:line="260" w:lineRule="atLeast"/>
        <w:jc w:val="both"/>
      </w:pPr>
      <w:bookmarkStart w:id="7331" w:name="Bookmark_para_5_46"/>
      <w:bookmarkStart w:id="7332" w:name="Bookmark_I5B5M20M2SF8190010000400"/>
      <w:bookmarkEnd w:id="7331"/>
      <w:bookmarkEnd w:id="7332"/>
      <w:r>
        <w:rPr>
          <w:rFonts w:ascii="Arial" w:eastAsia="Arial" w:hAnsi="Arial" w:cs="Arial"/>
          <w:color w:val="000000"/>
          <w:sz w:val="20"/>
        </w:rPr>
        <w:t xml:space="preserve">The district court properly granted summary judgment on Fernandez's claims under Title II of the ADA related to the security procedures at the Hawaii Supreme  [*505]  Court building because Fernandez failed to raise a genuine dispute of material fact as to whether the security procedures did not reasonably accommodate his disability. </w:t>
      </w:r>
      <w:r>
        <w:rPr>
          <w:rFonts w:ascii="Arial" w:eastAsia="Arial" w:hAnsi="Arial" w:cs="Arial"/>
          <w:i/>
          <w:color w:val="000000"/>
          <w:sz w:val="20"/>
        </w:rPr>
        <w:t xml:space="preserve">See </w:t>
      </w:r>
      <w:bookmarkStart w:id="7333" w:name="Bookmark_I5B5M20M2HM62Y0050000400"/>
      <w:bookmarkEnd w:id="7333"/>
      <w:r>
        <w:rPr>
          <w:rFonts w:ascii="Arial" w:eastAsia="Arial" w:hAnsi="Arial" w:cs="Arial"/>
          <w:i/>
          <w:color w:val="000000"/>
          <w:sz w:val="20"/>
        </w:rPr>
        <w:t>McGary v. City of Portland</w:t>
      </w:r>
      <w:r>
        <w:rPr>
          <w:rFonts w:ascii="Arial" w:eastAsia="Arial" w:hAnsi="Arial" w:cs="Arial"/>
          <w:color w:val="000000"/>
          <w:sz w:val="20"/>
        </w:rPr>
        <w:t>, 386 F.3d 1259, 1264-65 (9th Cir. 2004) (elements of Title II ADA claim).</w:t>
      </w:r>
    </w:p>
    <w:p w14:paraId="46EAFBAE" w14:textId="77777777" w:rsidR="002D0E71" w:rsidRDefault="00000000">
      <w:pPr>
        <w:pStyle w:val="Normal47"/>
        <w:widowControl w:val="0"/>
        <w:spacing w:before="200" w:line="260" w:lineRule="atLeast"/>
        <w:jc w:val="both"/>
      </w:pPr>
      <w:bookmarkStart w:id="7334" w:name="Bookmark_para_6_46"/>
      <w:bookmarkStart w:id="7335" w:name="Bookmark_I5B5M20M2SF8190030000400"/>
      <w:bookmarkEnd w:id="7334"/>
      <w:bookmarkEnd w:id="7335"/>
      <w:r>
        <w:rPr>
          <w:rFonts w:ascii="Arial" w:eastAsia="Arial" w:hAnsi="Arial" w:cs="Arial"/>
          <w:color w:val="000000"/>
          <w:sz w:val="20"/>
        </w:rPr>
        <w:t xml:space="preserve">The district court properly granted summary judgment on Fernandez's claims under Title III of the ADA because Fernandez failed  [**3] to raise a genuine dispute of material fact as to whether any defendant is "a private entity that owns, leases, or operates a place of public accommodation." </w:t>
      </w:r>
      <w:bookmarkStart w:id="7336" w:name="Bookmark_I5B5M20M2SF8190020000400"/>
      <w:bookmarkEnd w:id="7336"/>
      <w:r>
        <w:rPr>
          <w:rFonts w:ascii="Arial" w:eastAsia="Arial" w:hAnsi="Arial" w:cs="Arial"/>
          <w:i/>
          <w:color w:val="000000"/>
          <w:sz w:val="20"/>
        </w:rPr>
        <w:t>Arizona ex. rel. Goddard v. Harkins Amusement Enters., Inc.</w:t>
      </w:r>
      <w:r>
        <w:rPr>
          <w:rFonts w:ascii="Arial" w:eastAsia="Arial" w:hAnsi="Arial" w:cs="Arial"/>
          <w:color w:val="000000"/>
          <w:sz w:val="20"/>
        </w:rPr>
        <w:t>, 603 F.3d 666, 670 (9th Cir. 2010) (elements of Title III ADA claim).</w:t>
      </w:r>
    </w:p>
    <w:p w14:paraId="3FC6268A" w14:textId="77777777" w:rsidR="002D0E71" w:rsidRDefault="00000000">
      <w:pPr>
        <w:pStyle w:val="Normal47"/>
        <w:widowControl w:val="0"/>
        <w:spacing w:before="200" w:line="260" w:lineRule="atLeast"/>
        <w:jc w:val="both"/>
      </w:pPr>
      <w:bookmarkStart w:id="7337" w:name="Bookmark_para_7_45"/>
      <w:bookmarkStart w:id="7338" w:name="Bookmark_I5B5M20M2SF8190050000400"/>
      <w:bookmarkEnd w:id="7337"/>
      <w:bookmarkEnd w:id="7338"/>
      <w:r>
        <w:rPr>
          <w:rFonts w:ascii="Arial" w:eastAsia="Arial" w:hAnsi="Arial" w:cs="Arial"/>
          <w:color w:val="000000"/>
          <w:sz w:val="20"/>
        </w:rPr>
        <w:t xml:space="preserve">The district court did not abuse its discretion by denying Fernandez's motions for reconsideration because Fernandez failed to establish grounds for such relief. </w:t>
      </w:r>
      <w:r>
        <w:rPr>
          <w:rFonts w:ascii="Arial" w:eastAsia="Arial" w:hAnsi="Arial" w:cs="Arial"/>
          <w:i/>
          <w:color w:val="000000"/>
          <w:sz w:val="20"/>
        </w:rPr>
        <w:t xml:space="preserve">See </w:t>
      </w:r>
      <w:bookmarkStart w:id="7339" w:name="Bookmark_I5B5M20M2SF8190040000400"/>
      <w:bookmarkEnd w:id="7339"/>
      <w:r>
        <w:rPr>
          <w:rFonts w:ascii="Arial" w:eastAsia="Arial" w:hAnsi="Arial" w:cs="Arial"/>
          <w:i/>
          <w:color w:val="000000"/>
          <w:sz w:val="20"/>
        </w:rPr>
        <w:t>Sch. Dist. No. 1J v. ACandS, Inc.</w:t>
      </w:r>
      <w:r>
        <w:rPr>
          <w:rFonts w:ascii="Arial" w:eastAsia="Arial" w:hAnsi="Arial" w:cs="Arial"/>
          <w:color w:val="000000"/>
          <w:sz w:val="20"/>
        </w:rPr>
        <w:t>, 5 F.3d 1255, 1262-63 (9th Cir. 1993) (setting forth standard of review and grounds for reconsideration under Fed. R. Civ. P. 59(e) and 60(b)).</w:t>
      </w:r>
    </w:p>
    <w:p w14:paraId="2FC15E4A" w14:textId="77777777" w:rsidR="002D0E71" w:rsidRDefault="00000000">
      <w:pPr>
        <w:pStyle w:val="Normal47"/>
        <w:widowControl w:val="0"/>
        <w:spacing w:before="200" w:line="260" w:lineRule="atLeast"/>
        <w:jc w:val="both"/>
      </w:pPr>
      <w:bookmarkStart w:id="7340" w:name="Bookmark_para_8_45"/>
      <w:bookmarkStart w:id="7341" w:name="Bookmark_I5B5M20M2SF81B0020000400"/>
      <w:bookmarkEnd w:id="7340"/>
      <w:bookmarkEnd w:id="7341"/>
      <w:r>
        <w:rPr>
          <w:rFonts w:ascii="Arial" w:eastAsia="Arial" w:hAnsi="Arial" w:cs="Arial"/>
          <w:color w:val="000000"/>
          <w:sz w:val="20"/>
        </w:rPr>
        <w:t xml:space="preserve">We do not consider matters not specifically and distinctly raised and argued in the opening brief, or arguments and allegations raised for the first time on appeal. </w:t>
      </w:r>
      <w:r>
        <w:rPr>
          <w:rFonts w:ascii="Arial" w:eastAsia="Arial" w:hAnsi="Arial" w:cs="Arial"/>
          <w:i/>
          <w:color w:val="000000"/>
          <w:sz w:val="20"/>
        </w:rPr>
        <w:t xml:space="preserve">See </w:t>
      </w:r>
      <w:bookmarkStart w:id="7342" w:name="Bookmark_I5B5M20M2SF81B0010000400"/>
      <w:bookmarkEnd w:id="7342"/>
      <w:r>
        <w:rPr>
          <w:rFonts w:ascii="Arial" w:eastAsia="Arial" w:hAnsi="Arial" w:cs="Arial"/>
          <w:i/>
          <w:color w:val="000000"/>
          <w:sz w:val="20"/>
        </w:rPr>
        <w:t>Padgett v. Wright</w:t>
      </w:r>
      <w:r>
        <w:rPr>
          <w:rFonts w:ascii="Arial" w:eastAsia="Arial" w:hAnsi="Arial" w:cs="Arial"/>
          <w:color w:val="000000"/>
          <w:sz w:val="20"/>
        </w:rPr>
        <w:t>, 587 F.3d 983, 985 n.2 (9th Cir. 2009) (per curiam).</w:t>
      </w:r>
    </w:p>
    <w:p w14:paraId="284B14C7" w14:textId="77777777" w:rsidR="002D0E71" w:rsidRDefault="00000000">
      <w:pPr>
        <w:pStyle w:val="Normal47"/>
        <w:widowControl w:val="0"/>
        <w:spacing w:before="200" w:line="260" w:lineRule="atLeast"/>
        <w:jc w:val="both"/>
      </w:pPr>
      <w:bookmarkStart w:id="7343" w:name="Bookmark_para_9_45"/>
      <w:bookmarkEnd w:id="7343"/>
      <w:r>
        <w:rPr>
          <w:rFonts w:ascii="Arial" w:eastAsia="Arial" w:hAnsi="Arial" w:cs="Arial"/>
          <w:color w:val="000000"/>
          <w:sz w:val="20"/>
        </w:rPr>
        <w:t>Fernandez's pending motions are denied.</w:t>
      </w:r>
    </w:p>
    <w:p w14:paraId="6368CC3D" w14:textId="77777777" w:rsidR="002D0E71" w:rsidRDefault="00000000">
      <w:pPr>
        <w:pStyle w:val="Normal47"/>
        <w:widowControl w:val="0"/>
        <w:spacing w:before="200" w:line="260" w:lineRule="atLeast"/>
        <w:jc w:val="both"/>
      </w:pPr>
      <w:bookmarkStart w:id="7344" w:name="Bookmark_para_10_44"/>
      <w:bookmarkEnd w:id="7344"/>
      <w:r>
        <w:rPr>
          <w:rFonts w:ascii="Arial" w:eastAsia="Arial" w:hAnsi="Arial" w:cs="Arial"/>
          <w:b/>
          <w:color w:val="000000"/>
          <w:sz w:val="20"/>
        </w:rPr>
        <w:t>AFFIRMED.</w:t>
      </w:r>
    </w:p>
    <w:p w14:paraId="467037F8" w14:textId="77777777" w:rsidR="002D0E71" w:rsidRDefault="002D0E71">
      <w:pPr>
        <w:pStyle w:val="Normal47"/>
      </w:pPr>
    </w:p>
    <w:p w14:paraId="5A200FF1" w14:textId="0CC47575" w:rsidR="002D0E71" w:rsidRDefault="00000000">
      <w:pPr>
        <w:pStyle w:val="Normal47"/>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61664" behindDoc="0" locked="0" layoutInCell="1" allowOverlap="1" wp14:anchorId="31E3B592" wp14:editId="19B9ECF7">
                <wp:simplePos x="0" y="0"/>
                <wp:positionH relativeFrom="column">
                  <wp:posOffset>0</wp:posOffset>
                </wp:positionH>
                <wp:positionV relativeFrom="paragraph">
                  <wp:posOffset>127000</wp:posOffset>
                </wp:positionV>
                <wp:extent cx="6502400" cy="0"/>
                <wp:effectExtent l="9525" t="12700" r="12700" b="6350"/>
                <wp:wrapNone/>
                <wp:docPr id="510142409"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156A0B" id="Line 107"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B106B24" w14:textId="77777777" w:rsidR="002D0E71" w:rsidRDefault="002D0E71">
      <w:pPr>
        <w:pStyle w:val="Normal48"/>
        <w:sectPr w:rsidR="002D0E71">
          <w:headerReference w:type="even" r:id="rId299"/>
          <w:headerReference w:type="default" r:id="rId300"/>
          <w:footerReference w:type="even" r:id="rId301"/>
          <w:footerReference w:type="default" r:id="rId302"/>
          <w:headerReference w:type="first" r:id="rId303"/>
          <w:footerReference w:type="first" r:id="rId304"/>
          <w:pgSz w:w="12240" w:h="15840"/>
          <w:pgMar w:top="840" w:right="1000" w:bottom="840" w:left="1000" w:header="400" w:footer="400" w:gutter="0"/>
          <w:cols w:space="720"/>
          <w:titlePg/>
        </w:sectPr>
      </w:pPr>
    </w:p>
    <w:p w14:paraId="5FEB0EB5" w14:textId="77777777" w:rsidR="002D0E71" w:rsidRDefault="002D0E71">
      <w:pPr>
        <w:pStyle w:val="Normal48"/>
      </w:pPr>
    </w:p>
    <w:p w14:paraId="57A00C4C" w14:textId="77777777" w:rsidR="002D0E71" w:rsidRDefault="00000000">
      <w:pPr>
        <w:pStyle w:val="Heading147"/>
        <w:keepNext w:val="0"/>
        <w:widowControl w:val="0"/>
        <w:spacing w:after="200" w:line="340" w:lineRule="atLeast"/>
        <w:jc w:val="center"/>
      </w:pPr>
      <w:r>
        <w:rPr>
          <w:rFonts w:eastAsia="Arial"/>
          <w:color w:val="000000"/>
          <w:sz w:val="28"/>
        </w:rPr>
        <w:t>Castle v. Eurofresh, Inc.</w:t>
      </w:r>
    </w:p>
    <w:p w14:paraId="32049195" w14:textId="77777777" w:rsidR="002D0E71" w:rsidRDefault="00000000">
      <w:pPr>
        <w:pStyle w:val="Normal48"/>
        <w:widowControl w:val="0"/>
        <w:spacing w:before="120" w:line="260" w:lineRule="atLeast"/>
        <w:jc w:val="center"/>
      </w:pPr>
      <w:r>
        <w:rPr>
          <w:rFonts w:ascii="Arial" w:eastAsia="Arial" w:hAnsi="Arial" w:cs="Arial"/>
          <w:color w:val="000000"/>
          <w:sz w:val="20"/>
        </w:rPr>
        <w:t>United States Court of Appeals for the Ninth Circuit</w:t>
      </w:r>
    </w:p>
    <w:p w14:paraId="7451D007" w14:textId="77777777" w:rsidR="002D0E71" w:rsidRDefault="00000000">
      <w:pPr>
        <w:pStyle w:val="Normal48"/>
        <w:widowControl w:val="0"/>
        <w:spacing w:before="120" w:line="260" w:lineRule="atLeast"/>
        <w:jc w:val="center"/>
      </w:pPr>
      <w:r>
        <w:rPr>
          <w:rFonts w:ascii="Arial" w:eastAsia="Arial" w:hAnsi="Arial" w:cs="Arial"/>
          <w:color w:val="000000"/>
          <w:sz w:val="20"/>
        </w:rPr>
        <w:t>April 11, 2013, Argued and Submitted, Pasadena, California; September 24, 2013, Filed</w:t>
      </w:r>
    </w:p>
    <w:p w14:paraId="01A680A7" w14:textId="77777777" w:rsidR="002D0E71" w:rsidRDefault="00000000">
      <w:pPr>
        <w:pStyle w:val="Normal48"/>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11-17947</w:t>
      </w:r>
    </w:p>
    <w:p w14:paraId="6BA22D8E" w14:textId="77777777" w:rsidR="002D0E71" w:rsidRDefault="002D0E71">
      <w:pPr>
        <w:pStyle w:val="Normal48"/>
        <w:widowControl w:val="0"/>
        <w:spacing w:line="240" w:lineRule="atLeast"/>
        <w:jc w:val="both"/>
      </w:pPr>
      <w:bookmarkStart w:id="7345" w:name="Bookmark_49"/>
      <w:bookmarkEnd w:id="7345"/>
    </w:p>
    <w:p w14:paraId="47BA84D7" w14:textId="77777777" w:rsidR="002D0E71" w:rsidRDefault="00000000">
      <w:pPr>
        <w:pStyle w:val="Normal48"/>
        <w:widowControl w:val="0"/>
        <w:spacing w:before="200" w:line="240" w:lineRule="atLeast"/>
      </w:pPr>
      <w:bookmarkStart w:id="7346" w:name="Reporter_47"/>
      <w:bookmarkEnd w:id="7346"/>
      <w:r>
        <w:rPr>
          <w:rFonts w:ascii="Arial" w:eastAsia="Arial" w:hAnsi="Arial" w:cs="Arial"/>
          <w:b/>
          <w:color w:val="000000"/>
          <w:sz w:val="18"/>
        </w:rPr>
        <w:t>Reporter</w:t>
      </w:r>
    </w:p>
    <w:p w14:paraId="598712D5" w14:textId="77777777" w:rsidR="002D0E71" w:rsidRDefault="00000000">
      <w:pPr>
        <w:pStyle w:val="Normal48"/>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731 F.3d 901 *; 2013 U.S. App. LEXIS 19521 **; 28 Am. Disabilities Cas. (BNA) 941</w:t>
      </w:r>
    </w:p>
    <w:p w14:paraId="2DEA5058" w14:textId="77777777" w:rsidR="002D0E71" w:rsidRDefault="00000000">
      <w:pPr>
        <w:pStyle w:val="Normal48"/>
        <w:widowControl w:val="0"/>
        <w:spacing w:before="120" w:line="260" w:lineRule="atLeast"/>
      </w:pPr>
      <w:r>
        <w:rPr>
          <w:rFonts w:ascii="Arial" w:eastAsia="Arial" w:hAnsi="Arial" w:cs="Arial"/>
          <w:color w:val="000000"/>
          <w:sz w:val="20"/>
        </w:rPr>
        <w:t>WILLIAM W. CASTLE, Plaintiff-Appellant, v. EUROFRESH, INC., AKA Eurofresh Farms; ARIZONA DEPARTMENT OF CORRECTIONS, an agency of the State of Arizona; DORA B. SCHRIRO, Warden, former Director, Arizona Department of Corrections; CHARLES L. RYAN, Director, Arizona Department of Corrections; STATE OF ARIZONA, Defendants-Appellees.</w:t>
      </w:r>
    </w:p>
    <w:p w14:paraId="11190714" w14:textId="77777777" w:rsidR="002D0E71" w:rsidRDefault="00000000">
      <w:pPr>
        <w:pStyle w:val="Normal48"/>
        <w:widowControl w:val="0"/>
        <w:spacing w:before="240" w:line="260" w:lineRule="atLeast"/>
        <w:jc w:val="both"/>
      </w:pPr>
      <w:bookmarkStart w:id="7347" w:name="Prior_History_46"/>
      <w:bookmarkEnd w:id="7347"/>
      <w:r>
        <w:rPr>
          <w:rFonts w:ascii="Arial" w:eastAsia="Arial" w:hAnsi="Arial" w:cs="Arial"/>
          <w:b/>
          <w:color w:val="000000"/>
          <w:sz w:val="20"/>
        </w:rPr>
        <w:t>Prior History:</w:t>
      </w:r>
      <w:r>
        <w:rPr>
          <w:rFonts w:ascii="Arial" w:eastAsia="Arial" w:hAnsi="Arial" w:cs="Arial"/>
          <w:color w:val="000000"/>
          <w:sz w:val="20"/>
        </w:rPr>
        <w:t>  [**1] </w:t>
      </w:r>
      <w:bookmarkStart w:id="7348" w:name="Bookmark_para_1_47"/>
      <w:bookmarkEnd w:id="7348"/>
      <w:r>
        <w:rPr>
          <w:rFonts w:ascii="Arial" w:eastAsia="Arial" w:hAnsi="Arial" w:cs="Arial"/>
          <w:color w:val="000000"/>
          <w:sz w:val="20"/>
        </w:rPr>
        <w:t>Appeal from the United States District Court for the District of Arizona. D.C. No. 3:09-cv-08114-JWS. John W. Sedwick, District Judge, Presiding.</w:t>
      </w:r>
    </w:p>
    <w:p w14:paraId="08314C35" w14:textId="77777777" w:rsidR="002D0E71" w:rsidRDefault="00000000">
      <w:pPr>
        <w:pStyle w:val="Normal48"/>
        <w:widowControl w:val="0"/>
        <w:spacing w:before="120" w:line="260" w:lineRule="atLeast"/>
      </w:pPr>
      <w:r>
        <w:rPr>
          <w:rFonts w:ascii="Arial" w:eastAsia="Arial" w:hAnsi="Arial" w:cs="Arial"/>
          <w:color w:val="000000"/>
          <w:sz w:val="20"/>
        </w:rPr>
        <w:t>Castle v. Eurofresh, Inc., 734 F. Supp. 2d 938, 2010 U.S. Dist. LEXIS 93064 (D. Ariz., 2010)</w:t>
      </w:r>
    </w:p>
    <w:p w14:paraId="66453ABC" w14:textId="77777777" w:rsidR="002D0E71" w:rsidRDefault="00000000">
      <w:pPr>
        <w:pStyle w:val="Normal48"/>
        <w:widowControl w:val="0"/>
        <w:spacing w:before="240" w:line="260" w:lineRule="atLeast"/>
        <w:jc w:val="both"/>
      </w:pPr>
      <w:bookmarkStart w:id="7349" w:name="Disposition_22"/>
      <w:bookmarkEnd w:id="7349"/>
      <w:r>
        <w:rPr>
          <w:rFonts w:ascii="Arial" w:eastAsia="Arial" w:hAnsi="Arial" w:cs="Arial"/>
          <w:b/>
          <w:color w:val="000000"/>
          <w:sz w:val="20"/>
        </w:rPr>
        <w:t>Disposition:</w:t>
      </w:r>
      <w:r>
        <w:rPr>
          <w:rFonts w:ascii="Arial" w:eastAsia="Arial" w:hAnsi="Arial" w:cs="Arial"/>
          <w:color w:val="000000"/>
          <w:sz w:val="20"/>
        </w:rPr>
        <w:t> </w:t>
      </w:r>
      <w:bookmarkStart w:id="7350" w:name="Bookmark_clspara_4_20"/>
      <w:bookmarkEnd w:id="7350"/>
      <w:r>
        <w:rPr>
          <w:rFonts w:ascii="Arial" w:eastAsia="Arial" w:hAnsi="Arial" w:cs="Arial"/>
          <w:color w:val="000000"/>
          <w:sz w:val="20"/>
        </w:rPr>
        <w:t>AFFIRMED IN PART, REVERSED IN PART, AND REMANDED.</w:t>
      </w:r>
    </w:p>
    <w:p w14:paraId="08EB21F5" w14:textId="77777777" w:rsidR="002D0E71" w:rsidRDefault="00000000">
      <w:pPr>
        <w:pStyle w:val="Normal48"/>
        <w:widowControl w:val="0"/>
        <w:spacing w:before="240" w:line="260" w:lineRule="atLeast"/>
      </w:pPr>
      <w:bookmarkStart w:id="7351" w:name="Counsel_47"/>
      <w:bookmarkEnd w:id="7351"/>
      <w:r>
        <w:rPr>
          <w:rFonts w:ascii="Arial" w:eastAsia="Arial" w:hAnsi="Arial" w:cs="Arial"/>
          <w:b/>
          <w:color w:val="000000"/>
          <w:sz w:val="20"/>
        </w:rPr>
        <w:t>Counsel:</w:t>
      </w:r>
      <w:r>
        <w:rPr>
          <w:rFonts w:ascii="Arial" w:eastAsia="Arial" w:hAnsi="Arial" w:cs="Arial"/>
          <w:color w:val="000000"/>
          <w:sz w:val="20"/>
        </w:rPr>
        <w:t> Candace Carroll and certified law students Sara Belvill (argued), Austin Berger, Allison Capozzoli, and Lauren Presser, University of San Diego Legal Clinics, San Diego, California, for Plaintiff-Appellant.</w:t>
      </w:r>
    </w:p>
    <w:p w14:paraId="3F825772" w14:textId="77777777" w:rsidR="002D0E71" w:rsidRDefault="00000000">
      <w:pPr>
        <w:pStyle w:val="Normal48"/>
        <w:widowControl w:val="0"/>
        <w:spacing w:before="120" w:line="260" w:lineRule="atLeast"/>
      </w:pPr>
      <w:r>
        <w:rPr>
          <w:rFonts w:ascii="Arial" w:eastAsia="Arial" w:hAnsi="Arial" w:cs="Arial"/>
          <w:color w:val="000000"/>
          <w:sz w:val="20"/>
        </w:rPr>
        <w:t>Jeffrey Willis and Melissa A. Marcus (argued), Snell &amp; Wilmer L.L.P., Tuscon, Arizona, for Defendant-Appellee Eurofresh Inc.</w:t>
      </w:r>
    </w:p>
    <w:p w14:paraId="06618709" w14:textId="77777777" w:rsidR="002D0E71" w:rsidRDefault="00000000">
      <w:pPr>
        <w:pStyle w:val="Normal48"/>
        <w:widowControl w:val="0"/>
        <w:spacing w:before="120" w:line="260" w:lineRule="atLeast"/>
      </w:pPr>
      <w:r>
        <w:rPr>
          <w:rFonts w:ascii="Arial" w:eastAsia="Arial" w:hAnsi="Arial" w:cs="Arial"/>
          <w:color w:val="000000"/>
          <w:sz w:val="20"/>
        </w:rPr>
        <w:t>Joseph D. Estes, Assistant Attorney General, and Katherine E. Watanabe (argued), Arizona Attorney General's Office, Phoenix, Arizona, for Defendants-Appellees State of Arizona, Arizona Department of Corrections, Dora Schriro and Charles Ryan.</w:t>
      </w:r>
    </w:p>
    <w:p w14:paraId="668616D8" w14:textId="77777777" w:rsidR="002D0E71" w:rsidRDefault="00000000">
      <w:pPr>
        <w:pStyle w:val="Normal48"/>
        <w:widowControl w:val="0"/>
        <w:spacing w:before="240" w:line="260" w:lineRule="atLeast"/>
      </w:pPr>
      <w:bookmarkStart w:id="7352" w:name="Judges_47"/>
      <w:bookmarkEnd w:id="7352"/>
      <w:r>
        <w:rPr>
          <w:rFonts w:ascii="Arial" w:eastAsia="Arial" w:hAnsi="Arial" w:cs="Arial"/>
          <w:b/>
          <w:color w:val="000000"/>
          <w:sz w:val="20"/>
        </w:rPr>
        <w:t>Judges:</w:t>
      </w:r>
      <w:r>
        <w:rPr>
          <w:rFonts w:ascii="Arial" w:eastAsia="Arial" w:hAnsi="Arial" w:cs="Arial"/>
          <w:color w:val="000000"/>
          <w:sz w:val="20"/>
        </w:rPr>
        <w:t> Before: Marsha S. Berzon, Richard C. Tallman, and Milan D. Smith, Jr., Circuit Judges. Opinion by Judge Milan D. Smith, Jr.; Concurrence by Judge Berzon.</w:t>
      </w:r>
    </w:p>
    <w:p w14:paraId="41274D9C" w14:textId="77777777" w:rsidR="002D0E71" w:rsidRDefault="00000000">
      <w:pPr>
        <w:pStyle w:val="Normal48"/>
        <w:widowControl w:val="0"/>
        <w:spacing w:before="240" w:line="260" w:lineRule="atLeast"/>
      </w:pPr>
      <w:bookmarkStart w:id="7353" w:name="Opinion_by_35"/>
      <w:bookmarkEnd w:id="7353"/>
      <w:r>
        <w:rPr>
          <w:rFonts w:ascii="Arial" w:eastAsia="Arial" w:hAnsi="Arial" w:cs="Arial"/>
          <w:b/>
          <w:color w:val="000000"/>
          <w:sz w:val="20"/>
        </w:rPr>
        <w:t>Opinion by:</w:t>
      </w:r>
      <w:r>
        <w:rPr>
          <w:rFonts w:ascii="Arial" w:eastAsia="Arial" w:hAnsi="Arial" w:cs="Arial"/>
          <w:color w:val="000000"/>
          <w:sz w:val="20"/>
        </w:rPr>
        <w:t> Milan D. Smith, Jr.</w:t>
      </w:r>
    </w:p>
    <w:p w14:paraId="1BD93E27" w14:textId="77777777" w:rsidR="002D0E71" w:rsidRDefault="00000000">
      <w:pPr>
        <w:pStyle w:val="Normal48"/>
        <w:keepNext/>
        <w:widowControl w:val="0"/>
        <w:spacing w:before="240" w:line="340" w:lineRule="atLeast"/>
      </w:pPr>
      <w:bookmarkStart w:id="7354" w:name="Opinion_47"/>
      <w:bookmarkEnd w:id="7354"/>
      <w:r>
        <w:rPr>
          <w:rFonts w:ascii="Arial" w:eastAsia="Arial" w:hAnsi="Arial" w:cs="Arial"/>
          <w:b/>
          <w:color w:val="000000"/>
          <w:sz w:val="28"/>
        </w:rPr>
        <w:t>Opinion</w:t>
      </w:r>
    </w:p>
    <w:p w14:paraId="783227E5" w14:textId="213C626B" w:rsidR="002D0E71" w:rsidRDefault="002939DF">
      <w:pPr>
        <w:pStyle w:val="Normal48"/>
        <w:spacing w:line="60" w:lineRule="exact"/>
      </w:pPr>
      <w:r>
        <w:rPr>
          <w:noProof/>
        </w:rPr>
        <mc:AlternateContent>
          <mc:Choice Requires="wps">
            <w:drawing>
              <wp:anchor distT="0" distB="0" distL="114300" distR="114300" simplePos="0" relativeHeight="251762688" behindDoc="0" locked="0" layoutInCell="1" allowOverlap="1" wp14:anchorId="07B97A4F" wp14:editId="55DD2E0C">
                <wp:simplePos x="0" y="0"/>
                <wp:positionH relativeFrom="column">
                  <wp:posOffset>0</wp:posOffset>
                </wp:positionH>
                <wp:positionV relativeFrom="paragraph">
                  <wp:posOffset>25400</wp:posOffset>
                </wp:positionV>
                <wp:extent cx="3187700" cy="0"/>
                <wp:effectExtent l="19050" t="15875" r="12700" b="12700"/>
                <wp:wrapTopAndBottom/>
                <wp:docPr id="1369300922"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B5610" id="Line 108"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7317234" w14:textId="77777777" w:rsidR="002D0E71" w:rsidRDefault="002D0E71">
      <w:pPr>
        <w:pStyle w:val="Normal48"/>
        <w:spacing w:line="120" w:lineRule="exact"/>
      </w:pPr>
    </w:p>
    <w:p w14:paraId="7EF71206" w14:textId="77777777" w:rsidR="002D0E71" w:rsidRDefault="00000000">
      <w:pPr>
        <w:pStyle w:val="Normal48"/>
        <w:widowControl w:val="0"/>
        <w:spacing w:before="240" w:line="260" w:lineRule="atLeast"/>
      </w:pPr>
      <w:r>
        <w:br/>
      </w:r>
      <w:r>
        <w:rPr>
          <w:rFonts w:ascii="Arial" w:eastAsia="Arial" w:hAnsi="Arial" w:cs="Arial"/>
          <w:color w:val="000000"/>
          <w:sz w:val="20"/>
        </w:rPr>
        <w:t xml:space="preserve"> [*903]  </w:t>
      </w:r>
      <w:r>
        <w:rPr>
          <w:rFonts w:ascii="Arial" w:eastAsia="Arial" w:hAnsi="Arial" w:cs="Arial"/>
          <w:b/>
          <w:color w:val="000000"/>
          <w:sz w:val="20"/>
        </w:rPr>
        <w:t>SUMMARY</w:t>
      </w:r>
      <w:r>
        <w:rPr>
          <w:rFonts w:ascii="Arial" w:eastAsia="Arial" w:hAnsi="Arial" w:cs="Arial"/>
          <w:vertAlign w:val="superscript"/>
        </w:rPr>
        <w:footnoteReference w:customMarkFollows="1" w:id="300"/>
        <w:t>*</w:t>
      </w:r>
    </w:p>
    <w:p w14:paraId="677B67EA" w14:textId="77777777" w:rsidR="002D0E71" w:rsidRDefault="00000000">
      <w:pPr>
        <w:pStyle w:val="Normal48"/>
        <w:widowControl w:val="0"/>
        <w:spacing w:before="240" w:line="260" w:lineRule="atLeast"/>
      </w:pPr>
      <w:r>
        <w:br/>
      </w:r>
      <w:r>
        <w:rPr>
          <w:rFonts w:ascii="Arial" w:eastAsia="Arial" w:hAnsi="Arial" w:cs="Arial"/>
          <w:b/>
          <w:color w:val="000000"/>
          <w:sz w:val="20"/>
        </w:rPr>
        <w:t>Prisoner Civil Rights</w:t>
      </w:r>
    </w:p>
    <w:p w14:paraId="044E600B" w14:textId="77777777" w:rsidR="002D0E71" w:rsidRDefault="00000000">
      <w:pPr>
        <w:pStyle w:val="Normal48"/>
        <w:widowControl w:val="0"/>
        <w:spacing w:before="200" w:line="260" w:lineRule="atLeast"/>
        <w:jc w:val="both"/>
      </w:pPr>
      <w:bookmarkStart w:id="7356" w:name="Bookmark_para_2_47"/>
      <w:bookmarkEnd w:id="7356"/>
      <w:r>
        <w:rPr>
          <w:rFonts w:ascii="Arial" w:eastAsia="Arial" w:hAnsi="Arial" w:cs="Arial"/>
          <w:color w:val="000000"/>
          <w:sz w:val="20"/>
        </w:rPr>
        <w:t>The panel affirmed in part and reversed in part the district court's summary judgment and remanded in  [**2] an action brought by an Arizona state prisoner who alleged that defendants violated the Americans with Disabilities Act, 42 U.S.C. §§ 12131-12134, and the Rehabilitation Act of 1973, 29 U.S.C. § 794, by failing to reasonably accommodate his disability at a prison job.</w:t>
      </w:r>
    </w:p>
    <w:p w14:paraId="4DC725EA" w14:textId="77777777" w:rsidR="002D0E71" w:rsidRDefault="00000000">
      <w:pPr>
        <w:pStyle w:val="Normal48"/>
        <w:widowControl w:val="0"/>
        <w:spacing w:before="200" w:line="260" w:lineRule="atLeast"/>
        <w:jc w:val="both"/>
      </w:pPr>
      <w:bookmarkStart w:id="7357" w:name="Bookmark_para_3_47"/>
      <w:bookmarkEnd w:id="7357"/>
      <w:r>
        <w:rPr>
          <w:rFonts w:ascii="Arial" w:eastAsia="Arial" w:hAnsi="Arial" w:cs="Arial"/>
          <w:color w:val="000000"/>
          <w:sz w:val="20"/>
        </w:rPr>
        <w:t>The panel held that plaintiff's claims against Eurofresh, a private company that contracted with the Arizona Correctional Industries for a convict labor force, were properly dismissed. The panel held that plaintiff was not Eurofresh's "employee" under Title I of the ADA because his labor belonged to the State of Arizona, which put him to work at Eurofresh in order to comply with its statutory obligations. The panel further held that because Eurofresh did not receive federal financial assistance, either directly or indirectly, it was not subject to the requirements of the Rehabilitation Act.</w:t>
      </w:r>
    </w:p>
    <w:p w14:paraId="6C066A61" w14:textId="77777777" w:rsidR="002D0E71" w:rsidRDefault="00000000">
      <w:pPr>
        <w:pStyle w:val="Normal48"/>
        <w:widowControl w:val="0"/>
        <w:spacing w:before="200" w:line="260" w:lineRule="atLeast"/>
        <w:jc w:val="both"/>
      </w:pPr>
      <w:bookmarkStart w:id="7358" w:name="Bookmark_para_4_47"/>
      <w:bookmarkEnd w:id="7358"/>
      <w:r>
        <w:rPr>
          <w:rFonts w:ascii="Arial" w:eastAsia="Arial" w:hAnsi="Arial" w:cs="Arial"/>
          <w:color w:val="000000"/>
          <w:sz w:val="20"/>
        </w:rPr>
        <w:t>The panel reversed the judgment in favor of the State Defendants because it determined that those defendants could be held liable for acts of disability discrimination committed by Eurofresh, its contractor. The panel stated that the law was clear—State Defendants may not contract away their obligation to comply with federal discrimination  [**3] law. The panel remanded to the district court to determine in the first instance whether any such discrimination occurred.</w:t>
      </w:r>
    </w:p>
    <w:p w14:paraId="4D2C0C6A" w14:textId="77777777" w:rsidR="002D0E71" w:rsidRDefault="00000000">
      <w:pPr>
        <w:pStyle w:val="Normal48"/>
        <w:widowControl w:val="0"/>
        <w:spacing w:before="200" w:line="260" w:lineRule="atLeast"/>
        <w:jc w:val="both"/>
      </w:pPr>
      <w:bookmarkStart w:id="7359" w:name="Bookmark_para_5_47"/>
      <w:bookmarkEnd w:id="7359"/>
      <w:r>
        <w:rPr>
          <w:rFonts w:ascii="Arial" w:eastAsia="Arial" w:hAnsi="Arial" w:cs="Arial"/>
          <w:color w:val="000000"/>
          <w:sz w:val="20"/>
        </w:rPr>
        <w:t>Concurring, Judge Berzon stated that this circuit's precedent compelled the conclusion that plaintiff was not an employee under Title I of the ADA. Judge Berzon stated that the notion that prisoners who work for covered employers can never be "employees" for purposes of federal employee-protective statutes undermines those statutes as applied to employees generally and misconstrues the reach of the "employee" designation.</w:t>
      </w:r>
    </w:p>
    <w:p w14:paraId="2DE51E0B" w14:textId="77777777" w:rsidR="002D0E71" w:rsidRDefault="00000000">
      <w:pPr>
        <w:pStyle w:val="Normal48"/>
        <w:widowControl w:val="0"/>
        <w:spacing w:before="240" w:line="260" w:lineRule="atLeast"/>
      </w:pPr>
      <w:r>
        <w:br/>
      </w:r>
      <w:r>
        <w:rPr>
          <w:rFonts w:ascii="Arial" w:eastAsia="Arial" w:hAnsi="Arial" w:cs="Arial"/>
          <w:b/>
          <w:color w:val="000000"/>
          <w:sz w:val="20"/>
        </w:rPr>
        <w:t>OPINION</w:t>
      </w:r>
    </w:p>
    <w:p w14:paraId="49BE562D" w14:textId="77777777" w:rsidR="002D0E71" w:rsidRDefault="00000000">
      <w:pPr>
        <w:pStyle w:val="Normal48"/>
        <w:widowControl w:val="0"/>
        <w:spacing w:before="200" w:line="260" w:lineRule="atLeast"/>
        <w:jc w:val="both"/>
      </w:pPr>
      <w:bookmarkStart w:id="7360" w:name="Bookmark_para_6_47"/>
      <w:bookmarkEnd w:id="7360"/>
      <w:r>
        <w:rPr>
          <w:rFonts w:ascii="Arial" w:eastAsia="Arial" w:hAnsi="Arial" w:cs="Arial"/>
          <w:color w:val="000000"/>
          <w:sz w:val="20"/>
        </w:rPr>
        <w:t>M. SMITH, Circuit Judge:</w:t>
      </w:r>
    </w:p>
    <w:p w14:paraId="25FCCF72" w14:textId="77777777" w:rsidR="002D0E71" w:rsidRDefault="00000000">
      <w:pPr>
        <w:pStyle w:val="Normal48"/>
        <w:widowControl w:val="0"/>
        <w:spacing w:before="200" w:line="260" w:lineRule="atLeast"/>
        <w:jc w:val="both"/>
      </w:pPr>
      <w:bookmarkStart w:id="7361" w:name="Bookmark_para_7_46"/>
      <w:bookmarkEnd w:id="7361"/>
      <w:r>
        <w:rPr>
          <w:rFonts w:ascii="Arial" w:eastAsia="Arial" w:hAnsi="Arial" w:cs="Arial"/>
          <w:color w:val="000000"/>
          <w:sz w:val="20"/>
        </w:rPr>
        <w:t>William Castle, formerly an Arizona state prisoner,</w:t>
      </w:r>
      <w:r>
        <w:rPr>
          <w:rFonts w:ascii="Arial" w:eastAsia="Arial" w:hAnsi="Arial" w:cs="Arial"/>
          <w:vertAlign w:val="superscript"/>
        </w:rPr>
        <w:footnoteReference w:customMarkFollows="1" w:id="301"/>
        <w:t>1</w:t>
      </w:r>
      <w:r>
        <w:rPr>
          <w:rFonts w:ascii="Arial" w:eastAsia="Arial" w:hAnsi="Arial" w:cs="Arial"/>
          <w:color w:val="000000"/>
          <w:sz w:val="20"/>
        </w:rPr>
        <w:t xml:space="preserve"> appeals the district court's entry of judgment in favor of defendants Eurofresh Inc., the State of Arizona (the State), the Arizona Department of Corrections (ADC), and certain officials of the ADC.</w:t>
      </w:r>
      <w:r>
        <w:rPr>
          <w:rFonts w:ascii="Arial" w:eastAsia="Arial" w:hAnsi="Arial" w:cs="Arial"/>
          <w:vertAlign w:val="superscript"/>
        </w:rPr>
        <w:footnoteReference w:customMarkFollows="1" w:id="302"/>
        <w:t>2</w:t>
      </w:r>
      <w:r>
        <w:rPr>
          <w:rFonts w:ascii="Arial" w:eastAsia="Arial" w:hAnsi="Arial" w:cs="Arial"/>
          <w:color w:val="000000"/>
          <w:sz w:val="20"/>
        </w:rPr>
        <w:t xml:space="preserve"> Castle alleges that the defendants violated the Americans with Disabilities Act (ADA), 42 U.S.C. §§ 12131-12134, and the Rehabilitation Act of 1973 (RA), 29 U.S.C. § 794, by failing to reasonably accommodate his disability. We conclude that Castle's claims against Eurofresh were properly dismissed. Castle was not Eurofresh's "employee" under Title I of the ADA, and Eurofresh  [**4] does not receive federal financial assistance, as it must in order to subject it to the requirements of the RA. However, we reverse the judgment in favor of the State Defendants, because those defendants may be held liable for acts of disability discrimination committed by one of their contractors. We therefore remand Castle's claims against the State Defendants for further proceedings required by this opinion.</w:t>
      </w:r>
    </w:p>
    <w:p w14:paraId="6EAF0CBF" w14:textId="77777777" w:rsidR="002D0E71" w:rsidRDefault="00000000">
      <w:pPr>
        <w:pStyle w:val="Normal48"/>
        <w:widowControl w:val="0"/>
        <w:spacing w:before="240" w:line="260" w:lineRule="atLeast"/>
      </w:pPr>
      <w:r>
        <w:br/>
      </w:r>
      <w:r>
        <w:rPr>
          <w:rFonts w:ascii="Arial" w:eastAsia="Arial" w:hAnsi="Arial" w:cs="Arial"/>
          <w:b/>
          <w:color w:val="000000"/>
          <w:sz w:val="20"/>
        </w:rPr>
        <w:t>BACKGROUND</w:t>
      </w:r>
    </w:p>
    <w:p w14:paraId="4C88EE67" w14:textId="77777777" w:rsidR="002D0E71" w:rsidRDefault="00000000">
      <w:pPr>
        <w:pStyle w:val="Normal48"/>
        <w:widowControl w:val="0"/>
        <w:spacing w:before="200" w:line="260" w:lineRule="atLeast"/>
        <w:jc w:val="both"/>
      </w:pPr>
      <w:bookmarkStart w:id="7364" w:name="Bookmark_para_8_46"/>
      <w:bookmarkEnd w:id="7364"/>
      <w:r>
        <w:rPr>
          <w:rFonts w:ascii="Arial" w:eastAsia="Arial" w:hAnsi="Arial" w:cs="Arial"/>
          <w:color w:val="000000"/>
          <w:sz w:val="20"/>
        </w:rPr>
        <w:t>Castle was convicted of theft and perpetuating a scheme or artifice to defraud in violation of Ariz. Rev. Stat. §§ 13-1802, 13-2310. He was sentenced to a ten-year prison term and placed in the custody of the ADC.</w:t>
      </w:r>
    </w:p>
    <w:p w14:paraId="3C2EB85D" w14:textId="77777777" w:rsidR="002D0E71" w:rsidRDefault="00000000">
      <w:pPr>
        <w:pStyle w:val="Normal48"/>
        <w:widowControl w:val="0"/>
        <w:spacing w:before="200" w:line="260" w:lineRule="atLeast"/>
        <w:jc w:val="both"/>
      </w:pPr>
      <w:bookmarkStart w:id="7365" w:name="Bookmark_para_9_46"/>
      <w:bookmarkEnd w:id="7365"/>
      <w:r>
        <w:rPr>
          <w:rFonts w:ascii="Arial" w:eastAsia="Arial" w:hAnsi="Arial" w:cs="Arial"/>
          <w:color w:val="000000"/>
          <w:sz w:val="20"/>
        </w:rPr>
        <w:t xml:space="preserve">Arizona law requires all able-bodied inmates in ADC's custody to "engage in hard labor for not less than forty hours per week." Ariz. Rev. Stat. § 31-251(A). </w:t>
      </w:r>
      <w:bookmarkStart w:id="7366" w:name="Bookmark_I59K6CFK2HM6720020000400"/>
      <w:bookmarkEnd w:id="7366"/>
      <w:r>
        <w:rPr>
          <w:rFonts w:ascii="Arial" w:eastAsia="Arial" w:hAnsi="Arial" w:cs="Arial"/>
          <w:color w:val="000000"/>
          <w:sz w:val="20"/>
        </w:rPr>
        <w:t>Most inmates satisfy this requirement by participating in the ADC's Work Incentive Pay Program (WIPP). Inmate wages under the WIPP range from ten to fifty cents per hour, although inmates can earn raises for good performance. Some  [**5] inmates, however, receive significantly more remunerative work assignments through a separate convict labor program run by Arizona Correctional Industries (ACI).</w:t>
      </w:r>
      <w:r>
        <w:rPr>
          <w:rFonts w:ascii="Arial" w:eastAsia="Arial" w:hAnsi="Arial" w:cs="Arial"/>
          <w:vertAlign w:val="superscript"/>
        </w:rPr>
        <w:footnoteReference w:customMarkFollows="1" w:id="303"/>
        <w:t>3</w:t>
      </w:r>
      <w:r>
        <w:rPr>
          <w:rFonts w:ascii="Arial" w:eastAsia="Arial" w:hAnsi="Arial" w:cs="Arial"/>
          <w:color w:val="000000"/>
          <w:sz w:val="20"/>
        </w:rPr>
        <w:t xml:space="preserve"> </w:t>
      </w:r>
      <w:r>
        <w:rPr>
          <w:rFonts w:ascii="Arial" w:eastAsia="Arial" w:hAnsi="Arial" w:cs="Arial"/>
          <w:i/>
          <w:color w:val="000000"/>
          <w:sz w:val="20"/>
        </w:rPr>
        <w:t>See</w:t>
      </w:r>
      <w:r>
        <w:rPr>
          <w:rFonts w:ascii="Arial" w:eastAsia="Arial" w:hAnsi="Arial" w:cs="Arial"/>
          <w:color w:val="000000"/>
          <w:sz w:val="20"/>
        </w:rPr>
        <w:t xml:space="preserve"> Ariz. Rev. Stat. §§ 41-1621-1630. ACI contracts with private companies to provide them with a convict labor force. One company that contracts with ACI is Eurofresh, which describes itself as "America's largest greenhouse operation," capable of  [*904]  growing 200 million pounds of "hydroponic tomatoes" each year.</w:t>
      </w:r>
    </w:p>
    <w:p w14:paraId="6763A48B" w14:textId="77777777" w:rsidR="002D0E71" w:rsidRDefault="00000000">
      <w:pPr>
        <w:pStyle w:val="Normal48"/>
        <w:widowControl w:val="0"/>
        <w:spacing w:before="200" w:line="260" w:lineRule="atLeast"/>
        <w:jc w:val="both"/>
      </w:pPr>
      <w:bookmarkStart w:id="7369" w:name="Bookmark_para_10_45"/>
      <w:bookmarkEnd w:id="7369"/>
      <w:r>
        <w:rPr>
          <w:rFonts w:ascii="Arial" w:eastAsia="Arial" w:hAnsi="Arial" w:cs="Arial"/>
          <w:color w:val="000000"/>
          <w:sz w:val="20"/>
        </w:rPr>
        <w:t>Castle began picking tomatoes for Eurofresh in July 2008 at a greenhouse located approximately sixty miles from  [**6] the prison where he was incarcerated. The job was physically strenuous—Castle was required to be on his feet for his entire seven hour shift and often had to push a 600 pound tomato cart. Toward the end of August 2008, Castle began experiencing "intolerable pain and swelling" in his left ankle after working for two or more hours at Eurofresh. Castle had seriously injured his ankle decades earlier during a parachute accident that occurred while Castle attended the United States Army Airborne School.</w:t>
      </w:r>
      <w:r>
        <w:rPr>
          <w:rFonts w:ascii="Arial" w:eastAsia="Arial" w:hAnsi="Arial" w:cs="Arial"/>
          <w:vertAlign w:val="superscript"/>
        </w:rPr>
        <w:footnoteReference w:customMarkFollows="1" w:id="304"/>
        <w:t>4</w:t>
      </w:r>
    </w:p>
    <w:p w14:paraId="74AC63C0" w14:textId="77777777" w:rsidR="002D0E71" w:rsidRDefault="00000000">
      <w:pPr>
        <w:pStyle w:val="Normal48"/>
        <w:widowControl w:val="0"/>
        <w:spacing w:before="200" w:line="260" w:lineRule="atLeast"/>
        <w:jc w:val="both"/>
      </w:pPr>
      <w:bookmarkStart w:id="7371" w:name="Bookmark_para_11_44"/>
      <w:bookmarkEnd w:id="7371"/>
      <w:r>
        <w:rPr>
          <w:rFonts w:ascii="Arial" w:eastAsia="Arial" w:hAnsi="Arial" w:cs="Arial"/>
          <w:color w:val="000000"/>
          <w:sz w:val="20"/>
        </w:rPr>
        <w:t>Because of his pain, Castle asked a Eurofresh supervisor if he could take short breaks during the work day to rest his ankle. According to Castle, the supervisor indicated that Castle would be fired if he insisted on taking breaks. Castle continued working at Eurofresh, but sought medical treatment for his injury from the ADC. One of Castle's medical providers suggested that he ask for a job change or accommodation.</w:t>
      </w:r>
    </w:p>
    <w:p w14:paraId="147BB53D" w14:textId="77777777" w:rsidR="002D0E71" w:rsidRDefault="00000000">
      <w:pPr>
        <w:pStyle w:val="Normal48"/>
        <w:widowControl w:val="0"/>
        <w:spacing w:before="200" w:line="260" w:lineRule="atLeast"/>
        <w:jc w:val="both"/>
      </w:pPr>
      <w:bookmarkStart w:id="7372" w:name="Bookmark_para_12_43"/>
      <w:bookmarkEnd w:id="7372"/>
      <w:r>
        <w:rPr>
          <w:rFonts w:ascii="Arial" w:eastAsia="Arial" w:hAnsi="Arial" w:cs="Arial"/>
          <w:color w:val="000000"/>
          <w:sz w:val="20"/>
        </w:rPr>
        <w:t>In October 2008, Castle sent certified letters to both ACI and Eurofresh informing them that he could not walk or stand for long periods without  [**7] experiencing extreme pain. He asked to be provided with a position at Eurofresh "that does not require walking for long periods of time, as well as pushing heavy carts." Castle later met with representatives of both Eurofresh and ACI to discuss his disability. He again suggested that he be reassigned to a different job, such as operating box or label machinery in the "pack house." A Eurofresh manager responded that there were no other positions available to inmate laborers,</w:t>
      </w:r>
      <w:r>
        <w:rPr>
          <w:rFonts w:ascii="Arial" w:eastAsia="Arial" w:hAnsi="Arial" w:cs="Arial"/>
          <w:vertAlign w:val="superscript"/>
        </w:rPr>
        <w:footnoteReference w:customMarkFollows="1" w:id="305"/>
        <w:t>5</w:t>
      </w:r>
      <w:r>
        <w:rPr>
          <w:rFonts w:ascii="Arial" w:eastAsia="Arial" w:hAnsi="Arial" w:cs="Arial"/>
          <w:color w:val="000000"/>
          <w:sz w:val="20"/>
        </w:rPr>
        <w:t xml:space="preserve"> but that Eurofresh and ACI would take Castle's request "under advisement." Castle claims that he was later informed that no accommodation would be made, and that his only option was to quit his position at Eurofresh. Defendants claim that Eurofresh offered to promote Castle to a "de-leafer" position,</w:t>
      </w:r>
      <w:r>
        <w:rPr>
          <w:rFonts w:ascii="Arial" w:eastAsia="Arial" w:hAnsi="Arial" w:cs="Arial"/>
          <w:vertAlign w:val="superscript"/>
        </w:rPr>
        <w:footnoteReference w:customMarkFollows="1" w:id="306"/>
        <w:t>6</w:t>
      </w:r>
      <w:r>
        <w:rPr>
          <w:rFonts w:ascii="Arial" w:eastAsia="Arial" w:hAnsi="Arial" w:cs="Arial"/>
          <w:color w:val="000000"/>
          <w:sz w:val="20"/>
        </w:rPr>
        <w:t xml:space="preserve"> but that Castle refused the offer. No party disputes, however, that the ADC eventually reassigned Castle to a WIPP job in the prison motor pool. Castle's new job paid 50 cents per hour. Castle had been receiving more than $2.25 per hour picking tomatoes at Eurofresh.</w:t>
      </w:r>
    </w:p>
    <w:p w14:paraId="68E49BA1" w14:textId="77777777" w:rsidR="002D0E71" w:rsidRDefault="00000000">
      <w:pPr>
        <w:pStyle w:val="Normal48"/>
        <w:widowControl w:val="0"/>
        <w:spacing w:before="200" w:line="260" w:lineRule="atLeast"/>
        <w:jc w:val="both"/>
      </w:pPr>
      <w:bookmarkStart w:id="7375" w:name="Bookmark_para_13_43"/>
      <w:bookmarkEnd w:id="7375"/>
      <w:r>
        <w:rPr>
          <w:rFonts w:ascii="Arial" w:eastAsia="Arial" w:hAnsi="Arial" w:cs="Arial"/>
          <w:color w:val="000000"/>
          <w:sz w:val="20"/>
        </w:rPr>
        <w:t>After pursuing a grievance with the ADC, Castle filed a discrimination claim with the Equal Employment Opportunity Commission (EEOC). After the EEOC issued Castle a Notice of Suit Rights letter, Castle brought suit against Eurofresh and the State Defendants.</w:t>
      </w:r>
    </w:p>
    <w:p w14:paraId="253371B7" w14:textId="77777777" w:rsidR="002D0E71" w:rsidRDefault="00000000">
      <w:pPr>
        <w:pStyle w:val="Normal48"/>
        <w:widowControl w:val="0"/>
        <w:spacing w:before="200" w:line="260" w:lineRule="atLeast"/>
        <w:jc w:val="both"/>
      </w:pPr>
      <w:bookmarkStart w:id="7376" w:name="Bookmark_para_14_42"/>
      <w:bookmarkEnd w:id="7376"/>
      <w:r>
        <w:rPr>
          <w:rFonts w:ascii="Arial" w:eastAsia="Arial" w:hAnsi="Arial" w:cs="Arial"/>
          <w:color w:val="000000"/>
          <w:sz w:val="20"/>
        </w:rPr>
        <w:t>In his initial complaint, Castle alleged that Eurofresh and the State Defendants violated his rights under Titles I and II of the ADA, Section 504  [**9] of the RA, and the Arizona Civil Rights Act, by failing to reasonably accommodate his disability. Castle  [*905]  also claimed that Eurofresh had breached its contractual obligations with the State, which required that Eurofresh comply with all applicable federal and state employment laws.</w:t>
      </w:r>
      <w:r>
        <w:rPr>
          <w:rFonts w:ascii="Arial" w:eastAsia="Arial" w:hAnsi="Arial" w:cs="Arial"/>
          <w:vertAlign w:val="superscript"/>
        </w:rPr>
        <w:footnoteReference w:customMarkFollows="1" w:id="307"/>
        <w:t>7</w:t>
      </w:r>
      <w:r>
        <w:rPr>
          <w:rFonts w:ascii="Arial" w:eastAsia="Arial" w:hAnsi="Arial" w:cs="Arial"/>
          <w:color w:val="000000"/>
          <w:sz w:val="20"/>
        </w:rPr>
        <w:t xml:space="preserve"> Castle sought money damages but did not request reinstatement at Eurofresh.</w:t>
      </w:r>
    </w:p>
    <w:p w14:paraId="419E477B" w14:textId="77777777" w:rsidR="002D0E71" w:rsidRDefault="00000000">
      <w:pPr>
        <w:pStyle w:val="Normal48"/>
        <w:widowControl w:val="0"/>
        <w:spacing w:before="200" w:line="260" w:lineRule="atLeast"/>
        <w:jc w:val="both"/>
      </w:pPr>
      <w:bookmarkStart w:id="7378" w:name="Bookmark_para_15_41"/>
      <w:bookmarkEnd w:id="7378"/>
      <w:r>
        <w:rPr>
          <w:rFonts w:ascii="Arial" w:eastAsia="Arial" w:hAnsi="Arial" w:cs="Arial"/>
          <w:color w:val="000000"/>
          <w:sz w:val="20"/>
        </w:rPr>
        <w:t>The district court dismissed Castle's Title I claim against Eurofresh with prejudice. The court found that Castle lacked standing to sue under the ADA because, as a prisoner, he did not have an employment relationship with Eurofresh. The district court also dismissed Castle's RA claim against Eurofresh, reasoning that Castle had not adequately alleged that Eurofresh is the direct or indirect recipient of federal financial assistance. Castle was given leave to amend his RA claim against Eurofresh.</w:t>
      </w:r>
    </w:p>
    <w:p w14:paraId="702916E4" w14:textId="77777777" w:rsidR="002D0E71" w:rsidRDefault="00000000">
      <w:pPr>
        <w:pStyle w:val="Normal48"/>
        <w:widowControl w:val="0"/>
        <w:spacing w:before="200" w:line="260" w:lineRule="atLeast"/>
        <w:jc w:val="both"/>
      </w:pPr>
      <w:bookmarkStart w:id="7379" w:name="Bookmark_para_16_40"/>
      <w:bookmarkEnd w:id="7379"/>
      <w:r>
        <w:rPr>
          <w:rFonts w:ascii="Arial" w:eastAsia="Arial" w:hAnsi="Arial" w:cs="Arial"/>
          <w:color w:val="000000"/>
          <w:sz w:val="20"/>
        </w:rPr>
        <w:t>In the same order, the district court also dismissed Castle's ADA and RA claims against the State Defendants. The court concluded that Castle could not state a claim under either statute because "plaintiff's own evidence shows that he was given a different  [**10] work assignment [in the motor pool]—one that does not require prolonged standing and walking." Castle was granted leave to amend his complaint against the State Defendants.</w:t>
      </w:r>
    </w:p>
    <w:p w14:paraId="73602787" w14:textId="77777777" w:rsidR="002D0E71" w:rsidRDefault="00000000">
      <w:pPr>
        <w:pStyle w:val="Normal48"/>
        <w:widowControl w:val="0"/>
        <w:spacing w:before="200" w:line="260" w:lineRule="atLeast"/>
        <w:jc w:val="both"/>
      </w:pPr>
      <w:bookmarkStart w:id="7380" w:name="Bookmark_para_17_38"/>
      <w:bookmarkEnd w:id="7380"/>
      <w:r>
        <w:rPr>
          <w:rFonts w:ascii="Arial" w:eastAsia="Arial" w:hAnsi="Arial" w:cs="Arial"/>
          <w:color w:val="000000"/>
          <w:sz w:val="20"/>
        </w:rPr>
        <w:t>After Castle twice amended his complaint, Eurofresh and the State Defendants filed motions seeking dismissal of Castle's remaining claims. The district court granted Eurofresh's motion with prejudice, again concluding that Castle failed to adequately allege that Eurofresh received federal financial assistance. The district court denied the State Defendants' motion, however, and ordered them to answer Castle's allegations that they violated Title II of the ADA and Section 504 of the RA.</w:t>
      </w:r>
    </w:p>
    <w:p w14:paraId="4AD96C3D" w14:textId="77777777" w:rsidR="002D0E71" w:rsidRDefault="00000000">
      <w:pPr>
        <w:pStyle w:val="Normal48"/>
        <w:widowControl w:val="0"/>
        <w:spacing w:before="200" w:line="260" w:lineRule="atLeast"/>
        <w:jc w:val="both"/>
      </w:pPr>
      <w:bookmarkStart w:id="7381" w:name="Bookmark_para_18_38"/>
      <w:bookmarkEnd w:id="7381"/>
      <w:r>
        <w:rPr>
          <w:rFonts w:ascii="Arial" w:eastAsia="Arial" w:hAnsi="Arial" w:cs="Arial"/>
          <w:color w:val="000000"/>
          <w:sz w:val="20"/>
        </w:rPr>
        <w:t>The State Defendants filed their answer in October 2010. In June 2011, the State Defendants filed a motion for summary judgment on Castle's remaining claims against them. The district court granted the motion in November 2011. The court reasoned that the State Defendants did not violate either the ADA or the RA because: (1) the State Defendants lacked the power to reassign or otherwise accommodate Castle within Eurofresh; and (2) the State Defendants had accommodated Castle by reassigning him to a job in the prison motor pool. Castle  [**11] timely appealed.</w:t>
      </w:r>
    </w:p>
    <w:p w14:paraId="121A464A" w14:textId="77777777" w:rsidR="002D0E71" w:rsidRDefault="00000000">
      <w:pPr>
        <w:pStyle w:val="Normal48"/>
        <w:widowControl w:val="0"/>
        <w:spacing w:before="240" w:line="260" w:lineRule="atLeast"/>
      </w:pPr>
      <w:r>
        <w:br/>
      </w:r>
      <w:r>
        <w:rPr>
          <w:rFonts w:ascii="Arial" w:eastAsia="Arial" w:hAnsi="Arial" w:cs="Arial"/>
          <w:b/>
          <w:color w:val="000000"/>
          <w:sz w:val="20"/>
        </w:rPr>
        <w:t>JURISDICTION AND STANDARD OF REVIEW</w:t>
      </w:r>
    </w:p>
    <w:p w14:paraId="15074E77" w14:textId="77777777" w:rsidR="002D0E71" w:rsidRDefault="00000000">
      <w:pPr>
        <w:pStyle w:val="Normal48"/>
        <w:widowControl w:val="0"/>
        <w:spacing w:before="200" w:line="260" w:lineRule="atLeast"/>
        <w:jc w:val="both"/>
      </w:pPr>
      <w:bookmarkStart w:id="7382" w:name="Bookmark_para_19_38"/>
      <w:bookmarkStart w:id="7383" w:name="Bookmark_I59K6CFK2HM6720040000400"/>
      <w:bookmarkStart w:id="7384" w:name="Bookmark_I59K6CFK2D6NX50010000400"/>
      <w:bookmarkStart w:id="7385" w:name="Bookmark_LNHNREFclscc1_41"/>
      <w:bookmarkEnd w:id="7382"/>
      <w:bookmarkEnd w:id="7383"/>
      <w:bookmarkEnd w:id="7384"/>
      <w:bookmarkEnd w:id="7385"/>
      <w:r>
        <w:rPr>
          <w:rFonts w:ascii="Arial" w:eastAsia="Arial" w:hAnsi="Arial" w:cs="Arial"/>
          <w:color w:val="000000"/>
          <w:sz w:val="20"/>
        </w:rPr>
        <w:t xml:space="preserve">We have jurisdiction to review the district court's entry of judgment under 28 U.S.C. § 1291. </w:t>
      </w:r>
      <w:bookmarkStart w:id="7386" w:name="Bookmark_I59K6CFK2D6NX50030000400"/>
      <w:bookmarkStart w:id="7387" w:name="Bookmark_LNHNREFclscc2_41"/>
      <w:bookmarkEnd w:id="7386"/>
      <w:bookmarkEnd w:id="7387"/>
      <w:r>
        <w:rPr>
          <w:rFonts w:ascii="Arial" w:eastAsia="Arial" w:hAnsi="Arial" w:cs="Arial"/>
          <w:color w:val="000000"/>
          <w:sz w:val="20"/>
        </w:rPr>
        <w:t xml:space="preserve">We review an order granting a motion to dismiss de novo. </w:t>
      </w:r>
      <w:bookmarkStart w:id="7388" w:name="Bookmark_I59K6CFK2HM6720030000400"/>
      <w:bookmarkEnd w:id="7388"/>
      <w:r>
        <w:rPr>
          <w:rFonts w:ascii="Arial" w:eastAsia="Arial" w:hAnsi="Arial" w:cs="Arial"/>
          <w:i/>
          <w:color w:val="000000"/>
          <w:sz w:val="20"/>
        </w:rPr>
        <w:t>Cousins v. Lockyer</w:t>
      </w:r>
      <w:r>
        <w:rPr>
          <w:rFonts w:ascii="Arial" w:eastAsia="Arial" w:hAnsi="Arial" w:cs="Arial"/>
          <w:color w:val="000000"/>
          <w:sz w:val="20"/>
        </w:rPr>
        <w:t xml:space="preserve">, 568 F.3d 1063, 1067 (9th Cir. 2009). </w:t>
      </w:r>
      <w:bookmarkStart w:id="7389" w:name="Bookmark_I59K6CFK2D6NX50050000400"/>
      <w:bookmarkStart w:id="7390" w:name="Bookmark_LNHNREFclscc3_40"/>
      <w:bookmarkEnd w:id="7389"/>
      <w:bookmarkEnd w:id="7390"/>
      <w:r>
        <w:rPr>
          <w:rFonts w:ascii="Arial" w:eastAsia="Arial" w:hAnsi="Arial" w:cs="Arial"/>
          <w:color w:val="000000"/>
          <w:sz w:val="20"/>
        </w:rPr>
        <w:t xml:space="preserve">"All well-pleaded allegations of material fact in the complaint are accepted as true and are construed in the light most favorable to the nonmoving party." </w:t>
      </w:r>
      <w:bookmarkStart w:id="7391" w:name="Bookmark_I59K6CFK2HM6720050000400"/>
      <w:bookmarkEnd w:id="7391"/>
      <w:r>
        <w:rPr>
          <w:rFonts w:ascii="Arial" w:eastAsia="Arial" w:hAnsi="Arial" w:cs="Arial"/>
          <w:i/>
          <w:color w:val="000000"/>
          <w:sz w:val="20"/>
        </w:rPr>
        <w:t>Faulkner v. ADT Sec. Servs., Inc</w:t>
      </w:r>
      <w:r>
        <w:rPr>
          <w:rFonts w:ascii="Arial" w:eastAsia="Arial" w:hAnsi="Arial" w:cs="Arial"/>
          <w:color w:val="000000"/>
          <w:sz w:val="20"/>
        </w:rPr>
        <w:t xml:space="preserve">., 706 F.3d 1017, 1019 (9th Cir. 2013) (citations omitted). </w:t>
      </w:r>
      <w:bookmarkStart w:id="7392" w:name="Bookmark_I59K6CFK2D6NX50050000400_2"/>
      <w:bookmarkStart w:id="7393" w:name="Bookmark_I59K6CFK2D6NX50030000400_2"/>
      <w:bookmarkEnd w:id="7392"/>
      <w:bookmarkEnd w:id="7393"/>
      <w:r>
        <w:rPr>
          <w:rFonts w:ascii="Arial" w:eastAsia="Arial" w:hAnsi="Arial" w:cs="Arial"/>
          <w:color w:val="000000"/>
          <w:sz w:val="20"/>
        </w:rPr>
        <w:t xml:space="preserve">However, a complaint must allege "enough facts to state a claim to relief that is plausible on its face." </w:t>
      </w:r>
      <w:bookmarkStart w:id="7394" w:name="Bookmark_I59K6CFK2D6NX50020000400"/>
      <w:bookmarkEnd w:id="7394"/>
      <w:r>
        <w:rPr>
          <w:rFonts w:ascii="Arial" w:eastAsia="Arial" w:hAnsi="Arial" w:cs="Arial"/>
          <w:i/>
          <w:color w:val="000000"/>
          <w:sz w:val="20"/>
        </w:rPr>
        <w:t>Bell Atl. Corp. v. Twombly</w:t>
      </w:r>
      <w:r>
        <w:rPr>
          <w:rFonts w:ascii="Arial" w:eastAsia="Arial" w:hAnsi="Arial" w:cs="Arial"/>
          <w:color w:val="000000"/>
          <w:sz w:val="20"/>
        </w:rPr>
        <w:t xml:space="preserve">, 550 U.S. 544, 570, 127 S. Ct. 1955, 167 L. Ed. 2d 929 (2007). "A claim has facial plausibility when 'the plaintiff pleads factual content that allows the court to draw the reasonable inference that the defendant is liable for the misconduct alleged.'" </w:t>
      </w:r>
      <w:bookmarkStart w:id="7395" w:name="Bookmark_I59K6CFK2D6NX50040000400"/>
      <w:bookmarkEnd w:id="7395"/>
      <w:r>
        <w:rPr>
          <w:rFonts w:ascii="Arial" w:eastAsia="Arial" w:hAnsi="Arial" w:cs="Arial"/>
          <w:i/>
          <w:color w:val="000000"/>
          <w:sz w:val="20"/>
        </w:rPr>
        <w:t>Faulkner</w:t>
      </w:r>
      <w:r>
        <w:rPr>
          <w:rFonts w:ascii="Arial" w:eastAsia="Arial" w:hAnsi="Arial" w:cs="Arial"/>
          <w:color w:val="000000"/>
          <w:sz w:val="20"/>
        </w:rPr>
        <w:t xml:space="preserve">, 706 F. 3d at 1019 (quoting </w:t>
      </w:r>
      <w:bookmarkStart w:id="7396" w:name="Bookmark_I59K6CFK2D6NX60010000400"/>
      <w:bookmarkEnd w:id="7396"/>
      <w:r>
        <w:rPr>
          <w:rFonts w:ascii="Arial" w:eastAsia="Arial" w:hAnsi="Arial" w:cs="Arial"/>
          <w:i/>
          <w:color w:val="000000"/>
          <w:sz w:val="20"/>
        </w:rPr>
        <w:t>Ashcroft v. Iqbal</w:t>
      </w:r>
      <w:r>
        <w:rPr>
          <w:rFonts w:ascii="Arial" w:eastAsia="Arial" w:hAnsi="Arial" w:cs="Arial"/>
          <w:color w:val="000000"/>
          <w:sz w:val="20"/>
        </w:rPr>
        <w:t>, 556 U.S. 662, 678,  [*906]  129 S. Ct. 1937, 173 L. Ed. 2d 868 (2009)).</w:t>
      </w:r>
    </w:p>
    <w:p w14:paraId="5459ECF1" w14:textId="77777777" w:rsidR="002D0E71" w:rsidRDefault="00000000">
      <w:pPr>
        <w:pStyle w:val="Normal48"/>
        <w:widowControl w:val="0"/>
        <w:spacing w:before="200" w:line="260" w:lineRule="atLeast"/>
        <w:jc w:val="both"/>
      </w:pPr>
      <w:bookmarkStart w:id="7397" w:name="Bookmark_para_20_36"/>
      <w:bookmarkStart w:id="7398" w:name="Bookmark_I59K6CFK2D6NX60040000400"/>
      <w:bookmarkStart w:id="7399" w:name="Bookmark_I59K6CFM2HM6790010000400"/>
      <w:bookmarkStart w:id="7400" w:name="Bookmark_LNHNREFclscc4_40"/>
      <w:bookmarkEnd w:id="7397"/>
      <w:bookmarkEnd w:id="7398"/>
      <w:bookmarkEnd w:id="7399"/>
      <w:bookmarkEnd w:id="7400"/>
      <w:r>
        <w:rPr>
          <w:rFonts w:ascii="Arial" w:eastAsia="Arial" w:hAnsi="Arial" w:cs="Arial"/>
          <w:color w:val="000000"/>
          <w:sz w:val="20"/>
        </w:rPr>
        <w:t xml:space="preserve">We similarly review a grant of summary judgment de novo. </w:t>
      </w:r>
      <w:bookmarkStart w:id="7401" w:name="Bookmark_I59K6CFK2D6NX60030000400"/>
      <w:bookmarkEnd w:id="7401"/>
      <w:r>
        <w:rPr>
          <w:rFonts w:ascii="Arial" w:eastAsia="Arial" w:hAnsi="Arial" w:cs="Arial"/>
          <w:i/>
          <w:color w:val="000000"/>
          <w:sz w:val="20"/>
        </w:rPr>
        <w:t>Cameron v. Craig</w:t>
      </w:r>
      <w:r>
        <w:rPr>
          <w:rFonts w:ascii="Arial" w:eastAsia="Arial" w:hAnsi="Arial" w:cs="Arial"/>
          <w:color w:val="000000"/>
          <w:sz w:val="20"/>
        </w:rPr>
        <w:t xml:space="preserve">, 713 F.3d 1012, 1018 (9th Cir. 2013). We "must determine whether, viewing the evidence in the light most favorable to the nonmoving party, there are any genuine issues of material fact and  [**12] whether the district court correctly applied the relevant substantive law." </w:t>
      </w:r>
      <w:r>
        <w:rPr>
          <w:rFonts w:ascii="Arial" w:eastAsia="Arial" w:hAnsi="Arial" w:cs="Arial"/>
          <w:i/>
          <w:color w:val="000000"/>
          <w:sz w:val="20"/>
        </w:rPr>
        <w:t>Id</w:t>
      </w:r>
      <w:r>
        <w:rPr>
          <w:rFonts w:ascii="Arial" w:eastAsia="Arial" w:hAnsi="Arial" w:cs="Arial"/>
          <w:color w:val="000000"/>
          <w:sz w:val="20"/>
        </w:rPr>
        <w:t xml:space="preserve">. (quoting </w:t>
      </w:r>
      <w:bookmarkStart w:id="7402" w:name="Bookmark_I59K6CFK2D6NX60050000400"/>
      <w:bookmarkEnd w:id="7402"/>
      <w:r>
        <w:rPr>
          <w:rFonts w:ascii="Arial" w:eastAsia="Arial" w:hAnsi="Arial" w:cs="Arial"/>
          <w:i/>
          <w:color w:val="000000"/>
          <w:sz w:val="20"/>
        </w:rPr>
        <w:t>Lopez v. Smith</w:t>
      </w:r>
      <w:r>
        <w:rPr>
          <w:rFonts w:ascii="Arial" w:eastAsia="Arial" w:hAnsi="Arial" w:cs="Arial"/>
          <w:color w:val="000000"/>
          <w:sz w:val="20"/>
        </w:rPr>
        <w:t>, 203 F.3d 1122, 1131 (9th Cir. 2000) (en banc)).</w:t>
      </w:r>
    </w:p>
    <w:p w14:paraId="18E3BEDB" w14:textId="77777777" w:rsidR="002D0E71" w:rsidRDefault="00000000">
      <w:pPr>
        <w:pStyle w:val="Normal48"/>
        <w:widowControl w:val="0"/>
        <w:spacing w:before="240" w:line="260" w:lineRule="atLeast"/>
      </w:pPr>
      <w:r>
        <w:br/>
      </w:r>
      <w:r>
        <w:rPr>
          <w:rFonts w:ascii="Arial" w:eastAsia="Arial" w:hAnsi="Arial" w:cs="Arial"/>
          <w:b/>
          <w:color w:val="000000"/>
          <w:sz w:val="20"/>
        </w:rPr>
        <w:t>DISCUSSION</w:t>
      </w:r>
    </w:p>
    <w:p w14:paraId="741DA136" w14:textId="77777777" w:rsidR="002D0E71" w:rsidRDefault="00000000">
      <w:pPr>
        <w:pStyle w:val="Normal48"/>
        <w:widowControl w:val="0"/>
        <w:spacing w:before="240" w:line="260" w:lineRule="atLeast"/>
      </w:pPr>
      <w:r>
        <w:br/>
      </w:r>
      <w:r>
        <w:rPr>
          <w:rFonts w:ascii="Arial" w:eastAsia="Arial" w:hAnsi="Arial" w:cs="Arial"/>
          <w:b/>
          <w:color w:val="000000"/>
          <w:sz w:val="20"/>
        </w:rPr>
        <w:t>I. Castle's ADA Claim Against Eurofresh</w:t>
      </w:r>
    </w:p>
    <w:p w14:paraId="2FBE83AA" w14:textId="77777777" w:rsidR="002D0E71" w:rsidRDefault="00000000">
      <w:pPr>
        <w:pStyle w:val="Normal48"/>
        <w:widowControl w:val="0"/>
        <w:spacing w:before="200" w:line="260" w:lineRule="atLeast"/>
        <w:jc w:val="both"/>
      </w:pPr>
      <w:bookmarkStart w:id="7403" w:name="Bookmark_para_21_35"/>
      <w:bookmarkStart w:id="7404" w:name="Bookmark_LNHNREFclscc5_40"/>
      <w:bookmarkEnd w:id="7403"/>
      <w:bookmarkEnd w:id="7404"/>
      <w:r>
        <w:rPr>
          <w:rFonts w:ascii="Arial" w:eastAsia="Arial" w:hAnsi="Arial" w:cs="Arial"/>
          <w:color w:val="000000"/>
          <w:sz w:val="20"/>
        </w:rPr>
        <w:t xml:space="preserve">Title I of the ADA prohibits discrimination "against a qualified individual on the basis of disability in regard to . . . [the] privileges of </w:t>
      </w:r>
      <w:r>
        <w:rPr>
          <w:rFonts w:ascii="Arial" w:eastAsia="Arial" w:hAnsi="Arial" w:cs="Arial"/>
          <w:i/>
          <w:color w:val="000000"/>
          <w:sz w:val="20"/>
        </w:rPr>
        <w:t>employment</w:t>
      </w:r>
      <w:r>
        <w:rPr>
          <w:rFonts w:ascii="Arial" w:eastAsia="Arial" w:hAnsi="Arial" w:cs="Arial"/>
          <w:color w:val="000000"/>
          <w:sz w:val="20"/>
        </w:rPr>
        <w:t>." 42 U.S.C. § 12112(a) (emphasis added). Thus the first question we must resolve is whether Castle, an inmate required to work under Arizona law, had an employment relationship with Eurofresh within the meaning of the ADA.</w:t>
      </w:r>
    </w:p>
    <w:p w14:paraId="3ACDCBBA" w14:textId="77777777" w:rsidR="002D0E71" w:rsidRDefault="00000000">
      <w:pPr>
        <w:pStyle w:val="Normal48"/>
        <w:widowControl w:val="0"/>
        <w:spacing w:before="200" w:line="260" w:lineRule="atLeast"/>
        <w:jc w:val="both"/>
      </w:pPr>
      <w:bookmarkStart w:id="7405" w:name="Bookmark_para_22_35"/>
      <w:bookmarkStart w:id="7406" w:name="Bookmark_I59K6CFM2HM6790030000400"/>
      <w:bookmarkStart w:id="7407" w:name="Bookmark_I59K6CFM2SF7N60030000400"/>
      <w:bookmarkStart w:id="7408" w:name="Bookmark_LNHNREFclscc6_39"/>
      <w:bookmarkEnd w:id="7405"/>
      <w:bookmarkEnd w:id="7406"/>
      <w:bookmarkEnd w:id="7407"/>
      <w:bookmarkEnd w:id="7408"/>
      <w:r>
        <w:rPr>
          <w:rFonts w:ascii="Arial" w:eastAsia="Arial" w:hAnsi="Arial" w:cs="Arial"/>
          <w:color w:val="000000"/>
          <w:sz w:val="20"/>
        </w:rPr>
        <w:t>The ADA defines an "employee" as "an individual employed by an employer." 42 U.S.C. § 12111(4). All parties agree that Eurofresh is an "employer" under the ADA.</w:t>
      </w:r>
      <w:r>
        <w:rPr>
          <w:rFonts w:ascii="Arial" w:eastAsia="Arial" w:hAnsi="Arial" w:cs="Arial"/>
          <w:vertAlign w:val="superscript"/>
        </w:rPr>
        <w:footnoteReference w:customMarkFollows="1" w:id="308"/>
        <w:t>8</w:t>
      </w:r>
      <w:r>
        <w:rPr>
          <w:rFonts w:ascii="Arial" w:eastAsia="Arial" w:hAnsi="Arial" w:cs="Arial"/>
          <w:color w:val="000000"/>
          <w:sz w:val="20"/>
        </w:rPr>
        <w:t xml:space="preserve"> But the parties vigorously dispute whether Castle was "employed" by Eurofresh. While this specific issue appears to be one of first impression under the ADA, we do not write on a wholly blank slate: we, as well as a number of our sister circuits, have previously considered whether prisoners should be treated as "employees" under various other federal statutes.</w:t>
      </w:r>
      <w:r>
        <w:rPr>
          <w:rFonts w:ascii="Arial" w:eastAsia="Arial" w:hAnsi="Arial" w:cs="Arial"/>
          <w:vertAlign w:val="superscript"/>
        </w:rPr>
        <w:footnoteReference w:customMarkFollows="1" w:id="309"/>
        <w:t>9</w:t>
      </w:r>
    </w:p>
    <w:p w14:paraId="040D768A" w14:textId="77777777" w:rsidR="002D0E71" w:rsidRDefault="00000000">
      <w:pPr>
        <w:pStyle w:val="Normal48"/>
        <w:widowControl w:val="0"/>
        <w:spacing w:before="200" w:line="260" w:lineRule="atLeast"/>
        <w:jc w:val="both"/>
      </w:pPr>
      <w:bookmarkStart w:id="7418" w:name="Bookmark_para_23_34"/>
      <w:bookmarkStart w:id="7419" w:name="Bookmark_I59K6CFM28T5220020000400"/>
      <w:bookmarkStart w:id="7420" w:name="Bookmark_I59K6CFM28T5220040000400"/>
      <w:bookmarkStart w:id="7421" w:name="Bookmark_I59K6CFM2HM67C0010000400"/>
      <w:bookmarkStart w:id="7422" w:name="Bookmark_I59K6CFM2HM67C0030000400"/>
      <w:bookmarkEnd w:id="7418"/>
      <w:bookmarkEnd w:id="7419"/>
      <w:bookmarkEnd w:id="7420"/>
      <w:bookmarkEnd w:id="7421"/>
      <w:bookmarkEnd w:id="7422"/>
      <w:r>
        <w:rPr>
          <w:rFonts w:ascii="Arial" w:eastAsia="Arial" w:hAnsi="Arial" w:cs="Arial"/>
          <w:color w:val="000000"/>
          <w:sz w:val="20"/>
        </w:rPr>
        <w:t xml:space="preserve">The leading case in our circuit is our en banc decision in </w:t>
      </w:r>
      <w:bookmarkStart w:id="7423" w:name="Bookmark_I59K6CFM28T5220010000400"/>
      <w:bookmarkEnd w:id="7423"/>
      <w:r>
        <w:rPr>
          <w:rFonts w:ascii="Arial" w:eastAsia="Arial" w:hAnsi="Arial" w:cs="Arial"/>
          <w:i/>
          <w:color w:val="000000"/>
          <w:sz w:val="20"/>
        </w:rPr>
        <w:t>Hale</w:t>
      </w:r>
      <w:r>
        <w:rPr>
          <w:rFonts w:ascii="Arial" w:eastAsia="Arial" w:hAnsi="Arial" w:cs="Arial"/>
          <w:color w:val="000000"/>
          <w:sz w:val="20"/>
        </w:rPr>
        <w:t xml:space="preserve">, 993 F.2d 1387. There, we addressed whether certain Arizona state prisoners were "employees" within the meaning of the FLSA. </w:t>
      </w:r>
      <w:bookmarkStart w:id="7424" w:name="Bookmark_I59K6CFM28T5220030000400"/>
      <w:bookmarkEnd w:id="7424"/>
      <w:r>
        <w:rPr>
          <w:rFonts w:ascii="Arial" w:eastAsia="Arial" w:hAnsi="Arial" w:cs="Arial"/>
          <w:i/>
          <w:color w:val="000000"/>
          <w:sz w:val="20"/>
        </w:rPr>
        <w:t>Id</w:t>
      </w:r>
      <w:r>
        <w:rPr>
          <w:rFonts w:ascii="Arial" w:eastAsia="Arial" w:hAnsi="Arial" w:cs="Arial"/>
          <w:color w:val="000000"/>
          <w:sz w:val="20"/>
        </w:rPr>
        <w:t xml:space="preserve">. at 1389-90. Like the plaintiff in this case, the appellants in </w:t>
      </w:r>
      <w:r>
        <w:rPr>
          <w:rFonts w:ascii="Arial" w:eastAsia="Arial" w:hAnsi="Arial" w:cs="Arial"/>
          <w:i/>
          <w:color w:val="000000"/>
          <w:sz w:val="20"/>
        </w:rPr>
        <w:t>Hale</w:t>
      </w:r>
      <w:r>
        <w:rPr>
          <w:rFonts w:ascii="Arial" w:eastAsia="Arial" w:hAnsi="Arial" w:cs="Arial"/>
          <w:color w:val="000000"/>
          <w:sz w:val="20"/>
        </w:rPr>
        <w:t xml:space="preserve"> participated in labor programs administered by ACI for the purpose of implementing Arizona's requirement that all able-bodied prisoners perform hard labor.</w:t>
      </w:r>
      <w:r>
        <w:rPr>
          <w:rFonts w:ascii="Arial" w:eastAsia="Arial" w:hAnsi="Arial" w:cs="Arial"/>
          <w:vertAlign w:val="superscript"/>
        </w:rPr>
        <w:footnoteReference w:customMarkFollows="1" w:id="310"/>
        <w:t>10</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We concluded that the  [**14] appellants were not "'employees' of the prison entitled to be paid a minimum wage under the FLSA." </w:t>
      </w:r>
      <w:bookmarkStart w:id="7427" w:name="Bookmark_I59K6CFM28T5220050000400"/>
      <w:bookmarkEnd w:id="7427"/>
      <w:r>
        <w:rPr>
          <w:rFonts w:ascii="Arial" w:eastAsia="Arial" w:hAnsi="Arial" w:cs="Arial"/>
          <w:i/>
          <w:color w:val="000000"/>
          <w:sz w:val="20"/>
        </w:rPr>
        <w:t>Id</w:t>
      </w:r>
      <w:r>
        <w:rPr>
          <w:rFonts w:ascii="Arial" w:eastAsia="Arial" w:hAnsi="Arial" w:cs="Arial"/>
          <w:color w:val="000000"/>
          <w:sz w:val="20"/>
        </w:rPr>
        <w:t>. at 1395.</w:t>
      </w:r>
    </w:p>
    <w:p w14:paraId="1389490D" w14:textId="77777777" w:rsidR="002D0E71" w:rsidRDefault="00000000">
      <w:pPr>
        <w:pStyle w:val="Normal48"/>
        <w:widowControl w:val="0"/>
        <w:spacing w:before="200" w:line="260" w:lineRule="atLeast"/>
        <w:jc w:val="both"/>
      </w:pPr>
      <w:bookmarkStart w:id="7428" w:name="Bookmark_para_24_34"/>
      <w:bookmarkStart w:id="7429" w:name="Bookmark_I59K6CFM2HM67C0050000400"/>
      <w:bookmarkStart w:id="7430" w:name="Bookmark_I59K6CFN28T5240020000400"/>
      <w:bookmarkStart w:id="7431" w:name="Bookmark_I59K6CFN2HM67D0020000400"/>
      <w:bookmarkEnd w:id="7428"/>
      <w:bookmarkEnd w:id="7429"/>
      <w:bookmarkEnd w:id="7430"/>
      <w:bookmarkEnd w:id="7431"/>
      <w:r>
        <w:rPr>
          <w:rFonts w:ascii="Arial" w:eastAsia="Arial" w:hAnsi="Arial" w:cs="Arial"/>
          <w:color w:val="000000"/>
          <w:sz w:val="20"/>
        </w:rPr>
        <w:t xml:space="preserve">In reaching our holding in </w:t>
      </w:r>
      <w:r>
        <w:rPr>
          <w:rFonts w:ascii="Arial" w:eastAsia="Arial" w:hAnsi="Arial" w:cs="Arial"/>
          <w:i/>
          <w:color w:val="000000"/>
          <w:sz w:val="20"/>
        </w:rPr>
        <w:t>Hale</w:t>
      </w:r>
      <w:r>
        <w:rPr>
          <w:rFonts w:ascii="Arial" w:eastAsia="Arial" w:hAnsi="Arial" w:cs="Arial"/>
          <w:color w:val="000000"/>
          <w:sz w:val="20"/>
        </w:rPr>
        <w:t xml:space="preserve">, we first acknowledged </w:t>
      </w:r>
      <w:bookmarkStart w:id="7432" w:name="Bookmark_LNHNREFclscc7_37"/>
      <w:bookmarkEnd w:id="7432"/>
      <w:r>
        <w:rPr>
          <w:rFonts w:ascii="Arial" w:eastAsia="Arial" w:hAnsi="Arial" w:cs="Arial"/>
          <w:color w:val="000000"/>
          <w:sz w:val="20"/>
        </w:rPr>
        <w:t xml:space="preserve">the "general rule" that we must consider the "economic reality" of a labor relationship when determining whether it is an employment relationship under federal law. </w:t>
      </w:r>
      <w:bookmarkStart w:id="7433" w:name="Bookmark_I59K6CFM2HM67C0040000400"/>
      <w:bookmarkEnd w:id="7433"/>
      <w:r>
        <w:rPr>
          <w:rFonts w:ascii="Arial" w:eastAsia="Arial" w:hAnsi="Arial" w:cs="Arial"/>
          <w:i/>
          <w:color w:val="000000"/>
          <w:sz w:val="20"/>
        </w:rPr>
        <w:t>Id</w:t>
      </w:r>
      <w:r>
        <w:rPr>
          <w:rFonts w:ascii="Arial" w:eastAsia="Arial" w:hAnsi="Arial" w:cs="Arial"/>
          <w:color w:val="000000"/>
          <w:sz w:val="20"/>
        </w:rPr>
        <w:t xml:space="preserve">. at 1393-94. </w:t>
      </w:r>
      <w:bookmarkStart w:id="7434" w:name="Bookmark_I59K6CFN2D6NXH0030000400"/>
      <w:bookmarkEnd w:id="7434"/>
      <w:r>
        <w:rPr>
          <w:rFonts w:ascii="Arial" w:eastAsia="Arial" w:hAnsi="Arial" w:cs="Arial"/>
          <w:color w:val="000000"/>
          <w:sz w:val="20"/>
        </w:rPr>
        <w:t xml:space="preserve">In this circuit, we typically evaluate the "economic reality" of a labor relationship by considering the factors laid out in </w:t>
      </w:r>
      <w:bookmarkStart w:id="7435" w:name="Bookmark_I59K6CFN28T5240010000400"/>
      <w:bookmarkEnd w:id="7435"/>
      <w:r>
        <w:rPr>
          <w:rFonts w:ascii="Arial" w:eastAsia="Arial" w:hAnsi="Arial" w:cs="Arial"/>
          <w:i/>
          <w:color w:val="000000"/>
          <w:sz w:val="20"/>
        </w:rPr>
        <w:t>Bonnette v. California Health and Welfare Agency</w:t>
      </w:r>
      <w:r>
        <w:rPr>
          <w:rFonts w:ascii="Arial" w:eastAsia="Arial" w:hAnsi="Arial" w:cs="Arial"/>
          <w:color w:val="000000"/>
          <w:sz w:val="20"/>
        </w:rPr>
        <w:t>, 704 F.2d 1465 (9th Cir. 1983).</w:t>
      </w:r>
      <w:r>
        <w:rPr>
          <w:rFonts w:ascii="Arial" w:eastAsia="Arial" w:hAnsi="Arial" w:cs="Arial"/>
          <w:vertAlign w:val="superscript"/>
        </w:rPr>
        <w:footnoteReference w:customMarkFollows="1" w:id="311"/>
        <w:t>11</w:t>
      </w:r>
      <w:r>
        <w:rPr>
          <w:rFonts w:ascii="Arial" w:eastAsia="Arial" w:hAnsi="Arial" w:cs="Arial"/>
          <w:color w:val="000000"/>
          <w:sz w:val="20"/>
        </w:rPr>
        <w:t xml:space="preserve"> In </w:t>
      </w:r>
      <w:r>
        <w:rPr>
          <w:rFonts w:ascii="Arial" w:eastAsia="Arial" w:hAnsi="Arial" w:cs="Arial"/>
          <w:i/>
          <w:color w:val="000000"/>
          <w:sz w:val="20"/>
        </w:rPr>
        <w:t>Hale</w:t>
      </w:r>
      <w:r>
        <w:rPr>
          <w:rFonts w:ascii="Arial" w:eastAsia="Arial" w:hAnsi="Arial" w:cs="Arial"/>
          <w:color w:val="000000"/>
          <w:sz w:val="20"/>
        </w:rPr>
        <w:t xml:space="preserve">,  [*907]  however, we determined that the </w:t>
      </w:r>
      <w:r>
        <w:rPr>
          <w:rFonts w:ascii="Arial" w:eastAsia="Arial" w:hAnsi="Arial" w:cs="Arial"/>
          <w:i/>
          <w:color w:val="000000"/>
          <w:sz w:val="20"/>
        </w:rPr>
        <w:t>Bonnette</w:t>
      </w:r>
      <w:r>
        <w:rPr>
          <w:rFonts w:ascii="Arial" w:eastAsia="Arial" w:hAnsi="Arial" w:cs="Arial"/>
          <w:color w:val="000000"/>
          <w:sz w:val="20"/>
        </w:rPr>
        <w:t xml:space="preserve"> factors "are not a useful framework in the case of prisoners who work for a prison-structured program because they have to." </w:t>
      </w:r>
      <w:bookmarkStart w:id="7440" w:name="Bookmark_I59K6CFN28T5240030000400"/>
      <w:bookmarkEnd w:id="7440"/>
      <w:r>
        <w:rPr>
          <w:rFonts w:ascii="Arial" w:eastAsia="Arial" w:hAnsi="Arial" w:cs="Arial"/>
          <w:i/>
          <w:color w:val="000000"/>
          <w:sz w:val="20"/>
        </w:rPr>
        <w:t>Hale</w:t>
      </w:r>
      <w:r>
        <w:rPr>
          <w:rFonts w:ascii="Arial" w:eastAsia="Arial" w:hAnsi="Arial" w:cs="Arial"/>
          <w:color w:val="000000"/>
          <w:sz w:val="20"/>
        </w:rPr>
        <w:t xml:space="preserve">, 993 F.2d at 1394; </w:t>
      </w:r>
      <w:r>
        <w:rPr>
          <w:rFonts w:ascii="Arial" w:eastAsia="Arial" w:hAnsi="Arial" w:cs="Arial"/>
          <w:i/>
          <w:color w:val="000000"/>
          <w:sz w:val="20"/>
        </w:rPr>
        <w:t xml:space="preserve">see also </w:t>
      </w:r>
      <w:bookmarkStart w:id="7441" w:name="Bookmark_I59K6CFN28T5240050000400"/>
      <w:bookmarkEnd w:id="7441"/>
      <w:r>
        <w:rPr>
          <w:rFonts w:ascii="Arial" w:eastAsia="Arial" w:hAnsi="Arial" w:cs="Arial"/>
          <w:i/>
          <w:color w:val="000000"/>
          <w:sz w:val="20"/>
        </w:rPr>
        <w:t>Vanskike v. Peters</w:t>
      </w:r>
      <w:r>
        <w:rPr>
          <w:rFonts w:ascii="Arial" w:eastAsia="Arial" w:hAnsi="Arial" w:cs="Arial"/>
          <w:color w:val="000000"/>
          <w:sz w:val="20"/>
        </w:rPr>
        <w:t xml:space="preserve">, 974 F.2d 806, 809 (7th Cir. 1992) (noting that the </w:t>
      </w:r>
      <w:r>
        <w:rPr>
          <w:rFonts w:ascii="Arial" w:eastAsia="Arial" w:hAnsi="Arial" w:cs="Arial"/>
          <w:i/>
          <w:color w:val="000000"/>
          <w:sz w:val="20"/>
        </w:rPr>
        <w:t>Bonnette</w:t>
      </w:r>
      <w:r>
        <w:rPr>
          <w:rFonts w:ascii="Arial" w:eastAsia="Arial" w:hAnsi="Arial" w:cs="Arial"/>
          <w:color w:val="000000"/>
          <w:sz w:val="20"/>
        </w:rPr>
        <w:t xml:space="preserve"> factors are useful where "it is clear that some entity is an 'employer' and the question is which one," but not where the question is more basic: can prisoners "plausibly be said to be 'employed' in the relevant sense at all"). We concluded that "[r]egardless  [**15] of how the </w:t>
      </w:r>
      <w:r>
        <w:rPr>
          <w:rFonts w:ascii="Arial" w:eastAsia="Arial" w:hAnsi="Arial" w:cs="Arial"/>
          <w:i/>
          <w:color w:val="000000"/>
          <w:sz w:val="20"/>
        </w:rPr>
        <w:t>Bonnette</w:t>
      </w:r>
      <w:r>
        <w:rPr>
          <w:rFonts w:ascii="Arial" w:eastAsia="Arial" w:hAnsi="Arial" w:cs="Arial"/>
          <w:color w:val="000000"/>
          <w:sz w:val="20"/>
        </w:rPr>
        <w:t xml:space="preserve"> factors balance . . . the economic reality of the relationship between the worker and the entity for which work was performed lies in the relationship between prison and prisoner. </w:t>
      </w:r>
      <w:bookmarkStart w:id="7442" w:name="Bookmark_I59K6CFN2D6NXH0030000400_2"/>
      <w:bookmarkEnd w:id="7442"/>
      <w:r>
        <w:rPr>
          <w:rFonts w:ascii="Arial" w:eastAsia="Arial" w:hAnsi="Arial" w:cs="Arial"/>
          <w:color w:val="000000"/>
          <w:sz w:val="20"/>
        </w:rPr>
        <w:t xml:space="preserve">It is penological, not pecuniary." </w:t>
      </w:r>
      <w:bookmarkStart w:id="7443" w:name="Bookmark_I59K6CFN2D6NXH0020000400"/>
      <w:bookmarkEnd w:id="7443"/>
      <w:r>
        <w:rPr>
          <w:rFonts w:ascii="Arial" w:eastAsia="Arial" w:hAnsi="Arial" w:cs="Arial"/>
          <w:i/>
          <w:color w:val="000000"/>
          <w:sz w:val="20"/>
        </w:rPr>
        <w:t>Hale</w:t>
      </w:r>
      <w:r>
        <w:rPr>
          <w:rFonts w:ascii="Arial" w:eastAsia="Arial" w:hAnsi="Arial" w:cs="Arial"/>
          <w:color w:val="000000"/>
          <w:sz w:val="20"/>
        </w:rPr>
        <w:t xml:space="preserve">, 993 F.2d at 1394-95; </w:t>
      </w:r>
      <w:r>
        <w:rPr>
          <w:rFonts w:ascii="Arial" w:eastAsia="Arial" w:hAnsi="Arial" w:cs="Arial"/>
          <w:i/>
          <w:color w:val="000000"/>
          <w:sz w:val="20"/>
        </w:rPr>
        <w:t xml:space="preserve">see also </w:t>
      </w:r>
      <w:bookmarkStart w:id="7444" w:name="Bookmark_I59K6CFN2D6NXH0040000400"/>
      <w:bookmarkEnd w:id="7444"/>
      <w:r>
        <w:rPr>
          <w:rFonts w:ascii="Arial" w:eastAsia="Arial" w:hAnsi="Arial" w:cs="Arial"/>
          <w:i/>
          <w:color w:val="000000"/>
          <w:sz w:val="20"/>
        </w:rPr>
        <w:t>Gilbreath v. Cutter Biological, Inc</w:t>
      </w:r>
      <w:r>
        <w:rPr>
          <w:rFonts w:ascii="Arial" w:eastAsia="Arial" w:hAnsi="Arial" w:cs="Arial"/>
          <w:color w:val="000000"/>
          <w:sz w:val="20"/>
        </w:rPr>
        <w:t>., 931 F.2d 1320, 1331 (9th Cir. 1991) (Rymer, J. concurring) (reasoning that "inmate labor belongs to the institution").</w:t>
      </w:r>
    </w:p>
    <w:p w14:paraId="14C4450D" w14:textId="77777777" w:rsidR="002D0E71" w:rsidRDefault="00000000">
      <w:pPr>
        <w:pStyle w:val="Normal48"/>
        <w:widowControl w:val="0"/>
        <w:spacing w:before="200" w:line="260" w:lineRule="atLeast"/>
        <w:jc w:val="both"/>
      </w:pPr>
      <w:bookmarkStart w:id="7445" w:name="Bookmark_para_25_34"/>
      <w:bookmarkStart w:id="7446" w:name="Bookmark_I59K6CFN2N1RHT0010000400"/>
      <w:bookmarkStart w:id="7447" w:name="Bookmark_I59K6CFN2N1RHT0030000400"/>
      <w:bookmarkEnd w:id="7445"/>
      <w:bookmarkEnd w:id="7446"/>
      <w:bookmarkEnd w:id="7447"/>
      <w:r>
        <w:rPr>
          <w:rFonts w:ascii="Arial" w:eastAsia="Arial" w:hAnsi="Arial" w:cs="Arial"/>
          <w:color w:val="000000"/>
          <w:sz w:val="20"/>
        </w:rPr>
        <w:t xml:space="preserve">A few years after </w:t>
      </w:r>
      <w:r>
        <w:rPr>
          <w:rFonts w:ascii="Arial" w:eastAsia="Arial" w:hAnsi="Arial" w:cs="Arial"/>
          <w:i/>
          <w:color w:val="000000"/>
          <w:sz w:val="20"/>
        </w:rPr>
        <w:t>Hale</w:t>
      </w:r>
      <w:r>
        <w:rPr>
          <w:rFonts w:ascii="Arial" w:eastAsia="Arial" w:hAnsi="Arial" w:cs="Arial"/>
          <w:color w:val="000000"/>
          <w:sz w:val="20"/>
        </w:rPr>
        <w:t xml:space="preserve">, in </w:t>
      </w:r>
      <w:bookmarkStart w:id="7448" w:name="Bookmark_I59K6CFN2HM67D0050000400"/>
      <w:bookmarkEnd w:id="7448"/>
      <w:r>
        <w:rPr>
          <w:rFonts w:ascii="Arial" w:eastAsia="Arial" w:hAnsi="Arial" w:cs="Arial"/>
          <w:i/>
          <w:color w:val="000000"/>
          <w:sz w:val="20"/>
        </w:rPr>
        <w:t>Coupar v. Department of Labor</w:t>
      </w:r>
      <w:r>
        <w:rPr>
          <w:rFonts w:ascii="Arial" w:eastAsia="Arial" w:hAnsi="Arial" w:cs="Arial"/>
          <w:color w:val="000000"/>
          <w:sz w:val="20"/>
        </w:rPr>
        <w:t xml:space="preserve">, 105 F.3d 1263 (9th Cir. 1997), we once again had the opportunity to consider a prisoner's employment status under federal law. Douglas Coupar was a federal inmate obligated to work as a condition of his sentence. </w:t>
      </w:r>
      <w:bookmarkStart w:id="7449" w:name="Bookmark_I59K6CFN2N1RHT0020000400"/>
      <w:bookmarkEnd w:id="7449"/>
      <w:r>
        <w:rPr>
          <w:rFonts w:ascii="Arial" w:eastAsia="Arial" w:hAnsi="Arial" w:cs="Arial"/>
          <w:i/>
          <w:color w:val="000000"/>
          <w:sz w:val="20"/>
        </w:rPr>
        <w:t>Id</w:t>
      </w:r>
      <w:r>
        <w:rPr>
          <w:rFonts w:ascii="Arial" w:eastAsia="Arial" w:hAnsi="Arial" w:cs="Arial"/>
          <w:color w:val="000000"/>
          <w:sz w:val="20"/>
        </w:rPr>
        <w:t>. at 1264. Coupar filed environmental complaints against the government corporation where he worked, claiming that he subsequently faced discrimination in violation of the whistleblower  [**16] provisions of the Clean Air Act and the Toxic Substances Control Act.</w:t>
      </w:r>
      <w:r>
        <w:rPr>
          <w:rFonts w:ascii="Arial" w:eastAsia="Arial" w:hAnsi="Arial" w:cs="Arial"/>
          <w:vertAlign w:val="superscript"/>
        </w:rPr>
        <w:footnoteReference w:customMarkFollows="1" w:id="312"/>
        <w:t>12</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We found that Coupar was not protected by either statute. </w:t>
      </w:r>
      <w:r>
        <w:rPr>
          <w:rFonts w:ascii="Arial" w:eastAsia="Arial" w:hAnsi="Arial" w:cs="Arial"/>
          <w:i/>
          <w:color w:val="000000"/>
          <w:sz w:val="20"/>
        </w:rPr>
        <w:t>Id</w:t>
      </w:r>
      <w:r>
        <w:rPr>
          <w:rFonts w:ascii="Arial" w:eastAsia="Arial" w:hAnsi="Arial" w:cs="Arial"/>
          <w:color w:val="000000"/>
          <w:sz w:val="20"/>
        </w:rPr>
        <w:t>.</w:t>
      </w:r>
    </w:p>
    <w:p w14:paraId="4899C895" w14:textId="77777777" w:rsidR="002D0E71" w:rsidRDefault="00000000">
      <w:pPr>
        <w:pStyle w:val="Normal48"/>
        <w:widowControl w:val="0"/>
        <w:spacing w:before="200" w:line="260" w:lineRule="atLeast"/>
        <w:jc w:val="both"/>
      </w:pPr>
      <w:bookmarkStart w:id="7451" w:name="Bookmark_para_26_33"/>
      <w:bookmarkStart w:id="7452" w:name="Bookmark_I59K6CFN2N1RHT0050000400"/>
      <w:bookmarkStart w:id="7453" w:name="Bookmark_I59K6CFN2HM67F0020000400"/>
      <w:bookmarkEnd w:id="7451"/>
      <w:bookmarkEnd w:id="7452"/>
      <w:bookmarkEnd w:id="7453"/>
      <w:r>
        <w:rPr>
          <w:rFonts w:ascii="Arial" w:eastAsia="Arial" w:hAnsi="Arial" w:cs="Arial"/>
          <w:color w:val="000000"/>
          <w:sz w:val="20"/>
        </w:rPr>
        <w:t xml:space="preserve">Coupar relied on </w:t>
      </w:r>
      <w:bookmarkStart w:id="7454" w:name="Bookmark_I59K6CFN2N1RHT0040000400"/>
      <w:bookmarkEnd w:id="7454"/>
      <w:r>
        <w:rPr>
          <w:rFonts w:ascii="Arial" w:eastAsia="Arial" w:hAnsi="Arial" w:cs="Arial"/>
          <w:i/>
          <w:color w:val="000000"/>
          <w:sz w:val="20"/>
        </w:rPr>
        <w:t>Baker v. McNeil Island Corrections Center</w:t>
      </w:r>
      <w:r>
        <w:rPr>
          <w:rFonts w:ascii="Arial" w:eastAsia="Arial" w:hAnsi="Arial" w:cs="Arial"/>
          <w:color w:val="000000"/>
          <w:sz w:val="20"/>
        </w:rPr>
        <w:t xml:space="preserve">, 859 F.2d 124 (9th Cir. 1988), to argue that he was an employee for the purposes of obtaining whistleblower protection. </w:t>
      </w:r>
      <w:bookmarkStart w:id="7455" w:name="Bookmark_I59K6CFN2HM67F0040000400"/>
      <w:bookmarkStart w:id="7456" w:name="Bookmark_I59K6CFN2HM67F0010000400"/>
      <w:bookmarkEnd w:id="7455"/>
      <w:bookmarkEnd w:id="7456"/>
      <w:r>
        <w:rPr>
          <w:rFonts w:ascii="Arial" w:eastAsia="Arial" w:hAnsi="Arial" w:cs="Arial"/>
          <w:i/>
          <w:color w:val="000000"/>
          <w:sz w:val="20"/>
        </w:rPr>
        <w:t>Coupar</w:t>
      </w:r>
      <w:r>
        <w:rPr>
          <w:rFonts w:ascii="Arial" w:eastAsia="Arial" w:hAnsi="Arial" w:cs="Arial"/>
          <w:color w:val="000000"/>
          <w:sz w:val="20"/>
        </w:rPr>
        <w:t xml:space="preserve">, 105 F.3d at 1266. </w:t>
      </w:r>
      <w:bookmarkStart w:id="7457" w:name="Bookmark_I59K6CFN2D6NXJ0010000400"/>
      <w:bookmarkEnd w:id="7457"/>
      <w:r>
        <w:rPr>
          <w:rFonts w:ascii="Arial" w:eastAsia="Arial" w:hAnsi="Arial" w:cs="Arial"/>
          <w:color w:val="000000"/>
          <w:sz w:val="20"/>
        </w:rPr>
        <w:t xml:space="preserve">In </w:t>
      </w:r>
      <w:r>
        <w:rPr>
          <w:rFonts w:ascii="Arial" w:eastAsia="Arial" w:hAnsi="Arial" w:cs="Arial"/>
          <w:i/>
          <w:color w:val="000000"/>
          <w:sz w:val="20"/>
        </w:rPr>
        <w:t>Baker</w:t>
      </w:r>
      <w:r>
        <w:rPr>
          <w:rFonts w:ascii="Arial" w:eastAsia="Arial" w:hAnsi="Arial" w:cs="Arial"/>
          <w:color w:val="000000"/>
          <w:sz w:val="20"/>
        </w:rPr>
        <w:t xml:space="preserve">, we left open the possibility that a prisoner could state a claim for employment discrimination under Title VII, and remanded to the district court for further findings regarding the precise labor relationship between the plaintiff and his jailors. </w:t>
      </w:r>
      <w:bookmarkStart w:id="7458" w:name="Bookmark_I59K6CFN2D6NXJ0010000400_2"/>
      <w:bookmarkStart w:id="7459" w:name="Bookmark_I59K6CFN2HM67F0040000400_2"/>
      <w:bookmarkStart w:id="7460" w:name="Bookmark_I59K6CFN2D6NXJ0030000400"/>
      <w:bookmarkEnd w:id="7458"/>
      <w:bookmarkEnd w:id="7459"/>
      <w:bookmarkEnd w:id="7460"/>
      <w:r>
        <w:rPr>
          <w:rFonts w:ascii="Arial" w:eastAsia="Arial" w:hAnsi="Arial" w:cs="Arial"/>
          <w:i/>
          <w:color w:val="000000"/>
          <w:sz w:val="20"/>
        </w:rPr>
        <w:t xml:space="preserve">See </w:t>
      </w:r>
      <w:bookmarkStart w:id="7461" w:name="Bookmark_I59K6CFN2HM67F0030000400"/>
      <w:bookmarkEnd w:id="7461"/>
      <w:r>
        <w:rPr>
          <w:rFonts w:ascii="Arial" w:eastAsia="Arial" w:hAnsi="Arial" w:cs="Arial"/>
          <w:i/>
          <w:color w:val="000000"/>
          <w:sz w:val="20"/>
        </w:rPr>
        <w:t>Baker</w:t>
      </w:r>
      <w:r>
        <w:rPr>
          <w:rFonts w:ascii="Arial" w:eastAsia="Arial" w:hAnsi="Arial" w:cs="Arial"/>
          <w:color w:val="000000"/>
          <w:sz w:val="20"/>
        </w:rPr>
        <w:t xml:space="preserve">, 859 F.2d at 128 (holding that it was not "beyond doubt that no set of facts could be proven to entitle Baker to relief"). </w:t>
      </w:r>
      <w:bookmarkStart w:id="7462" w:name="Bookmark_I59K6CFN2D6NXJ0030000400_2"/>
      <w:bookmarkEnd w:id="7462"/>
      <w:r>
        <w:rPr>
          <w:rFonts w:ascii="Arial" w:eastAsia="Arial" w:hAnsi="Arial" w:cs="Arial"/>
          <w:color w:val="000000"/>
          <w:sz w:val="20"/>
        </w:rPr>
        <w:t xml:space="preserve">The plaintiff in </w:t>
      </w:r>
      <w:r>
        <w:rPr>
          <w:rFonts w:ascii="Arial" w:eastAsia="Arial" w:hAnsi="Arial" w:cs="Arial"/>
          <w:i/>
          <w:color w:val="000000"/>
          <w:sz w:val="20"/>
        </w:rPr>
        <w:t>Baker</w:t>
      </w:r>
      <w:r>
        <w:rPr>
          <w:rFonts w:ascii="Arial" w:eastAsia="Arial" w:hAnsi="Arial" w:cs="Arial"/>
          <w:color w:val="000000"/>
          <w:sz w:val="20"/>
        </w:rPr>
        <w:t xml:space="preserve">, however, had not alleged that the position he sought was "one  [**17] that fulfilled a prison work requirement." </w:t>
      </w:r>
      <w:bookmarkStart w:id="7463" w:name="Bookmark_I59K6CFN2HM67F0050000400"/>
      <w:bookmarkEnd w:id="7463"/>
      <w:r>
        <w:rPr>
          <w:rFonts w:ascii="Arial" w:eastAsia="Arial" w:hAnsi="Arial" w:cs="Arial"/>
          <w:i/>
          <w:color w:val="000000"/>
          <w:sz w:val="20"/>
        </w:rPr>
        <w:t>Coupar</w:t>
      </w:r>
      <w:r>
        <w:rPr>
          <w:rFonts w:ascii="Arial" w:eastAsia="Arial" w:hAnsi="Arial" w:cs="Arial"/>
          <w:color w:val="000000"/>
          <w:sz w:val="20"/>
        </w:rPr>
        <w:t xml:space="preserve">, 105 F.3d at 1266. </w:t>
      </w:r>
      <w:bookmarkStart w:id="7464" w:name="Bookmark_I59K6CFN2D6NXJ0030000400_3"/>
      <w:bookmarkEnd w:id="7464"/>
      <w:r>
        <w:rPr>
          <w:rFonts w:ascii="Arial" w:eastAsia="Arial" w:hAnsi="Arial" w:cs="Arial"/>
          <w:color w:val="000000"/>
          <w:sz w:val="20"/>
        </w:rPr>
        <w:t xml:space="preserve">Coupar, on the other hand, </w:t>
      </w:r>
      <w:r>
        <w:rPr>
          <w:rFonts w:ascii="Arial" w:eastAsia="Arial" w:hAnsi="Arial" w:cs="Arial"/>
          <w:i/>
          <w:color w:val="000000"/>
          <w:sz w:val="20"/>
        </w:rPr>
        <w:t>was</w:t>
      </w:r>
      <w:r>
        <w:rPr>
          <w:rFonts w:ascii="Arial" w:eastAsia="Arial" w:hAnsi="Arial" w:cs="Arial"/>
          <w:color w:val="000000"/>
          <w:sz w:val="20"/>
        </w:rPr>
        <w:t xml:space="preserve"> obligated to work—just like the plaintiffs in </w:t>
      </w:r>
      <w:r>
        <w:rPr>
          <w:rFonts w:ascii="Arial" w:eastAsia="Arial" w:hAnsi="Arial" w:cs="Arial"/>
          <w:i/>
          <w:color w:val="000000"/>
          <w:sz w:val="20"/>
        </w:rPr>
        <w:t>Hale</w:t>
      </w:r>
      <w:r>
        <w:rPr>
          <w:rFonts w:ascii="Arial" w:eastAsia="Arial" w:hAnsi="Arial" w:cs="Arial"/>
          <w:color w:val="000000"/>
          <w:sz w:val="20"/>
        </w:rPr>
        <w:t xml:space="preserve">. We found this to be the crucial fact that "differentiate[d] </w:t>
      </w:r>
      <w:r>
        <w:rPr>
          <w:rFonts w:ascii="Arial" w:eastAsia="Arial" w:hAnsi="Arial" w:cs="Arial"/>
          <w:i/>
          <w:color w:val="000000"/>
          <w:sz w:val="20"/>
        </w:rPr>
        <w:t>Baker</w:t>
      </w:r>
      <w:r>
        <w:rPr>
          <w:rFonts w:ascii="Arial" w:eastAsia="Arial" w:hAnsi="Arial" w:cs="Arial"/>
          <w:color w:val="000000"/>
          <w:sz w:val="20"/>
        </w:rPr>
        <w:t xml:space="preserve"> from Coupar's case." </w:t>
      </w:r>
      <w:r>
        <w:rPr>
          <w:rFonts w:ascii="Arial" w:eastAsia="Arial" w:hAnsi="Arial" w:cs="Arial"/>
          <w:i/>
          <w:color w:val="000000"/>
          <w:sz w:val="20"/>
        </w:rPr>
        <w:t>Id</w:t>
      </w:r>
      <w:r>
        <w:rPr>
          <w:rFonts w:ascii="Arial" w:eastAsia="Arial" w:hAnsi="Arial" w:cs="Arial"/>
          <w:color w:val="000000"/>
          <w:sz w:val="20"/>
        </w:rPr>
        <w:t xml:space="preserve">. Consequently, we held that </w:t>
      </w:r>
      <w:bookmarkStart w:id="7465" w:name="Bookmark_LNHNREFclscc9_34"/>
      <w:bookmarkEnd w:id="7465"/>
      <w:r>
        <w:rPr>
          <w:rFonts w:ascii="Arial" w:eastAsia="Arial" w:hAnsi="Arial" w:cs="Arial"/>
          <w:color w:val="000000"/>
          <w:sz w:val="20"/>
        </w:rPr>
        <w:t xml:space="preserve">where an inmate is obligated to work at some job pursuant to a prison work program, "[t]hat fact [alone] brings him within the rule of </w:t>
      </w:r>
      <w:r>
        <w:rPr>
          <w:rFonts w:ascii="Arial" w:eastAsia="Arial" w:hAnsi="Arial" w:cs="Arial"/>
          <w:i/>
          <w:color w:val="000000"/>
          <w:sz w:val="20"/>
        </w:rPr>
        <w:t>Hale</w:t>
      </w:r>
      <w:r>
        <w:rPr>
          <w:rFonts w:ascii="Arial" w:eastAsia="Arial" w:hAnsi="Arial" w:cs="Arial"/>
          <w:color w:val="000000"/>
          <w:sz w:val="20"/>
        </w:rPr>
        <w:t xml:space="preserve">." </w:t>
      </w:r>
      <w:bookmarkStart w:id="7466" w:name="Bookmark_I59K6CFN2D6NXJ0020000400"/>
      <w:bookmarkEnd w:id="7466"/>
      <w:r>
        <w:rPr>
          <w:rFonts w:ascii="Arial" w:eastAsia="Arial" w:hAnsi="Arial" w:cs="Arial"/>
          <w:i/>
          <w:color w:val="000000"/>
          <w:sz w:val="20"/>
        </w:rPr>
        <w:t>Id</w:t>
      </w:r>
      <w:r>
        <w:rPr>
          <w:rFonts w:ascii="Arial" w:eastAsia="Arial" w:hAnsi="Arial" w:cs="Arial"/>
          <w:color w:val="000000"/>
          <w:sz w:val="20"/>
        </w:rPr>
        <w:t>. at 1265.</w:t>
      </w:r>
    </w:p>
    <w:p w14:paraId="4EB0D332" w14:textId="77777777" w:rsidR="002D0E71" w:rsidRDefault="00000000">
      <w:pPr>
        <w:pStyle w:val="Normal48"/>
        <w:widowControl w:val="0"/>
        <w:spacing w:before="200" w:line="260" w:lineRule="atLeast"/>
        <w:jc w:val="both"/>
      </w:pPr>
      <w:bookmarkStart w:id="7467" w:name="Bookmark_para_27_32"/>
      <w:bookmarkStart w:id="7468" w:name="Bookmark_I4GVG0TM8G6000M62HT000YD"/>
      <w:bookmarkStart w:id="7469" w:name="Bookmark_I4GVG0TMFK2000M62HT000YF"/>
      <w:bookmarkStart w:id="7470" w:name="Bookmark_I4GVG0TMKD6000M62HT0022F"/>
      <w:bookmarkStart w:id="7471" w:name="Bookmark_I59K6CFN2D6NXJ0050000400"/>
      <w:bookmarkEnd w:id="7467"/>
      <w:bookmarkEnd w:id="7468"/>
      <w:bookmarkEnd w:id="7469"/>
      <w:bookmarkEnd w:id="7470"/>
      <w:bookmarkEnd w:id="7471"/>
      <w:r>
        <w:rPr>
          <w:rFonts w:ascii="Arial" w:eastAsia="Arial" w:hAnsi="Arial" w:cs="Arial"/>
          <w:color w:val="000000"/>
          <w:sz w:val="20"/>
        </w:rPr>
        <w:t xml:space="preserve">Like the plaintiff in </w:t>
      </w:r>
      <w:r>
        <w:rPr>
          <w:rFonts w:ascii="Arial" w:eastAsia="Arial" w:hAnsi="Arial" w:cs="Arial"/>
          <w:i/>
          <w:color w:val="000000"/>
          <w:sz w:val="20"/>
        </w:rPr>
        <w:t>Coupar</w:t>
      </w:r>
      <w:r>
        <w:rPr>
          <w:rFonts w:ascii="Arial" w:eastAsia="Arial" w:hAnsi="Arial" w:cs="Arial"/>
          <w:color w:val="000000"/>
          <w:sz w:val="20"/>
        </w:rPr>
        <w:t xml:space="preserve">, Castle cites </w:t>
      </w:r>
      <w:r>
        <w:rPr>
          <w:rFonts w:ascii="Arial" w:eastAsia="Arial" w:hAnsi="Arial" w:cs="Arial"/>
          <w:i/>
          <w:color w:val="000000"/>
          <w:sz w:val="20"/>
        </w:rPr>
        <w:t>Baker</w:t>
      </w:r>
      <w:r>
        <w:rPr>
          <w:rFonts w:ascii="Arial" w:eastAsia="Arial" w:hAnsi="Arial" w:cs="Arial"/>
          <w:color w:val="000000"/>
          <w:sz w:val="20"/>
        </w:rPr>
        <w:t xml:space="preserve"> for the proposition that he should be treated as Eurofresh's employee under the ADA. But as we did with the plaintiff in </w:t>
      </w:r>
      <w:bookmarkStart w:id="7472" w:name="Bookmark_I59K6CFN2D6NXJ0040000400"/>
      <w:bookmarkEnd w:id="7472"/>
      <w:r>
        <w:rPr>
          <w:rFonts w:ascii="Arial" w:eastAsia="Arial" w:hAnsi="Arial" w:cs="Arial"/>
          <w:i/>
          <w:color w:val="000000"/>
          <w:sz w:val="20"/>
        </w:rPr>
        <w:t>Coupar</w:t>
      </w:r>
      <w:r>
        <w:rPr>
          <w:rFonts w:ascii="Arial" w:eastAsia="Arial" w:hAnsi="Arial" w:cs="Arial"/>
          <w:color w:val="000000"/>
          <w:sz w:val="20"/>
        </w:rPr>
        <w:t xml:space="preserve">, we must reject Castle's claim: Castle "was obligated to work at some job pursuant to a prison work program," </w:t>
      </w:r>
      <w:r>
        <w:rPr>
          <w:rFonts w:ascii="Arial" w:eastAsia="Arial" w:hAnsi="Arial" w:cs="Arial"/>
          <w:i/>
          <w:color w:val="000000"/>
          <w:sz w:val="20"/>
        </w:rPr>
        <w:t>id</w:t>
      </w:r>
      <w:r>
        <w:rPr>
          <w:rFonts w:ascii="Arial" w:eastAsia="Arial" w:hAnsi="Arial" w:cs="Arial"/>
          <w:color w:val="000000"/>
          <w:sz w:val="20"/>
        </w:rPr>
        <w:t xml:space="preserve">., and this fact alone brings Castle's claims within the rule of </w:t>
      </w:r>
      <w:bookmarkStart w:id="7473" w:name="Bookmark_I59K6CFN2D6NXK0010000400"/>
      <w:bookmarkEnd w:id="7473"/>
      <w:r>
        <w:rPr>
          <w:rFonts w:ascii="Arial" w:eastAsia="Arial" w:hAnsi="Arial" w:cs="Arial"/>
          <w:i/>
          <w:color w:val="000000"/>
          <w:sz w:val="20"/>
        </w:rPr>
        <w:t>Hale.</w:t>
      </w:r>
      <w:r>
        <w:rPr>
          <w:rFonts w:ascii="Arial" w:eastAsia="Arial" w:hAnsi="Arial" w:cs="Arial"/>
          <w:vertAlign w:val="superscript"/>
        </w:rPr>
        <w:footnoteReference w:customMarkFollows="1" w:id="313"/>
        <w:t>13</w:t>
      </w:r>
      <w:r>
        <w:rPr>
          <w:rFonts w:ascii="Arial" w:eastAsia="Arial" w:hAnsi="Arial" w:cs="Arial"/>
          <w:i/>
          <w:color w:val="000000"/>
          <w:sz w:val="20"/>
        </w:rPr>
        <w:t xml:space="preserve"> </w:t>
      </w:r>
      <w:bookmarkStart w:id="7478" w:name="Bookmark_I59K6CFN2D6NXK0030000400"/>
      <w:bookmarkEnd w:id="7478"/>
      <w:r>
        <w:rPr>
          <w:rFonts w:ascii="Arial" w:eastAsia="Arial" w:hAnsi="Arial" w:cs="Arial"/>
          <w:i/>
          <w:color w:val="000000"/>
          <w:sz w:val="20"/>
        </w:rPr>
        <w:t>Baker</w:t>
      </w:r>
      <w:r>
        <w:rPr>
          <w:rFonts w:ascii="Arial" w:eastAsia="Arial" w:hAnsi="Arial" w:cs="Arial"/>
          <w:color w:val="000000"/>
          <w:sz w:val="20"/>
        </w:rPr>
        <w:t xml:space="preserve"> is inapposite.</w:t>
      </w:r>
    </w:p>
    <w:p w14:paraId="70A3018C" w14:textId="77777777" w:rsidR="002D0E71" w:rsidRDefault="00000000">
      <w:pPr>
        <w:pStyle w:val="Normal48"/>
        <w:widowControl w:val="0"/>
        <w:spacing w:before="200" w:line="260" w:lineRule="atLeast"/>
        <w:jc w:val="both"/>
      </w:pPr>
      <w:bookmarkStart w:id="7479" w:name="Bookmark_para_28_29"/>
      <w:bookmarkStart w:id="7480" w:name="Bookmark_I4GVG0TMTSS000M62HT0022G"/>
      <w:bookmarkStart w:id="7481" w:name="Bookmark_I4GVG0TN25B000M62HT0022J"/>
      <w:bookmarkStart w:id="7482" w:name="Bookmark_I59K6CFN2SF7N80030000400"/>
      <w:bookmarkStart w:id="7483" w:name="Bookmark_I59K6CFN2N1RHV0030000400"/>
      <w:bookmarkEnd w:id="7479"/>
      <w:bookmarkEnd w:id="7480"/>
      <w:bookmarkEnd w:id="7481"/>
      <w:bookmarkEnd w:id="7482"/>
      <w:bookmarkEnd w:id="7483"/>
      <w:r>
        <w:rPr>
          <w:rFonts w:ascii="Arial" w:eastAsia="Arial" w:hAnsi="Arial" w:cs="Arial"/>
          <w:color w:val="000000"/>
          <w:sz w:val="20"/>
        </w:rPr>
        <w:t xml:space="preserve"> [*908]  We are equally unpersuaded by Castle's other attempts to distinguish this case from </w:t>
      </w:r>
      <w:bookmarkStart w:id="7484" w:name="Bookmark_I59K6CFN2SF7N80020000400"/>
      <w:bookmarkEnd w:id="7484"/>
      <w:r>
        <w:rPr>
          <w:rFonts w:ascii="Arial" w:eastAsia="Arial" w:hAnsi="Arial" w:cs="Arial"/>
          <w:i/>
          <w:color w:val="000000"/>
          <w:sz w:val="20"/>
        </w:rPr>
        <w:t>Hale</w:t>
      </w:r>
      <w:r>
        <w:rPr>
          <w:rFonts w:ascii="Arial" w:eastAsia="Arial" w:hAnsi="Arial" w:cs="Arial"/>
          <w:color w:val="000000"/>
          <w:sz w:val="20"/>
        </w:rPr>
        <w:t xml:space="preserve"> and </w:t>
      </w:r>
      <w:bookmarkStart w:id="7485" w:name="Bookmark_I59K6CFN2SF7N80040000400"/>
      <w:bookmarkEnd w:id="7485"/>
      <w:r>
        <w:rPr>
          <w:rFonts w:ascii="Arial" w:eastAsia="Arial" w:hAnsi="Arial" w:cs="Arial"/>
          <w:i/>
          <w:color w:val="000000"/>
          <w:sz w:val="20"/>
        </w:rPr>
        <w:t>Coupar</w:t>
      </w:r>
      <w:r>
        <w:rPr>
          <w:rFonts w:ascii="Arial" w:eastAsia="Arial" w:hAnsi="Arial" w:cs="Arial"/>
          <w:color w:val="000000"/>
          <w:sz w:val="20"/>
        </w:rPr>
        <w:t xml:space="preserve">. </w:t>
      </w:r>
      <w:bookmarkStart w:id="7486" w:name="Bookmark_I4GVG0TN60G000M62HT0022K"/>
      <w:bookmarkStart w:id="7487" w:name="Bookmark_I59K6CFN2SF7N90020000400"/>
      <w:bookmarkEnd w:id="7486"/>
      <w:bookmarkEnd w:id="7487"/>
      <w:r>
        <w:rPr>
          <w:rFonts w:ascii="Arial" w:eastAsia="Arial" w:hAnsi="Arial" w:cs="Arial"/>
          <w:color w:val="000000"/>
          <w:sz w:val="20"/>
        </w:rPr>
        <w:t xml:space="preserve">For example, Castle notes that he worked for a private corporation, while the plaintiffs in </w:t>
      </w:r>
      <w:r>
        <w:rPr>
          <w:rFonts w:ascii="Arial" w:eastAsia="Arial" w:hAnsi="Arial" w:cs="Arial"/>
          <w:i/>
          <w:color w:val="000000"/>
          <w:sz w:val="20"/>
        </w:rPr>
        <w:t>Hale</w:t>
      </w:r>
      <w:r>
        <w:rPr>
          <w:rFonts w:ascii="Arial" w:eastAsia="Arial" w:hAnsi="Arial" w:cs="Arial"/>
          <w:color w:val="000000"/>
          <w:sz w:val="20"/>
        </w:rPr>
        <w:t xml:space="preserve"> and </w:t>
      </w:r>
      <w:r>
        <w:rPr>
          <w:rFonts w:ascii="Arial" w:eastAsia="Arial" w:hAnsi="Arial" w:cs="Arial"/>
          <w:i/>
          <w:color w:val="000000"/>
          <w:sz w:val="20"/>
        </w:rPr>
        <w:t>Coupar</w:t>
      </w:r>
      <w:r>
        <w:rPr>
          <w:rFonts w:ascii="Arial" w:eastAsia="Arial" w:hAnsi="Arial" w:cs="Arial"/>
          <w:color w:val="000000"/>
          <w:sz w:val="20"/>
        </w:rPr>
        <w:t xml:space="preserve"> toiled for government-controlled entities. Castle further argues that one of the supporting rationales for the </w:t>
      </w:r>
      <w:r>
        <w:rPr>
          <w:rFonts w:ascii="Arial" w:eastAsia="Arial" w:hAnsi="Arial" w:cs="Arial"/>
          <w:i/>
          <w:color w:val="000000"/>
          <w:sz w:val="20"/>
        </w:rPr>
        <w:t>Hale</w:t>
      </w:r>
      <w:r>
        <w:rPr>
          <w:rFonts w:ascii="Arial" w:eastAsia="Arial" w:hAnsi="Arial" w:cs="Arial"/>
          <w:color w:val="000000"/>
          <w:sz w:val="20"/>
        </w:rPr>
        <w:t xml:space="preserve"> decision is not present here, because the purpose of the ADA is different than that of the FLSA.</w:t>
      </w:r>
      <w:r>
        <w:rPr>
          <w:rFonts w:ascii="Arial" w:eastAsia="Arial" w:hAnsi="Arial" w:cs="Arial"/>
          <w:vertAlign w:val="superscript"/>
        </w:rPr>
        <w:footnoteReference w:customMarkFollows="1" w:id="314"/>
        <w:t>14</w:t>
      </w:r>
      <w:r>
        <w:rPr>
          <w:rFonts w:ascii="Arial" w:eastAsia="Arial" w:hAnsi="Arial" w:cs="Arial"/>
          <w:color w:val="000000"/>
          <w:sz w:val="20"/>
        </w:rPr>
        <w:t xml:space="preserve"> While these distinctions have some substance, they are ultimately irrelevant. </w:t>
      </w:r>
      <w:bookmarkStart w:id="7490" w:name="Bookmark_I59K6CFN2SF7N90040000400"/>
      <w:bookmarkStart w:id="7491" w:name="Bookmark_I59K6CFN2SF7N90020000400_2"/>
      <w:bookmarkStart w:id="7492" w:name="Bookmark_I59K6CFN2SF7N90010000400"/>
      <w:bookmarkEnd w:id="7490"/>
      <w:bookmarkEnd w:id="7491"/>
      <w:bookmarkEnd w:id="7492"/>
      <w:r>
        <w:rPr>
          <w:rFonts w:ascii="Arial" w:eastAsia="Arial" w:hAnsi="Arial" w:cs="Arial"/>
          <w:i/>
          <w:color w:val="000000"/>
          <w:sz w:val="20"/>
        </w:rPr>
        <w:t>Coupar</w:t>
      </w:r>
      <w:r>
        <w:rPr>
          <w:rFonts w:ascii="Arial" w:eastAsia="Arial" w:hAnsi="Arial" w:cs="Arial"/>
          <w:color w:val="000000"/>
          <w:sz w:val="20"/>
        </w:rPr>
        <w:t xml:space="preserve"> identifies </w:t>
      </w:r>
      <w:r>
        <w:rPr>
          <w:rFonts w:ascii="Arial" w:eastAsia="Arial" w:hAnsi="Arial" w:cs="Arial"/>
          <w:i/>
          <w:color w:val="000000"/>
          <w:sz w:val="20"/>
        </w:rPr>
        <w:t>one</w:t>
      </w:r>
      <w:r>
        <w:rPr>
          <w:rFonts w:ascii="Arial" w:eastAsia="Arial" w:hAnsi="Arial" w:cs="Arial"/>
          <w:color w:val="000000"/>
          <w:sz w:val="20"/>
        </w:rPr>
        <w:t xml:space="preserve"> factor that triggers application of the </w:t>
      </w:r>
      <w:r>
        <w:rPr>
          <w:rFonts w:ascii="Arial" w:eastAsia="Arial" w:hAnsi="Arial" w:cs="Arial"/>
          <w:i/>
          <w:color w:val="000000"/>
          <w:sz w:val="20"/>
        </w:rPr>
        <w:t>Hale</w:t>
      </w:r>
      <w:r>
        <w:rPr>
          <w:rFonts w:ascii="Arial" w:eastAsia="Arial" w:hAnsi="Arial" w:cs="Arial"/>
          <w:color w:val="000000"/>
          <w:sz w:val="20"/>
        </w:rPr>
        <w:t xml:space="preserve"> rule—an inmate's legal obligation to work. That factor is indisputably present in this case. The absence of other elements, therefore, has no bearing on Castle's standing under the ADA. Castle is not Eurofresh's employee under the ADA because his labor belongs to the State of Arizona, which put him to work at Eurofresh in order to comply with its statutory obligations. </w:t>
      </w:r>
      <w:r>
        <w:rPr>
          <w:rFonts w:ascii="Arial" w:eastAsia="Arial" w:hAnsi="Arial" w:cs="Arial"/>
          <w:i/>
          <w:color w:val="000000"/>
          <w:sz w:val="20"/>
        </w:rPr>
        <w:t xml:space="preserve">See </w:t>
      </w:r>
      <w:bookmarkStart w:id="7493" w:name="Bookmark_I59K6CFN2SF7N90030000400"/>
      <w:bookmarkEnd w:id="7493"/>
      <w:r>
        <w:rPr>
          <w:rFonts w:ascii="Arial" w:eastAsia="Arial" w:hAnsi="Arial" w:cs="Arial"/>
          <w:i/>
          <w:color w:val="000000"/>
          <w:sz w:val="20"/>
        </w:rPr>
        <w:t>Hale</w:t>
      </w:r>
      <w:r>
        <w:rPr>
          <w:rFonts w:ascii="Arial" w:eastAsia="Arial" w:hAnsi="Arial" w:cs="Arial"/>
          <w:color w:val="000000"/>
          <w:sz w:val="20"/>
        </w:rPr>
        <w:t xml:space="preserve">, 993 F.2d at 1395; </w:t>
      </w:r>
      <w:bookmarkStart w:id="7494" w:name="Bookmark_I59K6CFN2SF7N90050000400"/>
      <w:bookmarkEnd w:id="7494"/>
      <w:r>
        <w:rPr>
          <w:rFonts w:ascii="Arial" w:eastAsia="Arial" w:hAnsi="Arial" w:cs="Arial"/>
          <w:i/>
          <w:color w:val="000000"/>
          <w:sz w:val="20"/>
        </w:rPr>
        <w:t>Coupar</w:t>
      </w:r>
      <w:r>
        <w:rPr>
          <w:rFonts w:ascii="Arial" w:eastAsia="Arial" w:hAnsi="Arial" w:cs="Arial"/>
          <w:color w:val="000000"/>
          <w:sz w:val="20"/>
        </w:rPr>
        <w:t>, 105 F.3d at 1267.</w:t>
      </w:r>
    </w:p>
    <w:p w14:paraId="387F56A4" w14:textId="77777777" w:rsidR="002D0E71" w:rsidRDefault="00000000">
      <w:pPr>
        <w:pStyle w:val="Normal48"/>
        <w:widowControl w:val="0"/>
        <w:spacing w:before="240" w:line="260" w:lineRule="atLeast"/>
      </w:pPr>
      <w:r>
        <w:br/>
      </w:r>
      <w:r>
        <w:rPr>
          <w:rFonts w:ascii="Arial" w:eastAsia="Arial" w:hAnsi="Arial" w:cs="Arial"/>
          <w:b/>
          <w:color w:val="000000"/>
          <w:sz w:val="20"/>
        </w:rPr>
        <w:t>II. Castle's RA Claim Against Eurofresh</w:t>
      </w:r>
    </w:p>
    <w:p w14:paraId="082B91F2" w14:textId="77777777" w:rsidR="002D0E71" w:rsidRDefault="00000000">
      <w:pPr>
        <w:pStyle w:val="Normal48"/>
        <w:widowControl w:val="0"/>
        <w:spacing w:before="200" w:line="260" w:lineRule="atLeast"/>
        <w:jc w:val="both"/>
      </w:pPr>
      <w:bookmarkStart w:id="7495" w:name="Bookmark_para_29_28"/>
      <w:bookmarkStart w:id="7496" w:name="Bookmark_I59K6CFN2N1RHV0050000400"/>
      <w:bookmarkStart w:id="7497" w:name="Bookmark_LNHNREFclscc10_33"/>
      <w:bookmarkEnd w:id="7495"/>
      <w:bookmarkEnd w:id="7496"/>
      <w:bookmarkEnd w:id="7497"/>
      <w:r>
        <w:rPr>
          <w:rFonts w:ascii="Arial" w:eastAsia="Arial" w:hAnsi="Arial" w:cs="Arial"/>
          <w:color w:val="000000"/>
          <w:sz w:val="20"/>
        </w:rPr>
        <w:t xml:space="preserve">"The Rehabilitation Act is materially identical to and the model for the ADA, except that it is limited to programs that receive federal financial assistance . . . ." </w:t>
      </w:r>
      <w:bookmarkStart w:id="7498" w:name="Bookmark_I59K6CFN2N1RHV0040000400"/>
      <w:bookmarkEnd w:id="7498"/>
      <w:r>
        <w:rPr>
          <w:rFonts w:ascii="Arial" w:eastAsia="Arial" w:hAnsi="Arial" w:cs="Arial"/>
          <w:i/>
          <w:color w:val="000000"/>
          <w:sz w:val="20"/>
        </w:rPr>
        <w:t>Armstrong v. Davis</w:t>
      </w:r>
      <w:r>
        <w:rPr>
          <w:rFonts w:ascii="Arial" w:eastAsia="Arial" w:hAnsi="Arial" w:cs="Arial"/>
          <w:color w:val="000000"/>
          <w:sz w:val="20"/>
        </w:rPr>
        <w:t xml:space="preserve">, 275 F.3d 849, 862 n.17 (9th Cir. 2001) (internal quotations omitted), </w:t>
      </w:r>
      <w:r>
        <w:rPr>
          <w:rFonts w:ascii="Arial" w:eastAsia="Arial" w:hAnsi="Arial" w:cs="Arial"/>
          <w:i/>
          <w:color w:val="000000"/>
          <w:sz w:val="20"/>
        </w:rPr>
        <w:t xml:space="preserve">abrogated on other grounds by </w:t>
      </w:r>
      <w:bookmarkStart w:id="7499" w:name="Bookmark_I59K6CFN2N1RHW0010000400"/>
      <w:bookmarkEnd w:id="7499"/>
      <w:r>
        <w:rPr>
          <w:rFonts w:ascii="Arial" w:eastAsia="Arial" w:hAnsi="Arial" w:cs="Arial"/>
          <w:i/>
          <w:color w:val="000000"/>
          <w:sz w:val="20"/>
        </w:rPr>
        <w:t>Johnson v. California</w:t>
      </w:r>
      <w:r>
        <w:rPr>
          <w:rFonts w:ascii="Arial" w:eastAsia="Arial" w:hAnsi="Arial" w:cs="Arial"/>
          <w:color w:val="000000"/>
          <w:sz w:val="20"/>
        </w:rPr>
        <w:t xml:space="preserve">, 543 U.S. 499, 504-05, 125 S. Ct. 1141, 160 L. Ed. 2d 949 (2005); </w:t>
      </w:r>
      <w:r>
        <w:rPr>
          <w:rFonts w:ascii="Arial" w:eastAsia="Arial" w:hAnsi="Arial" w:cs="Arial"/>
          <w:i/>
          <w:color w:val="000000"/>
          <w:sz w:val="20"/>
        </w:rPr>
        <w:t xml:space="preserve">see also </w:t>
      </w:r>
      <w:bookmarkStart w:id="7500" w:name="Bookmark_I59K6CFN2N1RHW0030000400"/>
      <w:bookmarkEnd w:id="7500"/>
      <w:r>
        <w:rPr>
          <w:rFonts w:ascii="Arial" w:eastAsia="Arial" w:hAnsi="Arial" w:cs="Arial"/>
          <w:i/>
          <w:color w:val="000000"/>
          <w:sz w:val="20"/>
        </w:rPr>
        <w:t>Gilstrap v. United Air Lines, Inc</w:t>
      </w:r>
      <w:r>
        <w:rPr>
          <w:rFonts w:ascii="Arial" w:eastAsia="Arial" w:hAnsi="Arial" w:cs="Arial"/>
          <w:color w:val="000000"/>
          <w:sz w:val="20"/>
        </w:rPr>
        <w:t>., 709 F.3d 995, 999 (9th Cir. 2013). The district court dismissed Castle's RA claim against Eurofresh because it concluded that Castle could not plausibly allege that Eurofresh received federal financial assistance, either directly or indirectly. We find no error in the district court's conclusion.</w:t>
      </w:r>
    </w:p>
    <w:p w14:paraId="0A8AA584" w14:textId="77777777" w:rsidR="002D0E71" w:rsidRDefault="00000000">
      <w:pPr>
        <w:pStyle w:val="Normal48"/>
        <w:widowControl w:val="0"/>
        <w:spacing w:before="200" w:line="260" w:lineRule="atLeast"/>
        <w:jc w:val="both"/>
      </w:pPr>
      <w:bookmarkStart w:id="7501" w:name="Bookmark_para_30_27"/>
      <w:bookmarkStart w:id="7502" w:name="Bookmark_I59K6CFN28T5250010000400"/>
      <w:bookmarkStart w:id="7503" w:name="Bookmark_I59K6CFN28T5250030000400"/>
      <w:bookmarkStart w:id="7504" w:name="Bookmark_I4GVG0TFGJ6000M62HT0021C"/>
      <w:bookmarkStart w:id="7505" w:name="Bookmark_I59K6CFN28T5260020000400"/>
      <w:bookmarkEnd w:id="7501"/>
      <w:bookmarkEnd w:id="7502"/>
      <w:bookmarkEnd w:id="7503"/>
      <w:bookmarkEnd w:id="7504"/>
      <w:bookmarkEnd w:id="7505"/>
      <w:r>
        <w:rPr>
          <w:rFonts w:ascii="Arial" w:eastAsia="Arial" w:hAnsi="Arial" w:cs="Arial"/>
          <w:color w:val="000000"/>
          <w:sz w:val="20"/>
        </w:rPr>
        <w:t xml:space="preserve">In </w:t>
      </w:r>
      <w:r>
        <w:rPr>
          <w:rFonts w:ascii="Arial" w:eastAsia="Arial" w:hAnsi="Arial" w:cs="Arial"/>
          <w:i/>
          <w:color w:val="000000"/>
          <w:sz w:val="20"/>
        </w:rPr>
        <w:t>United States Department of Transportation v. Paralyzed Veterans of America</w:t>
      </w:r>
      <w:r>
        <w:rPr>
          <w:rFonts w:ascii="Arial" w:eastAsia="Arial" w:hAnsi="Arial" w:cs="Arial"/>
          <w:color w:val="000000"/>
          <w:sz w:val="20"/>
        </w:rPr>
        <w:t xml:space="preserve">, the Supreme Court held that </w:t>
      </w:r>
      <w:bookmarkStart w:id="7506" w:name="Bookmark_LNHNREFclscc11_26"/>
      <w:bookmarkEnd w:id="7506"/>
      <w:r>
        <w:rPr>
          <w:rFonts w:ascii="Arial" w:eastAsia="Arial" w:hAnsi="Arial" w:cs="Arial"/>
          <w:color w:val="000000"/>
          <w:sz w:val="20"/>
        </w:rPr>
        <w:t xml:space="preserve">Congress intended to strictly limit the scope of the RA solely "to those who actually 'receive' federal financial assistance." </w:t>
      </w:r>
      <w:bookmarkStart w:id="7507" w:name="Bookmark_I59K6CFN2N1RHW0050000400"/>
      <w:bookmarkEnd w:id="7507"/>
      <w:r>
        <w:rPr>
          <w:rFonts w:ascii="Arial" w:eastAsia="Arial" w:hAnsi="Arial" w:cs="Arial"/>
          <w:color w:val="000000"/>
          <w:sz w:val="20"/>
        </w:rPr>
        <w:t xml:space="preserve">477 U.S. 597, 605, 106 S. Ct. 2705, 91 L. Ed. 2d 494 (1986), </w:t>
      </w:r>
      <w:r>
        <w:rPr>
          <w:rFonts w:ascii="Arial" w:eastAsia="Arial" w:hAnsi="Arial" w:cs="Arial"/>
          <w:i/>
          <w:color w:val="000000"/>
          <w:sz w:val="20"/>
        </w:rPr>
        <w:t>superseded  [**20] by statute on other grounds</w:t>
      </w:r>
      <w:r>
        <w:rPr>
          <w:rFonts w:ascii="Arial" w:eastAsia="Arial" w:hAnsi="Arial" w:cs="Arial"/>
          <w:color w:val="000000"/>
          <w:sz w:val="20"/>
        </w:rPr>
        <w:t xml:space="preserve">, Air Carrier Access Act of 1986, Pub. L. No. 99-435 (1986). The Court explained that "[b]y limiting coverage to </w:t>
      </w:r>
      <w:r>
        <w:rPr>
          <w:rFonts w:ascii="Arial" w:eastAsia="Arial" w:hAnsi="Arial" w:cs="Arial"/>
          <w:i/>
          <w:color w:val="000000"/>
          <w:sz w:val="20"/>
        </w:rPr>
        <w:t>recipients</w:t>
      </w:r>
      <w:r>
        <w:rPr>
          <w:rFonts w:ascii="Arial" w:eastAsia="Arial" w:hAnsi="Arial" w:cs="Arial"/>
          <w:color w:val="000000"/>
          <w:sz w:val="20"/>
        </w:rPr>
        <w:t xml:space="preserve">, Congress imposes the obligations of § 504 upon those who </w:t>
      </w:r>
      <w:r>
        <w:rPr>
          <w:rFonts w:ascii="Arial" w:eastAsia="Arial" w:hAnsi="Arial" w:cs="Arial"/>
          <w:i/>
          <w:color w:val="000000"/>
          <w:sz w:val="20"/>
        </w:rPr>
        <w:t>are in a position to accept or reject those obligations</w:t>
      </w:r>
      <w:r>
        <w:rPr>
          <w:rFonts w:ascii="Arial" w:eastAsia="Arial" w:hAnsi="Arial" w:cs="Arial"/>
          <w:color w:val="000000"/>
          <w:sz w:val="20"/>
        </w:rPr>
        <w:t xml:space="preserve"> as a part of the decision whether or not to 'receive' federal funds." </w:t>
      </w:r>
      <w:bookmarkStart w:id="7508" w:name="Bookmark_I59K6CFN28T5250020000400"/>
      <w:bookmarkEnd w:id="7508"/>
      <w:r>
        <w:rPr>
          <w:rFonts w:ascii="Arial" w:eastAsia="Arial" w:hAnsi="Arial" w:cs="Arial"/>
          <w:i/>
          <w:color w:val="000000"/>
          <w:sz w:val="20"/>
        </w:rPr>
        <w:t>Id</w:t>
      </w:r>
      <w:r>
        <w:rPr>
          <w:rFonts w:ascii="Arial" w:eastAsia="Arial" w:hAnsi="Arial" w:cs="Arial"/>
          <w:color w:val="000000"/>
          <w:sz w:val="20"/>
        </w:rPr>
        <w:t xml:space="preserve">. at 606 (emphases added); </w:t>
      </w:r>
      <w:r>
        <w:rPr>
          <w:rFonts w:ascii="Arial" w:eastAsia="Arial" w:hAnsi="Arial" w:cs="Arial"/>
          <w:i/>
          <w:color w:val="000000"/>
          <w:sz w:val="20"/>
        </w:rPr>
        <w:t xml:space="preserve">see also </w:t>
      </w:r>
      <w:bookmarkStart w:id="7509" w:name="Bookmark_I59K6CFN28T5250040000400"/>
      <w:bookmarkEnd w:id="7509"/>
      <w:r>
        <w:rPr>
          <w:rFonts w:ascii="Arial" w:eastAsia="Arial" w:hAnsi="Arial" w:cs="Arial"/>
          <w:i/>
          <w:color w:val="000000"/>
          <w:sz w:val="20"/>
        </w:rPr>
        <w:t>Greater L.A. Council on Deafness, Inc., v. Zolin</w:t>
      </w:r>
      <w:r>
        <w:rPr>
          <w:rFonts w:ascii="Arial" w:eastAsia="Arial" w:hAnsi="Arial" w:cs="Arial"/>
          <w:color w:val="000000"/>
          <w:sz w:val="20"/>
        </w:rPr>
        <w:t xml:space="preserve">, 812 F.2d 1103, 1111 (9th Cir. 1987) (recognizing that the RA "does not prohibit discrimination against the handicapped as such; it simply bars the use of federal funds to support programs or activities that so discriminate"). Consequently, while those who affirmatively choose to receive federal aid may be held liable under the RA, liability will "not extend as far as those who benefit from it," because application of § 504 to all who benefit economically from federal assistance  [*909]  would yield almost "limitless coverage." </w:t>
      </w:r>
      <w:bookmarkStart w:id="7510" w:name="Bookmark_I59K6CFN28T5260010000400"/>
      <w:bookmarkEnd w:id="7510"/>
      <w:r>
        <w:rPr>
          <w:rFonts w:ascii="Arial" w:eastAsia="Arial" w:hAnsi="Arial" w:cs="Arial"/>
          <w:i/>
          <w:color w:val="000000"/>
          <w:sz w:val="20"/>
        </w:rPr>
        <w:t>Paralyzed Veterans</w:t>
      </w:r>
      <w:r>
        <w:rPr>
          <w:rFonts w:ascii="Arial" w:eastAsia="Arial" w:hAnsi="Arial" w:cs="Arial"/>
          <w:color w:val="000000"/>
          <w:sz w:val="20"/>
        </w:rPr>
        <w:t>, 477 U.S. at 607-08.</w:t>
      </w:r>
    </w:p>
    <w:p w14:paraId="03FC8010" w14:textId="77777777" w:rsidR="002D0E71" w:rsidRDefault="00000000">
      <w:pPr>
        <w:pStyle w:val="Normal48"/>
        <w:widowControl w:val="0"/>
        <w:spacing w:before="200" w:line="260" w:lineRule="atLeast"/>
        <w:jc w:val="both"/>
      </w:pPr>
      <w:bookmarkStart w:id="7511" w:name="Bookmark_para_31_26"/>
      <w:bookmarkEnd w:id="7511"/>
      <w:r>
        <w:rPr>
          <w:rFonts w:ascii="Arial" w:eastAsia="Arial" w:hAnsi="Arial" w:cs="Arial"/>
          <w:color w:val="000000"/>
          <w:sz w:val="20"/>
        </w:rPr>
        <w:t>Castle argues that Eurofresh is the indirect recipient of federal financial assistance. Specifically, Castle contends that ACI is a direct recipient of federal financial assistance, and that Eurofresh indirectly receives  [**21] federal financial assistance through its contract with ACI, which provides that ACI, and not Eurofresh, will pay Social Security and Medicare taxes on the wages of Eurofresh's prison laborers. These allegations are insufficient to survive a motion to dismiss.</w:t>
      </w:r>
    </w:p>
    <w:p w14:paraId="08C9A7C1" w14:textId="77777777" w:rsidR="002D0E71" w:rsidRDefault="00000000">
      <w:pPr>
        <w:pStyle w:val="Normal48"/>
        <w:widowControl w:val="0"/>
        <w:spacing w:before="200" w:line="260" w:lineRule="atLeast"/>
        <w:jc w:val="both"/>
      </w:pPr>
      <w:bookmarkStart w:id="7512" w:name="Bookmark_para_32_25"/>
      <w:bookmarkStart w:id="7513" w:name="Bookmark_I4GVG0TFNN2000M62HT000XJ"/>
      <w:bookmarkStart w:id="7514" w:name="Bookmark_I59K6CFN28T5260040000400"/>
      <w:bookmarkStart w:id="7515" w:name="Bookmark_I59K6CFN2SF7NB0030000400"/>
      <w:bookmarkEnd w:id="7512"/>
      <w:bookmarkEnd w:id="7513"/>
      <w:bookmarkEnd w:id="7514"/>
      <w:bookmarkEnd w:id="7515"/>
      <w:r>
        <w:rPr>
          <w:rFonts w:ascii="Arial" w:eastAsia="Arial" w:hAnsi="Arial" w:cs="Arial"/>
          <w:color w:val="000000"/>
          <w:sz w:val="20"/>
        </w:rPr>
        <w:t xml:space="preserve">First, it is unclear what connection, if any, exists between ACI's receipt of federal funds and its decision to assume responsibility for the federal tax liabilities related to Eurofresh's use of prison laborers. </w:t>
      </w:r>
      <w:bookmarkStart w:id="7516" w:name="Bookmark_I59K6CFN2SF7NB0050000400"/>
      <w:bookmarkEnd w:id="7516"/>
      <w:r>
        <w:rPr>
          <w:rFonts w:ascii="Arial" w:eastAsia="Arial" w:hAnsi="Arial" w:cs="Arial"/>
          <w:color w:val="000000"/>
          <w:sz w:val="20"/>
        </w:rPr>
        <w:t xml:space="preserve">But even if such a connection exists, it is not enough to establish Eurofresh's liability under the RA. </w:t>
      </w:r>
      <w:bookmarkStart w:id="7517" w:name="Bookmark_LNHNREFclscc12_25"/>
      <w:bookmarkEnd w:id="7517"/>
      <w:r>
        <w:rPr>
          <w:rFonts w:ascii="Arial" w:eastAsia="Arial" w:hAnsi="Arial" w:cs="Arial"/>
          <w:color w:val="000000"/>
          <w:sz w:val="20"/>
        </w:rPr>
        <w:t xml:space="preserve">To state a claim, Castle must do more than simply show that Eurofresh benefits from federal monies—he must show that Eurofresh has affirmatively chosen to "provid[e] employment for the handicapped as a quid pro quo for the receipt of federal funds." </w:t>
      </w:r>
      <w:bookmarkStart w:id="7518" w:name="Bookmark_I59K6CFN28T5260030000400"/>
      <w:bookmarkEnd w:id="7518"/>
      <w:r>
        <w:rPr>
          <w:rFonts w:ascii="Arial" w:eastAsia="Arial" w:hAnsi="Arial" w:cs="Arial"/>
          <w:i/>
          <w:color w:val="000000"/>
          <w:sz w:val="20"/>
        </w:rPr>
        <w:t>Id</w:t>
      </w:r>
      <w:r>
        <w:rPr>
          <w:rFonts w:ascii="Arial" w:eastAsia="Arial" w:hAnsi="Arial" w:cs="Arial"/>
          <w:color w:val="000000"/>
          <w:sz w:val="20"/>
        </w:rPr>
        <w:t xml:space="preserve">. at 605; </w:t>
      </w:r>
      <w:r>
        <w:rPr>
          <w:rFonts w:ascii="Arial" w:eastAsia="Arial" w:hAnsi="Arial" w:cs="Arial"/>
          <w:i/>
          <w:color w:val="000000"/>
          <w:sz w:val="20"/>
        </w:rPr>
        <w:t xml:space="preserve">see also </w:t>
      </w:r>
      <w:bookmarkStart w:id="7519" w:name="Bookmark_I59K6CFN28T5260050000400"/>
      <w:bookmarkEnd w:id="7519"/>
      <w:r>
        <w:rPr>
          <w:rFonts w:ascii="Arial" w:eastAsia="Arial" w:hAnsi="Arial" w:cs="Arial"/>
          <w:i/>
          <w:color w:val="000000"/>
          <w:sz w:val="20"/>
        </w:rPr>
        <w:t>Nat'l Collegiate Athletic Ass'n v. Smith</w:t>
      </w:r>
      <w:r>
        <w:rPr>
          <w:rFonts w:ascii="Arial" w:eastAsia="Arial" w:hAnsi="Arial" w:cs="Arial"/>
          <w:color w:val="000000"/>
          <w:sz w:val="20"/>
        </w:rPr>
        <w:t xml:space="preserve">, 525 U.S. 459, 468, 119 S. Ct. 924, 142 L. Ed. 2d 929 (1999). This Castle has not done. Indeed, Castle has presented no evidence that Eurofresh affirmatively chose to receive federal monies, and in so doing accepted the concomitant responsibilities of complying with certain federal mandates, such as those contained in the RA. </w:t>
      </w:r>
      <w:r>
        <w:rPr>
          <w:rFonts w:ascii="Arial" w:eastAsia="Arial" w:hAnsi="Arial" w:cs="Arial"/>
          <w:i/>
          <w:color w:val="000000"/>
          <w:sz w:val="20"/>
        </w:rPr>
        <w:t xml:space="preserve">See </w:t>
      </w:r>
      <w:bookmarkStart w:id="7520" w:name="Bookmark_I59K6CFN2SF7NB0020000400"/>
      <w:bookmarkEnd w:id="7520"/>
      <w:r>
        <w:rPr>
          <w:rFonts w:ascii="Arial" w:eastAsia="Arial" w:hAnsi="Arial" w:cs="Arial"/>
          <w:i/>
          <w:color w:val="000000"/>
          <w:sz w:val="20"/>
        </w:rPr>
        <w:t>Paralyzed Veterans</w:t>
      </w:r>
      <w:r>
        <w:rPr>
          <w:rFonts w:ascii="Arial" w:eastAsia="Arial" w:hAnsi="Arial" w:cs="Arial"/>
          <w:color w:val="000000"/>
          <w:sz w:val="20"/>
        </w:rPr>
        <w:t xml:space="preserve">, 477 U.S. at 605  [**22] (placing substantial emphasis on the "contractual nature of the receipt of federal moneys"). </w:t>
      </w:r>
      <w:bookmarkStart w:id="7521" w:name="Bookmark_I59K6CFN2SF7NB0050000400_2"/>
      <w:bookmarkEnd w:id="7521"/>
      <w:r>
        <w:rPr>
          <w:rFonts w:ascii="Arial" w:eastAsia="Arial" w:hAnsi="Arial" w:cs="Arial"/>
          <w:color w:val="000000"/>
          <w:sz w:val="20"/>
        </w:rPr>
        <w:t xml:space="preserve">Nor has Castle plausibly alleged that Eurofresh is the intended recipient of federal funds, and that ACI is a "mere conduit[] of the aid to its intended recipient[]." </w:t>
      </w:r>
      <w:bookmarkStart w:id="7522" w:name="Bookmark_I59K6CFN2SF7NB0040000400"/>
      <w:bookmarkEnd w:id="7522"/>
      <w:r>
        <w:rPr>
          <w:rFonts w:ascii="Arial" w:eastAsia="Arial" w:hAnsi="Arial" w:cs="Arial"/>
          <w:i/>
          <w:color w:val="000000"/>
          <w:sz w:val="20"/>
        </w:rPr>
        <w:t>Id</w:t>
      </w:r>
      <w:r>
        <w:rPr>
          <w:rFonts w:ascii="Arial" w:eastAsia="Arial" w:hAnsi="Arial" w:cs="Arial"/>
          <w:color w:val="000000"/>
          <w:sz w:val="20"/>
        </w:rPr>
        <w:t>. at 607. Because Castle has not alleged facts which plausibly demonstrate that Eurofresh receives federal financial assistance, Castle's RA claim against Eurofresh was properly dismissed.</w:t>
      </w:r>
    </w:p>
    <w:p w14:paraId="3B354498" w14:textId="77777777" w:rsidR="002D0E71" w:rsidRDefault="00000000">
      <w:pPr>
        <w:pStyle w:val="Normal48"/>
        <w:widowControl w:val="0"/>
        <w:spacing w:before="240" w:line="260" w:lineRule="atLeast"/>
      </w:pPr>
      <w:r>
        <w:br/>
      </w:r>
      <w:r>
        <w:rPr>
          <w:rFonts w:ascii="Arial" w:eastAsia="Arial" w:hAnsi="Arial" w:cs="Arial"/>
          <w:b/>
          <w:color w:val="000000"/>
          <w:sz w:val="20"/>
        </w:rPr>
        <w:t>III. Castle's ADA and RA Claims Against the State Defendants</w:t>
      </w:r>
    </w:p>
    <w:p w14:paraId="05955EE1" w14:textId="77777777" w:rsidR="002D0E71" w:rsidRDefault="00000000">
      <w:pPr>
        <w:pStyle w:val="Normal48"/>
        <w:widowControl w:val="0"/>
        <w:spacing w:before="200" w:line="260" w:lineRule="atLeast"/>
        <w:jc w:val="both"/>
      </w:pPr>
      <w:bookmarkStart w:id="7523" w:name="Bookmark_para_33_24"/>
      <w:bookmarkStart w:id="7524" w:name="Bookmark_I59K6CFN2SF7NC0020000400"/>
      <w:bookmarkEnd w:id="7523"/>
      <w:bookmarkEnd w:id="7524"/>
      <w:r>
        <w:rPr>
          <w:rFonts w:ascii="Arial" w:eastAsia="Arial" w:hAnsi="Arial" w:cs="Arial"/>
          <w:color w:val="000000"/>
          <w:sz w:val="20"/>
        </w:rPr>
        <w:t xml:space="preserve">We next consider the potential liability of the State Defendants. The State Defendants may be liable under Title II of the ADA even though Eurofresh may not be sued under Title I. </w:t>
      </w:r>
      <w:r>
        <w:rPr>
          <w:rFonts w:ascii="Arial" w:eastAsia="Arial" w:hAnsi="Arial" w:cs="Arial"/>
          <w:i/>
          <w:color w:val="000000"/>
          <w:sz w:val="20"/>
        </w:rPr>
        <w:t xml:space="preserve">See, e.g., </w:t>
      </w:r>
      <w:bookmarkStart w:id="7525" w:name="Bookmark_I59K6CFN2SF7NC0010000400"/>
      <w:bookmarkEnd w:id="7525"/>
      <w:r>
        <w:rPr>
          <w:rFonts w:ascii="Arial" w:eastAsia="Arial" w:hAnsi="Arial" w:cs="Arial"/>
          <w:i/>
          <w:color w:val="000000"/>
          <w:sz w:val="20"/>
        </w:rPr>
        <w:t>Disabled Rights Action Comm. v. Las Vegas Events, Inc</w:t>
      </w:r>
      <w:r>
        <w:rPr>
          <w:rFonts w:ascii="Arial" w:eastAsia="Arial" w:hAnsi="Arial" w:cs="Arial"/>
          <w:color w:val="000000"/>
          <w:sz w:val="20"/>
        </w:rPr>
        <w:t xml:space="preserve">., 375 F.3d 861, 883-84 (9th Cir. 2004) (noting that plaintiffs often sue multiple defendants under separate titles of the ADA); </w:t>
      </w:r>
      <w:bookmarkStart w:id="7526" w:name="Bookmark_I59K6CFN2SF7NC0030000400"/>
      <w:bookmarkEnd w:id="7526"/>
      <w:r>
        <w:rPr>
          <w:rFonts w:ascii="Arial" w:eastAsia="Arial" w:hAnsi="Arial" w:cs="Arial"/>
          <w:i/>
          <w:color w:val="000000"/>
          <w:sz w:val="20"/>
        </w:rPr>
        <w:t>Johnson v. City of Saline</w:t>
      </w:r>
      <w:r>
        <w:rPr>
          <w:rFonts w:ascii="Arial" w:eastAsia="Arial" w:hAnsi="Arial" w:cs="Arial"/>
          <w:color w:val="000000"/>
          <w:sz w:val="20"/>
        </w:rPr>
        <w:t>, 151 F.3d 564, 571-72 (6th Cir. 1998) ("Even though the [private] businesses may be subject to Title III of the ADA . . . the city is simultaneously subject to Title II because it is a landlord."). Moreover, unlike Eurofresh, the State Defendants cannot plausibly deny that they receive federal  [**23] financial assistance, and thus they are obligated to comply with the RA.</w:t>
      </w:r>
    </w:p>
    <w:p w14:paraId="4E65812E" w14:textId="77777777" w:rsidR="002D0E71" w:rsidRDefault="00000000">
      <w:pPr>
        <w:pStyle w:val="Normal48"/>
        <w:widowControl w:val="0"/>
        <w:spacing w:before="200" w:line="260" w:lineRule="atLeast"/>
        <w:jc w:val="both"/>
      </w:pPr>
      <w:bookmarkStart w:id="7527" w:name="Bookmark_para_34_23"/>
      <w:bookmarkStart w:id="7528" w:name="Bookmark_I59K6CFN28T5270010000400"/>
      <w:bookmarkStart w:id="7529" w:name="Bookmark_I59K6CFN28T5270030000400"/>
      <w:bookmarkEnd w:id="7527"/>
      <w:bookmarkEnd w:id="7528"/>
      <w:bookmarkEnd w:id="7529"/>
      <w:r>
        <w:rPr>
          <w:rFonts w:ascii="Arial" w:eastAsia="Arial" w:hAnsi="Arial" w:cs="Arial"/>
          <w:color w:val="000000"/>
          <w:sz w:val="20"/>
        </w:rPr>
        <w:t xml:space="preserve">The State Defendants concede, as they must, that </w:t>
      </w:r>
      <w:bookmarkStart w:id="7530" w:name="Bookmark_LNHNREFclscc13_22"/>
      <w:bookmarkEnd w:id="7530"/>
      <w:r>
        <w:rPr>
          <w:rFonts w:ascii="Arial" w:eastAsia="Arial" w:hAnsi="Arial" w:cs="Arial"/>
          <w:color w:val="000000"/>
          <w:sz w:val="20"/>
        </w:rPr>
        <w:t xml:space="preserve">Title II applies to the operation of state prisons. </w:t>
      </w:r>
      <w:r>
        <w:rPr>
          <w:rFonts w:ascii="Arial" w:eastAsia="Arial" w:hAnsi="Arial" w:cs="Arial"/>
          <w:i/>
          <w:color w:val="000000"/>
          <w:sz w:val="20"/>
        </w:rPr>
        <w:t xml:space="preserve">See </w:t>
      </w:r>
      <w:bookmarkStart w:id="7531" w:name="Bookmark_I59K6CFN2SF7NC0050000400"/>
      <w:bookmarkEnd w:id="7531"/>
      <w:r>
        <w:rPr>
          <w:rFonts w:ascii="Arial" w:eastAsia="Arial" w:hAnsi="Arial" w:cs="Arial"/>
          <w:i/>
          <w:color w:val="000000"/>
          <w:sz w:val="20"/>
        </w:rPr>
        <w:t>Penn. Dep't of Corr. v. Yeskey</w:t>
      </w:r>
      <w:r>
        <w:rPr>
          <w:rFonts w:ascii="Arial" w:eastAsia="Arial" w:hAnsi="Arial" w:cs="Arial"/>
          <w:color w:val="000000"/>
          <w:sz w:val="20"/>
        </w:rPr>
        <w:t xml:space="preserve">, 524 U.S. 206, 213, 118 S. Ct. 1952, 141 L. Ed. 2d 215 (1998) ("[T]he plain text of Title II of the ADA unambiguously extends to state prison inmates."). Consequently, State Defendants must ensure that disabled prisoners are not discriminated against with regard to the provision of "the benefits of [their] services, programs, or activities" on account of a prisoner's disability. 42 U.S.C. § 12132; </w:t>
      </w:r>
      <w:r>
        <w:rPr>
          <w:rFonts w:ascii="Arial" w:eastAsia="Arial" w:hAnsi="Arial" w:cs="Arial"/>
          <w:i/>
          <w:color w:val="000000"/>
          <w:sz w:val="20"/>
        </w:rPr>
        <w:t xml:space="preserve">see also </w:t>
      </w:r>
      <w:bookmarkStart w:id="7532" w:name="Bookmark_I59K6CFN28T5270020000400"/>
      <w:bookmarkEnd w:id="7532"/>
      <w:r>
        <w:rPr>
          <w:rFonts w:ascii="Arial" w:eastAsia="Arial" w:hAnsi="Arial" w:cs="Arial"/>
          <w:i/>
          <w:color w:val="000000"/>
          <w:sz w:val="20"/>
        </w:rPr>
        <w:t>Yeskey</w:t>
      </w:r>
      <w:r>
        <w:rPr>
          <w:rFonts w:ascii="Arial" w:eastAsia="Arial" w:hAnsi="Arial" w:cs="Arial"/>
          <w:color w:val="000000"/>
          <w:sz w:val="20"/>
        </w:rPr>
        <w:t>, 524 U.S. at 210 (finding that prison vocational programs are "benefits" of a public entity). Nevertheless, the State Defendants contend that Title II does not apply in this case, because "[the State Defendants]  [*910]  had no authority to determine which jobs or job duties were available to inmates at Eurofresh, nor could they overturn [Eurofresh's] decision to refuse a request for a job modification." The State Defendants are mistaken.</w:t>
      </w:r>
    </w:p>
    <w:p w14:paraId="27199854" w14:textId="77777777" w:rsidR="002D0E71" w:rsidRDefault="00000000">
      <w:pPr>
        <w:pStyle w:val="Normal48"/>
        <w:widowControl w:val="0"/>
        <w:spacing w:before="200" w:line="260" w:lineRule="atLeast"/>
        <w:jc w:val="both"/>
      </w:pPr>
      <w:bookmarkStart w:id="7533" w:name="Bookmark_para_35_23"/>
      <w:bookmarkStart w:id="7534" w:name="Bookmark_I59K6CFN28T5270050000400"/>
      <w:bookmarkEnd w:id="7533"/>
      <w:bookmarkEnd w:id="7534"/>
      <w:r>
        <w:rPr>
          <w:rFonts w:ascii="Arial" w:eastAsia="Arial" w:hAnsi="Arial" w:cs="Arial"/>
          <w:color w:val="000000"/>
          <w:sz w:val="20"/>
        </w:rPr>
        <w:t xml:space="preserve">In </w:t>
      </w:r>
      <w:bookmarkStart w:id="7535" w:name="Bookmark_I59K6CFN28T5270040000400"/>
      <w:bookmarkEnd w:id="7535"/>
      <w:r>
        <w:rPr>
          <w:rFonts w:ascii="Arial" w:eastAsia="Arial" w:hAnsi="Arial" w:cs="Arial"/>
          <w:i/>
          <w:color w:val="000000"/>
          <w:sz w:val="20"/>
        </w:rPr>
        <w:t>Armstrong v. Schwarzenegger</w:t>
      </w:r>
      <w:r>
        <w:rPr>
          <w:rFonts w:ascii="Arial" w:eastAsia="Arial" w:hAnsi="Arial" w:cs="Arial"/>
          <w:color w:val="000000"/>
          <w:sz w:val="20"/>
        </w:rPr>
        <w:t xml:space="preserve">, 622 F.3d 1058, 1065-67 (9th Cir. 2010), we rejected the State of California's argument that it could not be held liable for ADA violations committed  [**24] by county jails that were housing state prisoners pursuant to contracts with the state. </w:t>
      </w:r>
      <w:bookmarkStart w:id="7536" w:name="Bookmark_I59K6CFN2HM67H0020000400"/>
      <w:bookmarkEnd w:id="7536"/>
      <w:r>
        <w:rPr>
          <w:rFonts w:ascii="Arial" w:eastAsia="Arial" w:hAnsi="Arial" w:cs="Arial"/>
          <w:color w:val="000000"/>
          <w:sz w:val="20"/>
        </w:rPr>
        <w:t xml:space="preserve">We found it wholly irrelevant that the ADA violations occurred at county jails, rather than at state prisons under California's immediate control. Rather, we clarified that </w:t>
      </w:r>
      <w:bookmarkStart w:id="7537" w:name="Bookmark_LNHNREFclscc14_17"/>
      <w:bookmarkEnd w:id="7537"/>
      <w:r>
        <w:rPr>
          <w:rFonts w:ascii="Arial" w:eastAsia="Arial" w:hAnsi="Arial" w:cs="Arial"/>
          <w:color w:val="000000"/>
          <w:sz w:val="20"/>
        </w:rPr>
        <w:t xml:space="preserve">Title II's obligations apply to public entities regardless of how those entities chose to provide or operate their programs and benefits. </w:t>
      </w:r>
      <w:bookmarkStart w:id="7538" w:name="Bookmark_I59K6CFN2HM67H0020000400_2"/>
      <w:bookmarkEnd w:id="7538"/>
      <w:r>
        <w:rPr>
          <w:rFonts w:ascii="Arial" w:eastAsia="Arial" w:hAnsi="Arial" w:cs="Arial"/>
          <w:i/>
          <w:color w:val="000000"/>
          <w:sz w:val="20"/>
        </w:rPr>
        <w:t xml:space="preserve">See </w:t>
      </w:r>
      <w:bookmarkStart w:id="7539" w:name="Bookmark_I59K6CFN2HM67H0010000400"/>
      <w:bookmarkEnd w:id="7539"/>
      <w:r>
        <w:rPr>
          <w:rFonts w:ascii="Arial" w:eastAsia="Arial" w:hAnsi="Arial" w:cs="Arial"/>
          <w:i/>
          <w:color w:val="000000"/>
          <w:sz w:val="20"/>
        </w:rPr>
        <w:t>id</w:t>
      </w:r>
      <w:r>
        <w:rPr>
          <w:rFonts w:ascii="Arial" w:eastAsia="Arial" w:hAnsi="Arial" w:cs="Arial"/>
          <w:color w:val="000000"/>
          <w:sz w:val="20"/>
        </w:rPr>
        <w:t xml:space="preserve">. at 1065 ("[A] public entity, in providing any aid, benefit, or service, may not, directly </w:t>
      </w:r>
      <w:r>
        <w:rPr>
          <w:rFonts w:ascii="Arial" w:eastAsia="Arial" w:hAnsi="Arial" w:cs="Arial"/>
          <w:i/>
          <w:color w:val="000000"/>
          <w:sz w:val="20"/>
        </w:rPr>
        <w:t>or through contractual, licensing, or other arrangements</w:t>
      </w:r>
      <w:r>
        <w:rPr>
          <w:rFonts w:ascii="Arial" w:eastAsia="Arial" w:hAnsi="Arial" w:cs="Arial"/>
          <w:color w:val="000000"/>
          <w:sz w:val="20"/>
        </w:rPr>
        <w:t>, discriminate against individuals with disabilities." (quoting 28 C.F.R. § 35.130(b)(1)) (emphasis added)).</w:t>
      </w:r>
    </w:p>
    <w:p w14:paraId="1BF5A775" w14:textId="77777777" w:rsidR="002D0E71" w:rsidRDefault="00000000">
      <w:pPr>
        <w:pStyle w:val="Normal48"/>
        <w:widowControl w:val="0"/>
        <w:spacing w:before="200" w:line="260" w:lineRule="atLeast"/>
        <w:jc w:val="both"/>
      </w:pPr>
      <w:bookmarkStart w:id="7540" w:name="Bookmark_para_36_23"/>
      <w:bookmarkStart w:id="7541" w:name="Bookmark_I4GVG0TFTG6000M62HT0021F"/>
      <w:bookmarkStart w:id="7542" w:name="Bookmark_I4GVG0TFY9B000M62HT0021G"/>
      <w:bookmarkStart w:id="7543" w:name="Bookmark_I59K6CFN2HM67H0040000400"/>
      <w:bookmarkEnd w:id="7540"/>
      <w:bookmarkEnd w:id="7541"/>
      <w:bookmarkEnd w:id="7542"/>
      <w:bookmarkEnd w:id="7543"/>
      <w:r>
        <w:rPr>
          <w:rFonts w:ascii="Arial" w:eastAsia="Arial" w:hAnsi="Arial" w:cs="Arial"/>
          <w:color w:val="000000"/>
          <w:sz w:val="20"/>
        </w:rPr>
        <w:t>The State Defendants admit that ACI contracts with Eurofresh to provide "benefits" to state inmates, including paid labor and vocational training. The State Defendants are free to enter into such contracts, and likely reap numerous benefits from such arrangements. But one benefit State Defendants may not harvest is immunity for ADA violations: State Defendants are obligated to ensure that Eurofresh—like all other State contractors—complies with federal laws prohibiting discrimination on the basis of disability.</w:t>
      </w:r>
      <w:r>
        <w:rPr>
          <w:rFonts w:ascii="Arial" w:eastAsia="Arial" w:hAnsi="Arial" w:cs="Arial"/>
          <w:vertAlign w:val="superscript"/>
        </w:rPr>
        <w:footnoteReference w:customMarkFollows="1" w:id="315"/>
        <w:t>15</w:t>
      </w:r>
      <w:r>
        <w:rPr>
          <w:rFonts w:ascii="Arial" w:eastAsia="Arial" w:hAnsi="Arial" w:cs="Arial"/>
          <w:color w:val="000000"/>
          <w:sz w:val="20"/>
        </w:rPr>
        <w:t xml:space="preserve"> </w:t>
      </w:r>
      <w:r>
        <w:rPr>
          <w:rFonts w:ascii="Arial" w:eastAsia="Arial" w:hAnsi="Arial" w:cs="Arial"/>
          <w:i/>
          <w:color w:val="000000"/>
          <w:sz w:val="20"/>
        </w:rPr>
        <w:t xml:space="preserve">See </w:t>
      </w:r>
      <w:bookmarkStart w:id="7545" w:name="Bookmark_I59K6CFN2HM67H0030000400"/>
      <w:bookmarkEnd w:id="7545"/>
      <w:r>
        <w:rPr>
          <w:rFonts w:ascii="Arial" w:eastAsia="Arial" w:hAnsi="Arial" w:cs="Arial"/>
          <w:i/>
          <w:color w:val="000000"/>
          <w:sz w:val="20"/>
        </w:rPr>
        <w:t>Armstrong</w:t>
      </w:r>
      <w:r>
        <w:rPr>
          <w:rFonts w:ascii="Arial" w:eastAsia="Arial" w:hAnsi="Arial" w:cs="Arial"/>
          <w:color w:val="000000"/>
          <w:sz w:val="20"/>
        </w:rPr>
        <w:t>, 622 F.3d at 1065-67;  [**25] </w:t>
      </w:r>
      <w:r>
        <w:rPr>
          <w:rFonts w:ascii="Arial" w:eastAsia="Arial" w:hAnsi="Arial" w:cs="Arial"/>
          <w:i/>
          <w:color w:val="000000"/>
          <w:sz w:val="20"/>
        </w:rPr>
        <w:t xml:space="preserve">see also </w:t>
      </w:r>
      <w:bookmarkStart w:id="7546" w:name="Bookmark_I59K6CFN2HM67H0050000400"/>
      <w:bookmarkEnd w:id="7546"/>
      <w:r>
        <w:rPr>
          <w:rFonts w:ascii="Arial" w:eastAsia="Arial" w:hAnsi="Arial" w:cs="Arial"/>
          <w:i/>
          <w:color w:val="000000"/>
          <w:sz w:val="20"/>
        </w:rPr>
        <w:t>Henrietta D. v. Bloomberg</w:t>
      </w:r>
      <w:r>
        <w:rPr>
          <w:rFonts w:ascii="Arial" w:eastAsia="Arial" w:hAnsi="Arial" w:cs="Arial"/>
          <w:color w:val="000000"/>
          <w:sz w:val="20"/>
        </w:rPr>
        <w:t>, 331 F.3d 261, 286 (2d Cir. 2003) (</w:t>
      </w:r>
      <w:bookmarkStart w:id="7547" w:name="Bookmark_LNHNREFclscc15_15"/>
      <w:bookmarkEnd w:id="7547"/>
      <w:r>
        <w:rPr>
          <w:rFonts w:ascii="Arial" w:eastAsia="Arial" w:hAnsi="Arial" w:cs="Arial"/>
          <w:color w:val="000000"/>
          <w:sz w:val="20"/>
        </w:rPr>
        <w:t xml:space="preserve">"All governmental activities of public entities are covered, even if they are carried out by contractors. </w:t>
      </w:r>
      <w:bookmarkStart w:id="7548" w:name="Bookmark_I59K6CFN2D6NXN0030000400"/>
      <w:bookmarkEnd w:id="7548"/>
      <w:r>
        <w:rPr>
          <w:rFonts w:ascii="Arial" w:eastAsia="Arial" w:hAnsi="Arial" w:cs="Arial"/>
          <w:color w:val="000000"/>
          <w:sz w:val="20"/>
        </w:rPr>
        <w:t xml:space="preserve">For example, a State is obligated by [T]itle II to ensure that the services, programs, and activities of a State park inn operated under contract by a private entity are in compliance with [T]itle II's requirements.") (citation omitted)). The same principle applies to RA violations committed by contractors. </w:t>
      </w:r>
      <w:bookmarkStart w:id="7549" w:name="Bookmark_I59K6CFN2D6NXN0020000400"/>
      <w:bookmarkEnd w:id="7549"/>
      <w:r>
        <w:rPr>
          <w:rFonts w:ascii="Arial" w:eastAsia="Arial" w:hAnsi="Arial" w:cs="Arial"/>
          <w:i/>
          <w:color w:val="000000"/>
          <w:sz w:val="20"/>
        </w:rPr>
        <w:t>Henrietta D</w:t>
      </w:r>
      <w:r>
        <w:rPr>
          <w:rFonts w:ascii="Arial" w:eastAsia="Arial" w:hAnsi="Arial" w:cs="Arial"/>
          <w:color w:val="000000"/>
          <w:sz w:val="20"/>
        </w:rPr>
        <w:t>., 331 F.3d at 286 (holding that a state is "liable to guarantee that those it delegates to carry out its programs satisfy the terms of its promised performance, including compliance with the Rehabilitation Act"). The law is clear—the State Defendants may not contract away their obligation to comply with federal discrimination laws.</w:t>
      </w:r>
    </w:p>
    <w:p w14:paraId="3A25FE48" w14:textId="77777777" w:rsidR="002D0E71" w:rsidRDefault="00000000">
      <w:pPr>
        <w:pStyle w:val="Normal48"/>
        <w:widowControl w:val="0"/>
        <w:spacing w:before="200" w:line="260" w:lineRule="atLeast"/>
        <w:jc w:val="both"/>
      </w:pPr>
      <w:bookmarkStart w:id="7550" w:name="Bookmark_para_37_23"/>
      <w:bookmarkStart w:id="7551" w:name="Bookmark_I59K6CFN2D6NXN0050000400"/>
      <w:bookmarkStart w:id="7552" w:name="Bookmark_I59K6CFN28T5280020000400"/>
      <w:bookmarkEnd w:id="7550"/>
      <w:bookmarkEnd w:id="7551"/>
      <w:bookmarkEnd w:id="7552"/>
      <w:r>
        <w:rPr>
          <w:rFonts w:ascii="Arial" w:eastAsia="Arial" w:hAnsi="Arial" w:cs="Arial"/>
          <w:color w:val="000000"/>
          <w:sz w:val="20"/>
        </w:rPr>
        <w:t xml:space="preserve">Nevertheless, we cannot determine on this record whether a violation actually occurred in this case. </w:t>
      </w:r>
      <w:bookmarkStart w:id="7553" w:name="Bookmark_LNHNREFclscc16_13"/>
      <w:bookmarkEnd w:id="7553"/>
      <w:r>
        <w:rPr>
          <w:rFonts w:ascii="Arial" w:eastAsia="Arial" w:hAnsi="Arial" w:cs="Arial"/>
          <w:color w:val="000000"/>
          <w:sz w:val="20"/>
        </w:rPr>
        <w:t xml:space="preserve">Federal law requires public entities to "make reasonable modifications in policies, practices, or procedures when the modifications are necessary to avoid discrimination on the basis of disability, unless the public entity can demonstrate that making the modifications would fundamentally alter the nature of the service, program, or activity." 28 C.F.R. § 35.130(b)(7). Determining whether a modification is reasonable (or even required) is necessarily a fact-specific inquiry, requiring "analysis of the disabled individual's circumstances and the accommodations that might allow him to meet the program's standards." </w:t>
      </w:r>
      <w:bookmarkStart w:id="7554" w:name="Bookmark_I59K6CFN2D6NXN0040000400"/>
      <w:bookmarkEnd w:id="7554"/>
      <w:r>
        <w:rPr>
          <w:rFonts w:ascii="Arial" w:eastAsia="Arial" w:hAnsi="Arial" w:cs="Arial"/>
          <w:i/>
          <w:color w:val="000000"/>
          <w:sz w:val="20"/>
        </w:rPr>
        <w:t xml:space="preserve">Wong v. Regents </w:t>
      </w:r>
      <w:r>
        <w:rPr>
          <w:rFonts w:ascii="Arial" w:eastAsia="Arial" w:hAnsi="Arial" w:cs="Arial"/>
          <w:color w:val="000000"/>
          <w:sz w:val="20"/>
        </w:rPr>
        <w:t> [*911] </w:t>
      </w:r>
      <w:r>
        <w:rPr>
          <w:rFonts w:ascii="Arial" w:eastAsia="Arial" w:hAnsi="Arial" w:cs="Arial"/>
          <w:i/>
          <w:color w:val="000000"/>
          <w:sz w:val="20"/>
        </w:rPr>
        <w:t xml:space="preserve"> of Univ. of Cal</w:t>
      </w:r>
      <w:r>
        <w:rPr>
          <w:rFonts w:ascii="Arial" w:eastAsia="Arial" w:hAnsi="Arial" w:cs="Arial"/>
          <w:color w:val="000000"/>
          <w:sz w:val="20"/>
        </w:rPr>
        <w:t xml:space="preserve">., 192 F.3d 807, 818 (9th Cir. 1999). Specifically in the prison context, we have held that a district court may consider "with deference to the expert views of facility administrators, a detention or correctional facility's legitimate interests (namely, in maintaining  [**27] security and order and operating an institution in a manageable fashion) when determining whether a given accommodation is reasonable." </w:t>
      </w:r>
      <w:bookmarkStart w:id="7555" w:name="Bookmark_I59K6CFN28T5280010000400"/>
      <w:bookmarkEnd w:id="7555"/>
      <w:r>
        <w:rPr>
          <w:rFonts w:ascii="Arial" w:eastAsia="Arial" w:hAnsi="Arial" w:cs="Arial"/>
          <w:i/>
          <w:color w:val="000000"/>
          <w:sz w:val="20"/>
        </w:rPr>
        <w:t>Pierce v. Cnty. of Orange</w:t>
      </w:r>
      <w:r>
        <w:rPr>
          <w:rFonts w:ascii="Arial" w:eastAsia="Arial" w:hAnsi="Arial" w:cs="Arial"/>
          <w:color w:val="000000"/>
          <w:sz w:val="20"/>
        </w:rPr>
        <w:t>, 526 F.3d 1190, 1217 (9th Cir. 2008) (citations and internal quotation marks omitted).</w:t>
      </w:r>
    </w:p>
    <w:p w14:paraId="5E98F4A2" w14:textId="77777777" w:rsidR="002D0E71" w:rsidRDefault="00000000">
      <w:pPr>
        <w:pStyle w:val="Normal48"/>
        <w:widowControl w:val="0"/>
        <w:spacing w:before="200" w:line="260" w:lineRule="atLeast"/>
        <w:jc w:val="both"/>
      </w:pPr>
      <w:bookmarkStart w:id="7556" w:name="Bookmark_para_38_21"/>
      <w:bookmarkStart w:id="7557" w:name="Bookmark_I59K6CFN28T5280040000400"/>
      <w:bookmarkEnd w:id="7556"/>
      <w:bookmarkEnd w:id="7557"/>
      <w:r>
        <w:rPr>
          <w:rFonts w:ascii="Arial" w:eastAsia="Arial" w:hAnsi="Arial" w:cs="Arial"/>
          <w:color w:val="000000"/>
          <w:sz w:val="20"/>
        </w:rPr>
        <w:t xml:space="preserve">Likely because the district court erroneously concluded that the State Defendants are not liable under either Title II or the RA, the court made insufficient findings regarding whether a reasonable modification was made. Instead, the district court simply concluded without analysis that Castle's reassignment to a different job in the WIPP program was reasonable. While that may ultimately be correct, where the district court makes no findings regarding the reasonableness of a proposed modification or accommodation, we must remand to the district court to perform the necessary analysis. </w:t>
      </w:r>
      <w:r>
        <w:rPr>
          <w:rFonts w:ascii="Arial" w:eastAsia="Arial" w:hAnsi="Arial" w:cs="Arial"/>
          <w:i/>
          <w:color w:val="000000"/>
          <w:sz w:val="20"/>
        </w:rPr>
        <w:t xml:space="preserve">See </w:t>
      </w:r>
      <w:bookmarkStart w:id="7558" w:name="Bookmark_I59K6CFN28T5280030000400"/>
      <w:bookmarkEnd w:id="7558"/>
      <w:r>
        <w:rPr>
          <w:rFonts w:ascii="Arial" w:eastAsia="Arial" w:hAnsi="Arial" w:cs="Arial"/>
          <w:i/>
          <w:color w:val="000000"/>
          <w:sz w:val="20"/>
        </w:rPr>
        <w:t>McGary v. City of Portland</w:t>
      </w:r>
      <w:r>
        <w:rPr>
          <w:rFonts w:ascii="Arial" w:eastAsia="Arial" w:hAnsi="Arial" w:cs="Arial"/>
          <w:color w:val="000000"/>
          <w:sz w:val="20"/>
        </w:rPr>
        <w:t xml:space="preserve">, 386 F.3d 1259, 1270 (9th Cir. 2004) (citing </w:t>
      </w:r>
      <w:bookmarkStart w:id="7559" w:name="Bookmark_I59K6CFN28T5280050000400"/>
      <w:bookmarkEnd w:id="7559"/>
      <w:r>
        <w:rPr>
          <w:rFonts w:ascii="Arial" w:eastAsia="Arial" w:hAnsi="Arial" w:cs="Arial"/>
          <w:i/>
          <w:color w:val="000000"/>
          <w:sz w:val="20"/>
        </w:rPr>
        <w:t>Crowder v. Kitagawa</w:t>
      </w:r>
      <w:r>
        <w:rPr>
          <w:rFonts w:ascii="Arial" w:eastAsia="Arial" w:hAnsi="Arial" w:cs="Arial"/>
          <w:color w:val="000000"/>
          <w:sz w:val="20"/>
        </w:rPr>
        <w:t>, 81 F.3d 1480, 1485 (9th Cir. 1996)).</w:t>
      </w:r>
    </w:p>
    <w:p w14:paraId="2CEDDAF2" w14:textId="77777777" w:rsidR="002D0E71" w:rsidRDefault="00000000">
      <w:pPr>
        <w:pStyle w:val="Normal48"/>
        <w:widowControl w:val="0"/>
        <w:spacing w:before="240" w:line="260" w:lineRule="atLeast"/>
      </w:pPr>
      <w:r>
        <w:br/>
      </w:r>
      <w:r>
        <w:rPr>
          <w:rFonts w:ascii="Arial" w:eastAsia="Arial" w:hAnsi="Arial" w:cs="Arial"/>
          <w:b/>
          <w:color w:val="000000"/>
          <w:sz w:val="20"/>
        </w:rPr>
        <w:t>CONCLUSION</w:t>
      </w:r>
    </w:p>
    <w:p w14:paraId="3BF54590" w14:textId="77777777" w:rsidR="002D0E71" w:rsidRDefault="00000000">
      <w:pPr>
        <w:pStyle w:val="Normal48"/>
        <w:widowControl w:val="0"/>
        <w:spacing w:before="200" w:line="260" w:lineRule="atLeast"/>
        <w:jc w:val="both"/>
      </w:pPr>
      <w:bookmarkStart w:id="7560" w:name="Bookmark_para_39_21"/>
      <w:bookmarkEnd w:id="7560"/>
      <w:r>
        <w:rPr>
          <w:rFonts w:ascii="Arial" w:eastAsia="Arial" w:hAnsi="Arial" w:cs="Arial"/>
          <w:color w:val="000000"/>
          <w:sz w:val="20"/>
        </w:rPr>
        <w:t>Castle's claims against Eurofresh were properly dismissed because Castle and Eurofresh were not in an employment relationship, and Eurofresh does not receive federal financial assistance. However, judgment was improperly  [**28] granted to the State Defendants. The State Defendants are liable for disability discrimination committed by a contractor. We consequently remand to the district court to determine in the first instance whether such discrimination occurred.</w:t>
      </w:r>
    </w:p>
    <w:p w14:paraId="4B7A8260" w14:textId="77777777" w:rsidR="002D0E71" w:rsidRDefault="00000000">
      <w:pPr>
        <w:pStyle w:val="Normal48"/>
        <w:widowControl w:val="0"/>
        <w:spacing w:before="200" w:line="260" w:lineRule="atLeast"/>
        <w:jc w:val="both"/>
      </w:pPr>
      <w:bookmarkStart w:id="7561" w:name="Bookmark_para_40_21"/>
      <w:bookmarkEnd w:id="7561"/>
      <w:r>
        <w:rPr>
          <w:rFonts w:ascii="Arial" w:eastAsia="Arial" w:hAnsi="Arial" w:cs="Arial"/>
          <w:color w:val="000000"/>
          <w:sz w:val="20"/>
        </w:rPr>
        <w:t>Each party shall be responsible for its own costs on appeal. Fed. R. App. P. 39(a)(4).</w:t>
      </w:r>
    </w:p>
    <w:p w14:paraId="35E86748" w14:textId="77777777" w:rsidR="002D0E71" w:rsidRDefault="00000000">
      <w:pPr>
        <w:pStyle w:val="Normal48"/>
        <w:widowControl w:val="0"/>
        <w:spacing w:before="200" w:line="260" w:lineRule="atLeast"/>
        <w:jc w:val="both"/>
      </w:pPr>
      <w:bookmarkStart w:id="7562" w:name="Bookmark_para_41_20"/>
      <w:bookmarkEnd w:id="7562"/>
      <w:r>
        <w:rPr>
          <w:rFonts w:ascii="Arial" w:eastAsia="Arial" w:hAnsi="Arial" w:cs="Arial"/>
          <w:b/>
          <w:color w:val="000000"/>
          <w:sz w:val="20"/>
        </w:rPr>
        <w:t>AFFIRMED IN PART, REVERSED IN PART, AND REMANDED</w:t>
      </w:r>
      <w:r>
        <w:rPr>
          <w:rFonts w:ascii="Arial" w:eastAsia="Arial" w:hAnsi="Arial" w:cs="Arial"/>
          <w:color w:val="000000"/>
          <w:sz w:val="20"/>
        </w:rPr>
        <w:t>.</w:t>
      </w:r>
    </w:p>
    <w:p w14:paraId="2FCEF6CB" w14:textId="77777777" w:rsidR="002D0E71" w:rsidRDefault="00000000">
      <w:pPr>
        <w:pStyle w:val="Normal48"/>
        <w:widowControl w:val="0"/>
        <w:spacing w:before="240" w:line="260" w:lineRule="atLeast"/>
      </w:pPr>
      <w:bookmarkStart w:id="7563" w:name="Concur_by_2"/>
      <w:bookmarkEnd w:id="7563"/>
      <w:r>
        <w:rPr>
          <w:rFonts w:ascii="Arial" w:eastAsia="Arial" w:hAnsi="Arial" w:cs="Arial"/>
          <w:b/>
          <w:color w:val="000000"/>
          <w:sz w:val="20"/>
        </w:rPr>
        <w:t>Concur by:</w:t>
      </w:r>
      <w:r>
        <w:rPr>
          <w:rFonts w:ascii="Arial" w:eastAsia="Arial" w:hAnsi="Arial" w:cs="Arial"/>
          <w:color w:val="000000"/>
          <w:sz w:val="20"/>
        </w:rPr>
        <w:t> Marsha S. Berzon</w:t>
      </w:r>
    </w:p>
    <w:p w14:paraId="31DEA815" w14:textId="77777777" w:rsidR="002D0E71" w:rsidRDefault="00000000">
      <w:pPr>
        <w:pStyle w:val="Normal48"/>
        <w:keepNext/>
        <w:widowControl w:val="0"/>
        <w:spacing w:before="240" w:line="340" w:lineRule="atLeast"/>
      </w:pPr>
      <w:bookmarkStart w:id="7564" w:name="Concur_0"/>
      <w:bookmarkEnd w:id="7564"/>
      <w:r>
        <w:rPr>
          <w:rFonts w:ascii="Arial" w:eastAsia="Arial" w:hAnsi="Arial" w:cs="Arial"/>
          <w:b/>
          <w:color w:val="000000"/>
          <w:sz w:val="28"/>
        </w:rPr>
        <w:t>Concur</w:t>
      </w:r>
    </w:p>
    <w:p w14:paraId="45E2FB68" w14:textId="7C6A72D4" w:rsidR="002D0E71" w:rsidRDefault="002939DF">
      <w:pPr>
        <w:pStyle w:val="Normal48"/>
        <w:spacing w:line="60" w:lineRule="exact"/>
      </w:pPr>
      <w:r>
        <w:rPr>
          <w:noProof/>
        </w:rPr>
        <mc:AlternateContent>
          <mc:Choice Requires="wps">
            <w:drawing>
              <wp:anchor distT="0" distB="0" distL="114300" distR="114300" simplePos="0" relativeHeight="251763712" behindDoc="0" locked="0" layoutInCell="1" allowOverlap="1" wp14:anchorId="7195DB20" wp14:editId="75C0B19B">
                <wp:simplePos x="0" y="0"/>
                <wp:positionH relativeFrom="column">
                  <wp:posOffset>0</wp:posOffset>
                </wp:positionH>
                <wp:positionV relativeFrom="paragraph">
                  <wp:posOffset>25400</wp:posOffset>
                </wp:positionV>
                <wp:extent cx="3187700" cy="0"/>
                <wp:effectExtent l="19050" t="15875" r="12700" b="12700"/>
                <wp:wrapTopAndBottom/>
                <wp:docPr id="586324921"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041E06" id="Line 109"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2FD38D17" w14:textId="77777777" w:rsidR="002D0E71" w:rsidRDefault="002D0E71">
      <w:pPr>
        <w:pStyle w:val="Normal48"/>
      </w:pPr>
    </w:p>
    <w:p w14:paraId="61D869B2" w14:textId="77777777" w:rsidR="002D0E71" w:rsidRDefault="00000000">
      <w:pPr>
        <w:pStyle w:val="Normal48"/>
        <w:widowControl w:val="0"/>
        <w:spacing w:before="200" w:line="260" w:lineRule="atLeast"/>
        <w:jc w:val="both"/>
      </w:pPr>
      <w:bookmarkStart w:id="7565" w:name="Bookmark_para_42_16"/>
      <w:bookmarkEnd w:id="7565"/>
      <w:r>
        <w:rPr>
          <w:rFonts w:ascii="Arial" w:eastAsia="Arial" w:hAnsi="Arial" w:cs="Arial"/>
          <w:color w:val="000000"/>
          <w:sz w:val="20"/>
        </w:rPr>
        <w:t>BERZON, Circuit Judge, concurring:</w:t>
      </w:r>
    </w:p>
    <w:p w14:paraId="465BB04C" w14:textId="77777777" w:rsidR="002D0E71" w:rsidRDefault="00000000">
      <w:pPr>
        <w:pStyle w:val="Normal48"/>
        <w:widowControl w:val="0"/>
        <w:spacing w:before="200" w:line="260" w:lineRule="atLeast"/>
        <w:jc w:val="both"/>
      </w:pPr>
      <w:bookmarkStart w:id="7566" w:name="Bookmark_para_43_16"/>
      <w:bookmarkEnd w:id="7566"/>
      <w:r>
        <w:rPr>
          <w:rFonts w:ascii="Arial" w:eastAsia="Arial" w:hAnsi="Arial" w:cs="Arial"/>
          <w:color w:val="000000"/>
          <w:sz w:val="20"/>
        </w:rPr>
        <w:t>I concur in Part II and Part III of the majority opinion, and also, reluctantly, in Part I.</w:t>
      </w:r>
    </w:p>
    <w:p w14:paraId="46873D42" w14:textId="77777777" w:rsidR="002D0E71" w:rsidRDefault="00000000">
      <w:pPr>
        <w:pStyle w:val="Normal48"/>
        <w:widowControl w:val="0"/>
        <w:spacing w:before="200" w:line="260" w:lineRule="atLeast"/>
        <w:jc w:val="both"/>
      </w:pPr>
      <w:bookmarkStart w:id="7567" w:name="Bookmark_para_44_13"/>
      <w:bookmarkStart w:id="7568" w:name="Bookmark_I4GVG0TG34G000M62HT000XN"/>
      <w:bookmarkStart w:id="7569" w:name="Bookmark_I4GVG0TG6YM000M62HT0021J"/>
      <w:bookmarkStart w:id="7570" w:name="Bookmark_I59K6CFN2HM67J0030000400"/>
      <w:bookmarkEnd w:id="7567"/>
      <w:bookmarkEnd w:id="7568"/>
      <w:bookmarkEnd w:id="7569"/>
      <w:bookmarkEnd w:id="7570"/>
      <w:r>
        <w:rPr>
          <w:rFonts w:ascii="Arial" w:eastAsia="Arial" w:hAnsi="Arial" w:cs="Arial"/>
          <w:color w:val="000000"/>
          <w:sz w:val="20"/>
        </w:rPr>
        <w:t xml:space="preserve">Part I holds Castle not an employee under Title I of the Americans with Disabilities Act ("ADA"). 42 U.S.C. §§ 12111(4), 12112(a). The sweep of </w:t>
      </w:r>
      <w:bookmarkStart w:id="7571" w:name="Bookmark_I59K6CFN2HM67J0020000400"/>
      <w:bookmarkEnd w:id="7571"/>
      <w:r>
        <w:rPr>
          <w:rFonts w:ascii="Arial" w:eastAsia="Arial" w:hAnsi="Arial" w:cs="Arial"/>
          <w:i/>
          <w:color w:val="000000"/>
          <w:sz w:val="20"/>
        </w:rPr>
        <w:t>Hale v. Arizona</w:t>
      </w:r>
      <w:r>
        <w:rPr>
          <w:rFonts w:ascii="Arial" w:eastAsia="Arial" w:hAnsi="Arial" w:cs="Arial"/>
          <w:color w:val="000000"/>
          <w:sz w:val="20"/>
        </w:rPr>
        <w:t xml:space="preserve">, 993 F.2d 1387 (9th Cir. 1993), and </w:t>
      </w:r>
      <w:bookmarkStart w:id="7572" w:name="Bookmark_I59K6CFN2HM67J0040000400"/>
      <w:bookmarkEnd w:id="7572"/>
      <w:r>
        <w:rPr>
          <w:rFonts w:ascii="Arial" w:eastAsia="Arial" w:hAnsi="Arial" w:cs="Arial"/>
          <w:i/>
          <w:color w:val="000000"/>
          <w:sz w:val="20"/>
        </w:rPr>
        <w:t>Coupar v. Department of Labor</w:t>
      </w:r>
      <w:r>
        <w:rPr>
          <w:rFonts w:ascii="Arial" w:eastAsia="Arial" w:hAnsi="Arial" w:cs="Arial"/>
          <w:color w:val="000000"/>
          <w:sz w:val="20"/>
        </w:rPr>
        <w:t>, 105 F.3d 1263 (9th Cir. 1997), compels that conclusion. But the notion that prisoners who work for covered employers can never be "employees" for purposes of federal employee-protective statutes undermines those statutes as applied to employees generally and misconstrues the reach of the "employee" designation.</w:t>
      </w:r>
    </w:p>
    <w:p w14:paraId="4D45EB29" w14:textId="77777777" w:rsidR="002D0E71" w:rsidRDefault="00000000">
      <w:pPr>
        <w:pStyle w:val="Normal48"/>
        <w:widowControl w:val="0"/>
        <w:spacing w:before="200" w:line="260" w:lineRule="atLeast"/>
        <w:jc w:val="both"/>
      </w:pPr>
      <w:bookmarkStart w:id="7573" w:name="Bookmark_para_45_12"/>
      <w:bookmarkStart w:id="7574" w:name="Bookmark_I4GVG0TGBSS000M62HT0021K"/>
      <w:bookmarkStart w:id="7575" w:name="Bookmark_I59K6CFV28T52F0020000400"/>
      <w:bookmarkEnd w:id="7573"/>
      <w:bookmarkEnd w:id="7574"/>
      <w:bookmarkEnd w:id="7575"/>
      <w:r>
        <w:rPr>
          <w:rFonts w:ascii="Arial" w:eastAsia="Arial" w:hAnsi="Arial" w:cs="Arial"/>
          <w:color w:val="000000"/>
          <w:sz w:val="20"/>
        </w:rPr>
        <w:t xml:space="preserve">Castle labored for a private employer, off prison grounds, under compulsion of a sentence requiring work. </w:t>
      </w:r>
      <w:r>
        <w:rPr>
          <w:rFonts w:ascii="Arial" w:eastAsia="Arial" w:hAnsi="Arial" w:cs="Arial"/>
          <w:i/>
          <w:color w:val="000000"/>
          <w:sz w:val="20"/>
        </w:rPr>
        <w:t>Hale</w:t>
      </w:r>
      <w:r>
        <w:rPr>
          <w:rFonts w:ascii="Arial" w:eastAsia="Arial" w:hAnsi="Arial" w:cs="Arial"/>
          <w:color w:val="000000"/>
          <w:sz w:val="20"/>
        </w:rPr>
        <w:t xml:space="preserve">, by contrast, concerned prison labor  [**29] that shared only the latter two of these three characteristics, and so did not expressly decide the employee status of prisoners working on behalf of private employers. </w:t>
      </w:r>
      <w:bookmarkStart w:id="7576" w:name="Bookmark_I59K6CFV28T52F0010000400"/>
      <w:bookmarkEnd w:id="7576"/>
      <w:r>
        <w:rPr>
          <w:rFonts w:ascii="Arial" w:eastAsia="Arial" w:hAnsi="Arial" w:cs="Arial"/>
          <w:i/>
          <w:color w:val="000000"/>
          <w:sz w:val="20"/>
        </w:rPr>
        <w:t>Hale</w:t>
      </w:r>
      <w:r>
        <w:rPr>
          <w:rFonts w:ascii="Arial" w:eastAsia="Arial" w:hAnsi="Arial" w:cs="Arial"/>
          <w:color w:val="000000"/>
          <w:sz w:val="20"/>
        </w:rPr>
        <w:t>, 993 F.2d at 1390. That distinction, I would like to think, matters: A profit-seeking firm that hires convicts at its own worksite should not be shielded from the costs of compliance with the ADA. Those costs can be substantial, as the ADA requires employers to make "reasonable accommodation," allowing disabled employees to complete a job's "essential functions," 42 U.S.C. §§ 12111(8), 12112(a), unless such accommodation "would impose an undue hardship" on the employer's business, 42 U.S.C. §§ 12112(b)(5)(A). Permitting private employers to escape those costs while  [*912]  profiting from the use of prison labor markets undermines the enforcement of the statutory requirements generally, by creating incentives for competing employers to shirk compliance with regard to non-prison labor—and thereby economically disadvantaging competitors of those employers using prison labor.</w:t>
      </w:r>
    </w:p>
    <w:p w14:paraId="0E5B6A1A" w14:textId="77777777" w:rsidR="002D0E71" w:rsidRDefault="00000000">
      <w:pPr>
        <w:pStyle w:val="Normal48"/>
        <w:widowControl w:val="0"/>
        <w:spacing w:before="200" w:line="260" w:lineRule="atLeast"/>
        <w:jc w:val="both"/>
      </w:pPr>
      <w:bookmarkStart w:id="7577" w:name="Bookmark_para_46_11"/>
      <w:bookmarkStart w:id="7578" w:name="Bookmark_I4GVG0TGGKX000M62HT0021N"/>
      <w:bookmarkStart w:id="7579" w:name="Bookmark_I4GVG0TGR0G000M62HT0021P"/>
      <w:bookmarkStart w:id="7580" w:name="Bookmark_I59K6CFV28T52F0040000400"/>
      <w:bookmarkEnd w:id="7577"/>
      <w:bookmarkEnd w:id="7578"/>
      <w:bookmarkEnd w:id="7579"/>
      <w:bookmarkEnd w:id="7580"/>
      <w:r>
        <w:rPr>
          <w:rFonts w:ascii="Arial" w:eastAsia="Arial" w:hAnsi="Arial" w:cs="Arial"/>
          <w:color w:val="000000"/>
          <w:sz w:val="20"/>
        </w:rPr>
        <w:t xml:space="preserve">Precedent, however, forecloses consideration of such concerns when deciding whether prison laborers are covered by federal statutes protecting employees. </w:t>
      </w:r>
      <w:bookmarkStart w:id="7581" w:name="Bookmark_I4GVG0TGVTM000M62HT0021R"/>
      <w:bookmarkStart w:id="7582" w:name="Bookmark_I59K6CFV2N1RJ40030000400"/>
      <w:bookmarkEnd w:id="7581"/>
      <w:bookmarkEnd w:id="7582"/>
      <w:r>
        <w:rPr>
          <w:rFonts w:ascii="Arial" w:eastAsia="Arial" w:hAnsi="Arial" w:cs="Arial"/>
          <w:color w:val="000000"/>
          <w:sz w:val="20"/>
        </w:rPr>
        <w:t> [**30] </w:t>
      </w:r>
      <w:r>
        <w:rPr>
          <w:rFonts w:ascii="Arial" w:eastAsia="Arial" w:hAnsi="Arial" w:cs="Arial"/>
          <w:i/>
          <w:color w:val="000000"/>
          <w:sz w:val="20"/>
        </w:rPr>
        <w:t>Hale</w:t>
      </w:r>
      <w:r>
        <w:rPr>
          <w:rFonts w:ascii="Arial" w:eastAsia="Arial" w:hAnsi="Arial" w:cs="Arial"/>
          <w:color w:val="000000"/>
          <w:sz w:val="20"/>
        </w:rPr>
        <w:t xml:space="preserve"> proclaimed broadly that the usual standard for evaluating employee status—the economic reality test described by </w:t>
      </w:r>
      <w:bookmarkStart w:id="7583" w:name="Bookmark_I59K6CFV28T52F0030000400"/>
      <w:bookmarkEnd w:id="7583"/>
      <w:r>
        <w:rPr>
          <w:rFonts w:ascii="Arial" w:eastAsia="Arial" w:hAnsi="Arial" w:cs="Arial"/>
          <w:i/>
          <w:color w:val="000000"/>
          <w:sz w:val="20"/>
        </w:rPr>
        <w:t>Bonnette v. California Health &amp; Welfare Agency</w:t>
      </w:r>
      <w:r>
        <w:rPr>
          <w:rFonts w:ascii="Arial" w:eastAsia="Arial" w:hAnsi="Arial" w:cs="Arial"/>
          <w:color w:val="000000"/>
          <w:sz w:val="20"/>
        </w:rPr>
        <w:t xml:space="preserve">, 704 F.2d 1465, 1470 (9th Cir. 1983)—is inapplicable "in the case of prisoners who work for a prison-structured [labor] program because they have to." </w:t>
      </w:r>
      <w:bookmarkStart w:id="7584" w:name="Bookmark_I59K6CFV28T52F0050000400"/>
      <w:bookmarkEnd w:id="7584"/>
      <w:r>
        <w:rPr>
          <w:rFonts w:ascii="Arial" w:eastAsia="Arial" w:hAnsi="Arial" w:cs="Arial"/>
          <w:i/>
          <w:color w:val="000000"/>
          <w:sz w:val="20"/>
        </w:rPr>
        <w:t>Hale</w:t>
      </w:r>
      <w:r>
        <w:rPr>
          <w:rFonts w:ascii="Arial" w:eastAsia="Arial" w:hAnsi="Arial" w:cs="Arial"/>
          <w:color w:val="000000"/>
          <w:sz w:val="20"/>
        </w:rPr>
        <w:t xml:space="preserve">, 993 F.2d at 1394. In that circumstance, we held, "the economic reality of the relationship between the worker and the entity for which work was performed lies in the relationship between prison and prisoner. </w:t>
      </w:r>
      <w:bookmarkStart w:id="7585" w:name="Bookmark_I59K6CFV2N1RJ40030000400_2"/>
      <w:bookmarkEnd w:id="7585"/>
      <w:r>
        <w:rPr>
          <w:rFonts w:ascii="Arial" w:eastAsia="Arial" w:hAnsi="Arial" w:cs="Arial"/>
          <w:color w:val="000000"/>
          <w:sz w:val="20"/>
        </w:rPr>
        <w:t xml:space="preserve">It is penological, not pecuniary." </w:t>
      </w:r>
      <w:bookmarkStart w:id="7586" w:name="Bookmark_I59K6CFV2N1RJ40020000400"/>
      <w:bookmarkEnd w:id="7586"/>
      <w:r>
        <w:rPr>
          <w:rFonts w:ascii="Arial" w:eastAsia="Arial" w:hAnsi="Arial" w:cs="Arial"/>
          <w:i/>
          <w:color w:val="000000"/>
          <w:sz w:val="20"/>
        </w:rPr>
        <w:t>Id</w:t>
      </w:r>
      <w:r>
        <w:rPr>
          <w:rFonts w:ascii="Arial" w:eastAsia="Arial" w:hAnsi="Arial" w:cs="Arial"/>
          <w:color w:val="000000"/>
          <w:sz w:val="20"/>
        </w:rPr>
        <w:t xml:space="preserve">. at 1395. In other words, "the economic reality is that [prisoner] labor belong[s] to the institution." </w:t>
      </w:r>
      <w:r>
        <w:rPr>
          <w:rFonts w:ascii="Arial" w:eastAsia="Arial" w:hAnsi="Arial" w:cs="Arial"/>
          <w:i/>
          <w:color w:val="000000"/>
          <w:sz w:val="20"/>
        </w:rPr>
        <w:t>Id</w:t>
      </w:r>
      <w:r>
        <w:rPr>
          <w:rFonts w:ascii="Arial" w:eastAsia="Arial" w:hAnsi="Arial" w:cs="Arial"/>
          <w:color w:val="000000"/>
          <w:sz w:val="20"/>
        </w:rPr>
        <w:t>.</w:t>
      </w:r>
    </w:p>
    <w:p w14:paraId="640211A1" w14:textId="77777777" w:rsidR="002D0E71" w:rsidRDefault="00000000">
      <w:pPr>
        <w:pStyle w:val="Normal48"/>
        <w:widowControl w:val="0"/>
        <w:spacing w:before="200" w:line="260" w:lineRule="atLeast"/>
        <w:jc w:val="both"/>
      </w:pPr>
      <w:bookmarkStart w:id="7587" w:name="Bookmark_para_47_11"/>
      <w:bookmarkStart w:id="7588" w:name="Bookmark_I4GVG0TH5RM000M62HT0021T"/>
      <w:bookmarkStart w:id="7589" w:name="Bookmark_I59K6CFV2N1RJ40050000400"/>
      <w:bookmarkEnd w:id="7587"/>
      <w:bookmarkEnd w:id="7588"/>
      <w:bookmarkEnd w:id="7589"/>
      <w:r>
        <w:rPr>
          <w:rFonts w:ascii="Arial" w:eastAsia="Arial" w:hAnsi="Arial" w:cs="Arial"/>
          <w:i/>
          <w:color w:val="000000"/>
          <w:sz w:val="20"/>
        </w:rPr>
        <w:t>Hale</w:t>
      </w:r>
      <w:r>
        <w:rPr>
          <w:rFonts w:ascii="Arial" w:eastAsia="Arial" w:hAnsi="Arial" w:cs="Arial"/>
          <w:color w:val="000000"/>
          <w:sz w:val="20"/>
        </w:rPr>
        <w:t xml:space="preserve"> recognized the problem of unfair competition through the use of prison labor. But it viewed the Ashurst-Sumners Act, 18 U.S.C. §§ 1761-1762, as Congress' entire response to the adverse effects of "unfair competition in the products market from prison-made goods." </w:t>
      </w:r>
      <w:bookmarkStart w:id="7590" w:name="Bookmark_I59K6CFV2N1RJ40040000400"/>
      <w:bookmarkEnd w:id="7590"/>
      <w:r>
        <w:rPr>
          <w:rFonts w:ascii="Arial" w:eastAsia="Arial" w:hAnsi="Arial" w:cs="Arial"/>
          <w:i/>
          <w:color w:val="000000"/>
          <w:sz w:val="20"/>
        </w:rPr>
        <w:t>Hale</w:t>
      </w:r>
      <w:r>
        <w:rPr>
          <w:rFonts w:ascii="Arial" w:eastAsia="Arial" w:hAnsi="Arial" w:cs="Arial"/>
          <w:color w:val="000000"/>
          <w:sz w:val="20"/>
        </w:rPr>
        <w:t xml:space="preserve">, 993 F.2d at 1397. That Act criminalizes the distribution of prisoner-made products in interstate commerce, 18 U.S.C. § 1761(a), with exceptions for certain classes of goods, 18 U.S.C. § 1761(b)-(c), including agricultural commodities, 18 U.S.C. § 1761(b). </w:t>
      </w:r>
      <w:bookmarkStart w:id="7591" w:name="Bookmark_I4GVG0TH9JS000M62HT0021V"/>
      <w:bookmarkStart w:id="7592" w:name="Bookmark_I59K6CFV2D6NXW0020000400"/>
      <w:bookmarkEnd w:id="7591"/>
      <w:bookmarkEnd w:id="7592"/>
      <w:r>
        <w:rPr>
          <w:rFonts w:ascii="Arial" w:eastAsia="Arial" w:hAnsi="Arial" w:cs="Arial"/>
          <w:color w:val="000000"/>
          <w:sz w:val="20"/>
        </w:rPr>
        <w:t xml:space="preserve"> [**31] But it does not reimburse firms not employing prison labor, or the workers at such firms, for the bottom-line impact (through intrastate sales and services or sales and services of excepted products) of the cost-savings achieved by ignoring federal employee protection for prison laborers. Mandatory labor may be "penological, not pecuniary," for prisoners and their jailers. </w:t>
      </w:r>
      <w:bookmarkStart w:id="7593" w:name="Bookmark_I59K6CFV2D6NXW0010000400"/>
      <w:bookmarkEnd w:id="7593"/>
      <w:r>
        <w:rPr>
          <w:rFonts w:ascii="Arial" w:eastAsia="Arial" w:hAnsi="Arial" w:cs="Arial"/>
          <w:i/>
          <w:color w:val="000000"/>
          <w:sz w:val="20"/>
        </w:rPr>
        <w:t>Hale</w:t>
      </w:r>
      <w:r>
        <w:rPr>
          <w:rFonts w:ascii="Arial" w:eastAsia="Arial" w:hAnsi="Arial" w:cs="Arial"/>
          <w:color w:val="000000"/>
          <w:sz w:val="20"/>
        </w:rPr>
        <w:t>, 993 F.2d at 1395. But it is assuredly a matter of dollars and cents to firms seeking profit in a competitive market and law-abiding citizens vying to work for them.</w:t>
      </w:r>
    </w:p>
    <w:p w14:paraId="3E6B3171" w14:textId="77777777" w:rsidR="002D0E71" w:rsidRDefault="00000000">
      <w:pPr>
        <w:pStyle w:val="Normal48"/>
        <w:widowControl w:val="0"/>
        <w:spacing w:before="200" w:line="260" w:lineRule="atLeast"/>
        <w:jc w:val="both"/>
      </w:pPr>
      <w:bookmarkStart w:id="7594" w:name="Bookmark_para_48_11"/>
      <w:bookmarkStart w:id="7595" w:name="Bookmark_I4GVG0TNMRM000M62HT0022P"/>
      <w:bookmarkStart w:id="7596" w:name="Bookmark_I59K6CFV2D6NXW0040000400"/>
      <w:bookmarkStart w:id="7597" w:name="Bookmark_I4GVG0THFCX000M62HT0021W"/>
      <w:bookmarkStart w:id="7598" w:name="Bookmark_I59K6CFV2D6NXX0010000400"/>
      <w:bookmarkStart w:id="7599" w:name="Bookmark_I59K6CFV2D6NXW0030000400"/>
      <w:bookmarkEnd w:id="7594"/>
      <w:bookmarkEnd w:id="7595"/>
      <w:bookmarkEnd w:id="7596"/>
      <w:bookmarkEnd w:id="7597"/>
      <w:bookmarkEnd w:id="7598"/>
      <w:bookmarkEnd w:id="7599"/>
      <w:r>
        <w:rPr>
          <w:rFonts w:ascii="Arial" w:eastAsia="Arial" w:hAnsi="Arial" w:cs="Arial"/>
          <w:i/>
          <w:color w:val="000000"/>
          <w:sz w:val="20"/>
        </w:rPr>
        <w:t>Hale</w:t>
      </w:r>
      <w:r>
        <w:rPr>
          <w:rFonts w:ascii="Arial" w:eastAsia="Arial" w:hAnsi="Arial" w:cs="Arial"/>
          <w:color w:val="000000"/>
          <w:sz w:val="20"/>
        </w:rPr>
        <w:t xml:space="preserve">'s broad language is all the more disturbing because that case concerned prisoner wages under the Fair Labor Standards Act ("FLSA"), 29 U.S.C. § 201 </w:t>
      </w:r>
      <w:r>
        <w:rPr>
          <w:rFonts w:ascii="Arial" w:eastAsia="Arial" w:hAnsi="Arial" w:cs="Arial"/>
          <w:i/>
          <w:color w:val="000000"/>
          <w:sz w:val="20"/>
        </w:rPr>
        <w:t>et seq</w:t>
      </w:r>
      <w:r>
        <w:rPr>
          <w:rFonts w:ascii="Arial" w:eastAsia="Arial" w:hAnsi="Arial" w:cs="Arial"/>
          <w:color w:val="000000"/>
          <w:sz w:val="20"/>
        </w:rPr>
        <w:t xml:space="preserve">., not the ADA. The FLSA regulates matters that are, on their face, pecuniary. </w:t>
      </w:r>
      <w:bookmarkStart w:id="7600" w:name="Bookmark_I4GVG0THK72000M62HT0021X"/>
      <w:bookmarkStart w:id="7601" w:name="Bookmark_I59K6CFV2D6NXX0030000400"/>
      <w:bookmarkStart w:id="7602" w:name="Bookmark_I59K6CFV2D6NXW0050000400"/>
      <w:bookmarkEnd w:id="7600"/>
      <w:bookmarkEnd w:id="7601"/>
      <w:bookmarkEnd w:id="7602"/>
      <w:r>
        <w:rPr>
          <w:rFonts w:ascii="Arial" w:eastAsia="Arial" w:hAnsi="Arial" w:cs="Arial"/>
          <w:i/>
          <w:color w:val="000000"/>
          <w:sz w:val="20"/>
        </w:rPr>
        <w:t>Williamson v. Gen. Dynamics Corp</w:t>
      </w:r>
      <w:r>
        <w:rPr>
          <w:rFonts w:ascii="Arial" w:eastAsia="Arial" w:hAnsi="Arial" w:cs="Arial"/>
          <w:color w:val="000000"/>
          <w:sz w:val="20"/>
        </w:rPr>
        <w:t xml:space="preserve">., 208 F.3d 1144, 1154 (9th Cir. 2000) ("[T]he Supreme Court and the Ninth Circuit have consistently found that the central purpose of the FLSA is to enact minimum wage and maximum hour provisions designed to protect employees."). </w:t>
      </w:r>
      <w:bookmarkStart w:id="7603" w:name="Bookmark_I59K6CFV2D6NXX0030000400_2"/>
      <w:bookmarkEnd w:id="7603"/>
      <w:r>
        <w:rPr>
          <w:rFonts w:ascii="Arial" w:eastAsia="Arial" w:hAnsi="Arial" w:cs="Arial"/>
          <w:color w:val="000000"/>
          <w:sz w:val="20"/>
        </w:rPr>
        <w:t>The ADA, by contrast, prohibits discrimination, with an eye toward the "</w:t>
      </w:r>
      <w:r>
        <w:rPr>
          <w:rFonts w:ascii="Arial" w:eastAsia="Arial" w:hAnsi="Arial" w:cs="Arial"/>
          <w:i/>
          <w:color w:val="000000"/>
          <w:sz w:val="20"/>
        </w:rPr>
        <w:t>conditions</w:t>
      </w:r>
      <w:r>
        <w:rPr>
          <w:rFonts w:ascii="Arial" w:eastAsia="Arial" w:hAnsi="Arial" w:cs="Arial"/>
          <w:color w:val="000000"/>
          <w:sz w:val="20"/>
        </w:rPr>
        <w:t xml:space="preserve"> . . . of employment," 42 U.S.C. § 12112(a) (emphasis added). "[T]he mere  [**32] fact of discrimination offends the dignitary interest that the statute[ is] designed to protect, regardless of whether the discrimination worked any direct economic harm to the plaintiffs." </w:t>
      </w:r>
      <w:bookmarkStart w:id="7604" w:name="Bookmark_I59K6CFV2D6NXX0020000400"/>
      <w:bookmarkEnd w:id="7604"/>
      <w:r>
        <w:rPr>
          <w:rFonts w:ascii="Arial" w:eastAsia="Arial" w:hAnsi="Arial" w:cs="Arial"/>
          <w:i/>
          <w:color w:val="000000"/>
          <w:sz w:val="20"/>
        </w:rPr>
        <w:t>Shaver v. Indep. Stave Co</w:t>
      </w:r>
      <w:r>
        <w:rPr>
          <w:rFonts w:ascii="Arial" w:eastAsia="Arial" w:hAnsi="Arial" w:cs="Arial"/>
          <w:color w:val="000000"/>
          <w:sz w:val="20"/>
        </w:rPr>
        <w:t xml:space="preserve">., 350 F.3d 716, 724 (8th Cir. 2003). </w:t>
      </w:r>
      <w:bookmarkStart w:id="7605" w:name="Bookmark_I4GVG0TJD5X000M62HT000Y3"/>
      <w:bookmarkStart w:id="7606" w:name="Bookmark_I4GVG0TJNV6000M62HT000Y4"/>
      <w:bookmarkStart w:id="7607" w:name="Bookmark_I59K6CFV2D6NXX0050000400"/>
      <w:bookmarkEnd w:id="7605"/>
      <w:bookmarkEnd w:id="7606"/>
      <w:bookmarkEnd w:id="7607"/>
      <w:r>
        <w:rPr>
          <w:rFonts w:ascii="Arial" w:eastAsia="Arial" w:hAnsi="Arial" w:cs="Arial"/>
          <w:color w:val="000000"/>
          <w:sz w:val="20"/>
        </w:rPr>
        <w:t xml:space="preserve">The non-pecuniary character of prison labor thus tells us little about the applicability of the ADA, which addresses non-economic harms. Indeed, habituating prisoners to the sort of discrimination that Congress has outlawed elsewhere in the economy hardly rehabilitates them to our national norms or prepares them to participate in the workforce once released. </w:t>
      </w:r>
      <w:r>
        <w:rPr>
          <w:rFonts w:ascii="Arial" w:eastAsia="Arial" w:hAnsi="Arial" w:cs="Arial"/>
          <w:i/>
          <w:color w:val="000000"/>
          <w:sz w:val="20"/>
        </w:rPr>
        <w:t xml:space="preserve">See </w:t>
      </w:r>
      <w:bookmarkStart w:id="7608" w:name="Bookmark_I59K6CFV2D6NXX0040000400"/>
      <w:bookmarkEnd w:id="7608"/>
      <w:r>
        <w:rPr>
          <w:rFonts w:ascii="Arial" w:eastAsia="Arial" w:hAnsi="Arial" w:cs="Arial"/>
          <w:i/>
          <w:color w:val="000000"/>
          <w:sz w:val="20"/>
        </w:rPr>
        <w:t>Hale</w:t>
      </w:r>
      <w:r>
        <w:rPr>
          <w:rFonts w:ascii="Arial" w:eastAsia="Arial" w:hAnsi="Arial" w:cs="Arial"/>
          <w:color w:val="000000"/>
          <w:sz w:val="20"/>
        </w:rPr>
        <w:t xml:space="preserve">, 993 F.2d at 1398 (listing rehabilitative goals of hard labor); </w:t>
      </w:r>
      <w:bookmarkStart w:id="7609" w:name="Bookmark_I59K6CFV28T52G0010000400"/>
      <w:bookmarkEnd w:id="7609"/>
      <w:r>
        <w:rPr>
          <w:rFonts w:ascii="Arial" w:eastAsia="Arial" w:hAnsi="Arial" w:cs="Arial"/>
          <w:i/>
          <w:color w:val="000000"/>
          <w:sz w:val="20"/>
        </w:rPr>
        <w:t>City of S. Tuscon v. Indus. Comm'n of Ariz</w:t>
      </w:r>
      <w:r>
        <w:rPr>
          <w:rFonts w:ascii="Arial" w:eastAsia="Arial" w:hAnsi="Arial" w:cs="Arial"/>
          <w:color w:val="000000"/>
          <w:sz w:val="20"/>
        </w:rPr>
        <w:t>., 156 Ariz. 543, 753 P.2d 1199, 1205 (Ariz. Ct. App. 1988) (same).</w:t>
      </w:r>
    </w:p>
    <w:p w14:paraId="3154A1BB" w14:textId="77777777" w:rsidR="002D0E71" w:rsidRDefault="00000000">
      <w:pPr>
        <w:pStyle w:val="Normal48"/>
        <w:widowControl w:val="0"/>
        <w:spacing w:before="200" w:line="260" w:lineRule="atLeast"/>
        <w:jc w:val="both"/>
      </w:pPr>
      <w:bookmarkStart w:id="7610" w:name="Bookmark_para_49_11"/>
      <w:bookmarkStart w:id="7611" w:name="Bookmark_I4GVG0TJYGG000M62HT00223"/>
      <w:bookmarkStart w:id="7612" w:name="Bookmark_I59K6CFV28T52G0040000400"/>
      <w:bookmarkStart w:id="7613" w:name="Bookmark_I4GVG0TK74S000M62HT00224"/>
      <w:bookmarkStart w:id="7614" w:name="Bookmark_I59K6CFV2SF7NM0010000400"/>
      <w:bookmarkEnd w:id="7610"/>
      <w:bookmarkEnd w:id="7611"/>
      <w:bookmarkEnd w:id="7612"/>
      <w:bookmarkEnd w:id="7613"/>
      <w:bookmarkEnd w:id="7614"/>
      <w:r>
        <w:rPr>
          <w:rFonts w:ascii="Arial" w:eastAsia="Arial" w:hAnsi="Arial" w:cs="Arial"/>
          <w:color w:val="000000"/>
          <w:sz w:val="20"/>
        </w:rPr>
        <w:t xml:space="preserve">Yet our primary case interpreting </w:t>
      </w:r>
      <w:r>
        <w:rPr>
          <w:rFonts w:ascii="Arial" w:eastAsia="Arial" w:hAnsi="Arial" w:cs="Arial"/>
          <w:i/>
          <w:color w:val="000000"/>
          <w:sz w:val="20"/>
        </w:rPr>
        <w:t>Hale</w:t>
      </w:r>
      <w:r>
        <w:rPr>
          <w:rFonts w:ascii="Arial" w:eastAsia="Arial" w:hAnsi="Arial" w:cs="Arial"/>
          <w:color w:val="000000"/>
          <w:sz w:val="20"/>
        </w:rPr>
        <w:t xml:space="preserve"> rejects this commonsense distinction between  [*913]  </w:t>
      </w:r>
      <w:r>
        <w:rPr>
          <w:rFonts w:ascii="Arial" w:eastAsia="Arial" w:hAnsi="Arial" w:cs="Arial"/>
          <w:i/>
          <w:color w:val="000000"/>
          <w:sz w:val="20"/>
        </w:rPr>
        <w:t>purely</w:t>
      </w:r>
      <w:r>
        <w:rPr>
          <w:rFonts w:ascii="Arial" w:eastAsia="Arial" w:hAnsi="Arial" w:cs="Arial"/>
          <w:color w:val="000000"/>
          <w:sz w:val="20"/>
        </w:rPr>
        <w:t xml:space="preserve"> economic employee protections and protections with a dignitary aspect. </w:t>
      </w:r>
      <w:bookmarkStart w:id="7615" w:name="Bookmark_I4GVG0TKBYX000M62HT00225"/>
      <w:bookmarkStart w:id="7616" w:name="Bookmark_I59K6CFV2SF7NM0030000400"/>
      <w:bookmarkEnd w:id="7615"/>
      <w:bookmarkEnd w:id="7616"/>
      <w:r>
        <w:rPr>
          <w:rFonts w:ascii="Arial" w:eastAsia="Arial" w:hAnsi="Arial" w:cs="Arial"/>
          <w:i/>
          <w:color w:val="000000"/>
          <w:sz w:val="20"/>
        </w:rPr>
        <w:t>Coupar</w:t>
      </w:r>
      <w:r>
        <w:rPr>
          <w:rFonts w:ascii="Arial" w:eastAsia="Arial" w:hAnsi="Arial" w:cs="Arial"/>
          <w:color w:val="000000"/>
          <w:sz w:val="20"/>
        </w:rPr>
        <w:t xml:space="preserve"> applied </w:t>
      </w:r>
      <w:r>
        <w:rPr>
          <w:rFonts w:ascii="Arial" w:eastAsia="Arial" w:hAnsi="Arial" w:cs="Arial"/>
          <w:i/>
          <w:color w:val="000000"/>
          <w:sz w:val="20"/>
        </w:rPr>
        <w:t>Hale</w:t>
      </w:r>
      <w:r>
        <w:rPr>
          <w:rFonts w:ascii="Arial" w:eastAsia="Arial" w:hAnsi="Arial" w:cs="Arial"/>
          <w:color w:val="000000"/>
          <w:sz w:val="20"/>
        </w:rPr>
        <w:t xml:space="preserve"> to a prisoner seeking the protection of the anti-retaliation provisions of the Clean Air Act, 42 U.S.C. § 7622(a), and the Toxic Substances Control Act, 15 U.S.C. § 2622(a), notwithstanding the non-pecuniary policies that animate those Acts.  [**33] </w:t>
      </w:r>
      <w:r>
        <w:rPr>
          <w:rFonts w:ascii="Arial" w:eastAsia="Arial" w:hAnsi="Arial" w:cs="Arial"/>
          <w:i/>
          <w:color w:val="000000"/>
          <w:sz w:val="20"/>
        </w:rPr>
        <w:t xml:space="preserve">See </w:t>
      </w:r>
      <w:bookmarkStart w:id="7617" w:name="Bookmark_I59K6CFV28T52G0030000400"/>
      <w:bookmarkEnd w:id="7617"/>
      <w:r>
        <w:rPr>
          <w:rFonts w:ascii="Arial" w:eastAsia="Arial" w:hAnsi="Arial" w:cs="Arial"/>
          <w:i/>
          <w:color w:val="000000"/>
          <w:sz w:val="20"/>
        </w:rPr>
        <w:t>Coupar</w:t>
      </w:r>
      <w:r>
        <w:rPr>
          <w:rFonts w:ascii="Arial" w:eastAsia="Arial" w:hAnsi="Arial" w:cs="Arial"/>
          <w:color w:val="000000"/>
          <w:sz w:val="20"/>
        </w:rPr>
        <w:t xml:space="preserve">, 105 F.3d at 1265. It reasoned that Congress "extend[ed] whistleblower protection only to 'employees,'" and not "retaliation by any violator against </w:t>
      </w:r>
      <w:r>
        <w:rPr>
          <w:rFonts w:ascii="Arial" w:eastAsia="Arial" w:hAnsi="Arial" w:cs="Arial"/>
          <w:i/>
          <w:color w:val="000000"/>
          <w:sz w:val="20"/>
        </w:rPr>
        <w:t>any</w:t>
      </w:r>
      <w:r>
        <w:rPr>
          <w:rFonts w:ascii="Arial" w:eastAsia="Arial" w:hAnsi="Arial" w:cs="Arial"/>
          <w:color w:val="000000"/>
          <w:sz w:val="20"/>
        </w:rPr>
        <w:t xml:space="preserve"> whistleblower." </w:t>
      </w:r>
      <w:bookmarkStart w:id="7618" w:name="Bookmark_I59K6CFV28T52G0050000400"/>
      <w:bookmarkEnd w:id="7618"/>
      <w:r>
        <w:rPr>
          <w:rFonts w:ascii="Arial" w:eastAsia="Arial" w:hAnsi="Arial" w:cs="Arial"/>
          <w:i/>
          <w:color w:val="000000"/>
          <w:sz w:val="20"/>
        </w:rPr>
        <w:t>Id</w:t>
      </w:r>
      <w:r>
        <w:rPr>
          <w:rFonts w:ascii="Arial" w:eastAsia="Arial" w:hAnsi="Arial" w:cs="Arial"/>
          <w:color w:val="000000"/>
          <w:sz w:val="20"/>
        </w:rPr>
        <w:t xml:space="preserve">. at 1266 (emphasis in original). </w:t>
      </w:r>
      <w:bookmarkStart w:id="7619" w:name="Bookmark_I59K6CFV2SF7NM0030000400_2"/>
      <w:bookmarkEnd w:id="7619"/>
      <w:r>
        <w:rPr>
          <w:rFonts w:ascii="Arial" w:eastAsia="Arial" w:hAnsi="Arial" w:cs="Arial"/>
          <w:color w:val="000000"/>
          <w:sz w:val="20"/>
        </w:rPr>
        <w:t xml:space="preserve">A prisoner "obligated to work at some job pursuant to a prison work program" falls "within the rule of </w:t>
      </w:r>
      <w:r>
        <w:rPr>
          <w:rFonts w:ascii="Arial" w:eastAsia="Arial" w:hAnsi="Arial" w:cs="Arial"/>
          <w:i/>
          <w:color w:val="000000"/>
          <w:sz w:val="20"/>
        </w:rPr>
        <w:t>Hale</w:t>
      </w:r>
      <w:r>
        <w:rPr>
          <w:rFonts w:ascii="Arial" w:eastAsia="Arial" w:hAnsi="Arial" w:cs="Arial"/>
          <w:color w:val="000000"/>
          <w:sz w:val="20"/>
        </w:rPr>
        <w:t xml:space="preserve">," no matter the policies the statute addresses, when that statute applies to "employees." </w:t>
      </w:r>
      <w:bookmarkStart w:id="7620" w:name="Bookmark_I59K6CFV2SF7NM0020000400"/>
      <w:bookmarkEnd w:id="7620"/>
      <w:r>
        <w:rPr>
          <w:rFonts w:ascii="Arial" w:eastAsia="Arial" w:hAnsi="Arial" w:cs="Arial"/>
          <w:i/>
          <w:color w:val="000000"/>
          <w:sz w:val="20"/>
        </w:rPr>
        <w:t>Id</w:t>
      </w:r>
      <w:r>
        <w:rPr>
          <w:rFonts w:ascii="Arial" w:eastAsia="Arial" w:hAnsi="Arial" w:cs="Arial"/>
          <w:color w:val="000000"/>
          <w:sz w:val="20"/>
        </w:rPr>
        <w:t>. at 1265.</w:t>
      </w:r>
    </w:p>
    <w:p w14:paraId="16CD4912" w14:textId="77777777" w:rsidR="002D0E71" w:rsidRDefault="00000000">
      <w:pPr>
        <w:pStyle w:val="Normal48"/>
        <w:widowControl w:val="0"/>
        <w:spacing w:before="200" w:line="260" w:lineRule="atLeast"/>
        <w:jc w:val="both"/>
      </w:pPr>
      <w:bookmarkStart w:id="7621" w:name="Bookmark_para_50_10"/>
      <w:bookmarkStart w:id="7622" w:name="Bookmark_I4GVG0TNGXG000M62HT0022N"/>
      <w:bookmarkStart w:id="7623" w:name="Bookmark_I59K6CFV2SF7NM0050000400"/>
      <w:bookmarkEnd w:id="7621"/>
      <w:bookmarkEnd w:id="7622"/>
      <w:bookmarkEnd w:id="7623"/>
      <w:r>
        <w:rPr>
          <w:rFonts w:ascii="Arial" w:eastAsia="Arial" w:hAnsi="Arial" w:cs="Arial"/>
          <w:color w:val="000000"/>
          <w:sz w:val="20"/>
        </w:rPr>
        <w:t xml:space="preserve">Like the whistleblower protections in </w:t>
      </w:r>
      <w:bookmarkStart w:id="7624" w:name="Bookmark_I59K6CFV2SF7NM0040000400"/>
      <w:bookmarkEnd w:id="7624"/>
      <w:r>
        <w:rPr>
          <w:rFonts w:ascii="Arial" w:eastAsia="Arial" w:hAnsi="Arial" w:cs="Arial"/>
          <w:i/>
          <w:color w:val="000000"/>
          <w:sz w:val="20"/>
        </w:rPr>
        <w:t>Coupar</w:t>
      </w:r>
      <w:r>
        <w:rPr>
          <w:rFonts w:ascii="Arial" w:eastAsia="Arial" w:hAnsi="Arial" w:cs="Arial"/>
          <w:color w:val="000000"/>
          <w:sz w:val="20"/>
        </w:rPr>
        <w:t xml:space="preserve">, the protections of the ADA's Title I run only to "employees." 42 U.S.C. §§ 12111(4), 12112(a). Given </w:t>
      </w:r>
      <w:r>
        <w:rPr>
          <w:rFonts w:ascii="Arial" w:eastAsia="Arial" w:hAnsi="Arial" w:cs="Arial"/>
          <w:i/>
          <w:color w:val="000000"/>
          <w:sz w:val="20"/>
        </w:rPr>
        <w:t>Coupar</w:t>
      </w:r>
      <w:r>
        <w:rPr>
          <w:rFonts w:ascii="Arial" w:eastAsia="Arial" w:hAnsi="Arial" w:cs="Arial"/>
          <w:color w:val="000000"/>
          <w:sz w:val="20"/>
        </w:rPr>
        <w:t xml:space="preserve">'s gloss on </w:t>
      </w:r>
      <w:r>
        <w:rPr>
          <w:rFonts w:ascii="Arial" w:eastAsia="Arial" w:hAnsi="Arial" w:cs="Arial"/>
          <w:i/>
          <w:color w:val="000000"/>
          <w:sz w:val="20"/>
        </w:rPr>
        <w:t>Hale</w:t>
      </w:r>
      <w:r>
        <w:rPr>
          <w:rFonts w:ascii="Arial" w:eastAsia="Arial" w:hAnsi="Arial" w:cs="Arial"/>
          <w:color w:val="000000"/>
          <w:sz w:val="20"/>
        </w:rPr>
        <w:t xml:space="preserve">, I cannot avoid the conclusion that Castle is not an "employee." Consequently, although I would support reconsideration of </w:t>
      </w:r>
      <w:r>
        <w:rPr>
          <w:rFonts w:ascii="Arial" w:eastAsia="Arial" w:hAnsi="Arial" w:cs="Arial"/>
          <w:i/>
          <w:color w:val="000000"/>
          <w:sz w:val="20"/>
        </w:rPr>
        <w:t>Hale</w:t>
      </w:r>
      <w:r>
        <w:rPr>
          <w:rFonts w:ascii="Arial" w:eastAsia="Arial" w:hAnsi="Arial" w:cs="Arial"/>
          <w:color w:val="000000"/>
          <w:sz w:val="20"/>
        </w:rPr>
        <w:t xml:space="preserve">, or at least of </w:t>
      </w:r>
      <w:r>
        <w:rPr>
          <w:rFonts w:ascii="Arial" w:eastAsia="Arial" w:hAnsi="Arial" w:cs="Arial"/>
          <w:i/>
          <w:color w:val="000000"/>
          <w:sz w:val="20"/>
        </w:rPr>
        <w:t>Coupar</w:t>
      </w:r>
      <w:r>
        <w:rPr>
          <w:rFonts w:ascii="Arial" w:eastAsia="Arial" w:hAnsi="Arial" w:cs="Arial"/>
          <w:color w:val="000000"/>
          <w:sz w:val="20"/>
        </w:rPr>
        <w:t xml:space="preserve">'s reading of </w:t>
      </w:r>
      <w:r>
        <w:rPr>
          <w:rFonts w:ascii="Arial" w:eastAsia="Arial" w:hAnsi="Arial" w:cs="Arial"/>
          <w:i/>
          <w:color w:val="000000"/>
          <w:sz w:val="20"/>
        </w:rPr>
        <w:t>Hale</w:t>
      </w:r>
      <w:r>
        <w:rPr>
          <w:rFonts w:ascii="Arial" w:eastAsia="Arial" w:hAnsi="Arial" w:cs="Arial"/>
          <w:color w:val="000000"/>
          <w:sz w:val="20"/>
        </w:rPr>
        <w:t>, I concur in the majority's application of those cases to this one.</w:t>
      </w:r>
    </w:p>
    <w:p w14:paraId="5C78EB9D" w14:textId="77777777" w:rsidR="002D0E71" w:rsidRDefault="00000000">
      <w:pPr>
        <w:pStyle w:val="Normal48"/>
        <w:widowControl w:val="0"/>
        <w:spacing w:before="200" w:line="260" w:lineRule="atLeast"/>
        <w:jc w:val="both"/>
      </w:pPr>
      <w:bookmarkStart w:id="7625" w:name="Bookmark_para_51_9"/>
      <w:bookmarkEnd w:id="7625"/>
      <w:r>
        <w:rPr>
          <w:rFonts w:ascii="Arial" w:eastAsia="Arial" w:hAnsi="Arial" w:cs="Arial"/>
          <w:color w:val="000000"/>
          <w:sz w:val="20"/>
        </w:rPr>
        <w:t xml:space="preserve">As today's opinion demonstrates, however, Castle—and the commonsense congressional policies he seeks to vindicate—is not without recourse. Because his jailers cannot contract away their obligations under Title II of the ADA, the majority holds them liable for any violation of Castle's right to accommodation under the ADA. </w:t>
      </w:r>
      <w:r>
        <w:rPr>
          <w:rFonts w:ascii="Arial" w:eastAsia="Arial" w:hAnsi="Arial" w:cs="Arial"/>
          <w:i/>
          <w:color w:val="000000"/>
          <w:sz w:val="20"/>
        </w:rPr>
        <w:t>See</w:t>
      </w:r>
      <w:r>
        <w:rPr>
          <w:rFonts w:ascii="Arial" w:eastAsia="Arial" w:hAnsi="Arial" w:cs="Arial"/>
          <w:color w:val="000000"/>
          <w:sz w:val="20"/>
        </w:rPr>
        <w:t xml:space="preserve"> Maj. Op. Part III. To the extent the state  [**34] passes along any such liability—and the costs of avoiding it in the future by accommodating disabled employees—to the private employers with whom it contracts, today's holding will also dampen the competitive advantages of hiring convict labor.</w:t>
      </w:r>
    </w:p>
    <w:p w14:paraId="25F3C918" w14:textId="77777777" w:rsidR="002D0E71" w:rsidRDefault="00000000">
      <w:pPr>
        <w:pStyle w:val="Normal48"/>
        <w:widowControl w:val="0"/>
        <w:spacing w:before="200" w:line="260" w:lineRule="atLeast"/>
        <w:jc w:val="both"/>
      </w:pPr>
      <w:bookmarkStart w:id="7626" w:name="Bookmark_para_52_7"/>
      <w:bookmarkStart w:id="7627" w:name="Bookmark_I4GVG0TKMM6000M62HT00227"/>
      <w:bookmarkStart w:id="7628" w:name="Bookmark_I59K6CFV2N1RJ50020000400"/>
      <w:bookmarkEnd w:id="7626"/>
      <w:bookmarkEnd w:id="7627"/>
      <w:bookmarkEnd w:id="7628"/>
      <w:r>
        <w:rPr>
          <w:rFonts w:ascii="Arial" w:eastAsia="Arial" w:hAnsi="Arial" w:cs="Arial"/>
          <w:color w:val="000000"/>
          <w:sz w:val="20"/>
        </w:rPr>
        <w:t xml:space="preserve">Other anti-discrimination statutes might be amenable to a similar solution to the problem our cases have created. Many violations of Title VII, for example, may be actionable against the prison authorities under 42 U.S.C. § 1983. </w:t>
      </w:r>
      <w:r>
        <w:rPr>
          <w:rFonts w:ascii="Arial" w:eastAsia="Arial" w:hAnsi="Arial" w:cs="Arial"/>
          <w:i/>
          <w:color w:val="000000"/>
          <w:sz w:val="20"/>
        </w:rPr>
        <w:t xml:space="preserve">Cf. </w:t>
      </w:r>
      <w:bookmarkStart w:id="7629" w:name="Bookmark_I59K6CFV2N1RJ50010000400"/>
      <w:bookmarkEnd w:id="7629"/>
      <w:r>
        <w:rPr>
          <w:rFonts w:ascii="Arial" w:eastAsia="Arial" w:hAnsi="Arial" w:cs="Arial"/>
          <w:i/>
          <w:color w:val="000000"/>
          <w:sz w:val="20"/>
        </w:rPr>
        <w:t>Williams v. Meese</w:t>
      </w:r>
      <w:r>
        <w:rPr>
          <w:rFonts w:ascii="Arial" w:eastAsia="Arial" w:hAnsi="Arial" w:cs="Arial"/>
          <w:color w:val="000000"/>
          <w:sz w:val="20"/>
        </w:rPr>
        <w:t>, 926 F.2d 994, 998 (10th Cir. 1991) (observing that a federal prisoner may be able to bring a Bivens action if prison officials "discriminate against him on the basis of his age, race, or handicap, in choosing whether to assign him a job or in choosing what job to assign him").</w:t>
      </w:r>
    </w:p>
    <w:p w14:paraId="14765625" w14:textId="77777777" w:rsidR="002D0E71" w:rsidRDefault="00000000">
      <w:pPr>
        <w:pStyle w:val="Normal48"/>
        <w:widowControl w:val="0"/>
        <w:spacing w:before="200" w:line="260" w:lineRule="atLeast"/>
        <w:jc w:val="both"/>
      </w:pPr>
      <w:bookmarkStart w:id="7630" w:name="Bookmark_para_53_7"/>
      <w:bookmarkStart w:id="7631" w:name="Bookmark_I4GVG0TKW0S000M62HT00228"/>
      <w:bookmarkStart w:id="7632" w:name="Bookmark_I4GVG0TM3CB000M62HT00229"/>
      <w:bookmarkStart w:id="7633" w:name="Bookmark_I59K6CFV2N1RJ50040000400"/>
      <w:bookmarkEnd w:id="7630"/>
      <w:bookmarkEnd w:id="7631"/>
      <w:bookmarkEnd w:id="7632"/>
      <w:bookmarkEnd w:id="7633"/>
      <w:r>
        <w:rPr>
          <w:rFonts w:ascii="Arial" w:eastAsia="Arial" w:hAnsi="Arial" w:cs="Arial"/>
          <w:color w:val="000000"/>
          <w:sz w:val="20"/>
        </w:rPr>
        <w:t xml:space="preserve">This observation, along with the majority's Title II holding, somewhat reduces my concern about the adverse consequences of today's rulings—but only if the prison's ADA responsibilities are fully met. To meet their ADA Title II obligations, prison officials cannot simply provide </w:t>
      </w:r>
      <w:r>
        <w:rPr>
          <w:rFonts w:ascii="Arial" w:eastAsia="Arial" w:hAnsi="Arial" w:cs="Arial"/>
          <w:i/>
          <w:color w:val="000000"/>
          <w:sz w:val="20"/>
        </w:rPr>
        <w:t>some</w:t>
      </w:r>
      <w:r>
        <w:rPr>
          <w:rFonts w:ascii="Arial" w:eastAsia="Arial" w:hAnsi="Arial" w:cs="Arial"/>
          <w:color w:val="000000"/>
          <w:sz w:val="20"/>
        </w:rPr>
        <w:t xml:space="preserve"> job to disabled prisoners, at whatever rate of pay and whatever working conditions. Rather, Title II requires "that persons with disabilities  [**35] have the opportunity to receive the same benefits as non-disabled" people who are similarly situated, </w:t>
      </w:r>
      <w:bookmarkStart w:id="7634" w:name="Bookmark_I59K6CFV2N1RJ50030000400"/>
      <w:bookmarkEnd w:id="7634"/>
      <w:r>
        <w:rPr>
          <w:rFonts w:ascii="Arial" w:eastAsia="Arial" w:hAnsi="Arial" w:cs="Arial"/>
          <w:i/>
          <w:color w:val="000000"/>
          <w:sz w:val="20"/>
        </w:rPr>
        <w:t>Castellano v. City of New York</w:t>
      </w:r>
      <w:r>
        <w:rPr>
          <w:rFonts w:ascii="Arial" w:eastAsia="Arial" w:hAnsi="Arial" w:cs="Arial"/>
          <w:color w:val="000000"/>
          <w:sz w:val="20"/>
        </w:rPr>
        <w:t xml:space="preserve">, 142 F.3d 58, 70 (2d Cir. 1998), so long as such opportunity can be provided via "'reasonable modifications' that would not fundamentally alter the nature of the service provided," </w:t>
      </w:r>
      <w:bookmarkStart w:id="7635" w:name="Bookmark_I59K6CFV2N1RJ50050000400"/>
      <w:bookmarkEnd w:id="7635"/>
      <w:r>
        <w:rPr>
          <w:rFonts w:ascii="Arial" w:eastAsia="Arial" w:hAnsi="Arial" w:cs="Arial"/>
          <w:i/>
          <w:color w:val="000000"/>
          <w:sz w:val="20"/>
        </w:rPr>
        <w:t>Tennessee v. Lane</w:t>
      </w:r>
      <w:r>
        <w:rPr>
          <w:rFonts w:ascii="Arial" w:eastAsia="Arial" w:hAnsi="Arial" w:cs="Arial"/>
          <w:color w:val="000000"/>
          <w:sz w:val="20"/>
        </w:rPr>
        <w:t xml:space="preserve">, 541 U.S. 509, 532, 124 S. Ct. 1978, 158 L. Ed. 2d 820 (2004). That means, to me, that, if the prison is going to farm out prison labor to offsite private employers, at higher pay and a more favorable location than are available to prisoners within the prison's walls, the prison must ensure that the ADA standards are met with regard to </w:t>
      </w:r>
      <w:r>
        <w:rPr>
          <w:rFonts w:ascii="Arial" w:eastAsia="Arial" w:hAnsi="Arial" w:cs="Arial"/>
          <w:i/>
          <w:color w:val="000000"/>
          <w:sz w:val="20"/>
        </w:rPr>
        <w:t>that</w:t>
      </w:r>
      <w:r>
        <w:rPr>
          <w:rFonts w:ascii="Arial" w:eastAsia="Arial" w:hAnsi="Arial" w:cs="Arial"/>
          <w:color w:val="000000"/>
          <w:sz w:val="20"/>
        </w:rPr>
        <w:t xml:space="preserve"> opportunity.</w:t>
      </w:r>
    </w:p>
    <w:p w14:paraId="1AD3744E" w14:textId="77777777" w:rsidR="002D0E71" w:rsidRDefault="00000000">
      <w:pPr>
        <w:pStyle w:val="Normal48"/>
        <w:widowControl w:val="0"/>
        <w:spacing w:before="200" w:line="260" w:lineRule="atLeast"/>
        <w:jc w:val="both"/>
      </w:pPr>
      <w:bookmarkStart w:id="7636" w:name="Bookmark_para_54_5"/>
      <w:bookmarkEnd w:id="7636"/>
      <w:r>
        <w:rPr>
          <w:rFonts w:ascii="Arial" w:eastAsia="Arial" w:hAnsi="Arial" w:cs="Arial"/>
          <w:color w:val="000000"/>
          <w:sz w:val="20"/>
        </w:rPr>
        <w:t>With those observations, I concur in the opinion.</w:t>
      </w:r>
    </w:p>
    <w:p w14:paraId="3D2183EA" w14:textId="77777777" w:rsidR="002D0E71" w:rsidRDefault="002D0E71">
      <w:pPr>
        <w:pStyle w:val="Normal48"/>
      </w:pPr>
    </w:p>
    <w:p w14:paraId="49CE8EF6" w14:textId="0CB40335" w:rsidR="002D0E71" w:rsidRDefault="00000000">
      <w:pPr>
        <w:pStyle w:val="Normal48"/>
        <w:ind w:left="200"/>
        <w:sectPr w:rsidR="002D0E71">
          <w:type w:val="continuous"/>
          <w:pgSz w:w="12240" w:h="15840"/>
          <w:pgMar w:top="840" w:right="1000" w:bottom="840" w:left="1000" w:header="400" w:footer="400" w:gutter="0"/>
          <w:cols w:num="2" w:space="240"/>
        </w:sectPr>
      </w:pPr>
      <w:r>
        <w:br/>
      </w:r>
      <w:r w:rsidR="002939DF">
        <w:rPr>
          <w:noProof/>
        </w:rPr>
        <mc:AlternateContent>
          <mc:Choice Requires="wps">
            <w:drawing>
              <wp:anchor distT="0" distB="0" distL="114300" distR="114300" simplePos="0" relativeHeight="251764736" behindDoc="0" locked="0" layoutInCell="1" allowOverlap="1" wp14:anchorId="1D043DD5" wp14:editId="17F42820">
                <wp:simplePos x="0" y="0"/>
                <wp:positionH relativeFrom="column">
                  <wp:posOffset>0</wp:posOffset>
                </wp:positionH>
                <wp:positionV relativeFrom="paragraph">
                  <wp:posOffset>127000</wp:posOffset>
                </wp:positionV>
                <wp:extent cx="6502400" cy="0"/>
                <wp:effectExtent l="9525" t="12700" r="12700" b="6350"/>
                <wp:wrapNone/>
                <wp:docPr id="339535718"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E4AD9E" id="Line 110"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44F3CE0" w14:textId="77777777" w:rsidR="002D0E71" w:rsidRDefault="002D0E71">
      <w:pPr>
        <w:pStyle w:val="Normal49"/>
        <w:sectPr w:rsidR="002D0E71">
          <w:headerReference w:type="even" r:id="rId305"/>
          <w:headerReference w:type="default" r:id="rId306"/>
          <w:footerReference w:type="even" r:id="rId307"/>
          <w:footerReference w:type="default" r:id="rId308"/>
          <w:headerReference w:type="first" r:id="rId309"/>
          <w:footerReference w:type="first" r:id="rId310"/>
          <w:pgSz w:w="12240" w:h="15840"/>
          <w:pgMar w:top="840" w:right="1000" w:bottom="840" w:left="1000" w:header="400" w:footer="400" w:gutter="0"/>
          <w:cols w:space="720"/>
          <w:titlePg/>
        </w:sectPr>
      </w:pPr>
    </w:p>
    <w:p w14:paraId="3EDF181F" w14:textId="77777777" w:rsidR="002D0E71" w:rsidRDefault="002D0E71">
      <w:pPr>
        <w:pStyle w:val="Normal49"/>
      </w:pPr>
    </w:p>
    <w:p w14:paraId="0FAD2053" w14:textId="77777777" w:rsidR="002D0E71" w:rsidRDefault="00000000">
      <w:pPr>
        <w:pStyle w:val="Heading148"/>
        <w:keepNext w:val="0"/>
        <w:widowControl w:val="0"/>
        <w:spacing w:after="200" w:line="340" w:lineRule="atLeast"/>
        <w:jc w:val="center"/>
      </w:pPr>
      <w:r>
        <w:rPr>
          <w:rFonts w:eastAsia="Arial"/>
          <w:color w:val="000000"/>
          <w:sz w:val="28"/>
        </w:rPr>
        <w:t>Hickman v. Exxon Mobil</w:t>
      </w:r>
    </w:p>
    <w:p w14:paraId="7FBDD96E" w14:textId="77777777" w:rsidR="002D0E71" w:rsidRDefault="00000000">
      <w:pPr>
        <w:pStyle w:val="Normal49"/>
        <w:widowControl w:val="0"/>
        <w:spacing w:before="120" w:line="260" w:lineRule="atLeast"/>
        <w:jc w:val="center"/>
      </w:pPr>
      <w:r>
        <w:rPr>
          <w:rFonts w:ascii="Arial" w:eastAsia="Arial" w:hAnsi="Arial" w:cs="Arial"/>
          <w:color w:val="000000"/>
          <w:sz w:val="20"/>
        </w:rPr>
        <w:t>United States Court of Appeals for the Fifth Circuit</w:t>
      </w:r>
    </w:p>
    <w:p w14:paraId="314B4387" w14:textId="77777777" w:rsidR="002D0E71" w:rsidRDefault="00000000">
      <w:pPr>
        <w:pStyle w:val="Normal49"/>
        <w:widowControl w:val="0"/>
        <w:spacing w:before="120" w:line="260" w:lineRule="atLeast"/>
        <w:jc w:val="center"/>
      </w:pPr>
      <w:r>
        <w:rPr>
          <w:rFonts w:ascii="Arial" w:eastAsia="Arial" w:hAnsi="Arial" w:cs="Arial"/>
          <w:color w:val="000000"/>
          <w:sz w:val="20"/>
        </w:rPr>
        <w:t>September 16, 2013, Filed</w:t>
      </w:r>
    </w:p>
    <w:p w14:paraId="2F6A618B" w14:textId="77777777" w:rsidR="002D0E71" w:rsidRDefault="00000000">
      <w:pPr>
        <w:pStyle w:val="Normal49"/>
        <w:widowControl w:val="0"/>
        <w:spacing w:before="120" w:line="260" w:lineRule="atLeast"/>
        <w:jc w:val="center"/>
        <w:sectPr w:rsidR="002D0E71">
          <w:type w:val="continuous"/>
          <w:pgSz w:w="12240" w:h="15840"/>
          <w:pgMar w:top="840" w:right="1000" w:bottom="840" w:left="1000" w:header="400" w:footer="400" w:gutter="0"/>
          <w:cols w:space="240"/>
        </w:sectPr>
      </w:pPr>
      <w:r>
        <w:rPr>
          <w:rFonts w:ascii="Arial" w:eastAsia="Arial" w:hAnsi="Arial" w:cs="Arial"/>
          <w:color w:val="000000"/>
          <w:sz w:val="20"/>
        </w:rPr>
        <w:t>No. 12-20714</w:t>
      </w:r>
    </w:p>
    <w:p w14:paraId="1F2CE09F" w14:textId="77777777" w:rsidR="002D0E71" w:rsidRDefault="002D0E71">
      <w:pPr>
        <w:pStyle w:val="Normal49"/>
        <w:widowControl w:val="0"/>
        <w:spacing w:line="240" w:lineRule="atLeast"/>
        <w:jc w:val="both"/>
      </w:pPr>
      <w:bookmarkStart w:id="7637" w:name="Bookmark_50"/>
      <w:bookmarkEnd w:id="7637"/>
    </w:p>
    <w:p w14:paraId="17B20669" w14:textId="77777777" w:rsidR="002D0E71" w:rsidRDefault="00000000">
      <w:pPr>
        <w:pStyle w:val="Normal49"/>
        <w:widowControl w:val="0"/>
        <w:spacing w:before="200" w:line="240" w:lineRule="atLeast"/>
      </w:pPr>
      <w:bookmarkStart w:id="7638" w:name="Reporter_48"/>
      <w:bookmarkEnd w:id="7638"/>
      <w:r>
        <w:rPr>
          <w:rFonts w:ascii="Arial" w:eastAsia="Arial" w:hAnsi="Arial" w:cs="Arial"/>
          <w:b/>
          <w:color w:val="000000"/>
          <w:sz w:val="18"/>
        </w:rPr>
        <w:t>Reporter</w:t>
      </w:r>
    </w:p>
    <w:p w14:paraId="23ACAB09" w14:textId="77777777" w:rsidR="002D0E71" w:rsidRDefault="00000000">
      <w:pPr>
        <w:pStyle w:val="Normal49"/>
        <w:widowControl w:val="0"/>
        <w:spacing w:line="240" w:lineRule="atLeast"/>
        <w:sectPr w:rsidR="002D0E71">
          <w:type w:val="continuous"/>
          <w:pgSz w:w="12240" w:h="15840"/>
          <w:pgMar w:top="840" w:right="1000" w:bottom="840" w:left="1000" w:header="400" w:footer="400" w:gutter="0"/>
          <w:cols w:space="240"/>
        </w:sectPr>
      </w:pPr>
      <w:r>
        <w:rPr>
          <w:rFonts w:ascii="Arial" w:eastAsia="Arial" w:hAnsi="Arial" w:cs="Arial"/>
          <w:color w:val="000000"/>
          <w:sz w:val="18"/>
        </w:rPr>
        <w:t>540 Fed. Appx. 277 *; 2013 U.S. App. LEXIS 19098 **; 2013 WL 5074734</w:t>
      </w:r>
    </w:p>
    <w:p w14:paraId="322A3749" w14:textId="77777777" w:rsidR="002D0E71" w:rsidRDefault="00000000">
      <w:pPr>
        <w:pStyle w:val="Normal49"/>
        <w:widowControl w:val="0"/>
        <w:spacing w:before="120" w:line="260" w:lineRule="atLeast"/>
      </w:pPr>
      <w:r>
        <w:rPr>
          <w:rFonts w:ascii="Arial" w:eastAsia="Arial" w:hAnsi="Arial" w:cs="Arial"/>
          <w:color w:val="000000"/>
          <w:sz w:val="20"/>
        </w:rPr>
        <w:t>LAURA HICKMAN, Plaintiff—Appellant v. EXXON MOBIL, Defendant—Appellee</w:t>
      </w:r>
    </w:p>
    <w:p w14:paraId="1897BC25" w14:textId="77777777" w:rsidR="002D0E71" w:rsidRDefault="00000000">
      <w:pPr>
        <w:pStyle w:val="Normal49"/>
        <w:widowControl w:val="0"/>
        <w:spacing w:before="240" w:line="260" w:lineRule="atLeast"/>
        <w:jc w:val="both"/>
      </w:pPr>
      <w:bookmarkStart w:id="7639" w:name="Notice_15"/>
      <w:bookmarkEnd w:id="7639"/>
      <w:r>
        <w:rPr>
          <w:rFonts w:ascii="Arial" w:eastAsia="Arial" w:hAnsi="Arial" w:cs="Arial"/>
          <w:b/>
          <w:color w:val="000000"/>
          <w:sz w:val="20"/>
        </w:rPr>
        <w:t>Notice:</w:t>
      </w:r>
      <w:r>
        <w:rPr>
          <w:rFonts w:ascii="Arial" w:eastAsia="Arial" w:hAnsi="Arial" w:cs="Arial"/>
          <w:color w:val="000000"/>
          <w:sz w:val="20"/>
        </w:rPr>
        <w:t> </w:t>
      </w:r>
      <w:bookmarkStart w:id="7640" w:name="Bookmark_para_1_48"/>
      <w:bookmarkEnd w:id="7640"/>
      <w:r>
        <w:rPr>
          <w:rFonts w:ascii="Arial" w:eastAsia="Arial" w:hAnsi="Arial" w:cs="Arial"/>
          <w:color w:val="000000"/>
          <w:sz w:val="20"/>
        </w:rPr>
        <w:t>PLEASE REFER TO FEDERAL RULES OF APPELLATE PROCEDURE RULE 32.1 GOVERNING THE CITATION TO UNPUBLISHED OPINIONS.</w:t>
      </w:r>
    </w:p>
    <w:p w14:paraId="10199C01" w14:textId="77777777" w:rsidR="002D0E71" w:rsidRDefault="00000000">
      <w:pPr>
        <w:pStyle w:val="Normal49"/>
        <w:widowControl w:val="0"/>
        <w:spacing w:before="240" w:line="260" w:lineRule="atLeast"/>
        <w:jc w:val="both"/>
      </w:pPr>
      <w:bookmarkStart w:id="7641" w:name="Prior_History_47"/>
      <w:bookmarkEnd w:id="7641"/>
      <w:r>
        <w:rPr>
          <w:rFonts w:ascii="Arial" w:eastAsia="Arial" w:hAnsi="Arial" w:cs="Arial"/>
          <w:b/>
          <w:color w:val="000000"/>
          <w:sz w:val="20"/>
        </w:rPr>
        <w:t>Prior History:</w:t>
      </w:r>
      <w:r>
        <w:rPr>
          <w:rFonts w:ascii="Arial" w:eastAsia="Arial" w:hAnsi="Arial" w:cs="Arial"/>
          <w:color w:val="000000"/>
          <w:sz w:val="20"/>
        </w:rPr>
        <w:t>  [**1] </w:t>
      </w:r>
      <w:bookmarkStart w:id="7642" w:name="Bookmark_para_2_48"/>
      <w:bookmarkEnd w:id="7642"/>
      <w:r>
        <w:rPr>
          <w:rFonts w:ascii="Arial" w:eastAsia="Arial" w:hAnsi="Arial" w:cs="Arial"/>
          <w:color w:val="000000"/>
          <w:sz w:val="20"/>
        </w:rPr>
        <w:t>Appeal from the United States District Court for the Southern District of Texas. No. 4:10-CV-5175.</w:t>
      </w:r>
    </w:p>
    <w:p w14:paraId="41828D8F" w14:textId="77777777" w:rsidR="002D0E71" w:rsidRDefault="00000000">
      <w:pPr>
        <w:pStyle w:val="Normal49"/>
        <w:widowControl w:val="0"/>
        <w:spacing w:before="120" w:line="260" w:lineRule="atLeast"/>
      </w:pPr>
      <w:r>
        <w:rPr>
          <w:rFonts w:ascii="Arial" w:eastAsia="Arial" w:hAnsi="Arial" w:cs="Arial"/>
          <w:color w:val="000000"/>
          <w:sz w:val="20"/>
        </w:rPr>
        <w:t>Hickman v. ExxonMobil, 2012 U.S. Dist. LEXIS 189196 (S.D. Tex., Sept. 27, 2012)</w:t>
      </w:r>
    </w:p>
    <w:p w14:paraId="487D6D75" w14:textId="77777777" w:rsidR="002D0E71" w:rsidRDefault="00000000">
      <w:pPr>
        <w:pStyle w:val="Normal49"/>
        <w:widowControl w:val="0"/>
        <w:spacing w:before="240" w:line="260" w:lineRule="atLeast"/>
      </w:pPr>
      <w:bookmarkStart w:id="7643" w:name="Counsel_48"/>
      <w:bookmarkEnd w:id="7643"/>
      <w:r>
        <w:rPr>
          <w:rFonts w:ascii="Arial" w:eastAsia="Arial" w:hAnsi="Arial" w:cs="Arial"/>
          <w:b/>
          <w:color w:val="000000"/>
          <w:sz w:val="20"/>
        </w:rPr>
        <w:t>Counsel:</w:t>
      </w:r>
      <w:r>
        <w:rPr>
          <w:rFonts w:ascii="Arial" w:eastAsia="Arial" w:hAnsi="Arial" w:cs="Arial"/>
          <w:color w:val="000000"/>
          <w:sz w:val="20"/>
        </w:rPr>
        <w:t> For LAURA HICKMAN, Plaintiff - Appellant: Ronald Edward Dupree, Jr., Esq., Attorney, Houston, TX.</w:t>
      </w:r>
    </w:p>
    <w:p w14:paraId="0EDCF86D" w14:textId="77777777" w:rsidR="002D0E71" w:rsidRDefault="00000000">
      <w:pPr>
        <w:pStyle w:val="Normal49"/>
        <w:widowControl w:val="0"/>
        <w:spacing w:before="120" w:line="260" w:lineRule="atLeast"/>
      </w:pPr>
      <w:r>
        <w:rPr>
          <w:rFonts w:ascii="Arial" w:eastAsia="Arial" w:hAnsi="Arial" w:cs="Arial"/>
          <w:color w:val="000000"/>
          <w:sz w:val="20"/>
        </w:rPr>
        <w:t>For EXXON MOBIL, Defendant - Appellee: Shauna Johnson Clark, Esq., Colleen K. Cockrum, Esq., Attorney, Fulbright &amp; Jaworski LLP, Houston, TX.</w:t>
      </w:r>
    </w:p>
    <w:p w14:paraId="4E3315AF" w14:textId="77777777" w:rsidR="002D0E71" w:rsidRDefault="00000000">
      <w:pPr>
        <w:pStyle w:val="Normal49"/>
        <w:widowControl w:val="0"/>
        <w:spacing w:before="240" w:line="260" w:lineRule="atLeast"/>
      </w:pPr>
      <w:bookmarkStart w:id="7644" w:name="Judges_48"/>
      <w:bookmarkEnd w:id="7644"/>
      <w:r>
        <w:rPr>
          <w:rFonts w:ascii="Arial" w:eastAsia="Arial" w:hAnsi="Arial" w:cs="Arial"/>
          <w:b/>
          <w:color w:val="000000"/>
          <w:sz w:val="20"/>
        </w:rPr>
        <w:t>Judges:</w:t>
      </w:r>
      <w:r>
        <w:rPr>
          <w:rFonts w:ascii="Arial" w:eastAsia="Arial" w:hAnsi="Arial" w:cs="Arial"/>
          <w:color w:val="000000"/>
          <w:sz w:val="20"/>
        </w:rPr>
        <w:t> Before SMITH, DENNIS, and HIGGINSON, Circuit Judges.</w:t>
      </w:r>
    </w:p>
    <w:p w14:paraId="18D3BB3C" w14:textId="77777777" w:rsidR="002D0E71" w:rsidRDefault="00000000">
      <w:pPr>
        <w:pStyle w:val="Normal49"/>
        <w:keepNext/>
        <w:widowControl w:val="0"/>
        <w:spacing w:before="240" w:line="340" w:lineRule="atLeast"/>
      </w:pPr>
      <w:bookmarkStart w:id="7645" w:name="Opinion_48"/>
      <w:bookmarkEnd w:id="7645"/>
      <w:r>
        <w:rPr>
          <w:rFonts w:ascii="Arial" w:eastAsia="Arial" w:hAnsi="Arial" w:cs="Arial"/>
          <w:b/>
          <w:color w:val="000000"/>
          <w:sz w:val="28"/>
        </w:rPr>
        <w:t>Opinion</w:t>
      </w:r>
    </w:p>
    <w:p w14:paraId="0DC2AC6A" w14:textId="46A30805" w:rsidR="002D0E71" w:rsidRDefault="002939DF">
      <w:pPr>
        <w:pStyle w:val="Normal49"/>
        <w:spacing w:line="60" w:lineRule="exact"/>
      </w:pPr>
      <w:r>
        <w:rPr>
          <w:noProof/>
        </w:rPr>
        <mc:AlternateContent>
          <mc:Choice Requires="wps">
            <w:drawing>
              <wp:anchor distT="0" distB="0" distL="114300" distR="114300" simplePos="0" relativeHeight="251765760" behindDoc="0" locked="0" layoutInCell="1" allowOverlap="1" wp14:anchorId="46C4DABD" wp14:editId="0F5EE5D0">
                <wp:simplePos x="0" y="0"/>
                <wp:positionH relativeFrom="column">
                  <wp:posOffset>0</wp:posOffset>
                </wp:positionH>
                <wp:positionV relativeFrom="paragraph">
                  <wp:posOffset>25400</wp:posOffset>
                </wp:positionV>
                <wp:extent cx="3187700" cy="0"/>
                <wp:effectExtent l="19050" t="15875" r="12700" b="12700"/>
                <wp:wrapTopAndBottom/>
                <wp:docPr id="1322066652"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0D9D6" id="Line 111"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05D1A28" w14:textId="77777777" w:rsidR="002D0E71" w:rsidRDefault="002D0E71">
      <w:pPr>
        <w:pStyle w:val="Normal49"/>
      </w:pPr>
    </w:p>
    <w:p w14:paraId="0EC11420" w14:textId="77777777" w:rsidR="002D0E71" w:rsidRDefault="00000000">
      <w:pPr>
        <w:pStyle w:val="Normal49"/>
        <w:widowControl w:val="0"/>
        <w:spacing w:before="200" w:line="260" w:lineRule="atLeast"/>
        <w:jc w:val="both"/>
      </w:pPr>
      <w:bookmarkStart w:id="7646" w:name="Bookmark_para_3_48"/>
      <w:bookmarkEnd w:id="7646"/>
      <w:r>
        <w:rPr>
          <w:rFonts w:ascii="Arial" w:eastAsia="Arial" w:hAnsi="Arial" w:cs="Arial"/>
          <w:color w:val="000000"/>
          <w:sz w:val="20"/>
        </w:rPr>
        <w:t xml:space="preserve"> [*277]  PER CURIAM: </w:t>
      </w:r>
      <w:r>
        <w:rPr>
          <w:rFonts w:ascii="Arial" w:eastAsia="Arial" w:hAnsi="Arial" w:cs="Arial"/>
          <w:vertAlign w:val="superscript"/>
        </w:rPr>
        <w:footnoteReference w:customMarkFollows="1" w:id="316"/>
        <w:t>*</w:t>
      </w:r>
    </w:p>
    <w:p w14:paraId="202DCDD2" w14:textId="77777777" w:rsidR="002D0E71" w:rsidRDefault="00000000">
      <w:pPr>
        <w:pStyle w:val="Normal49"/>
        <w:widowControl w:val="0"/>
        <w:spacing w:before="200" w:line="260" w:lineRule="atLeast"/>
        <w:jc w:val="both"/>
      </w:pPr>
      <w:bookmarkStart w:id="7648" w:name="Bookmark_para_4_48"/>
      <w:bookmarkEnd w:id="7648"/>
      <w:r>
        <w:rPr>
          <w:rFonts w:ascii="Arial" w:eastAsia="Arial" w:hAnsi="Arial" w:cs="Arial"/>
          <w:color w:val="000000"/>
          <w:sz w:val="20"/>
        </w:rPr>
        <w:t xml:space="preserve">Laura Hickman sued her employer, Exxon Mobil, for alleged violation of the Americans with Disabilities Act after she was terminated because of epilepsy. She claimed, </w:t>
      </w:r>
      <w:r>
        <w:rPr>
          <w:rFonts w:ascii="Arial" w:eastAsia="Arial" w:hAnsi="Arial" w:cs="Arial"/>
          <w:i/>
          <w:color w:val="000000"/>
          <w:sz w:val="20"/>
        </w:rPr>
        <w:t>inter alia</w:t>
      </w:r>
      <w:r>
        <w:rPr>
          <w:rFonts w:ascii="Arial" w:eastAsia="Arial" w:hAnsi="Arial" w:cs="Arial"/>
          <w:color w:val="000000"/>
          <w:sz w:val="20"/>
        </w:rPr>
        <w:t xml:space="preserve">, that Exxon Mobil had failed to engage in the interactive process and had not provided a reasonable accommodation for her disability. Exxon defended, </w:t>
      </w:r>
      <w:r>
        <w:rPr>
          <w:rFonts w:ascii="Arial" w:eastAsia="Arial" w:hAnsi="Arial" w:cs="Arial"/>
          <w:i/>
          <w:color w:val="000000"/>
          <w:sz w:val="20"/>
        </w:rPr>
        <w:t>inter alia</w:t>
      </w:r>
      <w:r>
        <w:rPr>
          <w:rFonts w:ascii="Arial" w:eastAsia="Arial" w:hAnsi="Arial" w:cs="Arial"/>
          <w:color w:val="000000"/>
          <w:sz w:val="20"/>
        </w:rPr>
        <w:t>, on the ground that Hickman's work restrictions made her unqualified for her job because she was prone to unanticipated seizures yet was tasked with safety-sensitive and hazardous responsibilities.</w:t>
      </w:r>
    </w:p>
    <w:p w14:paraId="183DA9FE" w14:textId="77777777" w:rsidR="002D0E71" w:rsidRDefault="00000000">
      <w:pPr>
        <w:pStyle w:val="Normal49"/>
        <w:widowControl w:val="0"/>
        <w:spacing w:before="200" w:line="260" w:lineRule="atLeast"/>
        <w:jc w:val="both"/>
      </w:pPr>
      <w:bookmarkStart w:id="7649" w:name="Bookmark_para_5_48"/>
      <w:bookmarkEnd w:id="7649"/>
      <w:r>
        <w:rPr>
          <w:rFonts w:ascii="Arial" w:eastAsia="Arial" w:hAnsi="Arial" w:cs="Arial"/>
          <w:color w:val="000000"/>
          <w:sz w:val="20"/>
        </w:rPr>
        <w:t xml:space="preserve">Exxon Mobil moved for summary judgment. In a twenty-two-page order, the district  [**2] court granted the motion, concluding, </w:t>
      </w:r>
      <w:r>
        <w:rPr>
          <w:rFonts w:ascii="Arial" w:eastAsia="Arial" w:hAnsi="Arial" w:cs="Arial"/>
          <w:i/>
          <w:color w:val="000000"/>
          <w:sz w:val="20"/>
        </w:rPr>
        <w:t>inter alia</w:t>
      </w:r>
      <w:r>
        <w:rPr>
          <w:rFonts w:ascii="Arial" w:eastAsia="Arial" w:hAnsi="Arial" w:cs="Arial"/>
          <w:color w:val="000000"/>
          <w:sz w:val="20"/>
        </w:rPr>
        <w:t>, that Hickman could not establish that she was qualified for the job in light of her disability work restrictions and that there were no disputed issues of material fact. The court concluded that Exxon Mobil's determination that Hickman was unqualified for her job "was based on a reasonable medical judgment and best available objective evidence and reflected an individualized assessment of Hickman's abilities" and that "Hickman points to no probative evidence suggesting that ExxonMobil could have accommodated her epilepsy."</w:t>
      </w:r>
    </w:p>
    <w:p w14:paraId="10AF43E0" w14:textId="77777777" w:rsidR="002D0E71" w:rsidRDefault="00000000">
      <w:pPr>
        <w:pStyle w:val="Normal49"/>
        <w:widowControl w:val="0"/>
        <w:spacing w:before="200" w:line="260" w:lineRule="atLeast"/>
        <w:jc w:val="both"/>
      </w:pPr>
      <w:bookmarkStart w:id="7650" w:name="Bookmark_para_6_48"/>
      <w:bookmarkEnd w:id="7650"/>
      <w:r>
        <w:rPr>
          <w:rFonts w:ascii="Arial" w:eastAsia="Arial" w:hAnsi="Arial" w:cs="Arial"/>
          <w:color w:val="000000"/>
          <w:sz w:val="20"/>
        </w:rPr>
        <w:t>We have reviewed the briefs, the applicable law, and pertinent portions of the record and have heard the arguments of counsel. Because this district court determination is sound, the summary judgment is AFFIRMED.</w:t>
      </w:r>
    </w:p>
    <w:p w14:paraId="2ECBB09B" w14:textId="77777777" w:rsidR="002D0E71" w:rsidRDefault="002D0E71">
      <w:pPr>
        <w:pStyle w:val="Normal49"/>
      </w:pPr>
    </w:p>
    <w:p w14:paraId="5743080B" w14:textId="0D6428D9" w:rsidR="002D0E71" w:rsidRDefault="00000000">
      <w:pPr>
        <w:pStyle w:val="Normal49"/>
        <w:ind w:left="200"/>
      </w:pPr>
      <w:r>
        <w:br/>
      </w:r>
      <w:r w:rsidR="002939DF">
        <w:rPr>
          <w:noProof/>
        </w:rPr>
        <mc:AlternateContent>
          <mc:Choice Requires="wps">
            <w:drawing>
              <wp:anchor distT="0" distB="0" distL="114300" distR="114300" simplePos="0" relativeHeight="251766784" behindDoc="0" locked="0" layoutInCell="1" allowOverlap="1" wp14:anchorId="09084DA5" wp14:editId="74E196D4">
                <wp:simplePos x="0" y="0"/>
                <wp:positionH relativeFrom="column">
                  <wp:posOffset>0</wp:posOffset>
                </wp:positionH>
                <wp:positionV relativeFrom="paragraph">
                  <wp:posOffset>127000</wp:posOffset>
                </wp:positionV>
                <wp:extent cx="6502400" cy="0"/>
                <wp:effectExtent l="9525" t="12700" r="12700" b="6350"/>
                <wp:wrapNone/>
                <wp:docPr id="453608916"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1BF170" id="Line 112"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sectPr w:rsidR="002D0E71">
      <w:type w:val="continuous"/>
      <w:pgSz w:w="12240" w:h="15840"/>
      <w:pgMar w:top="840" w:right="1000" w:bottom="840" w:left="1000" w:header="400" w:footer="400"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A4E95" w14:textId="77777777" w:rsidR="00F57084" w:rsidRDefault="00F57084">
      <w:r>
        <w:separator/>
      </w:r>
    </w:p>
  </w:endnote>
  <w:endnote w:type="continuationSeparator" w:id="0">
    <w:p w14:paraId="0E776C90" w14:textId="77777777" w:rsidR="00F57084" w:rsidRDefault="00F57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403D2" w14:textId="77777777" w:rsidR="002D0E71" w:rsidRDefault="002D0E71">
    <w:pPr>
      <w:pStyle w:val="Norm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5EA8CF83" w14:textId="77777777">
      <w:trPr>
        <w:jc w:val="center"/>
      </w:trPr>
      <w:tc>
        <w:tcPr>
          <w:tcW w:w="2600" w:type="dxa"/>
          <w:tcMar>
            <w:top w:w="200" w:type="dxa"/>
          </w:tcMar>
          <w:vAlign w:val="center"/>
        </w:tcPr>
        <w:p w14:paraId="3FF77BFD" w14:textId="77777777" w:rsidR="002D0E71" w:rsidRDefault="002D0E71">
          <w:pPr>
            <w:pStyle w:val="Normal0"/>
          </w:pPr>
        </w:p>
      </w:tc>
      <w:tc>
        <w:tcPr>
          <w:tcW w:w="4880" w:type="dxa"/>
          <w:tcMar>
            <w:top w:w="200" w:type="dxa"/>
          </w:tcMar>
          <w:vAlign w:val="center"/>
        </w:tcPr>
        <w:p w14:paraId="145C72D4" w14:textId="77777777" w:rsidR="002D0E71" w:rsidRDefault="002D0E71">
          <w:pPr>
            <w:pStyle w:val="Normal0"/>
            <w:jc w:val="center"/>
          </w:pPr>
        </w:p>
      </w:tc>
      <w:tc>
        <w:tcPr>
          <w:tcW w:w="2600" w:type="dxa"/>
          <w:tcMar>
            <w:top w:w="200" w:type="dxa"/>
          </w:tcMar>
          <w:vAlign w:val="center"/>
        </w:tcPr>
        <w:p w14:paraId="39ADE14B" w14:textId="77777777" w:rsidR="002D0E71" w:rsidRDefault="002D0E71">
          <w:pPr>
            <w:pStyle w:val="Normal0"/>
          </w:pP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AFD26" w14:textId="77777777" w:rsidR="002D0E71" w:rsidRDefault="002D0E71">
    <w:pPr>
      <w:pStyle w:val="Normal0"/>
      <w:spacing w:before="20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A03B6" w14:textId="77777777" w:rsidR="002D0E71" w:rsidRDefault="002D0E71">
    <w:pPr>
      <w:pStyle w:val="Normal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136033A7" w14:textId="77777777">
      <w:trPr>
        <w:jc w:val="center"/>
      </w:trPr>
      <w:tc>
        <w:tcPr>
          <w:tcW w:w="2600" w:type="dxa"/>
          <w:tcMar>
            <w:top w:w="200" w:type="dxa"/>
          </w:tcMar>
          <w:vAlign w:val="center"/>
        </w:tcPr>
        <w:p w14:paraId="58A765C9" w14:textId="77777777" w:rsidR="002D0E71" w:rsidRDefault="002D0E71">
          <w:pPr>
            <w:pStyle w:val="Normal1"/>
          </w:pPr>
        </w:p>
      </w:tc>
      <w:tc>
        <w:tcPr>
          <w:tcW w:w="4880" w:type="dxa"/>
          <w:tcMar>
            <w:top w:w="200" w:type="dxa"/>
          </w:tcMar>
          <w:vAlign w:val="center"/>
        </w:tcPr>
        <w:p w14:paraId="28F8B998" w14:textId="77777777" w:rsidR="002D0E71" w:rsidRDefault="002D0E71">
          <w:pPr>
            <w:pStyle w:val="Normal1"/>
            <w:jc w:val="center"/>
          </w:pPr>
        </w:p>
      </w:tc>
      <w:tc>
        <w:tcPr>
          <w:tcW w:w="2600" w:type="dxa"/>
          <w:tcMar>
            <w:top w:w="200" w:type="dxa"/>
          </w:tcMar>
          <w:vAlign w:val="center"/>
        </w:tcPr>
        <w:p w14:paraId="68F4D36F" w14:textId="77777777" w:rsidR="002D0E71" w:rsidRDefault="002D0E71">
          <w:pPr>
            <w:pStyle w:val="Normal1"/>
          </w:pP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2DF0A" w14:textId="77777777" w:rsidR="002D0E71" w:rsidRDefault="002D0E71">
    <w:pPr>
      <w:pStyle w:val="Normal1"/>
      <w:spacing w:before="200"/>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F0DE7" w14:textId="77777777" w:rsidR="002D0E71" w:rsidRDefault="002D0E71">
    <w:pPr>
      <w:pStyle w:val="Normal2"/>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29B2F443" w14:textId="77777777">
      <w:trPr>
        <w:jc w:val="center"/>
      </w:trPr>
      <w:tc>
        <w:tcPr>
          <w:tcW w:w="2600" w:type="dxa"/>
          <w:tcMar>
            <w:top w:w="200" w:type="dxa"/>
          </w:tcMar>
          <w:vAlign w:val="center"/>
        </w:tcPr>
        <w:p w14:paraId="404535FA" w14:textId="77777777" w:rsidR="002D0E71" w:rsidRDefault="002D0E71">
          <w:pPr>
            <w:pStyle w:val="Normal2"/>
          </w:pPr>
        </w:p>
      </w:tc>
      <w:tc>
        <w:tcPr>
          <w:tcW w:w="4880" w:type="dxa"/>
          <w:tcMar>
            <w:top w:w="200" w:type="dxa"/>
          </w:tcMar>
          <w:vAlign w:val="center"/>
        </w:tcPr>
        <w:p w14:paraId="3A3484D9" w14:textId="77777777" w:rsidR="002D0E71" w:rsidRDefault="002D0E71">
          <w:pPr>
            <w:pStyle w:val="Normal2"/>
            <w:jc w:val="center"/>
          </w:pPr>
        </w:p>
      </w:tc>
      <w:tc>
        <w:tcPr>
          <w:tcW w:w="2600" w:type="dxa"/>
          <w:tcMar>
            <w:top w:w="200" w:type="dxa"/>
          </w:tcMar>
          <w:vAlign w:val="center"/>
        </w:tcPr>
        <w:p w14:paraId="0BD9482F" w14:textId="77777777" w:rsidR="002D0E71" w:rsidRDefault="002D0E71">
          <w:pPr>
            <w:pStyle w:val="Normal2"/>
          </w:pP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F3757" w14:textId="77777777" w:rsidR="002D0E71" w:rsidRDefault="002D0E71">
    <w:pPr>
      <w:pStyle w:val="Normal2"/>
      <w:spacing w:before="20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39841" w14:textId="77777777" w:rsidR="002D0E71" w:rsidRDefault="002D0E71">
    <w:pPr>
      <w:pStyle w:val="Normal3"/>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15AA3BBD" w14:textId="77777777">
      <w:trPr>
        <w:jc w:val="center"/>
      </w:trPr>
      <w:tc>
        <w:tcPr>
          <w:tcW w:w="2600" w:type="dxa"/>
          <w:tcMar>
            <w:top w:w="200" w:type="dxa"/>
          </w:tcMar>
          <w:vAlign w:val="center"/>
        </w:tcPr>
        <w:p w14:paraId="4F166E0E" w14:textId="77777777" w:rsidR="002D0E71" w:rsidRDefault="002D0E71">
          <w:pPr>
            <w:pStyle w:val="Normal3"/>
          </w:pPr>
        </w:p>
      </w:tc>
      <w:tc>
        <w:tcPr>
          <w:tcW w:w="4880" w:type="dxa"/>
          <w:tcMar>
            <w:top w:w="200" w:type="dxa"/>
          </w:tcMar>
          <w:vAlign w:val="center"/>
        </w:tcPr>
        <w:p w14:paraId="2A88E914" w14:textId="77777777" w:rsidR="002D0E71" w:rsidRDefault="002D0E71">
          <w:pPr>
            <w:pStyle w:val="Normal3"/>
            <w:jc w:val="center"/>
          </w:pPr>
        </w:p>
      </w:tc>
      <w:tc>
        <w:tcPr>
          <w:tcW w:w="2600" w:type="dxa"/>
          <w:tcMar>
            <w:top w:w="200" w:type="dxa"/>
          </w:tcMar>
          <w:vAlign w:val="center"/>
        </w:tcPr>
        <w:p w14:paraId="61625D82" w14:textId="77777777" w:rsidR="002D0E71" w:rsidRDefault="002D0E71">
          <w:pPr>
            <w:pStyle w:val="Normal3"/>
          </w:pP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CD7B2" w14:textId="77777777" w:rsidR="002D0E71" w:rsidRDefault="002D0E71">
    <w:pPr>
      <w:pStyle w:val="Normal3"/>
      <w:spacing w:before="200"/>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F9647" w14:textId="77777777" w:rsidR="002D0E71" w:rsidRDefault="002D0E71">
    <w:pPr>
      <w:pStyle w:val="Normal4"/>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65C457A9" w14:textId="77777777">
      <w:trPr>
        <w:jc w:val="center"/>
      </w:trPr>
      <w:tc>
        <w:tcPr>
          <w:tcW w:w="2600" w:type="dxa"/>
          <w:tcMar>
            <w:top w:w="200" w:type="dxa"/>
          </w:tcMar>
          <w:vAlign w:val="center"/>
        </w:tcPr>
        <w:p w14:paraId="71E3A9DD" w14:textId="77777777" w:rsidR="002D0E71" w:rsidRDefault="002D0E71">
          <w:pPr>
            <w:pStyle w:val="Normal4"/>
          </w:pPr>
        </w:p>
      </w:tc>
      <w:tc>
        <w:tcPr>
          <w:tcW w:w="4880" w:type="dxa"/>
          <w:tcMar>
            <w:top w:w="200" w:type="dxa"/>
          </w:tcMar>
          <w:vAlign w:val="center"/>
        </w:tcPr>
        <w:p w14:paraId="45F88729" w14:textId="77777777" w:rsidR="002D0E71" w:rsidRDefault="002D0E71">
          <w:pPr>
            <w:pStyle w:val="Normal4"/>
            <w:jc w:val="center"/>
          </w:pPr>
        </w:p>
      </w:tc>
      <w:tc>
        <w:tcPr>
          <w:tcW w:w="2600" w:type="dxa"/>
          <w:tcMar>
            <w:top w:w="200" w:type="dxa"/>
          </w:tcMar>
          <w:vAlign w:val="center"/>
        </w:tcPr>
        <w:p w14:paraId="6A65FDBE" w14:textId="77777777" w:rsidR="002D0E71" w:rsidRDefault="002D0E71">
          <w:pPr>
            <w:pStyle w:val="Normal4"/>
          </w:pP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73705" w14:textId="77777777" w:rsidR="002D0E71" w:rsidRDefault="002D0E71">
    <w:pPr>
      <w:pStyle w:val="Normal4"/>
      <w:spacing w:before="200"/>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68FAB" w14:textId="77777777" w:rsidR="002D0E71" w:rsidRDefault="002D0E71">
    <w:pPr>
      <w:pStyle w:val="Normal5"/>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779D7ECA" w14:textId="77777777">
      <w:trPr>
        <w:jc w:val="center"/>
      </w:trPr>
      <w:tc>
        <w:tcPr>
          <w:tcW w:w="2600" w:type="dxa"/>
          <w:tcMar>
            <w:top w:w="200" w:type="dxa"/>
          </w:tcMar>
          <w:vAlign w:val="center"/>
        </w:tcPr>
        <w:p w14:paraId="6AADCAE8" w14:textId="77777777" w:rsidR="002D0E71" w:rsidRDefault="002D0E71">
          <w:pPr>
            <w:pStyle w:val="Normal5"/>
          </w:pPr>
        </w:p>
      </w:tc>
      <w:tc>
        <w:tcPr>
          <w:tcW w:w="4880" w:type="dxa"/>
          <w:tcMar>
            <w:top w:w="200" w:type="dxa"/>
          </w:tcMar>
          <w:vAlign w:val="center"/>
        </w:tcPr>
        <w:p w14:paraId="284E21FD" w14:textId="77777777" w:rsidR="002D0E71" w:rsidRDefault="002D0E71">
          <w:pPr>
            <w:pStyle w:val="Normal5"/>
            <w:jc w:val="center"/>
          </w:pPr>
        </w:p>
      </w:tc>
      <w:tc>
        <w:tcPr>
          <w:tcW w:w="2600" w:type="dxa"/>
          <w:tcMar>
            <w:top w:w="200" w:type="dxa"/>
          </w:tcMar>
          <w:vAlign w:val="center"/>
        </w:tcPr>
        <w:p w14:paraId="587ABC7A" w14:textId="77777777" w:rsidR="002D0E71" w:rsidRDefault="002D0E71">
          <w:pPr>
            <w:pStyle w:val="Normal5"/>
          </w:pP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B60F6" w14:textId="77777777" w:rsidR="002D0E71" w:rsidRDefault="002D0E71">
    <w:pPr>
      <w:pStyle w:val="Normal5"/>
      <w:spacing w:before="200"/>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5D030" w14:textId="77777777" w:rsidR="002D0E71" w:rsidRDefault="002D0E71">
    <w:pPr>
      <w:pStyle w:val="Normal6"/>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3A8F4033" w14:textId="77777777">
      <w:trPr>
        <w:jc w:val="center"/>
      </w:trPr>
      <w:tc>
        <w:tcPr>
          <w:tcW w:w="2600" w:type="dxa"/>
          <w:tcMar>
            <w:top w:w="200" w:type="dxa"/>
          </w:tcMar>
          <w:vAlign w:val="center"/>
        </w:tcPr>
        <w:p w14:paraId="4071FEB4" w14:textId="77777777" w:rsidR="002D0E71" w:rsidRDefault="002D0E71">
          <w:pPr>
            <w:pStyle w:val="Normal6"/>
          </w:pPr>
        </w:p>
      </w:tc>
      <w:tc>
        <w:tcPr>
          <w:tcW w:w="4880" w:type="dxa"/>
          <w:tcMar>
            <w:top w:w="200" w:type="dxa"/>
          </w:tcMar>
          <w:vAlign w:val="center"/>
        </w:tcPr>
        <w:p w14:paraId="70451F72" w14:textId="77777777" w:rsidR="002D0E71" w:rsidRDefault="002D0E71">
          <w:pPr>
            <w:pStyle w:val="Normal6"/>
            <w:jc w:val="center"/>
          </w:pPr>
        </w:p>
      </w:tc>
      <w:tc>
        <w:tcPr>
          <w:tcW w:w="2600" w:type="dxa"/>
          <w:tcMar>
            <w:top w:w="200" w:type="dxa"/>
          </w:tcMar>
          <w:vAlign w:val="center"/>
        </w:tcPr>
        <w:p w14:paraId="26D45360" w14:textId="77777777" w:rsidR="002D0E71" w:rsidRDefault="002D0E71">
          <w:pPr>
            <w:pStyle w:val="Normal6"/>
          </w:pPr>
        </w:p>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49358" w14:textId="77777777" w:rsidR="002D0E71" w:rsidRDefault="002D0E71">
    <w:pPr>
      <w:pStyle w:val="Normal6"/>
      <w:spacing w:before="200"/>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157C8" w14:textId="77777777" w:rsidR="002D0E71" w:rsidRDefault="002D0E71">
    <w:pPr>
      <w:pStyle w:val="Normal7"/>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211ADDD2" w14:textId="77777777">
      <w:trPr>
        <w:jc w:val="center"/>
      </w:trPr>
      <w:tc>
        <w:tcPr>
          <w:tcW w:w="2600" w:type="dxa"/>
          <w:tcMar>
            <w:top w:w="200" w:type="dxa"/>
          </w:tcMar>
          <w:vAlign w:val="center"/>
        </w:tcPr>
        <w:p w14:paraId="15E68BC1" w14:textId="77777777" w:rsidR="002D0E71" w:rsidRDefault="002D0E71">
          <w:pPr>
            <w:pStyle w:val="Normal7"/>
          </w:pPr>
        </w:p>
      </w:tc>
      <w:tc>
        <w:tcPr>
          <w:tcW w:w="4880" w:type="dxa"/>
          <w:tcMar>
            <w:top w:w="200" w:type="dxa"/>
          </w:tcMar>
          <w:vAlign w:val="center"/>
        </w:tcPr>
        <w:p w14:paraId="488C3392" w14:textId="77777777" w:rsidR="002D0E71" w:rsidRDefault="002D0E71">
          <w:pPr>
            <w:pStyle w:val="Normal7"/>
            <w:jc w:val="center"/>
          </w:pPr>
        </w:p>
      </w:tc>
      <w:tc>
        <w:tcPr>
          <w:tcW w:w="2600" w:type="dxa"/>
          <w:tcMar>
            <w:top w:w="200" w:type="dxa"/>
          </w:tcMar>
          <w:vAlign w:val="center"/>
        </w:tcPr>
        <w:p w14:paraId="45A33451" w14:textId="77777777" w:rsidR="002D0E71" w:rsidRDefault="002D0E71">
          <w:pPr>
            <w:pStyle w:val="Normal7"/>
          </w:pPr>
        </w:p>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1E03D" w14:textId="77777777" w:rsidR="002D0E71" w:rsidRDefault="002D0E71">
    <w:pPr>
      <w:pStyle w:val="Normal7"/>
      <w:spacing w:before="200"/>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4C4A4" w14:textId="77777777" w:rsidR="002D0E71" w:rsidRDefault="002D0E71">
    <w:pPr>
      <w:pStyle w:val="Normal8"/>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7F25A788" w14:textId="77777777">
      <w:trPr>
        <w:jc w:val="center"/>
      </w:trPr>
      <w:tc>
        <w:tcPr>
          <w:tcW w:w="2600" w:type="dxa"/>
          <w:tcMar>
            <w:top w:w="200" w:type="dxa"/>
          </w:tcMar>
          <w:vAlign w:val="center"/>
        </w:tcPr>
        <w:p w14:paraId="70A862EC" w14:textId="77777777" w:rsidR="002D0E71" w:rsidRDefault="002D0E71">
          <w:pPr>
            <w:pStyle w:val="Normal8"/>
          </w:pPr>
        </w:p>
      </w:tc>
      <w:tc>
        <w:tcPr>
          <w:tcW w:w="4880" w:type="dxa"/>
          <w:tcMar>
            <w:top w:w="200" w:type="dxa"/>
          </w:tcMar>
          <w:vAlign w:val="center"/>
        </w:tcPr>
        <w:p w14:paraId="06E7E283" w14:textId="77777777" w:rsidR="002D0E71" w:rsidRDefault="002D0E71">
          <w:pPr>
            <w:pStyle w:val="Normal8"/>
            <w:jc w:val="center"/>
          </w:pPr>
        </w:p>
      </w:tc>
      <w:tc>
        <w:tcPr>
          <w:tcW w:w="2600" w:type="dxa"/>
          <w:tcMar>
            <w:top w:w="200" w:type="dxa"/>
          </w:tcMar>
          <w:vAlign w:val="center"/>
        </w:tcPr>
        <w:p w14:paraId="08E97477" w14:textId="77777777" w:rsidR="002D0E71" w:rsidRDefault="002D0E71">
          <w:pPr>
            <w:pStyle w:val="Normal8"/>
          </w:pPr>
        </w:p>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F7EE6" w14:textId="77777777" w:rsidR="002D0E71" w:rsidRDefault="002D0E71">
    <w:pPr>
      <w:pStyle w:val="Normal8"/>
      <w:spacing w:before="200"/>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83959" w14:textId="77777777" w:rsidR="002D0E71" w:rsidRDefault="002D0E71">
    <w:pPr>
      <w:pStyle w:val="Normal9"/>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1F151AF0" w14:textId="77777777">
      <w:trPr>
        <w:jc w:val="center"/>
      </w:trPr>
      <w:tc>
        <w:tcPr>
          <w:tcW w:w="2600" w:type="dxa"/>
          <w:tcMar>
            <w:top w:w="200" w:type="dxa"/>
          </w:tcMar>
          <w:vAlign w:val="center"/>
        </w:tcPr>
        <w:p w14:paraId="02CD63C5" w14:textId="77777777" w:rsidR="002D0E71" w:rsidRDefault="002D0E71">
          <w:pPr>
            <w:pStyle w:val="Normal9"/>
          </w:pPr>
        </w:p>
      </w:tc>
      <w:tc>
        <w:tcPr>
          <w:tcW w:w="4880" w:type="dxa"/>
          <w:tcMar>
            <w:top w:w="200" w:type="dxa"/>
          </w:tcMar>
          <w:vAlign w:val="center"/>
        </w:tcPr>
        <w:p w14:paraId="1C792F12" w14:textId="77777777" w:rsidR="002D0E71" w:rsidRDefault="002D0E71">
          <w:pPr>
            <w:pStyle w:val="Normal9"/>
            <w:jc w:val="center"/>
          </w:pPr>
        </w:p>
      </w:tc>
      <w:tc>
        <w:tcPr>
          <w:tcW w:w="2600" w:type="dxa"/>
          <w:tcMar>
            <w:top w:w="200" w:type="dxa"/>
          </w:tcMar>
          <w:vAlign w:val="center"/>
        </w:tcPr>
        <w:p w14:paraId="700F8959" w14:textId="77777777" w:rsidR="002D0E71" w:rsidRDefault="002D0E71">
          <w:pPr>
            <w:pStyle w:val="Normal9"/>
          </w:pPr>
        </w:p>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97DCC" w14:textId="77777777" w:rsidR="002D0E71" w:rsidRDefault="002D0E71">
    <w:pPr>
      <w:pStyle w:val="Normal9"/>
      <w:spacing w:before="200"/>
      <w:jc w:val="cen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8399F" w14:textId="77777777" w:rsidR="002D0E71" w:rsidRDefault="002D0E71">
    <w:pPr>
      <w:pStyle w:val="Normal1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03CF7415" w14:textId="77777777">
      <w:trPr>
        <w:jc w:val="center"/>
      </w:trPr>
      <w:tc>
        <w:tcPr>
          <w:tcW w:w="2600" w:type="dxa"/>
          <w:tcMar>
            <w:top w:w="200" w:type="dxa"/>
          </w:tcMar>
          <w:vAlign w:val="center"/>
        </w:tcPr>
        <w:p w14:paraId="2AE2BDFF" w14:textId="77777777" w:rsidR="002D0E71" w:rsidRDefault="002D0E71">
          <w:pPr>
            <w:pStyle w:val="Normal10"/>
          </w:pPr>
        </w:p>
      </w:tc>
      <w:tc>
        <w:tcPr>
          <w:tcW w:w="4880" w:type="dxa"/>
          <w:tcMar>
            <w:top w:w="200" w:type="dxa"/>
          </w:tcMar>
          <w:vAlign w:val="center"/>
        </w:tcPr>
        <w:p w14:paraId="579FAA1D" w14:textId="77777777" w:rsidR="002D0E71" w:rsidRDefault="002D0E71">
          <w:pPr>
            <w:pStyle w:val="Normal10"/>
            <w:jc w:val="center"/>
          </w:pPr>
        </w:p>
      </w:tc>
      <w:tc>
        <w:tcPr>
          <w:tcW w:w="2600" w:type="dxa"/>
          <w:tcMar>
            <w:top w:w="200" w:type="dxa"/>
          </w:tcMar>
          <w:vAlign w:val="center"/>
        </w:tcPr>
        <w:p w14:paraId="234E0982" w14:textId="77777777" w:rsidR="002D0E71" w:rsidRDefault="002D0E71">
          <w:pPr>
            <w:pStyle w:val="Normal10"/>
          </w:pPr>
        </w:p>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36593" w14:textId="77777777" w:rsidR="002D0E71" w:rsidRDefault="002D0E71">
    <w:pPr>
      <w:pStyle w:val="Normal10"/>
      <w:spacing w:before="200"/>
      <w:jc w:val="cen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4D1EE" w14:textId="77777777" w:rsidR="002D0E71" w:rsidRDefault="002D0E71">
    <w:pPr>
      <w:pStyle w:val="Normal11"/>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22AA953E" w14:textId="77777777">
      <w:trPr>
        <w:jc w:val="center"/>
      </w:trPr>
      <w:tc>
        <w:tcPr>
          <w:tcW w:w="2600" w:type="dxa"/>
          <w:tcMar>
            <w:top w:w="200" w:type="dxa"/>
          </w:tcMar>
          <w:vAlign w:val="center"/>
        </w:tcPr>
        <w:p w14:paraId="7AD16481" w14:textId="77777777" w:rsidR="002D0E71" w:rsidRDefault="002D0E71">
          <w:pPr>
            <w:pStyle w:val="Normal11"/>
          </w:pPr>
        </w:p>
      </w:tc>
      <w:tc>
        <w:tcPr>
          <w:tcW w:w="4880" w:type="dxa"/>
          <w:tcMar>
            <w:top w:w="200" w:type="dxa"/>
          </w:tcMar>
          <w:vAlign w:val="center"/>
        </w:tcPr>
        <w:p w14:paraId="4E0997D5" w14:textId="77777777" w:rsidR="002D0E71" w:rsidRDefault="002D0E71">
          <w:pPr>
            <w:pStyle w:val="Normal11"/>
            <w:jc w:val="center"/>
          </w:pPr>
        </w:p>
      </w:tc>
      <w:tc>
        <w:tcPr>
          <w:tcW w:w="2600" w:type="dxa"/>
          <w:tcMar>
            <w:top w:w="200" w:type="dxa"/>
          </w:tcMar>
          <w:vAlign w:val="center"/>
        </w:tcPr>
        <w:p w14:paraId="6112A0AA" w14:textId="77777777" w:rsidR="002D0E71" w:rsidRDefault="002D0E71">
          <w:pPr>
            <w:pStyle w:val="Normal11"/>
          </w:pPr>
        </w:p>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8FA4A" w14:textId="77777777" w:rsidR="002D0E71" w:rsidRDefault="002D0E71">
    <w:pPr>
      <w:pStyle w:val="Normal11"/>
      <w:spacing w:before="200"/>
      <w:jc w:val="cen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A7B0B" w14:textId="77777777" w:rsidR="002D0E71" w:rsidRDefault="002D0E71">
    <w:pPr>
      <w:pStyle w:val="Normal12"/>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22B2B8A3" w14:textId="77777777">
      <w:trPr>
        <w:jc w:val="center"/>
      </w:trPr>
      <w:tc>
        <w:tcPr>
          <w:tcW w:w="2600" w:type="dxa"/>
          <w:tcMar>
            <w:top w:w="200" w:type="dxa"/>
          </w:tcMar>
          <w:vAlign w:val="center"/>
        </w:tcPr>
        <w:p w14:paraId="7BBCB057" w14:textId="77777777" w:rsidR="002D0E71" w:rsidRDefault="002D0E71">
          <w:pPr>
            <w:pStyle w:val="Normal12"/>
          </w:pPr>
        </w:p>
      </w:tc>
      <w:tc>
        <w:tcPr>
          <w:tcW w:w="4880" w:type="dxa"/>
          <w:tcMar>
            <w:top w:w="200" w:type="dxa"/>
          </w:tcMar>
          <w:vAlign w:val="center"/>
        </w:tcPr>
        <w:p w14:paraId="10C60520" w14:textId="77777777" w:rsidR="002D0E71" w:rsidRDefault="002D0E71">
          <w:pPr>
            <w:pStyle w:val="Normal12"/>
            <w:jc w:val="center"/>
          </w:pPr>
        </w:p>
      </w:tc>
      <w:tc>
        <w:tcPr>
          <w:tcW w:w="2600" w:type="dxa"/>
          <w:tcMar>
            <w:top w:w="200" w:type="dxa"/>
          </w:tcMar>
          <w:vAlign w:val="center"/>
        </w:tcPr>
        <w:p w14:paraId="17BF587F" w14:textId="77777777" w:rsidR="002D0E71" w:rsidRDefault="002D0E71">
          <w:pPr>
            <w:pStyle w:val="Normal12"/>
          </w:pPr>
        </w:p>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57AAD" w14:textId="77777777" w:rsidR="002D0E71" w:rsidRDefault="002D0E71">
    <w:pPr>
      <w:pStyle w:val="Normal12"/>
      <w:spacing w:before="200"/>
      <w:jc w:val="cen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BBD2D" w14:textId="77777777" w:rsidR="002D0E71" w:rsidRDefault="002D0E71">
    <w:pPr>
      <w:pStyle w:val="Normal13"/>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74FDF5E9" w14:textId="77777777">
      <w:trPr>
        <w:jc w:val="center"/>
      </w:trPr>
      <w:tc>
        <w:tcPr>
          <w:tcW w:w="2600" w:type="dxa"/>
          <w:tcMar>
            <w:top w:w="200" w:type="dxa"/>
          </w:tcMar>
          <w:vAlign w:val="center"/>
        </w:tcPr>
        <w:p w14:paraId="05A2AAAA" w14:textId="77777777" w:rsidR="002D0E71" w:rsidRDefault="002D0E71">
          <w:pPr>
            <w:pStyle w:val="Normal13"/>
          </w:pPr>
        </w:p>
      </w:tc>
      <w:tc>
        <w:tcPr>
          <w:tcW w:w="4880" w:type="dxa"/>
          <w:tcMar>
            <w:top w:w="200" w:type="dxa"/>
          </w:tcMar>
          <w:vAlign w:val="center"/>
        </w:tcPr>
        <w:p w14:paraId="4C79FF0B" w14:textId="77777777" w:rsidR="002D0E71" w:rsidRDefault="002D0E71">
          <w:pPr>
            <w:pStyle w:val="Normal13"/>
            <w:jc w:val="center"/>
          </w:pPr>
        </w:p>
      </w:tc>
      <w:tc>
        <w:tcPr>
          <w:tcW w:w="2600" w:type="dxa"/>
          <w:tcMar>
            <w:top w:w="200" w:type="dxa"/>
          </w:tcMar>
          <w:vAlign w:val="center"/>
        </w:tcPr>
        <w:p w14:paraId="7F3A272D" w14:textId="77777777" w:rsidR="002D0E71" w:rsidRDefault="002D0E71">
          <w:pPr>
            <w:pStyle w:val="Normal13"/>
          </w:pPr>
        </w:p>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8EF96" w14:textId="77777777" w:rsidR="002D0E71" w:rsidRDefault="002D0E71">
    <w:pPr>
      <w:pStyle w:val="Normal13"/>
      <w:spacing w:before="200"/>
      <w:jc w:val="cen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06A24" w14:textId="77777777" w:rsidR="002D0E71" w:rsidRDefault="002D0E71">
    <w:pPr>
      <w:pStyle w:val="Normal14"/>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4701CD78" w14:textId="77777777">
      <w:trPr>
        <w:jc w:val="center"/>
      </w:trPr>
      <w:tc>
        <w:tcPr>
          <w:tcW w:w="2600" w:type="dxa"/>
          <w:tcMar>
            <w:top w:w="200" w:type="dxa"/>
          </w:tcMar>
          <w:vAlign w:val="center"/>
        </w:tcPr>
        <w:p w14:paraId="0FDE6485" w14:textId="77777777" w:rsidR="002D0E71" w:rsidRDefault="002D0E71">
          <w:pPr>
            <w:pStyle w:val="Normal14"/>
          </w:pPr>
        </w:p>
      </w:tc>
      <w:tc>
        <w:tcPr>
          <w:tcW w:w="4880" w:type="dxa"/>
          <w:tcMar>
            <w:top w:w="200" w:type="dxa"/>
          </w:tcMar>
          <w:vAlign w:val="center"/>
        </w:tcPr>
        <w:p w14:paraId="61C2FE8F" w14:textId="77777777" w:rsidR="002D0E71" w:rsidRDefault="002D0E71">
          <w:pPr>
            <w:pStyle w:val="Normal14"/>
            <w:jc w:val="center"/>
          </w:pPr>
        </w:p>
      </w:tc>
      <w:tc>
        <w:tcPr>
          <w:tcW w:w="2600" w:type="dxa"/>
          <w:tcMar>
            <w:top w:w="200" w:type="dxa"/>
          </w:tcMar>
          <w:vAlign w:val="center"/>
        </w:tcPr>
        <w:p w14:paraId="10AC8F4A" w14:textId="77777777" w:rsidR="002D0E71" w:rsidRDefault="002D0E71">
          <w:pPr>
            <w:pStyle w:val="Normal14"/>
          </w:pPr>
        </w:p>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4CB24" w14:textId="77777777" w:rsidR="002D0E71" w:rsidRDefault="002D0E71">
    <w:pPr>
      <w:pStyle w:val="Normal14"/>
      <w:spacing w:before="200"/>
      <w:jc w:val="cen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AA8D8" w14:textId="77777777" w:rsidR="002D0E71" w:rsidRDefault="002D0E71">
    <w:pPr>
      <w:pStyle w:val="Normal15"/>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5F6FBBD9" w14:textId="77777777">
      <w:trPr>
        <w:jc w:val="center"/>
      </w:trPr>
      <w:tc>
        <w:tcPr>
          <w:tcW w:w="2600" w:type="dxa"/>
          <w:tcMar>
            <w:top w:w="200" w:type="dxa"/>
          </w:tcMar>
          <w:vAlign w:val="center"/>
        </w:tcPr>
        <w:p w14:paraId="2DCB46A2" w14:textId="77777777" w:rsidR="002D0E71" w:rsidRDefault="002D0E71">
          <w:pPr>
            <w:pStyle w:val="Normal15"/>
          </w:pPr>
        </w:p>
      </w:tc>
      <w:tc>
        <w:tcPr>
          <w:tcW w:w="4880" w:type="dxa"/>
          <w:tcMar>
            <w:top w:w="200" w:type="dxa"/>
          </w:tcMar>
          <w:vAlign w:val="center"/>
        </w:tcPr>
        <w:p w14:paraId="6A61937C" w14:textId="77777777" w:rsidR="002D0E71" w:rsidRDefault="002D0E71">
          <w:pPr>
            <w:pStyle w:val="Normal15"/>
            <w:jc w:val="center"/>
          </w:pPr>
        </w:p>
      </w:tc>
      <w:tc>
        <w:tcPr>
          <w:tcW w:w="2600" w:type="dxa"/>
          <w:tcMar>
            <w:top w:w="200" w:type="dxa"/>
          </w:tcMar>
          <w:vAlign w:val="center"/>
        </w:tcPr>
        <w:p w14:paraId="3C63E5B2" w14:textId="77777777" w:rsidR="002D0E71" w:rsidRDefault="002D0E71">
          <w:pPr>
            <w:pStyle w:val="Normal15"/>
          </w:pPr>
        </w:p>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ED16A" w14:textId="77777777" w:rsidR="002D0E71" w:rsidRDefault="002D0E71">
    <w:pPr>
      <w:pStyle w:val="Normal15"/>
      <w:spacing w:before="200"/>
      <w:jc w:val="cen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F4AF3" w14:textId="77777777" w:rsidR="002D0E71" w:rsidRDefault="002D0E71">
    <w:pPr>
      <w:pStyle w:val="Normal16"/>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0C18F3DD" w14:textId="77777777">
      <w:trPr>
        <w:jc w:val="center"/>
      </w:trPr>
      <w:tc>
        <w:tcPr>
          <w:tcW w:w="2600" w:type="dxa"/>
          <w:tcMar>
            <w:top w:w="200" w:type="dxa"/>
          </w:tcMar>
          <w:vAlign w:val="center"/>
        </w:tcPr>
        <w:p w14:paraId="2A16A53E" w14:textId="77777777" w:rsidR="002D0E71" w:rsidRDefault="002D0E71">
          <w:pPr>
            <w:pStyle w:val="Normal16"/>
          </w:pPr>
        </w:p>
      </w:tc>
      <w:tc>
        <w:tcPr>
          <w:tcW w:w="4880" w:type="dxa"/>
          <w:tcMar>
            <w:top w:w="200" w:type="dxa"/>
          </w:tcMar>
          <w:vAlign w:val="center"/>
        </w:tcPr>
        <w:p w14:paraId="41CDF31F" w14:textId="77777777" w:rsidR="002D0E71" w:rsidRDefault="002D0E71">
          <w:pPr>
            <w:pStyle w:val="Normal16"/>
            <w:jc w:val="center"/>
          </w:pPr>
        </w:p>
      </w:tc>
      <w:tc>
        <w:tcPr>
          <w:tcW w:w="2600" w:type="dxa"/>
          <w:tcMar>
            <w:top w:w="200" w:type="dxa"/>
          </w:tcMar>
          <w:vAlign w:val="center"/>
        </w:tcPr>
        <w:p w14:paraId="14F4BD90" w14:textId="77777777" w:rsidR="002D0E71" w:rsidRDefault="002D0E71">
          <w:pPr>
            <w:pStyle w:val="Normal16"/>
          </w:pPr>
        </w:p>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4A7BF" w14:textId="77777777" w:rsidR="002D0E71" w:rsidRDefault="002D0E71">
    <w:pPr>
      <w:pStyle w:val="Normal16"/>
      <w:spacing w:before="200"/>
      <w:jc w:val="cen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323EA" w14:textId="77777777" w:rsidR="002D0E71" w:rsidRDefault="002D0E71">
    <w:pPr>
      <w:pStyle w:val="Normal17"/>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45626ADB" w14:textId="77777777">
      <w:trPr>
        <w:jc w:val="center"/>
      </w:trPr>
      <w:tc>
        <w:tcPr>
          <w:tcW w:w="2600" w:type="dxa"/>
          <w:tcMar>
            <w:top w:w="200" w:type="dxa"/>
          </w:tcMar>
          <w:vAlign w:val="center"/>
        </w:tcPr>
        <w:p w14:paraId="174048A5" w14:textId="77777777" w:rsidR="002D0E71" w:rsidRDefault="002D0E71">
          <w:pPr>
            <w:pStyle w:val="Normal17"/>
          </w:pPr>
        </w:p>
      </w:tc>
      <w:tc>
        <w:tcPr>
          <w:tcW w:w="4880" w:type="dxa"/>
          <w:tcMar>
            <w:top w:w="200" w:type="dxa"/>
          </w:tcMar>
          <w:vAlign w:val="center"/>
        </w:tcPr>
        <w:p w14:paraId="182F9412" w14:textId="77777777" w:rsidR="002D0E71" w:rsidRDefault="002D0E71">
          <w:pPr>
            <w:pStyle w:val="Normal17"/>
            <w:jc w:val="center"/>
          </w:pPr>
        </w:p>
      </w:tc>
      <w:tc>
        <w:tcPr>
          <w:tcW w:w="2600" w:type="dxa"/>
          <w:tcMar>
            <w:top w:w="200" w:type="dxa"/>
          </w:tcMar>
          <w:vAlign w:val="center"/>
        </w:tcPr>
        <w:p w14:paraId="74503DDE" w14:textId="77777777" w:rsidR="002D0E71" w:rsidRDefault="002D0E71">
          <w:pPr>
            <w:pStyle w:val="Normal17"/>
          </w:pPr>
        </w:p>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31CEE" w14:textId="77777777" w:rsidR="002D0E71" w:rsidRDefault="002D0E71">
    <w:pPr>
      <w:pStyle w:val="Normal17"/>
      <w:spacing w:before="200"/>
      <w:jc w:val="cen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E4969" w14:textId="77777777" w:rsidR="002D0E71" w:rsidRDefault="002D0E71">
    <w:pPr>
      <w:pStyle w:val="Normal18"/>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0C937E5A" w14:textId="77777777">
      <w:trPr>
        <w:jc w:val="center"/>
      </w:trPr>
      <w:tc>
        <w:tcPr>
          <w:tcW w:w="2600" w:type="dxa"/>
          <w:tcMar>
            <w:top w:w="200" w:type="dxa"/>
          </w:tcMar>
          <w:vAlign w:val="center"/>
        </w:tcPr>
        <w:p w14:paraId="440D2A82" w14:textId="77777777" w:rsidR="002D0E71" w:rsidRDefault="002D0E71">
          <w:pPr>
            <w:pStyle w:val="Normal18"/>
          </w:pPr>
        </w:p>
      </w:tc>
      <w:tc>
        <w:tcPr>
          <w:tcW w:w="4880" w:type="dxa"/>
          <w:tcMar>
            <w:top w:w="200" w:type="dxa"/>
          </w:tcMar>
          <w:vAlign w:val="center"/>
        </w:tcPr>
        <w:p w14:paraId="48249C76" w14:textId="77777777" w:rsidR="002D0E71" w:rsidRDefault="002D0E71">
          <w:pPr>
            <w:pStyle w:val="Normal18"/>
            <w:jc w:val="center"/>
          </w:pPr>
        </w:p>
      </w:tc>
      <w:tc>
        <w:tcPr>
          <w:tcW w:w="2600" w:type="dxa"/>
          <w:tcMar>
            <w:top w:w="200" w:type="dxa"/>
          </w:tcMar>
          <w:vAlign w:val="center"/>
        </w:tcPr>
        <w:p w14:paraId="3F932F89" w14:textId="77777777" w:rsidR="002D0E71" w:rsidRDefault="002D0E71">
          <w:pPr>
            <w:pStyle w:val="Normal18"/>
          </w:pPr>
        </w:p>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EA408" w14:textId="77777777" w:rsidR="002D0E71" w:rsidRDefault="002D0E71">
    <w:pPr>
      <w:pStyle w:val="Normal18"/>
      <w:spacing w:before="200"/>
      <w:jc w:val="cen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EE591" w14:textId="77777777" w:rsidR="002D0E71" w:rsidRDefault="002D0E71">
    <w:pPr>
      <w:pStyle w:val="Normal19"/>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4E623462" w14:textId="77777777">
      <w:trPr>
        <w:jc w:val="center"/>
      </w:trPr>
      <w:tc>
        <w:tcPr>
          <w:tcW w:w="2600" w:type="dxa"/>
          <w:tcMar>
            <w:top w:w="200" w:type="dxa"/>
          </w:tcMar>
          <w:vAlign w:val="center"/>
        </w:tcPr>
        <w:p w14:paraId="4CDB352D" w14:textId="77777777" w:rsidR="002D0E71" w:rsidRDefault="002D0E71">
          <w:pPr>
            <w:pStyle w:val="Normal19"/>
          </w:pPr>
        </w:p>
      </w:tc>
      <w:tc>
        <w:tcPr>
          <w:tcW w:w="4880" w:type="dxa"/>
          <w:tcMar>
            <w:top w:w="200" w:type="dxa"/>
          </w:tcMar>
          <w:vAlign w:val="center"/>
        </w:tcPr>
        <w:p w14:paraId="1093E913" w14:textId="77777777" w:rsidR="002D0E71" w:rsidRDefault="002D0E71">
          <w:pPr>
            <w:pStyle w:val="Normal19"/>
            <w:jc w:val="center"/>
          </w:pPr>
        </w:p>
      </w:tc>
      <w:tc>
        <w:tcPr>
          <w:tcW w:w="2600" w:type="dxa"/>
          <w:tcMar>
            <w:top w:w="200" w:type="dxa"/>
          </w:tcMar>
          <w:vAlign w:val="center"/>
        </w:tcPr>
        <w:p w14:paraId="15613CB2" w14:textId="77777777" w:rsidR="002D0E71" w:rsidRDefault="002D0E71">
          <w:pPr>
            <w:pStyle w:val="Normal19"/>
          </w:pPr>
        </w:p>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95EAD" w14:textId="77777777" w:rsidR="002D0E71" w:rsidRDefault="002D0E71">
    <w:pPr>
      <w:pStyle w:val="Normal19"/>
      <w:spacing w:before="200"/>
      <w:jc w:val="cen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6B33B" w14:textId="77777777" w:rsidR="002D0E71" w:rsidRDefault="002D0E71">
    <w:pPr>
      <w:pStyle w:val="Normal2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1D978D4A" w14:textId="77777777">
      <w:trPr>
        <w:jc w:val="center"/>
      </w:trPr>
      <w:tc>
        <w:tcPr>
          <w:tcW w:w="2600" w:type="dxa"/>
          <w:tcMar>
            <w:top w:w="200" w:type="dxa"/>
          </w:tcMar>
          <w:vAlign w:val="center"/>
        </w:tcPr>
        <w:p w14:paraId="09EB2642" w14:textId="77777777" w:rsidR="002D0E71" w:rsidRDefault="002D0E71">
          <w:pPr>
            <w:pStyle w:val="Normal20"/>
          </w:pPr>
        </w:p>
      </w:tc>
      <w:tc>
        <w:tcPr>
          <w:tcW w:w="4880" w:type="dxa"/>
          <w:tcMar>
            <w:top w:w="200" w:type="dxa"/>
          </w:tcMar>
          <w:vAlign w:val="center"/>
        </w:tcPr>
        <w:p w14:paraId="1D276ED2" w14:textId="77777777" w:rsidR="002D0E71" w:rsidRDefault="002D0E71">
          <w:pPr>
            <w:pStyle w:val="Normal20"/>
            <w:jc w:val="center"/>
          </w:pPr>
        </w:p>
      </w:tc>
      <w:tc>
        <w:tcPr>
          <w:tcW w:w="2600" w:type="dxa"/>
          <w:tcMar>
            <w:top w:w="200" w:type="dxa"/>
          </w:tcMar>
          <w:vAlign w:val="center"/>
        </w:tcPr>
        <w:p w14:paraId="0CD334A6" w14:textId="77777777" w:rsidR="002D0E71" w:rsidRDefault="002D0E71">
          <w:pPr>
            <w:pStyle w:val="Normal20"/>
          </w:pPr>
        </w:p>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003E1" w14:textId="77777777" w:rsidR="002D0E71" w:rsidRDefault="002D0E71">
    <w:pPr>
      <w:pStyle w:val="Normal20"/>
      <w:spacing w:before="200"/>
      <w:jc w:val="cente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F12F5" w14:textId="77777777" w:rsidR="002D0E71" w:rsidRDefault="002D0E71">
    <w:pPr>
      <w:pStyle w:val="Normal21"/>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0196C573" w14:textId="77777777">
      <w:trPr>
        <w:jc w:val="center"/>
      </w:trPr>
      <w:tc>
        <w:tcPr>
          <w:tcW w:w="2600" w:type="dxa"/>
          <w:tcMar>
            <w:top w:w="200" w:type="dxa"/>
          </w:tcMar>
          <w:vAlign w:val="center"/>
        </w:tcPr>
        <w:p w14:paraId="5C7AEE27" w14:textId="77777777" w:rsidR="002D0E71" w:rsidRDefault="002D0E71">
          <w:pPr>
            <w:pStyle w:val="Normal21"/>
          </w:pPr>
        </w:p>
      </w:tc>
      <w:tc>
        <w:tcPr>
          <w:tcW w:w="4880" w:type="dxa"/>
          <w:tcMar>
            <w:top w:w="200" w:type="dxa"/>
          </w:tcMar>
          <w:vAlign w:val="center"/>
        </w:tcPr>
        <w:p w14:paraId="730F2E39" w14:textId="77777777" w:rsidR="002D0E71" w:rsidRDefault="002D0E71">
          <w:pPr>
            <w:pStyle w:val="Normal21"/>
            <w:jc w:val="center"/>
          </w:pPr>
        </w:p>
      </w:tc>
      <w:tc>
        <w:tcPr>
          <w:tcW w:w="2600" w:type="dxa"/>
          <w:tcMar>
            <w:top w:w="200" w:type="dxa"/>
          </w:tcMar>
          <w:vAlign w:val="center"/>
        </w:tcPr>
        <w:p w14:paraId="286D3BAB" w14:textId="77777777" w:rsidR="002D0E71" w:rsidRDefault="002D0E71">
          <w:pPr>
            <w:pStyle w:val="Normal21"/>
          </w:pPr>
        </w:p>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DF0D2" w14:textId="77777777" w:rsidR="002D0E71" w:rsidRDefault="002D0E71">
    <w:pPr>
      <w:pStyle w:val="Normal21"/>
      <w:spacing w:before="200"/>
      <w:jc w:val="cen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FC247" w14:textId="77777777" w:rsidR="002D0E71" w:rsidRDefault="002D0E71">
    <w:pPr>
      <w:pStyle w:val="Normal22"/>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0F2E2ECE" w14:textId="77777777">
      <w:trPr>
        <w:jc w:val="center"/>
      </w:trPr>
      <w:tc>
        <w:tcPr>
          <w:tcW w:w="2600" w:type="dxa"/>
          <w:tcMar>
            <w:top w:w="200" w:type="dxa"/>
          </w:tcMar>
          <w:vAlign w:val="center"/>
        </w:tcPr>
        <w:p w14:paraId="4E6CBAB1" w14:textId="77777777" w:rsidR="002D0E71" w:rsidRDefault="002D0E71">
          <w:pPr>
            <w:pStyle w:val="Normal22"/>
          </w:pPr>
        </w:p>
      </w:tc>
      <w:tc>
        <w:tcPr>
          <w:tcW w:w="4880" w:type="dxa"/>
          <w:tcMar>
            <w:top w:w="200" w:type="dxa"/>
          </w:tcMar>
          <w:vAlign w:val="center"/>
        </w:tcPr>
        <w:p w14:paraId="3C430014" w14:textId="77777777" w:rsidR="002D0E71" w:rsidRDefault="002D0E71">
          <w:pPr>
            <w:pStyle w:val="Normal22"/>
            <w:jc w:val="center"/>
          </w:pPr>
        </w:p>
      </w:tc>
      <w:tc>
        <w:tcPr>
          <w:tcW w:w="2600" w:type="dxa"/>
          <w:tcMar>
            <w:top w:w="200" w:type="dxa"/>
          </w:tcMar>
          <w:vAlign w:val="center"/>
        </w:tcPr>
        <w:p w14:paraId="7166C8B1" w14:textId="77777777" w:rsidR="002D0E71" w:rsidRDefault="002D0E71">
          <w:pPr>
            <w:pStyle w:val="Normal22"/>
          </w:pPr>
        </w:p>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39A6F" w14:textId="77777777" w:rsidR="002D0E71" w:rsidRDefault="002D0E71">
    <w:pPr>
      <w:pStyle w:val="Normal22"/>
      <w:spacing w:before="200"/>
      <w:jc w:val="cente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FDCC6" w14:textId="77777777" w:rsidR="002D0E71" w:rsidRDefault="002D0E71">
    <w:pPr>
      <w:pStyle w:val="Normal23"/>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3FDAF2AD" w14:textId="77777777">
      <w:trPr>
        <w:jc w:val="center"/>
      </w:trPr>
      <w:tc>
        <w:tcPr>
          <w:tcW w:w="2600" w:type="dxa"/>
          <w:tcMar>
            <w:top w:w="200" w:type="dxa"/>
          </w:tcMar>
          <w:vAlign w:val="center"/>
        </w:tcPr>
        <w:p w14:paraId="7134C9DA" w14:textId="77777777" w:rsidR="002D0E71" w:rsidRDefault="002D0E71">
          <w:pPr>
            <w:pStyle w:val="Normal23"/>
          </w:pPr>
        </w:p>
      </w:tc>
      <w:tc>
        <w:tcPr>
          <w:tcW w:w="4880" w:type="dxa"/>
          <w:tcMar>
            <w:top w:w="200" w:type="dxa"/>
          </w:tcMar>
          <w:vAlign w:val="center"/>
        </w:tcPr>
        <w:p w14:paraId="1130B340" w14:textId="77777777" w:rsidR="002D0E71" w:rsidRDefault="002D0E71">
          <w:pPr>
            <w:pStyle w:val="Normal23"/>
            <w:jc w:val="center"/>
          </w:pPr>
        </w:p>
      </w:tc>
      <w:tc>
        <w:tcPr>
          <w:tcW w:w="2600" w:type="dxa"/>
          <w:tcMar>
            <w:top w:w="200" w:type="dxa"/>
          </w:tcMar>
          <w:vAlign w:val="center"/>
        </w:tcPr>
        <w:p w14:paraId="145945E4" w14:textId="77777777" w:rsidR="002D0E71" w:rsidRDefault="002D0E71">
          <w:pPr>
            <w:pStyle w:val="Normal23"/>
          </w:pPr>
        </w:p>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FEAFB" w14:textId="77777777" w:rsidR="002D0E71" w:rsidRDefault="002D0E71">
    <w:pPr>
      <w:pStyle w:val="Normal23"/>
      <w:spacing w:before="200"/>
      <w:jc w:val="cente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28FBA" w14:textId="77777777" w:rsidR="002D0E71" w:rsidRDefault="002D0E71">
    <w:pPr>
      <w:pStyle w:val="Normal24"/>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068DF475" w14:textId="77777777">
      <w:trPr>
        <w:jc w:val="center"/>
      </w:trPr>
      <w:tc>
        <w:tcPr>
          <w:tcW w:w="2600" w:type="dxa"/>
          <w:tcMar>
            <w:top w:w="200" w:type="dxa"/>
          </w:tcMar>
          <w:vAlign w:val="center"/>
        </w:tcPr>
        <w:p w14:paraId="78825DAC" w14:textId="77777777" w:rsidR="002D0E71" w:rsidRDefault="002D0E71">
          <w:pPr>
            <w:pStyle w:val="Normal24"/>
          </w:pPr>
        </w:p>
      </w:tc>
      <w:tc>
        <w:tcPr>
          <w:tcW w:w="4880" w:type="dxa"/>
          <w:tcMar>
            <w:top w:w="200" w:type="dxa"/>
          </w:tcMar>
          <w:vAlign w:val="center"/>
        </w:tcPr>
        <w:p w14:paraId="3C509229" w14:textId="77777777" w:rsidR="002D0E71" w:rsidRDefault="002D0E71">
          <w:pPr>
            <w:pStyle w:val="Normal24"/>
            <w:jc w:val="center"/>
          </w:pPr>
        </w:p>
      </w:tc>
      <w:tc>
        <w:tcPr>
          <w:tcW w:w="2600" w:type="dxa"/>
          <w:tcMar>
            <w:top w:w="200" w:type="dxa"/>
          </w:tcMar>
          <w:vAlign w:val="center"/>
        </w:tcPr>
        <w:p w14:paraId="7A040057" w14:textId="77777777" w:rsidR="002D0E71" w:rsidRDefault="002D0E71">
          <w:pPr>
            <w:pStyle w:val="Normal24"/>
          </w:pPr>
        </w:p>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57603" w14:textId="77777777" w:rsidR="002D0E71" w:rsidRDefault="002D0E71">
    <w:pPr>
      <w:pStyle w:val="Normal24"/>
      <w:spacing w:before="200"/>
      <w:jc w:val="cente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65FFB" w14:textId="77777777" w:rsidR="002D0E71" w:rsidRDefault="002D0E71">
    <w:pPr>
      <w:pStyle w:val="Normal25"/>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59D95C39" w14:textId="77777777">
      <w:trPr>
        <w:jc w:val="center"/>
      </w:trPr>
      <w:tc>
        <w:tcPr>
          <w:tcW w:w="2600" w:type="dxa"/>
          <w:tcMar>
            <w:top w:w="200" w:type="dxa"/>
          </w:tcMar>
          <w:vAlign w:val="center"/>
        </w:tcPr>
        <w:p w14:paraId="671A9A59" w14:textId="77777777" w:rsidR="002D0E71" w:rsidRDefault="002D0E71">
          <w:pPr>
            <w:pStyle w:val="Normal25"/>
          </w:pPr>
        </w:p>
      </w:tc>
      <w:tc>
        <w:tcPr>
          <w:tcW w:w="4880" w:type="dxa"/>
          <w:tcMar>
            <w:top w:w="200" w:type="dxa"/>
          </w:tcMar>
          <w:vAlign w:val="center"/>
        </w:tcPr>
        <w:p w14:paraId="02A02C97" w14:textId="77777777" w:rsidR="002D0E71" w:rsidRDefault="002D0E71">
          <w:pPr>
            <w:pStyle w:val="Normal25"/>
            <w:jc w:val="center"/>
          </w:pPr>
        </w:p>
      </w:tc>
      <w:tc>
        <w:tcPr>
          <w:tcW w:w="2600" w:type="dxa"/>
          <w:tcMar>
            <w:top w:w="200" w:type="dxa"/>
          </w:tcMar>
          <w:vAlign w:val="center"/>
        </w:tcPr>
        <w:p w14:paraId="55DB51AE" w14:textId="77777777" w:rsidR="002D0E71" w:rsidRDefault="002D0E71">
          <w:pPr>
            <w:pStyle w:val="Normal25"/>
          </w:pPr>
        </w:p>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EB944" w14:textId="77777777" w:rsidR="002D0E71" w:rsidRDefault="002D0E71">
    <w:pPr>
      <w:pStyle w:val="Normal25"/>
      <w:spacing w:before="200"/>
      <w:jc w:val="cente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E1AE1" w14:textId="77777777" w:rsidR="002D0E71" w:rsidRDefault="002D0E71">
    <w:pPr>
      <w:pStyle w:val="Normal26"/>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09B3DCFC" w14:textId="77777777">
      <w:trPr>
        <w:jc w:val="center"/>
      </w:trPr>
      <w:tc>
        <w:tcPr>
          <w:tcW w:w="2600" w:type="dxa"/>
          <w:tcMar>
            <w:top w:w="200" w:type="dxa"/>
          </w:tcMar>
          <w:vAlign w:val="center"/>
        </w:tcPr>
        <w:p w14:paraId="1491D612" w14:textId="77777777" w:rsidR="002D0E71" w:rsidRDefault="002D0E71">
          <w:pPr>
            <w:pStyle w:val="Normal26"/>
          </w:pPr>
        </w:p>
      </w:tc>
      <w:tc>
        <w:tcPr>
          <w:tcW w:w="4880" w:type="dxa"/>
          <w:tcMar>
            <w:top w:w="200" w:type="dxa"/>
          </w:tcMar>
          <w:vAlign w:val="center"/>
        </w:tcPr>
        <w:p w14:paraId="39CE1DDF" w14:textId="77777777" w:rsidR="002D0E71" w:rsidRDefault="002D0E71">
          <w:pPr>
            <w:pStyle w:val="Normal26"/>
            <w:jc w:val="center"/>
          </w:pPr>
        </w:p>
      </w:tc>
      <w:tc>
        <w:tcPr>
          <w:tcW w:w="2600" w:type="dxa"/>
          <w:tcMar>
            <w:top w:w="200" w:type="dxa"/>
          </w:tcMar>
          <w:vAlign w:val="center"/>
        </w:tcPr>
        <w:p w14:paraId="335CC9BB" w14:textId="77777777" w:rsidR="002D0E71" w:rsidRDefault="002D0E71">
          <w:pPr>
            <w:pStyle w:val="Normal26"/>
          </w:pPr>
        </w:p>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63FF8" w14:textId="77777777" w:rsidR="002D0E71" w:rsidRDefault="002D0E71">
    <w:pPr>
      <w:pStyle w:val="Normal26"/>
      <w:spacing w:before="200"/>
      <w:jc w:val="center"/>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E2F95" w14:textId="77777777" w:rsidR="002D0E71" w:rsidRDefault="002D0E71">
    <w:pPr>
      <w:pStyle w:val="Normal27"/>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05F59342" w14:textId="77777777">
      <w:trPr>
        <w:jc w:val="center"/>
      </w:trPr>
      <w:tc>
        <w:tcPr>
          <w:tcW w:w="2600" w:type="dxa"/>
          <w:tcMar>
            <w:top w:w="200" w:type="dxa"/>
          </w:tcMar>
          <w:vAlign w:val="center"/>
        </w:tcPr>
        <w:p w14:paraId="65810E51" w14:textId="77777777" w:rsidR="002D0E71" w:rsidRDefault="002D0E71">
          <w:pPr>
            <w:pStyle w:val="Normal27"/>
          </w:pPr>
        </w:p>
      </w:tc>
      <w:tc>
        <w:tcPr>
          <w:tcW w:w="4880" w:type="dxa"/>
          <w:tcMar>
            <w:top w:w="200" w:type="dxa"/>
          </w:tcMar>
          <w:vAlign w:val="center"/>
        </w:tcPr>
        <w:p w14:paraId="230F20FB" w14:textId="77777777" w:rsidR="002D0E71" w:rsidRDefault="002D0E71">
          <w:pPr>
            <w:pStyle w:val="Normal27"/>
            <w:jc w:val="center"/>
          </w:pPr>
        </w:p>
      </w:tc>
      <w:tc>
        <w:tcPr>
          <w:tcW w:w="2600" w:type="dxa"/>
          <w:tcMar>
            <w:top w:w="200" w:type="dxa"/>
          </w:tcMar>
          <w:vAlign w:val="center"/>
        </w:tcPr>
        <w:p w14:paraId="1670F1B6" w14:textId="77777777" w:rsidR="002D0E71" w:rsidRDefault="002D0E71">
          <w:pPr>
            <w:pStyle w:val="Normal27"/>
          </w:pPr>
        </w:p>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C863B" w14:textId="77777777" w:rsidR="002D0E71" w:rsidRDefault="002D0E71">
    <w:pPr>
      <w:pStyle w:val="Normal27"/>
      <w:spacing w:before="200"/>
      <w:jc w:val="center"/>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CBB28" w14:textId="77777777" w:rsidR="002D0E71" w:rsidRDefault="002D0E71">
    <w:pPr>
      <w:pStyle w:val="Normal28"/>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148A027B" w14:textId="77777777">
      <w:trPr>
        <w:jc w:val="center"/>
      </w:trPr>
      <w:tc>
        <w:tcPr>
          <w:tcW w:w="2600" w:type="dxa"/>
          <w:tcMar>
            <w:top w:w="200" w:type="dxa"/>
          </w:tcMar>
          <w:vAlign w:val="center"/>
        </w:tcPr>
        <w:p w14:paraId="410FAE22" w14:textId="77777777" w:rsidR="002D0E71" w:rsidRDefault="002D0E71">
          <w:pPr>
            <w:pStyle w:val="Normal28"/>
          </w:pPr>
        </w:p>
      </w:tc>
      <w:tc>
        <w:tcPr>
          <w:tcW w:w="4880" w:type="dxa"/>
          <w:tcMar>
            <w:top w:w="200" w:type="dxa"/>
          </w:tcMar>
          <w:vAlign w:val="center"/>
        </w:tcPr>
        <w:p w14:paraId="1198372E" w14:textId="77777777" w:rsidR="002D0E71" w:rsidRDefault="002D0E71">
          <w:pPr>
            <w:pStyle w:val="Normal28"/>
            <w:jc w:val="center"/>
          </w:pPr>
        </w:p>
      </w:tc>
      <w:tc>
        <w:tcPr>
          <w:tcW w:w="2600" w:type="dxa"/>
          <w:tcMar>
            <w:top w:w="200" w:type="dxa"/>
          </w:tcMar>
          <w:vAlign w:val="center"/>
        </w:tcPr>
        <w:p w14:paraId="1789979C" w14:textId="77777777" w:rsidR="002D0E71" w:rsidRDefault="002D0E71">
          <w:pPr>
            <w:pStyle w:val="Normal28"/>
          </w:pPr>
        </w:p>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1E3ED" w14:textId="77777777" w:rsidR="002D0E71" w:rsidRDefault="002D0E71">
    <w:pPr>
      <w:pStyle w:val="Normal28"/>
      <w:spacing w:before="200"/>
      <w:jc w:val="cente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A3634" w14:textId="77777777" w:rsidR="002D0E71" w:rsidRDefault="002D0E71">
    <w:pPr>
      <w:pStyle w:val="Normal29"/>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46E4B060" w14:textId="77777777">
      <w:trPr>
        <w:jc w:val="center"/>
      </w:trPr>
      <w:tc>
        <w:tcPr>
          <w:tcW w:w="2600" w:type="dxa"/>
          <w:tcMar>
            <w:top w:w="200" w:type="dxa"/>
          </w:tcMar>
          <w:vAlign w:val="center"/>
        </w:tcPr>
        <w:p w14:paraId="07FFE756" w14:textId="77777777" w:rsidR="002D0E71" w:rsidRDefault="002D0E71">
          <w:pPr>
            <w:pStyle w:val="Normal29"/>
          </w:pPr>
        </w:p>
      </w:tc>
      <w:tc>
        <w:tcPr>
          <w:tcW w:w="4880" w:type="dxa"/>
          <w:tcMar>
            <w:top w:w="200" w:type="dxa"/>
          </w:tcMar>
          <w:vAlign w:val="center"/>
        </w:tcPr>
        <w:p w14:paraId="7F5A8310" w14:textId="77777777" w:rsidR="002D0E71" w:rsidRDefault="002D0E71">
          <w:pPr>
            <w:pStyle w:val="Normal29"/>
            <w:jc w:val="center"/>
          </w:pPr>
        </w:p>
      </w:tc>
      <w:tc>
        <w:tcPr>
          <w:tcW w:w="2600" w:type="dxa"/>
          <w:tcMar>
            <w:top w:w="200" w:type="dxa"/>
          </w:tcMar>
          <w:vAlign w:val="center"/>
        </w:tcPr>
        <w:p w14:paraId="4E62FF30" w14:textId="77777777" w:rsidR="002D0E71" w:rsidRDefault="002D0E71">
          <w:pPr>
            <w:pStyle w:val="Normal29"/>
          </w:pPr>
        </w:p>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CB5FE" w14:textId="77777777" w:rsidR="002D0E71" w:rsidRDefault="002D0E71">
    <w:pPr>
      <w:pStyle w:val="Normal29"/>
      <w:spacing w:before="200"/>
      <w:jc w:val="center"/>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B5325" w14:textId="77777777" w:rsidR="002D0E71" w:rsidRDefault="002D0E71">
    <w:pPr>
      <w:pStyle w:val="Normal3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0C3B23C8" w14:textId="77777777">
      <w:trPr>
        <w:jc w:val="center"/>
      </w:trPr>
      <w:tc>
        <w:tcPr>
          <w:tcW w:w="2600" w:type="dxa"/>
          <w:tcMar>
            <w:top w:w="200" w:type="dxa"/>
          </w:tcMar>
          <w:vAlign w:val="center"/>
        </w:tcPr>
        <w:p w14:paraId="7067D0F9" w14:textId="77777777" w:rsidR="002D0E71" w:rsidRDefault="002D0E71">
          <w:pPr>
            <w:pStyle w:val="Normal30"/>
          </w:pPr>
        </w:p>
      </w:tc>
      <w:tc>
        <w:tcPr>
          <w:tcW w:w="4880" w:type="dxa"/>
          <w:tcMar>
            <w:top w:w="200" w:type="dxa"/>
          </w:tcMar>
          <w:vAlign w:val="center"/>
        </w:tcPr>
        <w:p w14:paraId="59C8C59C" w14:textId="77777777" w:rsidR="002D0E71" w:rsidRDefault="002D0E71">
          <w:pPr>
            <w:pStyle w:val="Normal30"/>
            <w:jc w:val="center"/>
          </w:pPr>
        </w:p>
      </w:tc>
      <w:tc>
        <w:tcPr>
          <w:tcW w:w="2600" w:type="dxa"/>
          <w:tcMar>
            <w:top w:w="200" w:type="dxa"/>
          </w:tcMar>
          <w:vAlign w:val="center"/>
        </w:tcPr>
        <w:p w14:paraId="0651D3E8" w14:textId="77777777" w:rsidR="002D0E71" w:rsidRDefault="002D0E71">
          <w:pPr>
            <w:pStyle w:val="Normal30"/>
          </w:pPr>
        </w:p>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0D6CF" w14:textId="77777777" w:rsidR="002D0E71" w:rsidRDefault="002D0E71">
    <w:pPr>
      <w:pStyle w:val="Normal30"/>
      <w:spacing w:before="200"/>
      <w:jc w:val="center"/>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1975C" w14:textId="77777777" w:rsidR="002D0E71" w:rsidRDefault="002D0E71">
    <w:pPr>
      <w:pStyle w:val="Normal31"/>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4870F7EB" w14:textId="77777777">
      <w:trPr>
        <w:jc w:val="center"/>
      </w:trPr>
      <w:tc>
        <w:tcPr>
          <w:tcW w:w="2600" w:type="dxa"/>
          <w:tcMar>
            <w:top w:w="200" w:type="dxa"/>
          </w:tcMar>
          <w:vAlign w:val="center"/>
        </w:tcPr>
        <w:p w14:paraId="4FA01F7B" w14:textId="77777777" w:rsidR="002D0E71" w:rsidRDefault="002D0E71">
          <w:pPr>
            <w:pStyle w:val="Normal31"/>
          </w:pPr>
        </w:p>
      </w:tc>
      <w:tc>
        <w:tcPr>
          <w:tcW w:w="4880" w:type="dxa"/>
          <w:tcMar>
            <w:top w:w="200" w:type="dxa"/>
          </w:tcMar>
          <w:vAlign w:val="center"/>
        </w:tcPr>
        <w:p w14:paraId="4CE49749" w14:textId="77777777" w:rsidR="002D0E71" w:rsidRDefault="002D0E71">
          <w:pPr>
            <w:pStyle w:val="Normal31"/>
            <w:jc w:val="center"/>
          </w:pPr>
        </w:p>
      </w:tc>
      <w:tc>
        <w:tcPr>
          <w:tcW w:w="2600" w:type="dxa"/>
          <w:tcMar>
            <w:top w:w="200" w:type="dxa"/>
          </w:tcMar>
          <w:vAlign w:val="center"/>
        </w:tcPr>
        <w:p w14:paraId="788CB10B" w14:textId="77777777" w:rsidR="002D0E71" w:rsidRDefault="002D0E71">
          <w:pPr>
            <w:pStyle w:val="Normal31"/>
          </w:pPr>
        </w:p>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200FD" w14:textId="77777777" w:rsidR="002D0E71" w:rsidRDefault="002D0E71">
    <w:pPr>
      <w:pStyle w:val="Normal31"/>
      <w:spacing w:before="200"/>
      <w:jc w:val="center"/>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D0F58" w14:textId="77777777" w:rsidR="002D0E71" w:rsidRDefault="002D0E71">
    <w:pPr>
      <w:pStyle w:val="Normal32"/>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08A6B524" w14:textId="77777777">
      <w:trPr>
        <w:jc w:val="center"/>
      </w:trPr>
      <w:tc>
        <w:tcPr>
          <w:tcW w:w="2600" w:type="dxa"/>
          <w:tcMar>
            <w:top w:w="200" w:type="dxa"/>
          </w:tcMar>
          <w:vAlign w:val="center"/>
        </w:tcPr>
        <w:p w14:paraId="2861CB49" w14:textId="77777777" w:rsidR="002D0E71" w:rsidRDefault="002D0E71">
          <w:pPr>
            <w:pStyle w:val="Normal32"/>
          </w:pPr>
        </w:p>
      </w:tc>
      <w:tc>
        <w:tcPr>
          <w:tcW w:w="4880" w:type="dxa"/>
          <w:tcMar>
            <w:top w:w="200" w:type="dxa"/>
          </w:tcMar>
          <w:vAlign w:val="center"/>
        </w:tcPr>
        <w:p w14:paraId="4AC06505" w14:textId="77777777" w:rsidR="002D0E71" w:rsidRDefault="002D0E71">
          <w:pPr>
            <w:pStyle w:val="Normal32"/>
            <w:jc w:val="center"/>
          </w:pPr>
        </w:p>
      </w:tc>
      <w:tc>
        <w:tcPr>
          <w:tcW w:w="2600" w:type="dxa"/>
          <w:tcMar>
            <w:top w:w="200" w:type="dxa"/>
          </w:tcMar>
          <w:vAlign w:val="center"/>
        </w:tcPr>
        <w:p w14:paraId="51F03ED1" w14:textId="77777777" w:rsidR="002D0E71" w:rsidRDefault="002D0E71">
          <w:pPr>
            <w:pStyle w:val="Normal32"/>
          </w:pPr>
        </w:p>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CE70F" w14:textId="77777777" w:rsidR="002D0E71" w:rsidRDefault="002D0E71">
    <w:pPr>
      <w:pStyle w:val="Normal32"/>
      <w:spacing w:before="200"/>
      <w:jc w:val="center"/>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B98AE" w14:textId="77777777" w:rsidR="002D0E71" w:rsidRDefault="002D0E71">
    <w:pPr>
      <w:pStyle w:val="Normal33"/>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10500F1A" w14:textId="77777777">
      <w:trPr>
        <w:jc w:val="center"/>
      </w:trPr>
      <w:tc>
        <w:tcPr>
          <w:tcW w:w="2600" w:type="dxa"/>
          <w:tcMar>
            <w:top w:w="200" w:type="dxa"/>
          </w:tcMar>
          <w:vAlign w:val="center"/>
        </w:tcPr>
        <w:p w14:paraId="4ADB7DFC" w14:textId="77777777" w:rsidR="002D0E71" w:rsidRDefault="002D0E71">
          <w:pPr>
            <w:pStyle w:val="Normal33"/>
          </w:pPr>
        </w:p>
      </w:tc>
      <w:tc>
        <w:tcPr>
          <w:tcW w:w="4880" w:type="dxa"/>
          <w:tcMar>
            <w:top w:w="200" w:type="dxa"/>
          </w:tcMar>
          <w:vAlign w:val="center"/>
        </w:tcPr>
        <w:p w14:paraId="617D1B4A" w14:textId="77777777" w:rsidR="002D0E71" w:rsidRDefault="002D0E71">
          <w:pPr>
            <w:pStyle w:val="Normal33"/>
            <w:jc w:val="center"/>
          </w:pPr>
        </w:p>
      </w:tc>
      <w:tc>
        <w:tcPr>
          <w:tcW w:w="2600" w:type="dxa"/>
          <w:tcMar>
            <w:top w:w="200" w:type="dxa"/>
          </w:tcMar>
          <w:vAlign w:val="center"/>
        </w:tcPr>
        <w:p w14:paraId="178CD18F" w14:textId="77777777" w:rsidR="002D0E71" w:rsidRDefault="002D0E71">
          <w:pPr>
            <w:pStyle w:val="Normal33"/>
          </w:pPr>
        </w:p>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58302" w14:textId="77777777" w:rsidR="002D0E71" w:rsidRDefault="002D0E71">
    <w:pPr>
      <w:pStyle w:val="Normal33"/>
      <w:spacing w:before="200"/>
      <w:jc w:val="center"/>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8D3BE" w14:textId="77777777" w:rsidR="002D0E71" w:rsidRDefault="002D0E71">
    <w:pPr>
      <w:pStyle w:val="Normal34"/>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1734296F" w14:textId="77777777">
      <w:trPr>
        <w:jc w:val="center"/>
      </w:trPr>
      <w:tc>
        <w:tcPr>
          <w:tcW w:w="2600" w:type="dxa"/>
          <w:tcMar>
            <w:top w:w="200" w:type="dxa"/>
          </w:tcMar>
          <w:vAlign w:val="center"/>
        </w:tcPr>
        <w:p w14:paraId="6451969E" w14:textId="77777777" w:rsidR="002D0E71" w:rsidRDefault="002D0E71">
          <w:pPr>
            <w:pStyle w:val="Normal34"/>
          </w:pPr>
        </w:p>
      </w:tc>
      <w:tc>
        <w:tcPr>
          <w:tcW w:w="4880" w:type="dxa"/>
          <w:tcMar>
            <w:top w:w="200" w:type="dxa"/>
          </w:tcMar>
          <w:vAlign w:val="center"/>
        </w:tcPr>
        <w:p w14:paraId="290C0E61" w14:textId="77777777" w:rsidR="002D0E71" w:rsidRDefault="002D0E71">
          <w:pPr>
            <w:pStyle w:val="Normal34"/>
            <w:jc w:val="center"/>
          </w:pPr>
        </w:p>
      </w:tc>
      <w:tc>
        <w:tcPr>
          <w:tcW w:w="2600" w:type="dxa"/>
          <w:tcMar>
            <w:top w:w="200" w:type="dxa"/>
          </w:tcMar>
          <w:vAlign w:val="center"/>
        </w:tcPr>
        <w:p w14:paraId="4E90770E" w14:textId="77777777" w:rsidR="002D0E71" w:rsidRDefault="002D0E71">
          <w:pPr>
            <w:pStyle w:val="Normal34"/>
          </w:pPr>
        </w:p>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5AE0B" w14:textId="77777777" w:rsidR="002D0E71" w:rsidRDefault="002D0E71">
    <w:pPr>
      <w:pStyle w:val="Normal34"/>
      <w:spacing w:before="200"/>
      <w:jc w:val="center"/>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87209" w14:textId="77777777" w:rsidR="002D0E71" w:rsidRDefault="002D0E71">
    <w:pPr>
      <w:pStyle w:val="Normal35"/>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16C4EB3F" w14:textId="77777777">
      <w:trPr>
        <w:jc w:val="center"/>
      </w:trPr>
      <w:tc>
        <w:tcPr>
          <w:tcW w:w="2600" w:type="dxa"/>
          <w:tcMar>
            <w:top w:w="200" w:type="dxa"/>
          </w:tcMar>
          <w:vAlign w:val="center"/>
        </w:tcPr>
        <w:p w14:paraId="401540B0" w14:textId="77777777" w:rsidR="002D0E71" w:rsidRDefault="002D0E71">
          <w:pPr>
            <w:pStyle w:val="Normal35"/>
          </w:pPr>
        </w:p>
      </w:tc>
      <w:tc>
        <w:tcPr>
          <w:tcW w:w="4880" w:type="dxa"/>
          <w:tcMar>
            <w:top w:w="200" w:type="dxa"/>
          </w:tcMar>
          <w:vAlign w:val="center"/>
        </w:tcPr>
        <w:p w14:paraId="0A5F7596" w14:textId="77777777" w:rsidR="002D0E71" w:rsidRDefault="002D0E71">
          <w:pPr>
            <w:pStyle w:val="Normal35"/>
            <w:jc w:val="center"/>
          </w:pPr>
        </w:p>
      </w:tc>
      <w:tc>
        <w:tcPr>
          <w:tcW w:w="2600" w:type="dxa"/>
          <w:tcMar>
            <w:top w:w="200" w:type="dxa"/>
          </w:tcMar>
          <w:vAlign w:val="center"/>
        </w:tcPr>
        <w:p w14:paraId="0B2EA036" w14:textId="77777777" w:rsidR="002D0E71" w:rsidRDefault="002D0E71">
          <w:pPr>
            <w:pStyle w:val="Normal35"/>
          </w:pPr>
        </w:p>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09408" w14:textId="77777777" w:rsidR="002D0E71" w:rsidRDefault="002D0E71">
    <w:pPr>
      <w:pStyle w:val="Normal35"/>
      <w:spacing w:before="200"/>
      <w:jc w:val="center"/>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768D3" w14:textId="77777777" w:rsidR="002D0E71" w:rsidRDefault="002D0E71">
    <w:pPr>
      <w:pStyle w:val="Normal36"/>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2BDBF7CC" w14:textId="77777777">
      <w:trPr>
        <w:jc w:val="center"/>
      </w:trPr>
      <w:tc>
        <w:tcPr>
          <w:tcW w:w="2600" w:type="dxa"/>
          <w:tcMar>
            <w:top w:w="200" w:type="dxa"/>
          </w:tcMar>
          <w:vAlign w:val="center"/>
        </w:tcPr>
        <w:p w14:paraId="1833FDBD" w14:textId="77777777" w:rsidR="002D0E71" w:rsidRDefault="002D0E71">
          <w:pPr>
            <w:pStyle w:val="Normal36"/>
          </w:pPr>
        </w:p>
      </w:tc>
      <w:tc>
        <w:tcPr>
          <w:tcW w:w="4880" w:type="dxa"/>
          <w:tcMar>
            <w:top w:w="200" w:type="dxa"/>
          </w:tcMar>
          <w:vAlign w:val="center"/>
        </w:tcPr>
        <w:p w14:paraId="1D99F3A2" w14:textId="77777777" w:rsidR="002D0E71" w:rsidRDefault="002D0E71">
          <w:pPr>
            <w:pStyle w:val="Normal36"/>
            <w:jc w:val="center"/>
          </w:pPr>
        </w:p>
      </w:tc>
      <w:tc>
        <w:tcPr>
          <w:tcW w:w="2600" w:type="dxa"/>
          <w:tcMar>
            <w:top w:w="200" w:type="dxa"/>
          </w:tcMar>
          <w:vAlign w:val="center"/>
        </w:tcPr>
        <w:p w14:paraId="36245BA1" w14:textId="77777777" w:rsidR="002D0E71" w:rsidRDefault="002D0E71">
          <w:pPr>
            <w:pStyle w:val="Normal36"/>
          </w:pPr>
        </w:p>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3DBEF" w14:textId="77777777" w:rsidR="002D0E71" w:rsidRDefault="002D0E71">
    <w:pPr>
      <w:pStyle w:val="Normal36"/>
      <w:spacing w:before="200"/>
      <w:jc w:val="center"/>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3BC4F" w14:textId="77777777" w:rsidR="002D0E71" w:rsidRDefault="002D0E71">
    <w:pPr>
      <w:pStyle w:val="Normal37"/>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325EF4FA" w14:textId="77777777">
      <w:trPr>
        <w:jc w:val="center"/>
      </w:trPr>
      <w:tc>
        <w:tcPr>
          <w:tcW w:w="2600" w:type="dxa"/>
          <w:tcMar>
            <w:top w:w="200" w:type="dxa"/>
          </w:tcMar>
          <w:vAlign w:val="center"/>
        </w:tcPr>
        <w:p w14:paraId="57DDB4BA" w14:textId="77777777" w:rsidR="002D0E71" w:rsidRDefault="002D0E71">
          <w:pPr>
            <w:pStyle w:val="Normal37"/>
          </w:pPr>
        </w:p>
      </w:tc>
      <w:tc>
        <w:tcPr>
          <w:tcW w:w="4880" w:type="dxa"/>
          <w:tcMar>
            <w:top w:w="200" w:type="dxa"/>
          </w:tcMar>
          <w:vAlign w:val="center"/>
        </w:tcPr>
        <w:p w14:paraId="6F6B2CC4" w14:textId="77777777" w:rsidR="002D0E71" w:rsidRDefault="002D0E71">
          <w:pPr>
            <w:pStyle w:val="Normal37"/>
            <w:jc w:val="center"/>
          </w:pPr>
        </w:p>
      </w:tc>
      <w:tc>
        <w:tcPr>
          <w:tcW w:w="2600" w:type="dxa"/>
          <w:tcMar>
            <w:top w:w="200" w:type="dxa"/>
          </w:tcMar>
          <w:vAlign w:val="center"/>
        </w:tcPr>
        <w:p w14:paraId="7DA15C4D" w14:textId="77777777" w:rsidR="002D0E71" w:rsidRDefault="002D0E71">
          <w:pPr>
            <w:pStyle w:val="Normal37"/>
          </w:pPr>
        </w:p>
      </w:tc>
    </w:tr>
  </w:tbl>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BFE7A" w14:textId="77777777" w:rsidR="002D0E71" w:rsidRDefault="002D0E71">
    <w:pPr>
      <w:pStyle w:val="Normal37"/>
      <w:spacing w:before="200"/>
      <w:jc w:val="center"/>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570A1" w14:textId="77777777" w:rsidR="002D0E71" w:rsidRDefault="002D0E71">
    <w:pPr>
      <w:pStyle w:val="Normal38"/>
    </w:pP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7FA6BC16" w14:textId="77777777">
      <w:trPr>
        <w:jc w:val="center"/>
      </w:trPr>
      <w:tc>
        <w:tcPr>
          <w:tcW w:w="2600" w:type="dxa"/>
          <w:tcMar>
            <w:top w:w="200" w:type="dxa"/>
          </w:tcMar>
          <w:vAlign w:val="center"/>
        </w:tcPr>
        <w:p w14:paraId="3AAD38BB" w14:textId="77777777" w:rsidR="002D0E71" w:rsidRDefault="002D0E71">
          <w:pPr>
            <w:pStyle w:val="Normal38"/>
          </w:pPr>
        </w:p>
      </w:tc>
      <w:tc>
        <w:tcPr>
          <w:tcW w:w="4880" w:type="dxa"/>
          <w:tcMar>
            <w:top w:w="200" w:type="dxa"/>
          </w:tcMar>
          <w:vAlign w:val="center"/>
        </w:tcPr>
        <w:p w14:paraId="22662412" w14:textId="77777777" w:rsidR="002D0E71" w:rsidRDefault="002D0E71">
          <w:pPr>
            <w:pStyle w:val="Normal38"/>
            <w:jc w:val="center"/>
          </w:pPr>
        </w:p>
      </w:tc>
      <w:tc>
        <w:tcPr>
          <w:tcW w:w="2600" w:type="dxa"/>
          <w:tcMar>
            <w:top w:w="200" w:type="dxa"/>
          </w:tcMar>
          <w:vAlign w:val="center"/>
        </w:tcPr>
        <w:p w14:paraId="43827A9D" w14:textId="77777777" w:rsidR="002D0E71" w:rsidRDefault="002D0E71">
          <w:pPr>
            <w:pStyle w:val="Normal38"/>
          </w:pPr>
        </w:p>
      </w:tc>
    </w:tr>
  </w:tbl>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25BD9" w14:textId="77777777" w:rsidR="002D0E71" w:rsidRDefault="002D0E71">
    <w:pPr>
      <w:pStyle w:val="Normal38"/>
      <w:spacing w:before="200"/>
      <w:jc w:val="center"/>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01A85" w14:textId="77777777" w:rsidR="002D0E71" w:rsidRDefault="002D0E71">
    <w:pPr>
      <w:pStyle w:val="Normal39"/>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7902CB2F" w14:textId="77777777">
      <w:trPr>
        <w:jc w:val="center"/>
      </w:trPr>
      <w:tc>
        <w:tcPr>
          <w:tcW w:w="2600" w:type="dxa"/>
          <w:tcMar>
            <w:top w:w="200" w:type="dxa"/>
          </w:tcMar>
          <w:vAlign w:val="center"/>
        </w:tcPr>
        <w:p w14:paraId="1B651F3F" w14:textId="77777777" w:rsidR="002D0E71" w:rsidRDefault="002D0E71">
          <w:pPr>
            <w:pStyle w:val="Normal39"/>
          </w:pPr>
        </w:p>
      </w:tc>
      <w:tc>
        <w:tcPr>
          <w:tcW w:w="4880" w:type="dxa"/>
          <w:tcMar>
            <w:top w:w="200" w:type="dxa"/>
          </w:tcMar>
          <w:vAlign w:val="center"/>
        </w:tcPr>
        <w:p w14:paraId="116C81E4" w14:textId="77777777" w:rsidR="002D0E71" w:rsidRDefault="002D0E71">
          <w:pPr>
            <w:pStyle w:val="Normal39"/>
            <w:jc w:val="center"/>
          </w:pPr>
        </w:p>
      </w:tc>
      <w:tc>
        <w:tcPr>
          <w:tcW w:w="2600" w:type="dxa"/>
          <w:tcMar>
            <w:top w:w="200" w:type="dxa"/>
          </w:tcMar>
          <w:vAlign w:val="center"/>
        </w:tcPr>
        <w:p w14:paraId="0ABFBEAE" w14:textId="77777777" w:rsidR="002D0E71" w:rsidRDefault="002D0E71">
          <w:pPr>
            <w:pStyle w:val="Normal39"/>
          </w:pPr>
        </w:p>
      </w:tc>
    </w:tr>
  </w:tbl>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71ABB" w14:textId="77777777" w:rsidR="002D0E71" w:rsidRDefault="002D0E71">
    <w:pPr>
      <w:pStyle w:val="Normal39"/>
      <w:spacing w:before="200"/>
      <w:jc w:val="center"/>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0CCB6" w14:textId="77777777" w:rsidR="002D0E71" w:rsidRDefault="002D0E71">
    <w:pPr>
      <w:pStyle w:val="Normal40"/>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2F19CC7E" w14:textId="77777777">
      <w:trPr>
        <w:jc w:val="center"/>
      </w:trPr>
      <w:tc>
        <w:tcPr>
          <w:tcW w:w="2600" w:type="dxa"/>
          <w:tcMar>
            <w:top w:w="200" w:type="dxa"/>
          </w:tcMar>
          <w:vAlign w:val="center"/>
        </w:tcPr>
        <w:p w14:paraId="42C31AE9" w14:textId="77777777" w:rsidR="002D0E71" w:rsidRDefault="002D0E71">
          <w:pPr>
            <w:pStyle w:val="Normal40"/>
          </w:pPr>
        </w:p>
      </w:tc>
      <w:tc>
        <w:tcPr>
          <w:tcW w:w="4880" w:type="dxa"/>
          <w:tcMar>
            <w:top w:w="200" w:type="dxa"/>
          </w:tcMar>
          <w:vAlign w:val="center"/>
        </w:tcPr>
        <w:p w14:paraId="51EC29F8" w14:textId="77777777" w:rsidR="002D0E71" w:rsidRDefault="002D0E71">
          <w:pPr>
            <w:pStyle w:val="Normal40"/>
            <w:jc w:val="center"/>
          </w:pPr>
        </w:p>
      </w:tc>
      <w:tc>
        <w:tcPr>
          <w:tcW w:w="2600" w:type="dxa"/>
          <w:tcMar>
            <w:top w:w="200" w:type="dxa"/>
          </w:tcMar>
          <w:vAlign w:val="center"/>
        </w:tcPr>
        <w:p w14:paraId="6C12FA50" w14:textId="77777777" w:rsidR="002D0E71" w:rsidRDefault="002D0E71">
          <w:pPr>
            <w:pStyle w:val="Normal40"/>
          </w:pPr>
        </w:p>
      </w:tc>
    </w:tr>
  </w:tbl>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460F7" w14:textId="77777777" w:rsidR="002D0E71" w:rsidRDefault="002D0E71">
    <w:pPr>
      <w:pStyle w:val="Normal40"/>
      <w:spacing w:before="200"/>
      <w:jc w:val="center"/>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B6805" w14:textId="77777777" w:rsidR="002D0E71" w:rsidRDefault="002D0E71">
    <w:pPr>
      <w:pStyle w:val="Normal41"/>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1DCAC540" w14:textId="77777777">
      <w:trPr>
        <w:jc w:val="center"/>
      </w:trPr>
      <w:tc>
        <w:tcPr>
          <w:tcW w:w="2600" w:type="dxa"/>
          <w:tcMar>
            <w:top w:w="200" w:type="dxa"/>
          </w:tcMar>
          <w:vAlign w:val="center"/>
        </w:tcPr>
        <w:p w14:paraId="5767E186" w14:textId="77777777" w:rsidR="002D0E71" w:rsidRDefault="002D0E71">
          <w:pPr>
            <w:pStyle w:val="Normal41"/>
          </w:pPr>
        </w:p>
      </w:tc>
      <w:tc>
        <w:tcPr>
          <w:tcW w:w="4880" w:type="dxa"/>
          <w:tcMar>
            <w:top w:w="200" w:type="dxa"/>
          </w:tcMar>
          <w:vAlign w:val="center"/>
        </w:tcPr>
        <w:p w14:paraId="4743A4B3" w14:textId="77777777" w:rsidR="002D0E71" w:rsidRDefault="002D0E71">
          <w:pPr>
            <w:pStyle w:val="Normal41"/>
            <w:jc w:val="center"/>
          </w:pPr>
        </w:p>
      </w:tc>
      <w:tc>
        <w:tcPr>
          <w:tcW w:w="2600" w:type="dxa"/>
          <w:tcMar>
            <w:top w:w="200" w:type="dxa"/>
          </w:tcMar>
          <w:vAlign w:val="center"/>
        </w:tcPr>
        <w:p w14:paraId="09124AC3" w14:textId="77777777" w:rsidR="002D0E71" w:rsidRDefault="002D0E71">
          <w:pPr>
            <w:pStyle w:val="Normal41"/>
          </w:pPr>
        </w:p>
      </w:tc>
    </w:tr>
  </w:tbl>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38A2D" w14:textId="77777777" w:rsidR="002D0E71" w:rsidRDefault="002D0E71">
    <w:pPr>
      <w:pStyle w:val="Normal41"/>
      <w:spacing w:before="200"/>
      <w:jc w:val="center"/>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9D73D" w14:textId="77777777" w:rsidR="002D0E71" w:rsidRDefault="002D0E71">
    <w:pPr>
      <w:pStyle w:val="Normal42"/>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431A4212" w14:textId="77777777">
      <w:trPr>
        <w:jc w:val="center"/>
      </w:trPr>
      <w:tc>
        <w:tcPr>
          <w:tcW w:w="2600" w:type="dxa"/>
          <w:tcMar>
            <w:top w:w="200" w:type="dxa"/>
          </w:tcMar>
          <w:vAlign w:val="center"/>
        </w:tcPr>
        <w:p w14:paraId="6FBA2C1A" w14:textId="77777777" w:rsidR="002D0E71" w:rsidRDefault="002D0E71">
          <w:pPr>
            <w:pStyle w:val="Normal42"/>
          </w:pPr>
        </w:p>
      </w:tc>
      <w:tc>
        <w:tcPr>
          <w:tcW w:w="4880" w:type="dxa"/>
          <w:tcMar>
            <w:top w:w="200" w:type="dxa"/>
          </w:tcMar>
          <w:vAlign w:val="center"/>
        </w:tcPr>
        <w:p w14:paraId="543ACE77" w14:textId="77777777" w:rsidR="002D0E71" w:rsidRDefault="002D0E71">
          <w:pPr>
            <w:pStyle w:val="Normal42"/>
            <w:jc w:val="center"/>
          </w:pPr>
        </w:p>
      </w:tc>
      <w:tc>
        <w:tcPr>
          <w:tcW w:w="2600" w:type="dxa"/>
          <w:tcMar>
            <w:top w:w="200" w:type="dxa"/>
          </w:tcMar>
          <w:vAlign w:val="center"/>
        </w:tcPr>
        <w:p w14:paraId="6F0F9028" w14:textId="77777777" w:rsidR="002D0E71" w:rsidRDefault="002D0E71">
          <w:pPr>
            <w:pStyle w:val="Normal42"/>
          </w:pPr>
        </w:p>
      </w:tc>
    </w:tr>
  </w:tbl>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6AD39" w14:textId="77777777" w:rsidR="002D0E71" w:rsidRDefault="002D0E71">
    <w:pPr>
      <w:pStyle w:val="Normal42"/>
      <w:spacing w:before="200"/>
      <w:jc w:val="center"/>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4BF3F" w14:textId="77777777" w:rsidR="002D0E71" w:rsidRDefault="002D0E71">
    <w:pPr>
      <w:pStyle w:val="Normal43"/>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20CE5B83" w14:textId="77777777">
      <w:trPr>
        <w:jc w:val="center"/>
      </w:trPr>
      <w:tc>
        <w:tcPr>
          <w:tcW w:w="2600" w:type="dxa"/>
          <w:tcMar>
            <w:top w:w="200" w:type="dxa"/>
          </w:tcMar>
          <w:vAlign w:val="center"/>
        </w:tcPr>
        <w:p w14:paraId="7F899BE2" w14:textId="77777777" w:rsidR="002D0E71" w:rsidRDefault="002D0E71">
          <w:pPr>
            <w:pStyle w:val="Normal43"/>
          </w:pPr>
        </w:p>
      </w:tc>
      <w:tc>
        <w:tcPr>
          <w:tcW w:w="4880" w:type="dxa"/>
          <w:tcMar>
            <w:top w:w="200" w:type="dxa"/>
          </w:tcMar>
          <w:vAlign w:val="center"/>
        </w:tcPr>
        <w:p w14:paraId="5D2E2FC6" w14:textId="77777777" w:rsidR="002D0E71" w:rsidRDefault="002D0E71">
          <w:pPr>
            <w:pStyle w:val="Normal43"/>
            <w:jc w:val="center"/>
          </w:pPr>
        </w:p>
      </w:tc>
      <w:tc>
        <w:tcPr>
          <w:tcW w:w="2600" w:type="dxa"/>
          <w:tcMar>
            <w:top w:w="200" w:type="dxa"/>
          </w:tcMar>
          <w:vAlign w:val="center"/>
        </w:tcPr>
        <w:p w14:paraId="4FEBB6BD" w14:textId="77777777" w:rsidR="002D0E71" w:rsidRDefault="002D0E71">
          <w:pPr>
            <w:pStyle w:val="Normal43"/>
          </w:pPr>
        </w:p>
      </w:tc>
    </w:tr>
  </w:tbl>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799F5" w14:textId="77777777" w:rsidR="002D0E71" w:rsidRDefault="002D0E71">
    <w:pPr>
      <w:pStyle w:val="Normal43"/>
      <w:spacing w:before="200"/>
      <w:jc w:val="center"/>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D26DE" w14:textId="77777777" w:rsidR="002D0E71" w:rsidRDefault="002D0E71">
    <w:pPr>
      <w:pStyle w:val="Normal44"/>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4F395F89" w14:textId="77777777">
      <w:trPr>
        <w:jc w:val="center"/>
      </w:trPr>
      <w:tc>
        <w:tcPr>
          <w:tcW w:w="2600" w:type="dxa"/>
          <w:tcMar>
            <w:top w:w="200" w:type="dxa"/>
          </w:tcMar>
          <w:vAlign w:val="center"/>
        </w:tcPr>
        <w:p w14:paraId="24F8CAB1" w14:textId="77777777" w:rsidR="002D0E71" w:rsidRDefault="002D0E71">
          <w:pPr>
            <w:pStyle w:val="Normal44"/>
          </w:pPr>
        </w:p>
      </w:tc>
      <w:tc>
        <w:tcPr>
          <w:tcW w:w="4880" w:type="dxa"/>
          <w:tcMar>
            <w:top w:w="200" w:type="dxa"/>
          </w:tcMar>
          <w:vAlign w:val="center"/>
        </w:tcPr>
        <w:p w14:paraId="7784B852" w14:textId="77777777" w:rsidR="002D0E71" w:rsidRDefault="002D0E71">
          <w:pPr>
            <w:pStyle w:val="Normal44"/>
            <w:jc w:val="center"/>
          </w:pPr>
        </w:p>
      </w:tc>
      <w:tc>
        <w:tcPr>
          <w:tcW w:w="2600" w:type="dxa"/>
          <w:tcMar>
            <w:top w:w="200" w:type="dxa"/>
          </w:tcMar>
          <w:vAlign w:val="center"/>
        </w:tcPr>
        <w:p w14:paraId="39A021B1" w14:textId="77777777" w:rsidR="002D0E71" w:rsidRDefault="002D0E71">
          <w:pPr>
            <w:pStyle w:val="Normal44"/>
          </w:pPr>
        </w:p>
      </w:tc>
    </w:tr>
  </w:tbl>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DC0E5" w14:textId="77777777" w:rsidR="002D0E71" w:rsidRDefault="002D0E71">
    <w:pPr>
      <w:pStyle w:val="Normal44"/>
      <w:spacing w:before="200"/>
      <w:jc w:val="center"/>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E5028" w14:textId="77777777" w:rsidR="002D0E71" w:rsidRDefault="002D0E71">
    <w:pPr>
      <w:pStyle w:val="Normal45"/>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7B99F1B5" w14:textId="77777777">
      <w:trPr>
        <w:jc w:val="center"/>
      </w:trPr>
      <w:tc>
        <w:tcPr>
          <w:tcW w:w="2600" w:type="dxa"/>
          <w:tcMar>
            <w:top w:w="200" w:type="dxa"/>
          </w:tcMar>
          <w:vAlign w:val="center"/>
        </w:tcPr>
        <w:p w14:paraId="60E31F59" w14:textId="77777777" w:rsidR="002D0E71" w:rsidRDefault="002D0E71">
          <w:pPr>
            <w:pStyle w:val="Normal45"/>
          </w:pPr>
        </w:p>
      </w:tc>
      <w:tc>
        <w:tcPr>
          <w:tcW w:w="4880" w:type="dxa"/>
          <w:tcMar>
            <w:top w:w="200" w:type="dxa"/>
          </w:tcMar>
          <w:vAlign w:val="center"/>
        </w:tcPr>
        <w:p w14:paraId="0436841C" w14:textId="77777777" w:rsidR="002D0E71" w:rsidRDefault="002D0E71">
          <w:pPr>
            <w:pStyle w:val="Normal45"/>
            <w:jc w:val="center"/>
          </w:pPr>
        </w:p>
      </w:tc>
      <w:tc>
        <w:tcPr>
          <w:tcW w:w="2600" w:type="dxa"/>
          <w:tcMar>
            <w:top w:w="200" w:type="dxa"/>
          </w:tcMar>
          <w:vAlign w:val="center"/>
        </w:tcPr>
        <w:p w14:paraId="3A76D36E" w14:textId="77777777" w:rsidR="002D0E71" w:rsidRDefault="002D0E71">
          <w:pPr>
            <w:pStyle w:val="Normal45"/>
          </w:pPr>
        </w:p>
      </w:tc>
    </w:tr>
  </w:tbl>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27E62" w14:textId="77777777" w:rsidR="002D0E71" w:rsidRDefault="002D0E71">
    <w:pPr>
      <w:pStyle w:val="Normal45"/>
      <w:spacing w:before="200"/>
      <w:jc w:val="center"/>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A22C5" w14:textId="77777777" w:rsidR="002D0E71" w:rsidRDefault="002D0E71">
    <w:pPr>
      <w:pStyle w:val="Normal46"/>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470F835F" w14:textId="77777777">
      <w:trPr>
        <w:jc w:val="center"/>
      </w:trPr>
      <w:tc>
        <w:tcPr>
          <w:tcW w:w="2600" w:type="dxa"/>
          <w:tcMar>
            <w:top w:w="200" w:type="dxa"/>
          </w:tcMar>
          <w:vAlign w:val="center"/>
        </w:tcPr>
        <w:p w14:paraId="5A302531" w14:textId="77777777" w:rsidR="002D0E71" w:rsidRDefault="002D0E71">
          <w:pPr>
            <w:pStyle w:val="Normal46"/>
          </w:pPr>
        </w:p>
      </w:tc>
      <w:tc>
        <w:tcPr>
          <w:tcW w:w="4880" w:type="dxa"/>
          <w:tcMar>
            <w:top w:w="200" w:type="dxa"/>
          </w:tcMar>
          <w:vAlign w:val="center"/>
        </w:tcPr>
        <w:p w14:paraId="040F9BFA" w14:textId="77777777" w:rsidR="002D0E71" w:rsidRDefault="002D0E71">
          <w:pPr>
            <w:pStyle w:val="Normal46"/>
            <w:jc w:val="center"/>
          </w:pPr>
        </w:p>
      </w:tc>
      <w:tc>
        <w:tcPr>
          <w:tcW w:w="2600" w:type="dxa"/>
          <w:tcMar>
            <w:top w:w="200" w:type="dxa"/>
          </w:tcMar>
          <w:vAlign w:val="center"/>
        </w:tcPr>
        <w:p w14:paraId="65DF6AC2" w14:textId="77777777" w:rsidR="002D0E71" w:rsidRDefault="002D0E71">
          <w:pPr>
            <w:pStyle w:val="Normal46"/>
          </w:pPr>
        </w:p>
      </w:tc>
    </w:tr>
  </w:tbl>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C5C97" w14:textId="77777777" w:rsidR="002D0E71" w:rsidRDefault="002D0E71">
    <w:pPr>
      <w:pStyle w:val="Normal46"/>
      <w:spacing w:before="200"/>
      <w:jc w:val="center"/>
    </w:pP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D1A61" w14:textId="77777777" w:rsidR="002D0E71" w:rsidRDefault="002D0E71">
    <w:pPr>
      <w:pStyle w:val="Normal47"/>
    </w:pP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370E84CA" w14:textId="77777777">
      <w:trPr>
        <w:jc w:val="center"/>
      </w:trPr>
      <w:tc>
        <w:tcPr>
          <w:tcW w:w="2600" w:type="dxa"/>
          <w:tcMar>
            <w:top w:w="200" w:type="dxa"/>
          </w:tcMar>
          <w:vAlign w:val="center"/>
        </w:tcPr>
        <w:p w14:paraId="76E326C3" w14:textId="77777777" w:rsidR="002D0E71" w:rsidRDefault="002D0E71">
          <w:pPr>
            <w:pStyle w:val="Normal47"/>
          </w:pPr>
        </w:p>
      </w:tc>
      <w:tc>
        <w:tcPr>
          <w:tcW w:w="4880" w:type="dxa"/>
          <w:tcMar>
            <w:top w:w="200" w:type="dxa"/>
          </w:tcMar>
          <w:vAlign w:val="center"/>
        </w:tcPr>
        <w:p w14:paraId="0352EEB2" w14:textId="77777777" w:rsidR="002D0E71" w:rsidRDefault="002D0E71">
          <w:pPr>
            <w:pStyle w:val="Normal47"/>
            <w:jc w:val="center"/>
          </w:pPr>
        </w:p>
      </w:tc>
      <w:tc>
        <w:tcPr>
          <w:tcW w:w="2600" w:type="dxa"/>
          <w:tcMar>
            <w:top w:w="200" w:type="dxa"/>
          </w:tcMar>
          <w:vAlign w:val="center"/>
        </w:tcPr>
        <w:p w14:paraId="1F9BCCDA" w14:textId="77777777" w:rsidR="002D0E71" w:rsidRDefault="002D0E71">
          <w:pPr>
            <w:pStyle w:val="Normal47"/>
          </w:pPr>
        </w:p>
      </w:tc>
    </w:tr>
  </w:tbl>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76A2F" w14:textId="77777777" w:rsidR="002D0E71" w:rsidRDefault="002D0E71">
    <w:pPr>
      <w:pStyle w:val="Normal47"/>
      <w:spacing w:before="200"/>
      <w:jc w:val="center"/>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FB11F" w14:textId="77777777" w:rsidR="002D0E71" w:rsidRDefault="002D0E71">
    <w:pPr>
      <w:pStyle w:val="Normal48"/>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67117B69" w14:textId="77777777">
      <w:trPr>
        <w:jc w:val="center"/>
      </w:trPr>
      <w:tc>
        <w:tcPr>
          <w:tcW w:w="2600" w:type="dxa"/>
          <w:tcMar>
            <w:top w:w="200" w:type="dxa"/>
          </w:tcMar>
          <w:vAlign w:val="center"/>
        </w:tcPr>
        <w:p w14:paraId="76C2A589" w14:textId="77777777" w:rsidR="002D0E71" w:rsidRDefault="002D0E71">
          <w:pPr>
            <w:pStyle w:val="Normal48"/>
          </w:pPr>
        </w:p>
      </w:tc>
      <w:tc>
        <w:tcPr>
          <w:tcW w:w="4880" w:type="dxa"/>
          <w:tcMar>
            <w:top w:w="200" w:type="dxa"/>
          </w:tcMar>
          <w:vAlign w:val="center"/>
        </w:tcPr>
        <w:p w14:paraId="24556DCF" w14:textId="77777777" w:rsidR="002D0E71" w:rsidRDefault="002D0E71">
          <w:pPr>
            <w:pStyle w:val="Normal48"/>
            <w:jc w:val="center"/>
          </w:pPr>
        </w:p>
      </w:tc>
      <w:tc>
        <w:tcPr>
          <w:tcW w:w="2600" w:type="dxa"/>
          <w:tcMar>
            <w:top w:w="200" w:type="dxa"/>
          </w:tcMar>
          <w:vAlign w:val="center"/>
        </w:tcPr>
        <w:p w14:paraId="7C626D8B" w14:textId="77777777" w:rsidR="002D0E71" w:rsidRDefault="002D0E71">
          <w:pPr>
            <w:pStyle w:val="Normal48"/>
          </w:pPr>
        </w:p>
      </w:tc>
    </w:tr>
  </w:tbl>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477C4" w14:textId="77777777" w:rsidR="002D0E71" w:rsidRDefault="002D0E71">
    <w:pPr>
      <w:pStyle w:val="Normal48"/>
      <w:spacing w:before="200"/>
      <w:jc w:val="center"/>
    </w:pP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E6E5C" w14:textId="77777777" w:rsidR="002D0E71" w:rsidRDefault="002D0E71">
    <w:pPr>
      <w:pStyle w:val="Normal49"/>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D0E71" w14:paraId="0F0C63A6" w14:textId="77777777">
      <w:trPr>
        <w:jc w:val="center"/>
      </w:trPr>
      <w:tc>
        <w:tcPr>
          <w:tcW w:w="2600" w:type="dxa"/>
          <w:tcMar>
            <w:top w:w="200" w:type="dxa"/>
          </w:tcMar>
          <w:vAlign w:val="center"/>
        </w:tcPr>
        <w:p w14:paraId="522588DD" w14:textId="77777777" w:rsidR="002D0E71" w:rsidRDefault="002D0E71">
          <w:pPr>
            <w:pStyle w:val="Normal49"/>
          </w:pPr>
        </w:p>
      </w:tc>
      <w:tc>
        <w:tcPr>
          <w:tcW w:w="4880" w:type="dxa"/>
          <w:tcMar>
            <w:top w:w="200" w:type="dxa"/>
          </w:tcMar>
          <w:vAlign w:val="center"/>
        </w:tcPr>
        <w:p w14:paraId="05006898" w14:textId="77777777" w:rsidR="002D0E71" w:rsidRDefault="002D0E71">
          <w:pPr>
            <w:pStyle w:val="Normal49"/>
            <w:jc w:val="center"/>
          </w:pPr>
        </w:p>
      </w:tc>
      <w:tc>
        <w:tcPr>
          <w:tcW w:w="2600" w:type="dxa"/>
          <w:tcMar>
            <w:top w:w="200" w:type="dxa"/>
          </w:tcMar>
          <w:vAlign w:val="center"/>
        </w:tcPr>
        <w:p w14:paraId="7BB94EAE" w14:textId="77777777" w:rsidR="002D0E71" w:rsidRDefault="002D0E71">
          <w:pPr>
            <w:pStyle w:val="Normal49"/>
          </w:pPr>
        </w:p>
      </w:tc>
    </w:tr>
  </w:tbl>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7DD3B" w14:textId="77777777" w:rsidR="002D0E71" w:rsidRDefault="002D0E71">
    <w:pPr>
      <w:pStyle w:val="Normal49"/>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61A08" w14:textId="77777777" w:rsidR="00F57084" w:rsidRDefault="00F57084">
      <w:r>
        <w:separator/>
      </w:r>
    </w:p>
  </w:footnote>
  <w:footnote w:type="continuationSeparator" w:id="0">
    <w:p w14:paraId="458FA1D9" w14:textId="77777777" w:rsidR="00F57084" w:rsidRDefault="00F57084">
      <w:r>
        <w:continuationSeparator/>
      </w:r>
    </w:p>
  </w:footnote>
  <w:footnote w:id="1">
    <w:p w14:paraId="7BEF0654" w14:textId="77777777" w:rsidR="002D0E71" w:rsidRDefault="00000000">
      <w:pPr>
        <w:pStyle w:val="Normal0"/>
        <w:widowControl w:val="0"/>
        <w:spacing w:before="200" w:line="240" w:lineRule="atLeast"/>
        <w:jc w:val="both"/>
      </w:pPr>
      <w:r>
        <w:rPr>
          <w:rFonts w:ascii="Arial" w:eastAsia="Arial" w:hAnsi="Arial" w:cs="Arial"/>
          <w:color w:val="000000"/>
          <w:sz w:val="18"/>
          <w:vertAlign w:val="superscript"/>
        </w:rPr>
        <w:t>1 </w:t>
      </w:r>
      <w:bookmarkStart w:id="15" w:name="Bookmark_fnpara_1"/>
      <w:bookmarkEnd w:id="15"/>
      <w:r>
        <w:rPr>
          <w:rFonts w:ascii="Arial" w:eastAsia="Arial" w:hAnsi="Arial" w:cs="Arial"/>
          <w:color w:val="000000"/>
          <w:sz w:val="18"/>
        </w:rPr>
        <w:t xml:space="preserve">Thomas's original complaint named an additional charity — My Sister's House — and various employees of the charities as defendants. </w:t>
      </w:r>
      <w:bookmarkStart w:id="16" w:name="Bookmark_I5M9JXJT2N1RHW0020000400"/>
      <w:bookmarkEnd w:id="16"/>
      <w:r>
        <w:rPr>
          <w:rFonts w:ascii="Arial" w:eastAsia="Arial" w:hAnsi="Arial" w:cs="Arial"/>
          <w:color w:val="000000"/>
          <w:sz w:val="18"/>
        </w:rPr>
        <w:t xml:space="preserve">Her counseled brief advances arguments only against the Salvation Army, Church in the City, and Victory Christian Center. Because Thomas has waived claims against the [**3]  other defendants, we address only her claims against the Salvation Army, Church in the City, and Victory Christian Center. </w:t>
      </w:r>
      <w:bookmarkStart w:id="17" w:name="Bookmark_I5M9JXJT2N1RHW0010000400"/>
      <w:bookmarkEnd w:id="17"/>
      <w:r>
        <w:rPr>
          <w:rFonts w:ascii="Arial" w:eastAsia="Arial" w:hAnsi="Arial" w:cs="Arial"/>
          <w:color w:val="000000"/>
          <w:sz w:val="18"/>
          <w:u w:val="single"/>
        </w:rPr>
        <w:t>Slezak v. Evatt</w:t>
      </w:r>
      <w:r>
        <w:rPr>
          <w:rFonts w:ascii="Arial" w:eastAsia="Arial" w:hAnsi="Arial" w:cs="Arial"/>
          <w:color w:val="000000"/>
          <w:sz w:val="18"/>
        </w:rPr>
        <w:t xml:space="preserve">, 21 F.3d 590, 593 n.2 (4th Cir. 1994). </w:t>
      </w:r>
      <w:r>
        <w:rPr>
          <w:rFonts w:ascii="Arial" w:eastAsia="Arial" w:hAnsi="Arial" w:cs="Arial"/>
          <w:color w:val="000000"/>
          <w:sz w:val="18"/>
          <w:u w:val="single"/>
        </w:rPr>
        <w:t>See</w:t>
      </w:r>
    </w:p>
  </w:footnote>
  <w:footnote w:id="2">
    <w:p w14:paraId="1BD2BB81" w14:textId="77777777" w:rsidR="002D0E71" w:rsidRDefault="00000000">
      <w:pPr>
        <w:pStyle w:val="Normal0"/>
        <w:widowControl w:val="0"/>
        <w:spacing w:before="200" w:line="240" w:lineRule="atLeast"/>
        <w:jc w:val="both"/>
      </w:pPr>
      <w:r>
        <w:rPr>
          <w:rFonts w:ascii="Arial" w:eastAsia="Arial" w:hAnsi="Arial" w:cs="Arial"/>
          <w:color w:val="000000"/>
          <w:sz w:val="18"/>
          <w:vertAlign w:val="superscript"/>
        </w:rPr>
        <w:t>2 </w:t>
      </w:r>
      <w:bookmarkStart w:id="37" w:name="Bookmark_fnpara_2"/>
      <w:bookmarkEnd w:id="37"/>
      <w:r>
        <w:rPr>
          <w:rFonts w:ascii="Arial" w:eastAsia="Arial" w:hAnsi="Arial" w:cs="Arial"/>
          <w:color w:val="000000"/>
          <w:sz w:val="18"/>
        </w:rPr>
        <w:t xml:space="preserve">Thomas advances arguments for her § 1983 and § 1985 claims in her informal brief but not in her counseled brief. </w:t>
      </w:r>
      <w:bookmarkStart w:id="38" w:name="Bookmark_I5M9JXJT2HM6W60020000400"/>
      <w:bookmarkEnd w:id="38"/>
      <w:r>
        <w:rPr>
          <w:rFonts w:ascii="Arial" w:eastAsia="Arial" w:hAnsi="Arial" w:cs="Arial"/>
          <w:color w:val="000000"/>
          <w:sz w:val="18"/>
        </w:rPr>
        <w:t xml:space="preserve">Appellant's Reply Br. 2 n.1. We have held in similar circumstances that this results in waiver of the claims. </w:t>
      </w:r>
      <w:bookmarkStart w:id="39" w:name="Bookmark_I5M9JXJT2HM6W60010000400"/>
      <w:bookmarkEnd w:id="39"/>
      <w:r>
        <w:rPr>
          <w:rFonts w:ascii="Arial" w:eastAsia="Arial" w:hAnsi="Arial" w:cs="Arial"/>
          <w:color w:val="000000"/>
          <w:sz w:val="18"/>
          <w:u w:val="single"/>
        </w:rPr>
        <w:t>Slezak</w:t>
      </w:r>
      <w:r>
        <w:rPr>
          <w:rFonts w:ascii="Arial" w:eastAsia="Arial" w:hAnsi="Arial" w:cs="Arial"/>
          <w:color w:val="000000"/>
          <w:sz w:val="18"/>
        </w:rPr>
        <w:t>, 21 F.3d at 593 n.2 (declining to consider issues not raised in counseled brief). Nonetheless, we will in the exercise of our discretion address her § 1983 and § 1985 claims.</w:t>
      </w:r>
    </w:p>
  </w:footnote>
  <w:footnote w:id="3">
    <w:p w14:paraId="7E7013F5" w14:textId="77777777" w:rsidR="002D0E71" w:rsidRDefault="00000000">
      <w:pPr>
        <w:pStyle w:val="Normal0"/>
        <w:widowControl w:val="0"/>
        <w:spacing w:before="200" w:line="240" w:lineRule="atLeast"/>
        <w:jc w:val="both"/>
      </w:pPr>
      <w:r>
        <w:rPr>
          <w:rFonts w:ascii="Arial" w:eastAsia="Arial" w:hAnsi="Arial" w:cs="Arial"/>
          <w:color w:val="000000"/>
          <w:sz w:val="18"/>
          <w:vertAlign w:val="superscript"/>
        </w:rPr>
        <w:t>3 </w:t>
      </w:r>
      <w:bookmarkStart w:id="132" w:name="Bookmark_fnpara_3"/>
      <w:bookmarkEnd w:id="132"/>
      <w:r>
        <w:rPr>
          <w:rFonts w:ascii="Arial" w:eastAsia="Arial" w:hAnsi="Arial" w:cs="Arial"/>
          <w:color w:val="000000"/>
          <w:sz w:val="18"/>
        </w:rPr>
        <w:t>As the district court noted, Thomas has filed at least eight lawsuits in [**21]  the Western District of North Carolina, prevailing in none, and at least five additional suits in the Middle District of North Carolina. J.A. 59. Our opinion herein does not reflect on whether Thomas should be subject to a pre-filing injunction, a matter we leave to the district court in the first instance.</w:t>
      </w:r>
    </w:p>
  </w:footnote>
  <w:footnote w:id="4">
    <w:p w14:paraId="2CBAA4E0" w14:textId="77777777" w:rsidR="002D0E71" w:rsidRDefault="00000000">
      <w:pPr>
        <w:pStyle w:val="Normal1"/>
        <w:widowControl w:val="0"/>
        <w:spacing w:before="120" w:line="240" w:lineRule="atLeast"/>
        <w:jc w:val="both"/>
      </w:pPr>
      <w:r>
        <w:rPr>
          <w:rFonts w:ascii="Arial" w:eastAsia="Arial" w:hAnsi="Arial" w:cs="Arial"/>
          <w:color w:val="000000"/>
          <w:sz w:val="18"/>
          <w:vertAlign w:val="superscript"/>
        </w:rPr>
        <w:t>* </w:t>
      </w:r>
      <w:bookmarkStart w:id="144" w:name="Bookmark_fnpara_1_0"/>
      <w:bookmarkEnd w:id="144"/>
      <w:r>
        <w:rPr>
          <w:rFonts w:ascii="Arial" w:eastAsia="Arial" w:hAnsi="Arial" w:cs="Arial"/>
          <w:color w:val="000000"/>
          <w:sz w:val="18"/>
        </w:rPr>
        <w:t>This disposition is not an opinion of the full Court and pursuant to I.O.P. 5.7 does not constitute a binding precedent.</w:t>
      </w:r>
    </w:p>
  </w:footnote>
  <w:footnote w:id="5">
    <w:p w14:paraId="0F53FD6B" w14:textId="77777777" w:rsidR="002D0E71" w:rsidRDefault="00000000">
      <w:pPr>
        <w:pStyle w:val="Normal1"/>
        <w:widowControl w:val="0"/>
        <w:spacing w:before="120" w:line="240" w:lineRule="atLeast"/>
        <w:jc w:val="both"/>
      </w:pPr>
      <w:r>
        <w:rPr>
          <w:rFonts w:ascii="Arial" w:eastAsia="Arial" w:hAnsi="Arial" w:cs="Arial"/>
          <w:color w:val="000000"/>
          <w:sz w:val="18"/>
          <w:vertAlign w:val="superscript"/>
        </w:rPr>
        <w:t>1 </w:t>
      </w:r>
      <w:bookmarkStart w:id="149" w:name="Bookmark_fnpara_2_0"/>
      <w:bookmarkEnd w:id="149"/>
      <w:r>
        <w:rPr>
          <w:rFonts w:ascii="Arial" w:eastAsia="Arial" w:hAnsi="Arial" w:cs="Arial"/>
          <w:color w:val="000000"/>
          <w:sz w:val="18"/>
        </w:rPr>
        <w:t>Originally, a different grievance officer advised Baxter that he could pursue other programs and activities that were within his medical restrictions.</w:t>
      </w:r>
    </w:p>
  </w:footnote>
  <w:footnote w:id="6">
    <w:p w14:paraId="242DB5C2" w14:textId="77777777" w:rsidR="002D0E71" w:rsidRDefault="00000000">
      <w:pPr>
        <w:pStyle w:val="Normal1"/>
        <w:widowControl w:val="0"/>
        <w:spacing w:before="200" w:line="240" w:lineRule="atLeast"/>
        <w:jc w:val="both"/>
      </w:pPr>
      <w:r>
        <w:rPr>
          <w:rFonts w:ascii="Arial" w:eastAsia="Arial" w:hAnsi="Arial" w:cs="Arial"/>
          <w:color w:val="000000"/>
          <w:sz w:val="18"/>
          <w:vertAlign w:val="superscript"/>
        </w:rPr>
        <w:t>2 </w:t>
      </w:r>
      <w:bookmarkStart w:id="187" w:name="Bookmark_fnpara_3_0"/>
      <w:bookmarkEnd w:id="187"/>
      <w:r>
        <w:rPr>
          <w:rFonts w:ascii="Arial" w:eastAsia="Arial" w:hAnsi="Arial" w:cs="Arial"/>
          <w:color w:val="000000"/>
          <w:sz w:val="18"/>
        </w:rPr>
        <w:t xml:space="preserve">A disability is "a physical or mental impairment that substantially limits one or more major life activities of [an] individual." 42 U.S.C. § 12102(1)(A). "[W]alking" is a "major life activity" for the purposes of the statute, </w:t>
      </w:r>
      <w:r>
        <w:rPr>
          <w:rFonts w:ascii="Arial" w:eastAsia="Arial" w:hAnsi="Arial" w:cs="Arial"/>
          <w:color w:val="000000"/>
          <w:sz w:val="18"/>
          <w:u w:val="single"/>
        </w:rPr>
        <w:t>id.</w:t>
      </w:r>
      <w:r>
        <w:rPr>
          <w:rFonts w:ascii="Arial" w:eastAsia="Arial" w:hAnsi="Arial" w:cs="Arial"/>
          <w:color w:val="000000"/>
          <w:sz w:val="18"/>
        </w:rPr>
        <w:t xml:space="preserve"> at § 12102(2)(A).</w:t>
      </w:r>
    </w:p>
  </w:footnote>
  <w:footnote w:id="7">
    <w:p w14:paraId="08A29CAF" w14:textId="77777777" w:rsidR="002D0E71" w:rsidRDefault="00000000">
      <w:pPr>
        <w:pStyle w:val="Normal1"/>
        <w:widowControl w:val="0"/>
        <w:spacing w:before="120" w:line="240" w:lineRule="atLeast"/>
        <w:jc w:val="both"/>
      </w:pPr>
      <w:r>
        <w:rPr>
          <w:rFonts w:ascii="Arial" w:eastAsia="Arial" w:hAnsi="Arial" w:cs="Arial"/>
          <w:color w:val="000000"/>
          <w:sz w:val="18"/>
          <w:vertAlign w:val="superscript"/>
        </w:rPr>
        <w:t>3 </w:t>
      </w:r>
      <w:bookmarkStart w:id="188" w:name="Bookmark_fnpara_4"/>
      <w:bookmarkEnd w:id="188"/>
      <w:r>
        <w:rPr>
          <w:rFonts w:ascii="Arial" w:eastAsia="Arial" w:hAnsi="Arial" w:cs="Arial"/>
          <w:color w:val="000000"/>
          <w:sz w:val="18"/>
        </w:rPr>
        <w:t>A qualified individual with a disability is "an individual with a disability who, with or without reasonable modifications ... meets the essential eligibility requirements for the receipt of services or the participation in programs or activities provided by a public entity." 42 U.S.C. § 12131.</w:t>
      </w:r>
    </w:p>
  </w:footnote>
  <w:footnote w:id="8">
    <w:p w14:paraId="6161AACE" w14:textId="77777777" w:rsidR="002D0E71" w:rsidRDefault="00000000">
      <w:pPr>
        <w:pStyle w:val="Normal3"/>
        <w:widowControl w:val="0"/>
        <w:spacing w:before="200" w:line="240" w:lineRule="atLeast"/>
        <w:jc w:val="both"/>
      </w:pPr>
      <w:r>
        <w:rPr>
          <w:rFonts w:ascii="Arial" w:eastAsia="Arial" w:hAnsi="Arial" w:cs="Arial"/>
          <w:color w:val="000000"/>
          <w:sz w:val="18"/>
          <w:vertAlign w:val="superscript"/>
        </w:rPr>
        <w:t>1 </w:t>
      </w:r>
      <w:bookmarkStart w:id="352" w:name="Bookmark_fnpara_1_1"/>
      <w:bookmarkEnd w:id="352"/>
      <w:r>
        <w:rPr>
          <w:rFonts w:ascii="Arial" w:eastAsia="Arial" w:hAnsi="Arial" w:cs="Arial"/>
          <w:color w:val="000000"/>
          <w:sz w:val="18"/>
        </w:rPr>
        <w:t>Prior to the district court's order on the Town's motion to dismiss, Miller had voluntarily dismissed Count III of the complaint alleging a violation of due process under Article X of the Massachusetts Declaration [**11]  of Rights.</w:t>
      </w:r>
    </w:p>
  </w:footnote>
  <w:footnote w:id="9">
    <w:p w14:paraId="7AE29ABE" w14:textId="77777777" w:rsidR="002D0E71" w:rsidRDefault="00000000">
      <w:pPr>
        <w:pStyle w:val="Normal3"/>
        <w:widowControl w:val="0"/>
        <w:spacing w:before="120" w:line="240" w:lineRule="atLeast"/>
        <w:jc w:val="both"/>
      </w:pPr>
      <w:r>
        <w:rPr>
          <w:rFonts w:ascii="Arial" w:eastAsia="Arial" w:hAnsi="Arial" w:cs="Arial"/>
          <w:color w:val="000000"/>
          <w:sz w:val="18"/>
          <w:vertAlign w:val="superscript"/>
        </w:rPr>
        <w:t>2 </w:t>
      </w:r>
      <w:bookmarkStart w:id="416" w:name="Bookmark_fnpara_2_1"/>
      <w:bookmarkEnd w:id="416"/>
      <w:r>
        <w:rPr>
          <w:rFonts w:ascii="Arial" w:eastAsia="Arial" w:hAnsi="Arial" w:cs="Arial"/>
          <w:color w:val="000000"/>
          <w:sz w:val="18"/>
        </w:rPr>
        <w:t>Indeed, this very argument highlights the fact that the ZBA, not the Building Inspector, was the final arbiter as to the lawfulness of 110, Inc.'s use of the property.</w:t>
      </w:r>
    </w:p>
  </w:footnote>
  <w:footnote w:id="10">
    <w:p w14:paraId="6257592B" w14:textId="77777777" w:rsidR="002D0E71" w:rsidRDefault="00000000">
      <w:pPr>
        <w:pStyle w:val="Normal4"/>
        <w:widowControl w:val="0"/>
        <w:spacing w:before="120" w:line="240" w:lineRule="atLeast"/>
        <w:jc w:val="both"/>
      </w:pPr>
      <w:r>
        <w:rPr>
          <w:rFonts w:ascii="Arial" w:eastAsia="Arial" w:hAnsi="Arial" w:cs="Arial"/>
          <w:color w:val="000000"/>
          <w:sz w:val="18"/>
          <w:vertAlign w:val="superscript"/>
        </w:rPr>
        <w:t>* </w:t>
      </w:r>
      <w:bookmarkStart w:id="444" w:name="Bookmark_fnpara_1_2"/>
      <w:bookmarkEnd w:id="444"/>
      <w:r>
        <w:rPr>
          <w:rFonts w:ascii="Arial" w:eastAsia="Arial" w:hAnsi="Arial" w:cs="Arial"/>
          <w:color w:val="000000"/>
          <w:sz w:val="18"/>
        </w:rPr>
        <w:t>The Clerk of Court is respectfully directed to amend the caption as set forth above.</w:t>
      </w:r>
    </w:p>
  </w:footnote>
  <w:footnote w:id="11">
    <w:p w14:paraId="4C04A10F" w14:textId="77777777" w:rsidR="002D0E71" w:rsidRDefault="00000000">
      <w:pPr>
        <w:pStyle w:val="Normal4"/>
        <w:widowControl w:val="0"/>
        <w:spacing w:before="200" w:line="240" w:lineRule="atLeast"/>
        <w:jc w:val="both"/>
      </w:pPr>
      <w:r>
        <w:rPr>
          <w:rFonts w:ascii="Arial" w:eastAsia="Arial" w:hAnsi="Arial" w:cs="Arial"/>
          <w:color w:val="000000"/>
          <w:sz w:val="18"/>
          <w:vertAlign w:val="superscript"/>
        </w:rPr>
        <w:t>1 </w:t>
      </w:r>
      <w:bookmarkStart w:id="565" w:name="Bookmark_fnpara_2_2"/>
      <w:bookmarkEnd w:id="565"/>
      <w:r>
        <w:rPr>
          <w:rFonts w:ascii="Arial" w:eastAsia="Arial" w:hAnsi="Arial" w:cs="Arial"/>
          <w:color w:val="000000"/>
          <w:sz w:val="18"/>
        </w:rPr>
        <w:t xml:space="preserve">To the extent that a prison's unique environment presents added costs for accommodating a disabled prisoner's proposed accommodation, this concern is properly evaluated under the burden shifting analysis below. </w:t>
      </w:r>
      <w:r>
        <w:rPr>
          <w:rFonts w:ascii="Arial" w:eastAsia="Arial" w:hAnsi="Arial" w:cs="Arial"/>
          <w:color w:val="000000"/>
          <w:sz w:val="18"/>
          <w:u w:val="single"/>
        </w:rPr>
        <w:t>See infra</w:t>
      </w:r>
      <w:r>
        <w:rPr>
          <w:rFonts w:ascii="Arial" w:eastAsia="Arial" w:hAnsi="Arial" w:cs="Arial"/>
          <w:color w:val="000000"/>
          <w:sz w:val="18"/>
        </w:rPr>
        <w:t xml:space="preserve"> at 30-33.</w:t>
      </w:r>
    </w:p>
  </w:footnote>
  <w:footnote w:id="12">
    <w:p w14:paraId="68A39F81" w14:textId="77777777" w:rsidR="002D0E71" w:rsidRDefault="00000000">
      <w:pPr>
        <w:pStyle w:val="Normal4"/>
        <w:widowControl w:val="0"/>
        <w:spacing w:before="120" w:line="240" w:lineRule="atLeast"/>
        <w:jc w:val="both"/>
      </w:pPr>
      <w:r>
        <w:rPr>
          <w:rFonts w:ascii="Arial" w:eastAsia="Arial" w:hAnsi="Arial" w:cs="Arial"/>
          <w:color w:val="000000"/>
          <w:sz w:val="18"/>
          <w:vertAlign w:val="superscript"/>
        </w:rPr>
        <w:t>2 </w:t>
      </w:r>
      <w:bookmarkStart w:id="607" w:name="Bookmark_fnpara_3_1"/>
      <w:bookmarkEnd w:id="607"/>
      <w:r>
        <w:rPr>
          <w:rFonts w:ascii="Arial" w:eastAsia="Arial" w:hAnsi="Arial" w:cs="Arial"/>
          <w:color w:val="000000"/>
          <w:sz w:val="18"/>
        </w:rPr>
        <w:t>While DOCCS's Chief Medical Officer, Dr. Carl Koenigsmann, stated in a deposition and an affidavit that Wright's medical needs were being met because Wright was provided a manual wheelchair, a cushion, and a mobility aide, Koenigsmann testified that he never examined Wright or reviewed Wright's medical records. Joint App'x at 404, 411. Although there was, in some general respects, an examination of Wright's physical needs, it was by no means individualized as required under Title II of the ADA.</w:t>
      </w:r>
    </w:p>
  </w:footnote>
  <w:footnote w:id="13">
    <w:p w14:paraId="682AF6A5" w14:textId="77777777" w:rsidR="002D0E71" w:rsidRDefault="00000000">
      <w:pPr>
        <w:pStyle w:val="Normal5"/>
        <w:widowControl w:val="0"/>
        <w:spacing w:before="120" w:line="240" w:lineRule="atLeast"/>
        <w:jc w:val="both"/>
      </w:pPr>
      <w:r>
        <w:rPr>
          <w:rFonts w:ascii="Arial" w:eastAsia="Arial" w:hAnsi="Arial" w:cs="Arial"/>
          <w:color w:val="000000"/>
          <w:sz w:val="18"/>
          <w:vertAlign w:val="superscript"/>
        </w:rPr>
        <w:t>1 </w:t>
      </w:r>
      <w:bookmarkStart w:id="638" w:name="Bookmark_fnpara_1_3"/>
      <w:bookmarkEnd w:id="638"/>
      <w:r>
        <w:rPr>
          <w:rFonts w:ascii="Arial" w:eastAsia="Arial" w:hAnsi="Arial" w:cs="Arial"/>
          <w:color w:val="000000"/>
          <w:sz w:val="18"/>
        </w:rPr>
        <w:t>As a technical matter, the actual accrediting agent is the Council of the ABA's Section on Legal Education and Admission to the Bar, which, on matters of accreditation, maintains independence from its parent organization. Whether graduates of a non-ABA-approved school may be licensed to practice law in a given jurisdiction is a decision made by that jurisdiction's bar admission authority and not by the Council or the ABA.</w:t>
      </w:r>
    </w:p>
  </w:footnote>
  <w:footnote w:id="14">
    <w:p w14:paraId="53450F87" w14:textId="77777777" w:rsidR="002D0E71" w:rsidRDefault="00000000">
      <w:pPr>
        <w:pStyle w:val="Normal5"/>
        <w:widowControl w:val="0"/>
        <w:spacing w:before="200" w:line="240" w:lineRule="atLeast"/>
        <w:jc w:val="both"/>
      </w:pPr>
      <w:r>
        <w:rPr>
          <w:rFonts w:ascii="Arial" w:eastAsia="Arial" w:hAnsi="Arial" w:cs="Arial"/>
          <w:color w:val="000000"/>
          <w:sz w:val="18"/>
          <w:vertAlign w:val="superscript"/>
        </w:rPr>
        <w:t>2 </w:t>
      </w:r>
      <w:bookmarkStart w:id="641" w:name="Bookmark_fnpara_2_3"/>
      <w:bookmarkEnd w:id="641"/>
      <w:r>
        <w:rPr>
          <w:rFonts w:ascii="Arial" w:eastAsia="Arial" w:hAnsi="Arial" w:cs="Arial"/>
          <w:color w:val="000000"/>
          <w:sz w:val="18"/>
        </w:rPr>
        <w:t xml:space="preserve">Law schools proposing a program inconsistent with an ABA Standard may apply for a variance from that standard under Standard 803. A law school seeking a variance bears the burden of demonstrating that the variance should be granted. An August 2009 ABA Consultant's Memo notes five law school programs that successfully received variances from Standard 503. The Memo also indicates that the ABA has found one law school that does not use the LSAT to be compliant with Standard 503. According to recent news reports, several law schools are considering seeking authorization to substitute the Graduate Record Examination (GRE) for the LSAT. </w:t>
      </w:r>
      <w:r>
        <w:rPr>
          <w:rFonts w:ascii="Arial" w:eastAsia="Arial" w:hAnsi="Arial" w:cs="Arial"/>
          <w:i/>
          <w:color w:val="000000"/>
          <w:sz w:val="18"/>
        </w:rPr>
        <w:t>See, e.g.</w:t>
      </w:r>
      <w:r>
        <w:rPr>
          <w:rFonts w:ascii="Arial" w:eastAsia="Arial" w:hAnsi="Arial" w:cs="Arial"/>
          <w:color w:val="000000"/>
          <w:sz w:val="18"/>
        </w:rPr>
        <w:t xml:space="preserve">, Karen Sloan, </w:t>
      </w:r>
      <w:r>
        <w:rPr>
          <w:rFonts w:ascii="Arial" w:eastAsia="Arial" w:hAnsi="Arial" w:cs="Arial"/>
          <w:i/>
          <w:color w:val="000000"/>
          <w:sz w:val="18"/>
        </w:rPr>
        <w:t>University of Arizona Law School's Use of GRE Scores Creates LSAT Trouble</w:t>
      </w:r>
      <w:r>
        <w:rPr>
          <w:rFonts w:ascii="Arial" w:eastAsia="Arial" w:hAnsi="Arial" w:cs="Arial"/>
          <w:color w:val="000000"/>
          <w:sz w:val="18"/>
        </w:rPr>
        <w:t xml:space="preserve">, NAT'L L. J., May [**6]  2, 2016, </w:t>
      </w:r>
      <w:r>
        <w:rPr>
          <w:rFonts w:ascii="Arial" w:eastAsia="Arial" w:hAnsi="Arial" w:cs="Arial"/>
          <w:i/>
          <w:color w:val="000000"/>
          <w:sz w:val="18"/>
        </w:rPr>
        <w:t>available at</w:t>
      </w:r>
      <w:r>
        <w:rPr>
          <w:rFonts w:ascii="Arial" w:eastAsia="Arial" w:hAnsi="Arial" w:cs="Arial"/>
          <w:color w:val="000000"/>
          <w:sz w:val="18"/>
        </w:rPr>
        <w:t xml:space="preserve"> http://www.nationallawjournal.com/id=1202756501823/University-of-Arizona-Law-Schools-Use-of-GRE-Scores-Creates-LSAT-Trouble?slreturn=20160509101934; </w:t>
      </w:r>
      <w:r>
        <w:rPr>
          <w:rFonts w:ascii="Arial" w:eastAsia="Arial" w:hAnsi="Arial" w:cs="Arial"/>
          <w:i/>
          <w:color w:val="000000"/>
          <w:sz w:val="18"/>
        </w:rPr>
        <w:t>see also</w:t>
      </w:r>
      <w:r>
        <w:rPr>
          <w:rFonts w:ascii="Arial" w:eastAsia="Arial" w:hAnsi="Arial" w:cs="Arial"/>
          <w:color w:val="000000"/>
          <w:sz w:val="18"/>
        </w:rPr>
        <w:t xml:space="preserve"> Sara Randazzo, </w:t>
      </w:r>
      <w:r>
        <w:rPr>
          <w:rFonts w:ascii="Arial" w:eastAsia="Arial" w:hAnsi="Arial" w:cs="Arial"/>
          <w:i/>
          <w:color w:val="000000"/>
          <w:sz w:val="18"/>
        </w:rPr>
        <w:t>LSAT's Grip on Law-School Admissions Loosens</w:t>
      </w:r>
      <w:r>
        <w:rPr>
          <w:rFonts w:ascii="Arial" w:eastAsia="Arial" w:hAnsi="Arial" w:cs="Arial"/>
          <w:color w:val="000000"/>
          <w:sz w:val="18"/>
        </w:rPr>
        <w:t xml:space="preserve">, WALL ST. J., Feb. 21, 2016, </w:t>
      </w:r>
      <w:r>
        <w:rPr>
          <w:rFonts w:ascii="Arial" w:eastAsia="Arial" w:hAnsi="Arial" w:cs="Arial"/>
          <w:i/>
          <w:color w:val="000000"/>
          <w:sz w:val="18"/>
        </w:rPr>
        <w:t>available at</w:t>
      </w:r>
      <w:r>
        <w:rPr>
          <w:rFonts w:ascii="Arial" w:eastAsia="Arial" w:hAnsi="Arial" w:cs="Arial"/>
          <w:color w:val="000000"/>
          <w:sz w:val="18"/>
        </w:rPr>
        <w:t xml:space="preserve"> http://www.wsj.com/articles/lsats-gripon-law-school-admissions-loosens-1455964203?cb=logged0.08788420751644987. The GRE is an admissions requirement for most graduate schools in this country.</w:t>
      </w:r>
    </w:p>
  </w:footnote>
  <w:footnote w:id="15">
    <w:p w14:paraId="1B7183FD" w14:textId="77777777" w:rsidR="002D0E71" w:rsidRDefault="00000000">
      <w:pPr>
        <w:pStyle w:val="Normal5"/>
        <w:widowControl w:val="0"/>
        <w:spacing w:before="200" w:line="240" w:lineRule="atLeast"/>
        <w:jc w:val="both"/>
      </w:pPr>
      <w:r>
        <w:rPr>
          <w:rFonts w:ascii="Arial" w:eastAsia="Arial" w:hAnsi="Arial" w:cs="Arial"/>
          <w:color w:val="000000"/>
          <w:sz w:val="18"/>
          <w:vertAlign w:val="superscript"/>
        </w:rPr>
        <w:t>3 </w:t>
      </w:r>
      <w:bookmarkStart w:id="642" w:name="Bookmark_fnpara_3_2"/>
      <w:bookmarkEnd w:id="642"/>
      <w:r>
        <w:rPr>
          <w:rFonts w:ascii="Arial" w:eastAsia="Arial" w:hAnsi="Arial" w:cs="Arial"/>
          <w:color w:val="000000"/>
          <w:sz w:val="18"/>
        </w:rPr>
        <w:t xml:space="preserve">A sample LSAT question attached as Exhibit B to the amended complaint does not "require" a diagram but merely suggests that "[i]n answering some of the questions [in Section 1], it may be useful to draw a rough diagram." Although the standard of review on motion to dismiss for lack of standing requires that the district court, as well as the reviewing court, accept the material allegations of the complaint as true, </w:t>
      </w:r>
      <w:r>
        <w:rPr>
          <w:rFonts w:ascii="Arial" w:eastAsia="Arial" w:hAnsi="Arial" w:cs="Arial"/>
          <w:i/>
          <w:color w:val="000000"/>
          <w:sz w:val="18"/>
        </w:rPr>
        <w:t xml:space="preserve">see </w:t>
      </w:r>
      <w:bookmarkStart w:id="643" w:name="Bookmark_I5K6ND512HM6GF0010000400"/>
      <w:bookmarkEnd w:id="643"/>
      <w:r>
        <w:rPr>
          <w:rFonts w:ascii="Arial" w:eastAsia="Arial" w:hAnsi="Arial" w:cs="Arial"/>
          <w:i/>
          <w:color w:val="000000"/>
          <w:sz w:val="18"/>
        </w:rPr>
        <w:t>Warth v. Seldin</w:t>
      </w:r>
      <w:r>
        <w:rPr>
          <w:rFonts w:ascii="Arial" w:eastAsia="Arial" w:hAnsi="Arial" w:cs="Arial"/>
          <w:color w:val="000000"/>
          <w:sz w:val="18"/>
        </w:rPr>
        <w:t xml:space="preserve">, 422 U.S. 490, 501, 95 S. Ct. 2197, 45 L. Ed. 2d 343 (1975), the plaintiff's allegation that the ABA "forces" a blind applicant "to draw pictures as a condition of applying to law school" is an obvious exaggeration that we need not "construe in favor of the complaining party." </w:t>
      </w:r>
      <w:r>
        <w:rPr>
          <w:rFonts w:ascii="Arial" w:eastAsia="Arial" w:hAnsi="Arial" w:cs="Arial"/>
          <w:i/>
          <w:color w:val="000000"/>
          <w:sz w:val="18"/>
        </w:rPr>
        <w:t>Id.</w:t>
      </w:r>
    </w:p>
  </w:footnote>
  <w:footnote w:id="16">
    <w:p w14:paraId="6CE1417F" w14:textId="77777777" w:rsidR="002D0E71" w:rsidRDefault="00000000">
      <w:pPr>
        <w:pStyle w:val="Normal5"/>
        <w:widowControl w:val="0"/>
        <w:spacing w:before="120" w:line="240" w:lineRule="atLeast"/>
        <w:jc w:val="both"/>
      </w:pPr>
      <w:r>
        <w:rPr>
          <w:rFonts w:ascii="Arial" w:eastAsia="Arial" w:hAnsi="Arial" w:cs="Arial"/>
          <w:color w:val="000000"/>
          <w:sz w:val="18"/>
          <w:vertAlign w:val="superscript"/>
        </w:rPr>
        <w:t>4 </w:t>
      </w:r>
      <w:bookmarkStart w:id="645" w:name="Bookmark_fnpara_4_0"/>
      <w:bookmarkEnd w:id="645"/>
      <w:r>
        <w:rPr>
          <w:rFonts w:ascii="Arial" w:eastAsia="Arial" w:hAnsi="Arial" w:cs="Arial"/>
          <w:color w:val="000000"/>
          <w:sz w:val="18"/>
        </w:rPr>
        <w:t>The concurring opinion charges that Standard 503 has a "rigid requirement that law schools require each applicant to submit an LSAT score or else face sanctions or loss of accreditation." However, the record indicates that sanctions are imposed only for "[s]ubstantial or persistent noncompliance with one or more of the Standards" and may take a variety of forms, including a monetary penalty, private or public censure, probation, or "removal from the list of approved law schools."</w:t>
      </w:r>
    </w:p>
  </w:footnote>
  <w:footnote w:id="17">
    <w:p w14:paraId="189A9502" w14:textId="77777777" w:rsidR="002D0E71" w:rsidRDefault="00000000">
      <w:pPr>
        <w:pStyle w:val="Normal5"/>
        <w:widowControl w:val="0"/>
        <w:spacing w:before="120" w:line="240" w:lineRule="atLeast"/>
        <w:jc w:val="both"/>
      </w:pPr>
      <w:r>
        <w:rPr>
          <w:rFonts w:ascii="Arial" w:eastAsia="Arial" w:hAnsi="Arial" w:cs="Arial"/>
          <w:color w:val="000000"/>
          <w:sz w:val="18"/>
          <w:vertAlign w:val="superscript"/>
        </w:rPr>
        <w:t>5 </w:t>
      </w:r>
      <w:bookmarkStart w:id="706" w:name="Bookmark_fnpara_5"/>
      <w:bookmarkEnd w:id="706"/>
      <w:r>
        <w:rPr>
          <w:rFonts w:ascii="Arial" w:eastAsia="Arial" w:hAnsi="Arial" w:cs="Arial"/>
          <w:color w:val="000000"/>
          <w:sz w:val="18"/>
        </w:rPr>
        <w:t xml:space="preserve">Section 309 of Title III states: </w:t>
      </w:r>
      <w:bookmarkStart w:id="707" w:name="Bookmark_LNHNREFclscc10_2"/>
      <w:bookmarkEnd w:id="707"/>
      <w:r>
        <w:rPr>
          <w:rFonts w:ascii="Arial" w:eastAsia="Arial" w:hAnsi="Arial" w:cs="Arial"/>
          <w:color w:val="000000"/>
          <w:sz w:val="18"/>
        </w:rPr>
        <w:t>"Any [private entity] that offers examinations or courses related to applications, licensing, certification, or credentialing for secondary or post-secondary education, professional, or trade purposes shall offer such examinations or courses in a place and manner accessible to persons with disabilities or offer alternative accessible arrangements for such individuals." 42 U.S.C. § 12189.</w:t>
      </w:r>
    </w:p>
  </w:footnote>
  <w:footnote w:id="18">
    <w:p w14:paraId="7D53288B" w14:textId="77777777" w:rsidR="002D0E71" w:rsidRDefault="00000000">
      <w:pPr>
        <w:pStyle w:val="Normal5"/>
        <w:widowControl w:val="0"/>
        <w:spacing w:before="200" w:line="240" w:lineRule="atLeast"/>
        <w:jc w:val="both"/>
      </w:pPr>
      <w:r>
        <w:rPr>
          <w:rFonts w:ascii="Arial" w:eastAsia="Arial" w:hAnsi="Arial" w:cs="Arial"/>
          <w:color w:val="000000"/>
          <w:sz w:val="18"/>
          <w:vertAlign w:val="superscript"/>
        </w:rPr>
        <w:t>6 </w:t>
      </w:r>
      <w:bookmarkStart w:id="723" w:name="Bookmark_fnpara_6"/>
      <w:bookmarkEnd w:id="723"/>
      <w:r>
        <w:rPr>
          <w:rFonts w:ascii="Arial" w:eastAsia="Arial" w:hAnsi="Arial" w:cs="Arial"/>
          <w:color w:val="000000"/>
          <w:sz w:val="18"/>
        </w:rPr>
        <w:t xml:space="preserve">For example, </w:t>
      </w:r>
      <w:bookmarkStart w:id="724" w:name="Bookmark_LNHNREFclscc13_1"/>
      <w:bookmarkEnd w:id="724"/>
      <w:r>
        <w:rPr>
          <w:rFonts w:ascii="Arial" w:eastAsia="Arial" w:hAnsi="Arial" w:cs="Arial"/>
          <w:color w:val="000000"/>
          <w:sz w:val="18"/>
        </w:rPr>
        <w:t xml:space="preserve">the regulations implementing Section 309 discuss "alternative accessible arrangements" with respect to how the exam is administered. </w:t>
      </w:r>
      <w:r>
        <w:rPr>
          <w:rFonts w:ascii="Arial" w:eastAsia="Arial" w:hAnsi="Arial" w:cs="Arial"/>
          <w:i/>
          <w:color w:val="000000"/>
          <w:sz w:val="18"/>
        </w:rPr>
        <w:t>See, e.g.</w:t>
      </w:r>
      <w:r>
        <w:rPr>
          <w:rFonts w:ascii="Arial" w:eastAsia="Arial" w:hAnsi="Arial" w:cs="Arial"/>
          <w:color w:val="000000"/>
          <w:sz w:val="18"/>
        </w:rPr>
        <w:t>, 28 C.F.R. § 36.309(b)(4) ("alternative accessible arrangements may include, for example, provision of examination at an individual's home with a proctor").</w:t>
      </w:r>
    </w:p>
  </w:footnote>
  <w:footnote w:id="19">
    <w:p w14:paraId="7A474CE3" w14:textId="77777777" w:rsidR="002D0E71" w:rsidRDefault="00000000">
      <w:pPr>
        <w:pStyle w:val="Normal5"/>
        <w:widowControl w:val="0"/>
        <w:spacing w:before="200" w:line="240" w:lineRule="atLeast"/>
        <w:jc w:val="both"/>
      </w:pPr>
      <w:r>
        <w:rPr>
          <w:rFonts w:ascii="Arial" w:eastAsia="Arial" w:hAnsi="Arial" w:cs="Arial"/>
          <w:color w:val="000000"/>
          <w:sz w:val="18"/>
          <w:vertAlign w:val="superscript"/>
        </w:rPr>
        <w:t>7 </w:t>
      </w:r>
      <w:bookmarkStart w:id="725" w:name="Bookmark_fnpara_7"/>
      <w:bookmarkEnd w:id="725"/>
      <w:r>
        <w:rPr>
          <w:rFonts w:ascii="Arial" w:eastAsia="Arial" w:hAnsi="Arial" w:cs="Arial"/>
          <w:color w:val="000000"/>
          <w:sz w:val="18"/>
        </w:rPr>
        <w:t xml:space="preserve">The relevant regulation states: </w:t>
      </w:r>
      <w:bookmarkStart w:id="726" w:name="Bookmark_LNHNREFclscc14_0"/>
      <w:bookmarkEnd w:id="726"/>
      <w:r>
        <w:rPr>
          <w:rFonts w:ascii="Arial" w:eastAsia="Arial" w:hAnsi="Arial" w:cs="Arial"/>
          <w:color w:val="000000"/>
          <w:sz w:val="18"/>
        </w:rPr>
        <w:t>"Any private entity offering an examination covered by this section must assure that [t]he examination is selected and administered so as to best ensure that, when the examination is administered to an individual with a disability that impairs sensory, manual, or speaking skills, the examination results accurately reflect the individual's aptitude or achievement level or whatever other factor the examination purports to measure, rather than reflecting the individual's impaired sensory, manual, or speaking skills (except where those skills are the [**18]  factors that the examination purports to measure)." 28 C.F.R. § 36.309(b)(1)(i).</w:t>
      </w:r>
    </w:p>
  </w:footnote>
  <w:footnote w:id="20">
    <w:p w14:paraId="1C5D8BFD" w14:textId="77777777" w:rsidR="002D0E71" w:rsidRDefault="00000000">
      <w:pPr>
        <w:pStyle w:val="Normal5"/>
        <w:widowControl w:val="0"/>
        <w:spacing w:before="200" w:line="240" w:lineRule="atLeast"/>
        <w:jc w:val="both"/>
      </w:pPr>
      <w:r>
        <w:rPr>
          <w:rFonts w:ascii="Arial" w:eastAsia="Arial" w:hAnsi="Arial" w:cs="Arial"/>
          <w:color w:val="000000"/>
          <w:sz w:val="18"/>
          <w:vertAlign w:val="superscript"/>
        </w:rPr>
        <w:t>8 </w:t>
      </w:r>
      <w:bookmarkStart w:id="731" w:name="Bookmark_fnpara_8"/>
      <w:bookmarkStart w:id="732" w:name="Bookmark_LNHNREFclscc16"/>
      <w:bookmarkEnd w:id="731"/>
      <w:bookmarkEnd w:id="732"/>
      <w:r>
        <w:rPr>
          <w:rFonts w:ascii="Arial" w:eastAsia="Arial" w:hAnsi="Arial" w:cs="Arial"/>
          <w:color w:val="000000"/>
          <w:sz w:val="18"/>
        </w:rPr>
        <w:t xml:space="preserve">The legislative history of Section 309 also supports the interpretation that an entity "offers" an exam if it can exert control over the administration, accessibility, or accommodation of that exam. That history indicates that Section 309 "was adopted to assure that persons with disabilities are not foreclosed from educational, professional, or trade opportunities because [**19]  an examination or course </w:t>
      </w:r>
      <w:r>
        <w:rPr>
          <w:rFonts w:ascii="Arial" w:eastAsia="Arial" w:hAnsi="Arial" w:cs="Arial"/>
          <w:i/>
          <w:color w:val="000000"/>
          <w:sz w:val="18"/>
        </w:rPr>
        <w:t>is conducted in an inaccessible site or without an accommodation</w:t>
      </w:r>
      <w:r>
        <w:rPr>
          <w:rFonts w:ascii="Arial" w:eastAsia="Arial" w:hAnsi="Arial" w:cs="Arial"/>
          <w:color w:val="000000"/>
          <w:sz w:val="18"/>
        </w:rPr>
        <w:t xml:space="preserve">." H.R. REP. No. 101-485(III), at 68-69 (1990), </w:t>
      </w:r>
      <w:r>
        <w:rPr>
          <w:rFonts w:ascii="Arial" w:eastAsia="Arial" w:hAnsi="Arial" w:cs="Arial"/>
          <w:i/>
          <w:color w:val="000000"/>
          <w:sz w:val="18"/>
        </w:rPr>
        <w:t>reprinted in</w:t>
      </w:r>
      <w:r>
        <w:rPr>
          <w:rFonts w:ascii="Arial" w:eastAsia="Arial" w:hAnsi="Arial" w:cs="Arial"/>
          <w:color w:val="000000"/>
          <w:sz w:val="18"/>
        </w:rPr>
        <w:t xml:space="preserve"> 1990 U.S.C.C.A.N. 445, 491-92 (emphasis added). The legislative history also notes that "accessible to persons with disabilities . . . includes physical access as well as accommodations in the way the test is administered, e.g. extended time or assistance of a reader." </w:t>
      </w:r>
      <w:r>
        <w:rPr>
          <w:rFonts w:ascii="Arial" w:eastAsia="Arial" w:hAnsi="Arial" w:cs="Arial"/>
          <w:i/>
          <w:color w:val="000000"/>
          <w:sz w:val="18"/>
        </w:rPr>
        <w:t>Id.</w:t>
      </w:r>
      <w:r>
        <w:rPr>
          <w:rFonts w:ascii="Arial" w:eastAsia="Arial" w:hAnsi="Arial" w:cs="Arial"/>
          <w:color w:val="000000"/>
          <w:sz w:val="18"/>
        </w:rPr>
        <w:t xml:space="preserve"> The purpose of the statute is to ensure that the exam is accessible to persons with disabilities in the exam's administration and accommodations.</w:t>
      </w:r>
    </w:p>
  </w:footnote>
  <w:footnote w:id="21">
    <w:p w14:paraId="4BD03590" w14:textId="77777777" w:rsidR="002D0E71" w:rsidRDefault="00000000">
      <w:pPr>
        <w:pStyle w:val="Normal5"/>
        <w:widowControl w:val="0"/>
        <w:spacing w:before="200" w:line="240" w:lineRule="atLeast"/>
        <w:jc w:val="both"/>
      </w:pPr>
      <w:r>
        <w:rPr>
          <w:rFonts w:ascii="Arial" w:eastAsia="Arial" w:hAnsi="Arial" w:cs="Arial"/>
          <w:color w:val="000000"/>
          <w:sz w:val="18"/>
          <w:vertAlign w:val="superscript"/>
        </w:rPr>
        <w:t>9 </w:t>
      </w:r>
      <w:bookmarkStart w:id="742" w:name="Bookmark_fnpara_9"/>
      <w:bookmarkEnd w:id="742"/>
      <w:r>
        <w:rPr>
          <w:rFonts w:ascii="Arial" w:eastAsia="Arial" w:hAnsi="Arial" w:cs="Arial"/>
          <w:color w:val="000000"/>
          <w:sz w:val="18"/>
        </w:rPr>
        <w:t xml:space="preserve">Section 503(b) of Title V provides, in relevant part: </w:t>
      </w:r>
      <w:bookmarkStart w:id="743" w:name="Bookmark_LNHNREFclscc18"/>
      <w:bookmarkEnd w:id="743"/>
      <w:r>
        <w:rPr>
          <w:rFonts w:ascii="Arial" w:eastAsia="Arial" w:hAnsi="Arial" w:cs="Arial"/>
          <w:color w:val="000000"/>
          <w:sz w:val="18"/>
        </w:rPr>
        <w:t xml:space="preserve">"It shall be unlawful to coerce, intimidate, threaten, or </w:t>
      </w:r>
      <w:r>
        <w:rPr>
          <w:rFonts w:ascii="Arial" w:eastAsia="Arial" w:hAnsi="Arial" w:cs="Arial"/>
          <w:i/>
          <w:color w:val="000000"/>
          <w:sz w:val="18"/>
        </w:rPr>
        <w:t>interfere</w:t>
      </w:r>
      <w:r>
        <w:rPr>
          <w:rFonts w:ascii="Arial" w:eastAsia="Arial" w:hAnsi="Arial" w:cs="Arial"/>
          <w:color w:val="000000"/>
          <w:sz w:val="18"/>
        </w:rPr>
        <w:t xml:space="preserve"> with any individual in the exercise or enjoyment of . . . any right granted or protected by this chapter." 42 U.S.C. § 12203(b) (emphasis added).</w:t>
      </w:r>
    </w:p>
  </w:footnote>
  <w:footnote w:id="22">
    <w:p w14:paraId="0DA3A830" w14:textId="77777777" w:rsidR="002D0E71" w:rsidRDefault="00000000">
      <w:pPr>
        <w:pStyle w:val="Normal7"/>
        <w:widowControl w:val="0"/>
        <w:spacing w:before="200" w:line="240" w:lineRule="atLeast"/>
        <w:jc w:val="both"/>
      </w:pPr>
      <w:r>
        <w:rPr>
          <w:rFonts w:ascii="Arial" w:eastAsia="Arial" w:hAnsi="Arial" w:cs="Arial"/>
          <w:color w:val="000000"/>
          <w:sz w:val="18"/>
          <w:vertAlign w:val="superscript"/>
        </w:rPr>
        <w:t>1 </w:t>
      </w:r>
      <w:bookmarkStart w:id="1087" w:name="Bookmark_fnpara_1_4"/>
      <w:bookmarkStart w:id="1088" w:name="Bookmark_I5JNR8FG2HM64R0020000400"/>
      <w:bookmarkStart w:id="1089" w:name="Bookmark_LNHNREFclscc1_5"/>
      <w:bookmarkEnd w:id="1087"/>
      <w:bookmarkEnd w:id="1088"/>
      <w:bookmarkEnd w:id="1089"/>
      <w:r>
        <w:rPr>
          <w:rFonts w:ascii="Arial" w:eastAsia="Arial" w:hAnsi="Arial" w:cs="Arial"/>
          <w:color w:val="000000"/>
          <w:sz w:val="18"/>
        </w:rPr>
        <w:t xml:space="preserve">We recount the facts from the allegations in the amended complaint, which we accept as true and construe in the light most favorable to the plaintiff. </w:t>
      </w:r>
      <w:bookmarkStart w:id="1090" w:name="Bookmark_I5JNR8FG2HM64R0010000400"/>
      <w:bookmarkEnd w:id="1090"/>
      <w:r>
        <w:rPr>
          <w:rFonts w:ascii="Arial" w:eastAsia="Arial" w:hAnsi="Arial" w:cs="Arial"/>
          <w:color w:val="000000"/>
          <w:sz w:val="18"/>
          <w:u w:val="single"/>
        </w:rPr>
        <w:t>Cinotto v. Delta Air Lines Inc.</w:t>
      </w:r>
      <w:r>
        <w:rPr>
          <w:rFonts w:ascii="Arial" w:eastAsia="Arial" w:hAnsi="Arial" w:cs="Arial"/>
          <w:color w:val="000000"/>
          <w:sz w:val="18"/>
        </w:rPr>
        <w:t>, 674 F.3d 1285, 1291 (11th Cir. 2012).</w:t>
      </w:r>
    </w:p>
  </w:footnote>
  <w:footnote w:id="23">
    <w:p w14:paraId="5A77E8DE" w14:textId="77777777" w:rsidR="002D0E71" w:rsidRDefault="00000000">
      <w:pPr>
        <w:pStyle w:val="Normal7"/>
        <w:widowControl w:val="0"/>
        <w:spacing w:before="120" w:line="240" w:lineRule="atLeast"/>
        <w:jc w:val="both"/>
      </w:pPr>
      <w:r>
        <w:rPr>
          <w:rFonts w:ascii="Arial" w:eastAsia="Arial" w:hAnsi="Arial" w:cs="Arial"/>
          <w:color w:val="000000"/>
          <w:sz w:val="18"/>
          <w:vertAlign w:val="superscript"/>
        </w:rPr>
        <w:t>2 </w:t>
      </w:r>
      <w:bookmarkStart w:id="1112" w:name="Bookmark_fnpara_2_4"/>
      <w:bookmarkStart w:id="1113" w:name="Bookmark_LNHNREFclscc5_5"/>
      <w:bookmarkEnd w:id="1112"/>
      <w:bookmarkEnd w:id="1113"/>
      <w:r>
        <w:rPr>
          <w:rFonts w:ascii="Arial" w:eastAsia="Arial" w:hAnsi="Arial" w:cs="Arial"/>
          <w:color w:val="000000"/>
          <w:sz w:val="18"/>
        </w:rPr>
        <w:t>A "public accommodation" includes a "postgraduate private school." 42 U.S.C. § 12181(7)(J).</w:t>
      </w:r>
    </w:p>
  </w:footnote>
  <w:footnote w:id="24">
    <w:p w14:paraId="452D65AA" w14:textId="77777777" w:rsidR="002D0E71" w:rsidRDefault="00000000">
      <w:pPr>
        <w:pStyle w:val="Normal8"/>
        <w:widowControl w:val="0"/>
        <w:spacing w:before="120" w:line="240" w:lineRule="atLeast"/>
        <w:jc w:val="both"/>
      </w:pPr>
      <w:r>
        <w:rPr>
          <w:rFonts w:ascii="Arial" w:eastAsia="Arial" w:hAnsi="Arial" w:cs="Arial"/>
          <w:color w:val="000000"/>
          <w:sz w:val="18"/>
          <w:vertAlign w:val="superscript"/>
        </w:rPr>
        <w:t>* </w:t>
      </w:r>
      <w:bookmarkStart w:id="1169" w:name="Bookmark_fnpara_1_5"/>
      <w:bookmarkEnd w:id="1169"/>
      <w:r>
        <w:rPr>
          <w:rFonts w:ascii="Arial" w:eastAsia="Arial" w:hAnsi="Arial" w:cs="Arial"/>
          <w:color w:val="000000"/>
          <w:sz w:val="18"/>
        </w:rPr>
        <w:t>The Honorable John W. Darrah, United States District Judge for the Northern District of Illinois, sitting by designation.</w:t>
      </w:r>
    </w:p>
  </w:footnote>
  <w:footnote w:id="25">
    <w:p w14:paraId="79A1FC80" w14:textId="77777777" w:rsidR="002D0E71" w:rsidRDefault="00000000">
      <w:pPr>
        <w:pStyle w:val="Normal8"/>
        <w:widowControl w:val="0"/>
        <w:spacing w:before="120" w:line="240" w:lineRule="atLeast"/>
        <w:jc w:val="both"/>
      </w:pPr>
      <w:r>
        <w:rPr>
          <w:rFonts w:ascii="Arial" w:eastAsia="Arial" w:hAnsi="Arial" w:cs="Arial"/>
          <w:color w:val="000000"/>
          <w:sz w:val="18"/>
          <w:vertAlign w:val="superscript"/>
        </w:rPr>
        <w:t>1 </w:t>
      </w:r>
      <w:bookmarkStart w:id="1177" w:name="Bookmark_fnpara_2_5"/>
      <w:bookmarkEnd w:id="1177"/>
      <w:r>
        <w:rPr>
          <w:rFonts w:ascii="Arial" w:eastAsia="Arial" w:hAnsi="Arial" w:cs="Arial"/>
          <w:color w:val="000000"/>
          <w:sz w:val="18"/>
        </w:rPr>
        <w:t>Plaintiffs also asserted claims under the United States and Indiana Constitutions. Plaintiffs have not pursued those claims on appeal.</w:t>
      </w:r>
    </w:p>
  </w:footnote>
  <w:footnote w:id="26">
    <w:p w14:paraId="5660C138" w14:textId="77777777" w:rsidR="002D0E71" w:rsidRDefault="00000000">
      <w:pPr>
        <w:pStyle w:val="Normal8"/>
        <w:widowControl w:val="0"/>
        <w:spacing w:before="120" w:line="240" w:lineRule="atLeast"/>
        <w:jc w:val="both"/>
      </w:pPr>
      <w:r>
        <w:rPr>
          <w:rFonts w:ascii="Arial" w:eastAsia="Arial" w:hAnsi="Arial" w:cs="Arial"/>
          <w:color w:val="000000"/>
          <w:sz w:val="18"/>
          <w:vertAlign w:val="superscript"/>
        </w:rPr>
        <w:t>2 </w:t>
      </w:r>
      <w:bookmarkStart w:id="1281" w:name="Bookmark_fnpara_3_3"/>
      <w:bookmarkEnd w:id="1281"/>
      <w:r>
        <w:rPr>
          <w:rFonts w:ascii="Arial" w:eastAsia="Arial" w:hAnsi="Arial" w:cs="Arial"/>
          <w:color w:val="000000"/>
          <w:sz w:val="18"/>
        </w:rPr>
        <w:t>We are confident, however, that if genuine accessibility problems remain, there will be future prospective jurors or others who will have standing to seek relief in federal court.</w:t>
      </w:r>
    </w:p>
  </w:footnote>
  <w:footnote w:id="27">
    <w:p w14:paraId="58E171F6" w14:textId="77777777" w:rsidR="002D0E71" w:rsidRDefault="00000000">
      <w:pPr>
        <w:pStyle w:val="Normal8"/>
        <w:widowControl w:val="0"/>
        <w:spacing w:before="200" w:line="240" w:lineRule="atLeast"/>
        <w:jc w:val="both"/>
      </w:pPr>
      <w:r>
        <w:rPr>
          <w:rFonts w:ascii="Arial" w:eastAsia="Arial" w:hAnsi="Arial" w:cs="Arial"/>
          <w:color w:val="000000"/>
          <w:sz w:val="18"/>
          <w:vertAlign w:val="superscript"/>
        </w:rPr>
        <w:t>3 </w:t>
      </w:r>
      <w:bookmarkStart w:id="1317" w:name="Bookmark_fnpara_4_1"/>
      <w:bookmarkStart w:id="1318" w:name="Bookmark_I0BH7BCJXWH000VXMJ0004FS"/>
      <w:bookmarkStart w:id="1319" w:name="Bookmark_I5JJRVX42D6N4F0010000400"/>
      <w:bookmarkEnd w:id="1317"/>
      <w:bookmarkEnd w:id="1318"/>
      <w:bookmarkEnd w:id="1319"/>
      <w:r>
        <w:rPr>
          <w:rFonts w:ascii="Arial" w:eastAsia="Arial" w:hAnsi="Arial" w:cs="Arial"/>
          <w:color w:val="000000"/>
          <w:sz w:val="18"/>
        </w:rPr>
        <w:t xml:space="preserve">Plaintiffs make clear that one reason they sought declaratory relief was so that they might be considered prevailing parties for the purposes of receiving attorney fees. Plaintiffs argue that the defendants' changes on the issues on which they seek declaratory relief—installing new restrooms and adopting a policy of accommodation—came about [**31]  in response to their lawsuit. The district court found no evidence in the record establishing plaintiffs' claims to have been the catalysts for these changes But even if it were true that plaintiffs' suit caused defendants to change, we would not be able to treat plaintiffs as prevailing parties under the so-called "catalyst" theory rejected by the Supreme Court in </w:t>
      </w:r>
      <w:bookmarkStart w:id="1320" w:name="Bookmark_I5JJRVX328T44Y0050000400"/>
      <w:bookmarkEnd w:id="1320"/>
      <w:r>
        <w:rPr>
          <w:rFonts w:ascii="Arial" w:eastAsia="Arial" w:hAnsi="Arial" w:cs="Arial"/>
          <w:i/>
          <w:color w:val="000000"/>
          <w:sz w:val="18"/>
        </w:rPr>
        <w:t>Buckhannon Board &amp; Care Home, Inc. v. West Virginia Department of Health &amp; Human Resources</w:t>
      </w:r>
      <w:r>
        <w:rPr>
          <w:rFonts w:ascii="Arial" w:eastAsia="Arial" w:hAnsi="Arial" w:cs="Arial"/>
          <w:color w:val="000000"/>
          <w:sz w:val="18"/>
        </w:rPr>
        <w:t xml:space="preserve">, 532 U.S. 598, 600, 121 S. Ct. 1835, 149 L. Ed. 2d 855 (2001). The Court explained that absent a court order on the merits, plaintiffs cannot be considered a prevailing party even if they achieved their "desired result because the lawsuit brought about a voluntary change in the defendant's conduct." </w:t>
      </w:r>
      <w:r>
        <w:rPr>
          <w:rFonts w:ascii="Arial" w:eastAsia="Arial" w:hAnsi="Arial" w:cs="Arial"/>
          <w:i/>
          <w:color w:val="000000"/>
          <w:sz w:val="18"/>
        </w:rPr>
        <w:t>Id.</w:t>
      </w:r>
      <w:r>
        <w:rPr>
          <w:rFonts w:ascii="Arial" w:eastAsia="Arial" w:hAnsi="Arial" w:cs="Arial"/>
          <w:color w:val="000000"/>
          <w:sz w:val="18"/>
        </w:rPr>
        <w:t xml:space="preserve"> Plaintiffs recognized as much in their briefing before us and made clear that they seek to preserve the issue for possible Supreme Court review.</w:t>
      </w:r>
    </w:p>
  </w:footnote>
  <w:footnote w:id="28">
    <w:p w14:paraId="5BDDC46E" w14:textId="77777777" w:rsidR="002D0E71" w:rsidRDefault="00000000">
      <w:pPr>
        <w:pStyle w:val="Normal9"/>
        <w:widowControl w:val="0"/>
        <w:spacing w:before="120" w:line="240" w:lineRule="atLeast"/>
        <w:jc w:val="both"/>
      </w:pPr>
      <w:r>
        <w:rPr>
          <w:rFonts w:ascii="Arial" w:eastAsia="Arial" w:hAnsi="Arial" w:cs="Arial"/>
          <w:color w:val="000000"/>
          <w:sz w:val="18"/>
          <w:vertAlign w:val="superscript"/>
        </w:rPr>
        <w:t>** </w:t>
      </w:r>
      <w:bookmarkStart w:id="1330" w:name="Bookmark_fnpara_1_6"/>
      <w:bookmarkEnd w:id="1330"/>
      <w:r>
        <w:rPr>
          <w:rFonts w:ascii="Arial" w:eastAsia="Arial" w:hAnsi="Arial" w:cs="Arial"/>
          <w:color w:val="000000"/>
          <w:sz w:val="18"/>
        </w:rPr>
        <w:t>This summary constitutes no part of the opinion of the court. It has been prepared by court staff for the convenience of the reader.</w:t>
      </w:r>
    </w:p>
  </w:footnote>
  <w:footnote w:id="29">
    <w:p w14:paraId="65C59689" w14:textId="77777777" w:rsidR="002D0E71" w:rsidRDefault="00000000">
      <w:pPr>
        <w:pStyle w:val="Normal9"/>
        <w:widowControl w:val="0"/>
        <w:spacing w:before="120" w:line="240" w:lineRule="atLeast"/>
        <w:jc w:val="both"/>
      </w:pPr>
      <w:r>
        <w:rPr>
          <w:rFonts w:ascii="Arial" w:eastAsia="Arial" w:hAnsi="Arial" w:cs="Arial"/>
          <w:color w:val="000000"/>
          <w:sz w:val="18"/>
          <w:vertAlign w:val="superscript"/>
        </w:rPr>
        <w:t>* </w:t>
      </w:r>
      <w:bookmarkStart w:id="1341" w:name="Bookmark_fnpara_2_6"/>
      <w:bookmarkEnd w:id="1341"/>
      <w:r>
        <w:rPr>
          <w:rFonts w:ascii="Arial" w:eastAsia="Arial" w:hAnsi="Arial" w:cs="Arial"/>
          <w:color w:val="000000"/>
          <w:sz w:val="18"/>
        </w:rPr>
        <w:t>The Honorable Ivan L.R. Lemelle, Senior District Judge for the U.S. District Court for the Eastern District of Louisiana, sitting by designation.</w:t>
      </w:r>
    </w:p>
  </w:footnote>
  <w:footnote w:id="30">
    <w:p w14:paraId="682CF928" w14:textId="77777777" w:rsidR="002D0E71" w:rsidRDefault="00000000">
      <w:pPr>
        <w:pStyle w:val="Normal9"/>
        <w:widowControl w:val="0"/>
        <w:spacing w:before="200" w:line="240" w:lineRule="atLeast"/>
        <w:jc w:val="both"/>
      </w:pPr>
      <w:r>
        <w:rPr>
          <w:rFonts w:ascii="Arial" w:eastAsia="Arial" w:hAnsi="Arial" w:cs="Arial"/>
          <w:color w:val="000000"/>
          <w:sz w:val="18"/>
          <w:vertAlign w:val="superscript"/>
        </w:rPr>
        <w:t>1 </w:t>
      </w:r>
      <w:bookmarkStart w:id="1349" w:name="Bookmark_fnpara_3_4"/>
      <w:bookmarkStart w:id="1350" w:name="Bookmark_LNHNREFclscc1_7"/>
      <w:bookmarkEnd w:id="1349"/>
      <w:bookmarkEnd w:id="1350"/>
      <w:r>
        <w:rPr>
          <w:rFonts w:ascii="Arial" w:eastAsia="Arial" w:hAnsi="Arial" w:cs="Arial"/>
          <w:color w:val="000000"/>
          <w:sz w:val="18"/>
        </w:rPr>
        <w:t xml:space="preserve">IEPs are mandated by the IDEA and aim at ensuring that a qualifying student with a disability is provided a free appropriate public education as defined under that Act. </w:t>
      </w:r>
      <w:r>
        <w:rPr>
          <w:rFonts w:ascii="Arial" w:eastAsia="Arial" w:hAnsi="Arial" w:cs="Arial"/>
          <w:i/>
          <w:color w:val="000000"/>
          <w:sz w:val="18"/>
        </w:rPr>
        <w:t>See</w:t>
      </w:r>
      <w:r>
        <w:rPr>
          <w:rFonts w:ascii="Arial" w:eastAsia="Arial" w:hAnsi="Arial" w:cs="Arial"/>
          <w:color w:val="000000"/>
          <w:sz w:val="18"/>
        </w:rPr>
        <w:t xml:space="preserve"> 20 U.S.C. §§ 1401(9)(D), 1414(d). We explain the relevance of these concepts in greater detail, </w:t>
      </w:r>
      <w:r>
        <w:rPr>
          <w:rFonts w:ascii="Arial" w:eastAsia="Arial" w:hAnsi="Arial" w:cs="Arial"/>
          <w:i/>
          <w:color w:val="000000"/>
          <w:sz w:val="18"/>
        </w:rPr>
        <w:t>infra</w:t>
      </w:r>
      <w:r>
        <w:rPr>
          <w:rFonts w:ascii="Arial" w:eastAsia="Arial" w:hAnsi="Arial" w:cs="Arial"/>
          <w:color w:val="000000"/>
          <w:sz w:val="18"/>
        </w:rPr>
        <w:t>.</w:t>
      </w:r>
    </w:p>
  </w:footnote>
  <w:footnote w:id="31">
    <w:p w14:paraId="205F693F" w14:textId="77777777" w:rsidR="002D0E71" w:rsidRDefault="00000000">
      <w:pPr>
        <w:pStyle w:val="Normal9"/>
        <w:widowControl w:val="0"/>
        <w:spacing w:before="200" w:line="240" w:lineRule="atLeast"/>
        <w:jc w:val="both"/>
      </w:pPr>
      <w:r>
        <w:rPr>
          <w:rFonts w:ascii="Arial" w:eastAsia="Arial" w:hAnsi="Arial" w:cs="Arial"/>
          <w:color w:val="000000"/>
          <w:sz w:val="18"/>
          <w:vertAlign w:val="superscript"/>
        </w:rPr>
        <w:t>2 </w:t>
      </w:r>
      <w:bookmarkStart w:id="1357" w:name="Bookmark_fnpara_4_2"/>
      <w:bookmarkEnd w:id="1357"/>
      <w:r>
        <w:rPr>
          <w:rFonts w:ascii="Arial" w:eastAsia="Arial" w:hAnsi="Arial" w:cs="Arial"/>
          <w:color w:val="000000"/>
          <w:sz w:val="18"/>
        </w:rPr>
        <w:t xml:space="preserve">As will be discussed more fully, </w:t>
      </w:r>
      <w:r>
        <w:rPr>
          <w:rFonts w:ascii="Arial" w:eastAsia="Arial" w:hAnsi="Arial" w:cs="Arial"/>
          <w:i/>
          <w:color w:val="000000"/>
          <w:sz w:val="18"/>
        </w:rPr>
        <w:t>infra</w:t>
      </w:r>
      <w:r>
        <w:rPr>
          <w:rFonts w:ascii="Arial" w:eastAsia="Arial" w:hAnsi="Arial" w:cs="Arial"/>
          <w:color w:val="000000"/>
          <w:sz w:val="18"/>
        </w:rPr>
        <w:t>, the concept of FAPE is relevant to, but distinct as between, the various Acts under which plaintiffs asserted claims.</w:t>
      </w:r>
    </w:p>
  </w:footnote>
  <w:footnote w:id="32">
    <w:p w14:paraId="07555714" w14:textId="77777777" w:rsidR="002D0E71" w:rsidRDefault="00000000">
      <w:pPr>
        <w:pStyle w:val="Normal9"/>
        <w:widowControl w:val="0"/>
        <w:spacing w:before="120" w:line="240" w:lineRule="atLeast"/>
        <w:jc w:val="both"/>
      </w:pPr>
      <w:r>
        <w:rPr>
          <w:rFonts w:ascii="Arial" w:eastAsia="Arial" w:hAnsi="Arial" w:cs="Arial"/>
          <w:color w:val="000000"/>
          <w:sz w:val="18"/>
          <w:vertAlign w:val="superscript"/>
        </w:rPr>
        <w:t>3 </w:t>
      </w:r>
      <w:bookmarkStart w:id="1379" w:name="Bookmark_fnpara_5_0"/>
      <w:bookmarkStart w:id="1380" w:name="Bookmark_LNHNREFclscc5_7"/>
      <w:bookmarkEnd w:id="1379"/>
      <w:bookmarkEnd w:id="1380"/>
      <w:r>
        <w:rPr>
          <w:rFonts w:ascii="Arial" w:eastAsia="Arial" w:hAnsi="Arial" w:cs="Arial"/>
          <w:color w:val="000000"/>
          <w:sz w:val="18"/>
        </w:rPr>
        <w:t>The IDEA defines an IEP as "a written statement for each child with a disability," setting forth the child's present levels of academic achievement and functional performance and measurable academic and functional goals. 20 U.S.C. § 1414(d).</w:t>
      </w:r>
    </w:p>
  </w:footnote>
  <w:footnote w:id="33">
    <w:p w14:paraId="6FFA4ECA" w14:textId="77777777" w:rsidR="002D0E71" w:rsidRDefault="00000000">
      <w:pPr>
        <w:pStyle w:val="Normal9"/>
        <w:widowControl w:val="0"/>
        <w:spacing w:before="200" w:line="240" w:lineRule="atLeast"/>
        <w:jc w:val="both"/>
      </w:pPr>
      <w:r>
        <w:rPr>
          <w:rFonts w:ascii="Arial" w:eastAsia="Arial" w:hAnsi="Arial" w:cs="Arial"/>
          <w:color w:val="000000"/>
          <w:sz w:val="18"/>
          <w:vertAlign w:val="superscript"/>
        </w:rPr>
        <w:t>4 </w:t>
      </w:r>
      <w:bookmarkStart w:id="1397" w:name="Bookmark_fnpara_6_0"/>
      <w:bookmarkEnd w:id="1397"/>
      <w:r>
        <w:rPr>
          <w:rFonts w:ascii="Arial" w:eastAsia="Arial" w:hAnsi="Arial" w:cs="Arial"/>
          <w:color w:val="000000"/>
          <w:sz w:val="18"/>
        </w:rPr>
        <w:t xml:space="preserve">The United States Department of Education adopted enabling regulations at 34 C.F.R. §§ 104.1-104.61. </w:t>
      </w:r>
      <w:r>
        <w:rPr>
          <w:rFonts w:ascii="Arial" w:eastAsia="Arial" w:hAnsi="Arial" w:cs="Arial"/>
          <w:i/>
          <w:color w:val="000000"/>
          <w:sz w:val="18"/>
        </w:rPr>
        <w:t>See</w:t>
      </w:r>
      <w:r>
        <w:rPr>
          <w:rFonts w:ascii="Arial" w:eastAsia="Arial" w:hAnsi="Arial" w:cs="Arial"/>
          <w:color w:val="000000"/>
          <w:sz w:val="18"/>
        </w:rPr>
        <w:t xml:space="preserve"> 34 C.F.R. § 104.1.</w:t>
      </w:r>
    </w:p>
  </w:footnote>
  <w:footnote w:id="34">
    <w:p w14:paraId="70AD81E2" w14:textId="77777777" w:rsidR="002D0E71" w:rsidRDefault="00000000">
      <w:pPr>
        <w:pStyle w:val="Normal9"/>
        <w:widowControl w:val="0"/>
        <w:spacing w:before="200" w:line="240" w:lineRule="atLeast"/>
        <w:jc w:val="both"/>
      </w:pPr>
      <w:r>
        <w:rPr>
          <w:rFonts w:ascii="Arial" w:eastAsia="Arial" w:hAnsi="Arial" w:cs="Arial"/>
          <w:color w:val="000000"/>
          <w:sz w:val="18"/>
          <w:vertAlign w:val="superscript"/>
        </w:rPr>
        <w:t>5 </w:t>
      </w:r>
      <w:bookmarkStart w:id="1407" w:name="Bookmark_fnpara_7_0"/>
      <w:bookmarkStart w:id="1408" w:name="Bookmark_I5JD87M62SF7XG0050000400"/>
      <w:bookmarkEnd w:id="1407"/>
      <w:bookmarkEnd w:id="1408"/>
      <w:r>
        <w:rPr>
          <w:rFonts w:ascii="Arial" w:eastAsia="Arial" w:hAnsi="Arial" w:cs="Arial"/>
          <w:color w:val="000000"/>
          <w:sz w:val="18"/>
        </w:rPr>
        <w:t xml:space="preserve">For instance, section 504 imposes a stricter causal standard ("solely by reason of disability") than Title II's "motivating factor" standard. </w:t>
      </w:r>
      <w:r>
        <w:rPr>
          <w:rFonts w:ascii="Arial" w:eastAsia="Arial" w:hAnsi="Arial" w:cs="Arial"/>
          <w:i/>
          <w:color w:val="000000"/>
          <w:sz w:val="18"/>
        </w:rPr>
        <w:t xml:space="preserve">See </w:t>
      </w:r>
      <w:bookmarkStart w:id="1409" w:name="Bookmark_I5JD87M62SF7XG0040000400"/>
      <w:bookmarkEnd w:id="1409"/>
      <w:r>
        <w:rPr>
          <w:rFonts w:ascii="Arial" w:eastAsia="Arial" w:hAnsi="Arial" w:cs="Arial"/>
          <w:i/>
          <w:color w:val="000000"/>
          <w:sz w:val="18"/>
        </w:rPr>
        <w:t>K.M. ex rel. Bright</w:t>
      </w:r>
      <w:r>
        <w:rPr>
          <w:rFonts w:ascii="Arial" w:eastAsia="Arial" w:hAnsi="Arial" w:cs="Arial"/>
          <w:color w:val="000000"/>
          <w:sz w:val="18"/>
        </w:rPr>
        <w:t>, 725 F.3d at 1098. Because plaintiffs raise factual issues that prevent summary judgment under either standard, the differences between them are not of consequence here.</w:t>
      </w:r>
    </w:p>
  </w:footnote>
  <w:footnote w:id="35">
    <w:p w14:paraId="4B5CA786" w14:textId="77777777" w:rsidR="002D0E71" w:rsidRDefault="00000000">
      <w:pPr>
        <w:pStyle w:val="Normal9"/>
        <w:widowControl w:val="0"/>
        <w:spacing w:before="120" w:line="240" w:lineRule="atLeast"/>
        <w:jc w:val="both"/>
      </w:pPr>
      <w:r>
        <w:rPr>
          <w:rFonts w:ascii="Arial" w:eastAsia="Arial" w:hAnsi="Arial" w:cs="Arial"/>
          <w:color w:val="000000"/>
          <w:sz w:val="18"/>
          <w:vertAlign w:val="superscript"/>
        </w:rPr>
        <w:t>6 </w:t>
      </w:r>
      <w:bookmarkStart w:id="1475" w:name="Bookmark_fnpara_8_0"/>
      <w:bookmarkEnd w:id="1475"/>
      <w:r>
        <w:rPr>
          <w:rFonts w:ascii="Arial" w:eastAsia="Arial" w:hAnsi="Arial" w:cs="Arial"/>
          <w:color w:val="000000"/>
          <w:sz w:val="18"/>
        </w:rPr>
        <w:t>In locating the existence of a genuine issue of material fact on the question of reasonable accommodations, we express no opinion on whether the accommodations discussed in Dr. Ferro's report were reasonable, necessary, and available or even whether all of the interventions she discussed qualify as "accommodations" within the meaning of Section 504. These are questions to be evaluated on remand.</w:t>
      </w:r>
    </w:p>
  </w:footnote>
  <w:footnote w:id="36">
    <w:p w14:paraId="3C93933A" w14:textId="77777777" w:rsidR="002D0E71" w:rsidRDefault="00000000">
      <w:pPr>
        <w:pStyle w:val="Normal9"/>
        <w:widowControl w:val="0"/>
        <w:spacing w:before="120" w:line="240" w:lineRule="atLeast"/>
        <w:jc w:val="both"/>
      </w:pPr>
      <w:r>
        <w:rPr>
          <w:rFonts w:ascii="Arial" w:eastAsia="Arial" w:hAnsi="Arial" w:cs="Arial"/>
          <w:color w:val="000000"/>
          <w:sz w:val="18"/>
          <w:vertAlign w:val="superscript"/>
        </w:rPr>
        <w:t>7 </w:t>
      </w:r>
      <w:bookmarkStart w:id="1492" w:name="Bookmark_fnpara_9_0"/>
      <w:bookmarkEnd w:id="1492"/>
      <w:r>
        <w:rPr>
          <w:rFonts w:ascii="Arial" w:eastAsia="Arial" w:hAnsi="Arial" w:cs="Arial"/>
          <w:color w:val="000000"/>
          <w:sz w:val="18"/>
        </w:rPr>
        <w:t>Because plaintiffs expressly declined to appeal the district court's grant of summary judgment on their negligent supervision claim, we do not reach that claim.</w:t>
      </w:r>
    </w:p>
  </w:footnote>
  <w:footnote w:id="37">
    <w:p w14:paraId="0483DFDB" w14:textId="77777777" w:rsidR="002D0E71" w:rsidRDefault="00000000">
      <w:pPr>
        <w:pStyle w:val="Normal9"/>
        <w:widowControl w:val="0"/>
        <w:spacing w:before="120" w:line="240" w:lineRule="atLeast"/>
        <w:jc w:val="both"/>
      </w:pPr>
      <w:r>
        <w:rPr>
          <w:rFonts w:ascii="Arial" w:eastAsia="Arial" w:hAnsi="Arial" w:cs="Arial"/>
          <w:color w:val="000000"/>
          <w:sz w:val="18"/>
          <w:vertAlign w:val="superscript"/>
        </w:rPr>
        <w:t>8 </w:t>
      </w:r>
      <w:bookmarkStart w:id="1511" w:name="Bookmark_fnpara_10"/>
      <w:bookmarkEnd w:id="1511"/>
      <w:r>
        <w:rPr>
          <w:rFonts w:ascii="Arial" w:eastAsia="Arial" w:hAnsi="Arial" w:cs="Arial"/>
          <w:color w:val="000000"/>
          <w:sz w:val="18"/>
        </w:rPr>
        <w:t>Although the settlement agreement is not part of the record on appeal, the plaintiffs agree that they are "not relying on the actions of Officer Welsh" to support their tort claims.</w:t>
      </w:r>
    </w:p>
  </w:footnote>
  <w:footnote w:id="38">
    <w:p w14:paraId="522F887C" w14:textId="77777777" w:rsidR="002D0E71" w:rsidRDefault="00000000">
      <w:pPr>
        <w:pStyle w:val="Normal9"/>
        <w:widowControl w:val="0"/>
        <w:spacing w:before="200" w:line="240" w:lineRule="atLeast"/>
        <w:jc w:val="both"/>
      </w:pPr>
      <w:r>
        <w:rPr>
          <w:rFonts w:ascii="Arial" w:eastAsia="Arial" w:hAnsi="Arial" w:cs="Arial"/>
          <w:color w:val="000000"/>
          <w:sz w:val="18"/>
          <w:vertAlign w:val="superscript"/>
        </w:rPr>
        <w:t>9 </w:t>
      </w:r>
      <w:bookmarkStart w:id="1533" w:name="Bookmark_fnpara_11"/>
      <w:bookmarkEnd w:id="1533"/>
      <w:r>
        <w:rPr>
          <w:rFonts w:ascii="Arial" w:eastAsia="Arial" w:hAnsi="Arial" w:cs="Arial"/>
          <w:color w:val="000000"/>
          <w:sz w:val="18"/>
        </w:rPr>
        <w:t>We recognize that, in certain circumstances, restraining a child with tactile sensitivity may be necessary to prevent the child from engaging in behavior that is self-injurious or injurious to others. Here, plaintiffs agree that school district staff were authorized [**34]  to physically restrain A.G. if she became a danger to herself or others. But A.G.'s mother and Officer Welsh testified in their respective depositions that A.G. was not a danger to herself or others when district staff physically escorted her to the intervention room on two occasions. Furthermore, according to Principal Lorna Green, Roadrunner school had a policy of physically escorting children who were not a danger to themselves or others, notwithstanding a particular child's tactile defensiveness.</w:t>
      </w:r>
    </w:p>
  </w:footnote>
  <w:footnote w:id="39">
    <w:p w14:paraId="0493D22B" w14:textId="77777777" w:rsidR="002D0E71" w:rsidRDefault="00000000">
      <w:pPr>
        <w:pStyle w:val="Normal9"/>
        <w:widowControl w:val="0"/>
        <w:spacing w:before="200" w:line="240" w:lineRule="atLeast"/>
        <w:jc w:val="both"/>
      </w:pPr>
      <w:r>
        <w:rPr>
          <w:rFonts w:ascii="Arial" w:eastAsia="Arial" w:hAnsi="Arial" w:cs="Arial"/>
          <w:color w:val="000000"/>
          <w:sz w:val="18"/>
          <w:vertAlign w:val="superscript"/>
        </w:rPr>
        <w:t>10 </w:t>
      </w:r>
      <w:bookmarkStart w:id="1537" w:name="Bookmark_fnpara_12"/>
      <w:bookmarkEnd w:id="1537"/>
      <w:r>
        <w:rPr>
          <w:rFonts w:ascii="Arial" w:eastAsia="Arial" w:hAnsi="Arial" w:cs="Arial"/>
          <w:color w:val="000000"/>
          <w:sz w:val="18"/>
        </w:rPr>
        <w:t xml:space="preserve">The parties stipulated that A.G. would not testify. </w:t>
      </w:r>
      <w:bookmarkStart w:id="1538" w:name="Bookmark_I5JD87M62D6N500050000400"/>
      <w:bookmarkEnd w:id="1538"/>
      <w:r>
        <w:rPr>
          <w:rFonts w:ascii="Arial" w:eastAsia="Arial" w:hAnsi="Arial" w:cs="Arial"/>
          <w:color w:val="000000"/>
          <w:sz w:val="18"/>
        </w:rPr>
        <w:t xml:space="preserve">The district court seemed to conclude that the assault and battery claims could not be established without A.G.'s testimony that what she experienced was harmful or offensive, or that she was put in imminent apprehension of receiving such contact. We do not agree that A.G. was required to testify to support these claims. </w:t>
      </w:r>
      <w:r>
        <w:rPr>
          <w:rFonts w:ascii="Arial" w:eastAsia="Arial" w:hAnsi="Arial" w:cs="Arial"/>
          <w:i/>
          <w:color w:val="000000"/>
          <w:sz w:val="18"/>
        </w:rPr>
        <w:t xml:space="preserve">See </w:t>
      </w:r>
      <w:bookmarkStart w:id="1539" w:name="Bookmark_I5JD87M62D6N500040000400"/>
      <w:bookmarkEnd w:id="1539"/>
      <w:r>
        <w:rPr>
          <w:rFonts w:ascii="Arial" w:eastAsia="Arial" w:hAnsi="Arial" w:cs="Arial"/>
          <w:i/>
          <w:color w:val="000000"/>
          <w:sz w:val="18"/>
        </w:rPr>
        <w:t>State v. Angle</w:t>
      </w:r>
      <w:r>
        <w:rPr>
          <w:rFonts w:ascii="Arial" w:eastAsia="Arial" w:hAnsi="Arial" w:cs="Arial"/>
          <w:color w:val="000000"/>
          <w:sz w:val="18"/>
        </w:rPr>
        <w:t xml:space="preserve">, 149 Ariz. 499, 720 P.2d 100, 105 (Ariz. Ct. App. 1985), </w:t>
      </w:r>
      <w:r>
        <w:rPr>
          <w:rFonts w:ascii="Arial" w:eastAsia="Arial" w:hAnsi="Arial" w:cs="Arial"/>
          <w:i/>
          <w:color w:val="000000"/>
          <w:sz w:val="18"/>
        </w:rPr>
        <w:t>affirmed in part, vacated in part on other grounds</w:t>
      </w:r>
      <w:r>
        <w:rPr>
          <w:rFonts w:ascii="Arial" w:eastAsia="Arial" w:hAnsi="Arial" w:cs="Arial"/>
          <w:color w:val="000000"/>
          <w:sz w:val="18"/>
        </w:rPr>
        <w:t>, 149 Ariz. 478, 720 P.2d 79 (Ariz. 1986).</w:t>
      </w:r>
    </w:p>
  </w:footnote>
  <w:footnote w:id="40">
    <w:p w14:paraId="35F27C49" w14:textId="77777777" w:rsidR="002D0E71" w:rsidRDefault="00000000">
      <w:pPr>
        <w:pStyle w:val="Normal9"/>
        <w:widowControl w:val="0"/>
        <w:spacing w:before="200" w:line="240" w:lineRule="atLeast"/>
        <w:jc w:val="both"/>
      </w:pPr>
      <w:r>
        <w:rPr>
          <w:rFonts w:ascii="Arial" w:eastAsia="Arial" w:hAnsi="Arial" w:cs="Arial"/>
          <w:color w:val="000000"/>
          <w:sz w:val="18"/>
          <w:vertAlign w:val="superscript"/>
        </w:rPr>
        <w:t>11 </w:t>
      </w:r>
      <w:bookmarkStart w:id="1547" w:name="Bookmark_fnpara_13"/>
      <w:bookmarkStart w:id="1548" w:name="Bookmark_I5JD87M62SF7XN0010000400"/>
      <w:bookmarkEnd w:id="1547"/>
      <w:bookmarkEnd w:id="1548"/>
      <w:r>
        <w:rPr>
          <w:rFonts w:ascii="Arial" w:eastAsia="Arial" w:hAnsi="Arial" w:cs="Arial"/>
          <w:color w:val="000000"/>
          <w:sz w:val="18"/>
        </w:rPr>
        <w:t xml:space="preserve">We hold that the district court erred in granting summary judgment on plaintiffs' assault, battery, and false imprisonment claims because plaintiffs succeeded in raising a genuine issue of material fact as to each of these claims. </w:t>
      </w:r>
      <w:r>
        <w:rPr>
          <w:rFonts w:ascii="Arial" w:eastAsia="Arial" w:hAnsi="Arial" w:cs="Arial"/>
          <w:i/>
          <w:color w:val="000000"/>
          <w:sz w:val="18"/>
        </w:rPr>
        <w:t xml:space="preserve">See, e.g., </w:t>
      </w:r>
      <w:bookmarkStart w:id="1549" w:name="Bookmark_I5JD87M62HM62R0050000400"/>
      <w:bookmarkEnd w:id="1549"/>
      <w:r>
        <w:rPr>
          <w:rFonts w:ascii="Arial" w:eastAsia="Arial" w:hAnsi="Arial" w:cs="Arial"/>
          <w:i/>
          <w:color w:val="000000"/>
          <w:sz w:val="18"/>
        </w:rPr>
        <w:t>Tekle v. United States</w:t>
      </w:r>
      <w:r>
        <w:rPr>
          <w:rFonts w:ascii="Arial" w:eastAsia="Arial" w:hAnsi="Arial" w:cs="Arial"/>
          <w:color w:val="000000"/>
          <w:sz w:val="18"/>
        </w:rPr>
        <w:t>, 511 F.3d 839, 854-55 (9th Cir. 2006). We express no view on what the result should be on any of those claims on remand.</w:t>
      </w:r>
    </w:p>
  </w:footnote>
  <w:footnote w:id="41">
    <w:p w14:paraId="3296CCFE" w14:textId="77777777" w:rsidR="002D0E71" w:rsidRDefault="00000000">
      <w:pPr>
        <w:pStyle w:val="Normal10"/>
        <w:widowControl w:val="0"/>
        <w:spacing w:before="200" w:line="240" w:lineRule="atLeast"/>
        <w:jc w:val="both"/>
      </w:pPr>
      <w:r>
        <w:rPr>
          <w:rFonts w:ascii="Arial" w:eastAsia="Arial" w:hAnsi="Arial" w:cs="Arial"/>
          <w:color w:val="000000"/>
          <w:sz w:val="18"/>
          <w:vertAlign w:val="superscript"/>
        </w:rPr>
        <w:t>1 </w:t>
      </w:r>
      <w:bookmarkStart w:id="1572" w:name="Bookmark_fnpara_1_7"/>
      <w:bookmarkStart w:id="1573" w:name="Bookmark_I5JB61GR2HM6NB0020000400"/>
      <w:bookmarkStart w:id="1574" w:name="Bookmark_LNHNREFclscc4_8"/>
      <w:bookmarkEnd w:id="1572"/>
      <w:bookmarkEnd w:id="1573"/>
      <w:bookmarkEnd w:id="1574"/>
      <w:r>
        <w:rPr>
          <w:rFonts w:ascii="Arial" w:eastAsia="Arial" w:hAnsi="Arial" w:cs="Arial"/>
          <w:color w:val="000000"/>
          <w:sz w:val="18"/>
        </w:rPr>
        <w:t xml:space="preserve">"The FHA refers to discrimination based on 'handicap' rather than disability. 42 U.S.C. § 3604(f). Disability scholars, however, generally prefer the term 'disability' to handicap. . . . For this reason, [**4]  we treat the terms interchangeably and elect to use 'disability'. . . ." </w:t>
      </w:r>
      <w:bookmarkStart w:id="1575" w:name="Bookmark_I5JB61GR2HM6NB0010000400"/>
      <w:bookmarkEnd w:id="1575"/>
      <w:r>
        <w:rPr>
          <w:rFonts w:ascii="Arial" w:eastAsia="Arial" w:hAnsi="Arial" w:cs="Arial"/>
          <w:i/>
          <w:color w:val="000000"/>
          <w:sz w:val="18"/>
        </w:rPr>
        <w:t>Bhogaita v. Altamonte Heights Condo. Ass'n, Inc.</w:t>
      </w:r>
      <w:r>
        <w:rPr>
          <w:rFonts w:ascii="Arial" w:eastAsia="Arial" w:hAnsi="Arial" w:cs="Arial"/>
          <w:color w:val="000000"/>
          <w:sz w:val="18"/>
        </w:rPr>
        <w:t>, 765 F.3d 1277, 1285 n.2 (11th Cir. 2014).</w:t>
      </w:r>
    </w:p>
  </w:footnote>
  <w:footnote w:id="42">
    <w:p w14:paraId="5E430942" w14:textId="77777777" w:rsidR="002D0E71" w:rsidRDefault="00000000">
      <w:pPr>
        <w:pStyle w:val="Normal10"/>
        <w:widowControl w:val="0"/>
        <w:spacing w:before="200" w:line="240" w:lineRule="atLeast"/>
        <w:jc w:val="both"/>
      </w:pPr>
      <w:r>
        <w:rPr>
          <w:rFonts w:ascii="Arial" w:eastAsia="Arial" w:hAnsi="Arial" w:cs="Arial"/>
          <w:color w:val="000000"/>
          <w:sz w:val="18"/>
          <w:vertAlign w:val="superscript"/>
        </w:rPr>
        <w:t>2 </w:t>
      </w:r>
      <w:bookmarkStart w:id="1580" w:name="Bookmark_fnpara_2_7"/>
      <w:bookmarkStart w:id="1581" w:name="Bookmark_LNHNREFclscc5_8"/>
      <w:bookmarkEnd w:id="1580"/>
      <w:bookmarkEnd w:id="1581"/>
      <w:r>
        <w:rPr>
          <w:rFonts w:ascii="Arial" w:eastAsia="Arial" w:hAnsi="Arial" w:cs="Arial"/>
          <w:color w:val="000000"/>
          <w:sz w:val="18"/>
        </w:rPr>
        <w:t xml:space="preserve">At the motion to dismiss stage, we accept the well-pleaded allegations in the complaint as true and view them in the light most favorable to the Hunts. </w:t>
      </w:r>
      <w:r>
        <w:rPr>
          <w:rFonts w:ascii="Arial" w:eastAsia="Arial" w:hAnsi="Arial" w:cs="Arial"/>
          <w:i/>
          <w:color w:val="000000"/>
          <w:sz w:val="18"/>
        </w:rPr>
        <w:t xml:space="preserve">See </w:t>
      </w:r>
      <w:bookmarkStart w:id="1582" w:name="Bookmark_I5JB61GR2HM6NB0030000400"/>
      <w:bookmarkEnd w:id="1582"/>
      <w:r>
        <w:rPr>
          <w:rFonts w:ascii="Arial" w:eastAsia="Arial" w:hAnsi="Arial" w:cs="Arial"/>
          <w:i/>
          <w:color w:val="000000"/>
          <w:sz w:val="18"/>
        </w:rPr>
        <w:t>Chaparro v. Carnival Corp.</w:t>
      </w:r>
      <w:r>
        <w:rPr>
          <w:rFonts w:ascii="Arial" w:eastAsia="Arial" w:hAnsi="Arial" w:cs="Arial"/>
          <w:color w:val="000000"/>
          <w:sz w:val="18"/>
        </w:rPr>
        <w:t>, 693 F.3d 1333, 1335 (11th Cir. 2012).</w:t>
      </w:r>
    </w:p>
  </w:footnote>
  <w:footnote w:id="43">
    <w:p w14:paraId="4CC712C6" w14:textId="77777777" w:rsidR="002D0E71" w:rsidRDefault="00000000">
      <w:pPr>
        <w:pStyle w:val="Normal10"/>
        <w:widowControl w:val="0"/>
        <w:spacing w:before="120" w:line="240" w:lineRule="atLeast"/>
        <w:jc w:val="both"/>
      </w:pPr>
      <w:r>
        <w:rPr>
          <w:rFonts w:ascii="Arial" w:eastAsia="Arial" w:hAnsi="Arial" w:cs="Arial"/>
          <w:color w:val="000000"/>
          <w:sz w:val="18"/>
          <w:vertAlign w:val="superscript"/>
        </w:rPr>
        <w:t>3 </w:t>
      </w:r>
      <w:bookmarkStart w:id="1584" w:name="Bookmark_fnpara_3_5"/>
      <w:bookmarkEnd w:id="1584"/>
      <w:r>
        <w:rPr>
          <w:rFonts w:ascii="Arial" w:eastAsia="Arial" w:hAnsi="Arial" w:cs="Arial"/>
          <w:color w:val="000000"/>
          <w:sz w:val="18"/>
        </w:rPr>
        <w:t>"Doc." refers to the docket entry in the district court record in this case.</w:t>
      </w:r>
    </w:p>
  </w:footnote>
  <w:footnote w:id="44">
    <w:p w14:paraId="0C28220E" w14:textId="77777777" w:rsidR="002D0E71" w:rsidRDefault="00000000">
      <w:pPr>
        <w:pStyle w:val="Normal10"/>
        <w:widowControl w:val="0"/>
        <w:spacing w:before="200" w:line="240" w:lineRule="atLeast"/>
        <w:jc w:val="both"/>
      </w:pPr>
      <w:r>
        <w:rPr>
          <w:rFonts w:ascii="Arial" w:eastAsia="Arial" w:hAnsi="Arial" w:cs="Arial"/>
          <w:color w:val="000000"/>
          <w:sz w:val="18"/>
          <w:vertAlign w:val="superscript"/>
        </w:rPr>
        <w:t>4 </w:t>
      </w:r>
      <w:bookmarkStart w:id="1591" w:name="Bookmark_fnpara_4_3"/>
      <w:bookmarkEnd w:id="1591"/>
      <w:r>
        <w:rPr>
          <w:rFonts w:ascii="Arial" w:eastAsia="Arial" w:hAnsi="Arial" w:cs="Arial"/>
          <w:color w:val="000000"/>
          <w:sz w:val="18"/>
        </w:rPr>
        <w:t>The Office of Equal Opportunity had yet to render a decision [**8]  at the time the Second Amended Complaint was filed.</w:t>
      </w:r>
    </w:p>
  </w:footnote>
  <w:footnote w:id="45">
    <w:p w14:paraId="7AAF2AAE" w14:textId="77777777" w:rsidR="002D0E71" w:rsidRDefault="00000000">
      <w:pPr>
        <w:pStyle w:val="Normal10"/>
        <w:widowControl w:val="0"/>
        <w:spacing w:before="120" w:line="240" w:lineRule="atLeast"/>
        <w:jc w:val="both"/>
      </w:pPr>
      <w:r>
        <w:rPr>
          <w:rFonts w:ascii="Arial" w:eastAsia="Arial" w:hAnsi="Arial" w:cs="Arial"/>
          <w:color w:val="000000"/>
          <w:sz w:val="18"/>
          <w:vertAlign w:val="superscript"/>
        </w:rPr>
        <w:t>5 </w:t>
      </w:r>
      <w:bookmarkStart w:id="1593" w:name="Bookmark_fnpara_5_1"/>
      <w:bookmarkEnd w:id="1593"/>
      <w:r>
        <w:rPr>
          <w:rFonts w:ascii="Arial" w:eastAsia="Arial" w:hAnsi="Arial" w:cs="Arial"/>
          <w:color w:val="000000"/>
          <w:sz w:val="18"/>
        </w:rPr>
        <w:t>The Second Amended Complaint included five exhibits: the Notice of Required Notice to Vacate, Aimco's electronic record for the Hunts' tenancy, the Seven Day Notice of Noncompliance with Opportunity to Cure, the Notice of Non-Renewal, and a series of internal emails by the new owners of Reflections about renewing the Hunts' lease.</w:t>
      </w:r>
    </w:p>
  </w:footnote>
  <w:footnote w:id="46">
    <w:p w14:paraId="2D054CDF" w14:textId="77777777" w:rsidR="002D0E71" w:rsidRDefault="00000000">
      <w:pPr>
        <w:pStyle w:val="Normal10"/>
        <w:widowControl w:val="0"/>
        <w:spacing w:before="120" w:line="240" w:lineRule="atLeast"/>
        <w:jc w:val="both"/>
      </w:pPr>
      <w:r>
        <w:rPr>
          <w:rFonts w:ascii="Arial" w:eastAsia="Arial" w:hAnsi="Arial" w:cs="Arial"/>
          <w:color w:val="000000"/>
          <w:sz w:val="18"/>
          <w:vertAlign w:val="superscript"/>
        </w:rPr>
        <w:t>6 </w:t>
      </w:r>
      <w:bookmarkStart w:id="1634" w:name="Bookmark_fnpara_6_1"/>
      <w:bookmarkEnd w:id="1634"/>
      <w:r>
        <w:rPr>
          <w:rFonts w:ascii="Arial" w:eastAsia="Arial" w:hAnsi="Arial" w:cs="Arial"/>
          <w:color w:val="000000"/>
          <w:sz w:val="18"/>
        </w:rPr>
        <w:t>The Sixth Circuit offers a case in point. Although the court has held that a prima facie case of housing discrimination arises when a plaintiff shows that the housing was given to a person outside the protected class, at the pleading stage, the court held that the following allegations were sufficient to withstand a motion to dismiss:</w:t>
      </w:r>
    </w:p>
    <w:p w14:paraId="3F62E400" w14:textId="77777777" w:rsidR="002D0E71" w:rsidRDefault="00000000">
      <w:pPr>
        <w:pStyle w:val="Normal10"/>
        <w:widowControl w:val="0"/>
        <w:spacing w:before="200" w:line="240" w:lineRule="atLeast"/>
        <w:ind w:left="400"/>
        <w:jc w:val="both"/>
      </w:pPr>
      <w:bookmarkStart w:id="1635" w:name="Bookmark_para_24_7"/>
      <w:bookmarkStart w:id="1636" w:name="Bookmark_I5JB61GR28T4V40020000400"/>
      <w:bookmarkEnd w:id="1635"/>
      <w:bookmarkEnd w:id="1636"/>
      <w:r>
        <w:rPr>
          <w:rFonts w:ascii="Arial" w:eastAsia="Arial" w:hAnsi="Arial" w:cs="Arial"/>
          <w:color w:val="000000"/>
          <w:sz w:val="18"/>
        </w:rPr>
        <w:t>[Plaintiffs] allege that the Yateses advertised their house for sale, that they (the Lindsays) executed a purchase agreement to buy the house, and that nearly two weeks after signing the purchase agreement and depositing $500 in earnest money with Brent Yates—and one day [**13]  after Brent learned they were black—the Yateses terminated the contract.</w:t>
      </w:r>
    </w:p>
    <w:p w14:paraId="4FD1976F" w14:textId="77777777" w:rsidR="002D0E71" w:rsidRDefault="00000000">
      <w:pPr>
        <w:pStyle w:val="Normal10"/>
        <w:widowControl w:val="0"/>
        <w:spacing w:before="200" w:line="240" w:lineRule="atLeast"/>
        <w:jc w:val="both"/>
      </w:pPr>
      <w:bookmarkStart w:id="1637" w:name="Bookmark_I5JB61GR28T4V40020000400_2"/>
      <w:bookmarkStart w:id="1638" w:name="Bookmark_I5JB61GR28T4V40010000400"/>
      <w:bookmarkEnd w:id="1637"/>
      <w:bookmarkEnd w:id="1638"/>
      <w:r>
        <w:rPr>
          <w:rFonts w:ascii="Arial" w:eastAsia="Arial" w:hAnsi="Arial" w:cs="Arial"/>
          <w:i/>
          <w:color w:val="000000"/>
          <w:sz w:val="18"/>
        </w:rPr>
        <w:t>Lindsay v. Yates</w:t>
      </w:r>
      <w:r>
        <w:rPr>
          <w:rFonts w:ascii="Arial" w:eastAsia="Arial" w:hAnsi="Arial" w:cs="Arial"/>
          <w:color w:val="000000"/>
          <w:sz w:val="18"/>
        </w:rPr>
        <w:t>, 498 F.3d 434, 440 (6th Cir. 2007).</w:t>
      </w:r>
    </w:p>
  </w:footnote>
  <w:footnote w:id="47">
    <w:p w14:paraId="36AB6972" w14:textId="77777777" w:rsidR="002D0E71" w:rsidRDefault="00000000">
      <w:pPr>
        <w:pStyle w:val="Normal10"/>
        <w:widowControl w:val="0"/>
        <w:spacing w:before="200" w:line="240" w:lineRule="atLeast"/>
        <w:jc w:val="both"/>
      </w:pPr>
      <w:r>
        <w:rPr>
          <w:rFonts w:ascii="Arial" w:eastAsia="Arial" w:hAnsi="Arial" w:cs="Arial"/>
          <w:color w:val="000000"/>
          <w:sz w:val="18"/>
          <w:vertAlign w:val="superscript"/>
        </w:rPr>
        <w:t>7 </w:t>
      </w:r>
      <w:bookmarkStart w:id="1651" w:name="Bookmark_fnpara_7_1"/>
      <w:bookmarkStart w:id="1652" w:name="Bookmark_LNHNREFclscc14_3"/>
      <w:bookmarkEnd w:id="1651"/>
      <w:bookmarkEnd w:id="1652"/>
      <w:r>
        <w:rPr>
          <w:rFonts w:ascii="Arial" w:eastAsia="Arial" w:hAnsi="Arial" w:cs="Arial"/>
          <w:color w:val="000000"/>
          <w:sz w:val="18"/>
        </w:rPr>
        <w:t xml:space="preserve">Although </w:t>
      </w:r>
      <w:bookmarkStart w:id="1653" w:name="Bookmark_I5JB61GR2D6NTM0010000400"/>
      <w:bookmarkEnd w:id="1653"/>
      <w:r>
        <w:rPr>
          <w:rFonts w:ascii="Arial" w:eastAsia="Arial" w:hAnsi="Arial" w:cs="Arial"/>
          <w:i/>
          <w:color w:val="000000"/>
          <w:sz w:val="18"/>
        </w:rPr>
        <w:t>McDonald v. Verble</w:t>
      </w:r>
      <w:r>
        <w:rPr>
          <w:rFonts w:ascii="Arial" w:eastAsia="Arial" w:hAnsi="Arial" w:cs="Arial"/>
          <w:color w:val="000000"/>
          <w:sz w:val="18"/>
        </w:rPr>
        <w:t xml:space="preserve"> concerned section 3604(a), which prohibits racial discrimination, the relevant language is identical in subsections (a) and (f): "otherwise make unavailable or deny, a dwelling." We see no reason to distinguish section 3604(a) from section 3604(f)(1) as to this element.</w:t>
      </w:r>
    </w:p>
  </w:footnote>
  <w:footnote w:id="48">
    <w:p w14:paraId="68F9185F" w14:textId="77777777" w:rsidR="002D0E71" w:rsidRDefault="00000000">
      <w:pPr>
        <w:pStyle w:val="Normal10"/>
        <w:widowControl w:val="0"/>
        <w:spacing w:before="200" w:line="240" w:lineRule="atLeast"/>
        <w:jc w:val="both"/>
      </w:pPr>
      <w:r>
        <w:rPr>
          <w:rFonts w:ascii="Arial" w:eastAsia="Arial" w:hAnsi="Arial" w:cs="Arial"/>
          <w:color w:val="000000"/>
          <w:sz w:val="18"/>
          <w:vertAlign w:val="superscript"/>
        </w:rPr>
        <w:t>8 </w:t>
      </w:r>
      <w:bookmarkStart w:id="1688" w:name="Bookmark_fnpara_8_1"/>
      <w:bookmarkStart w:id="1689" w:name="Bookmark_I5JB61GR2SF8H70010000400"/>
      <w:bookmarkStart w:id="1690" w:name="Bookmark_I08P03GGP62000RK982000F3"/>
      <w:bookmarkStart w:id="1691" w:name="Bookmark_I5JB61GR2SF8H70030000400"/>
      <w:bookmarkStart w:id="1692" w:name="Bookmark_LNHNREFclscc18_2"/>
      <w:bookmarkEnd w:id="1688"/>
      <w:bookmarkEnd w:id="1689"/>
      <w:bookmarkEnd w:id="1690"/>
      <w:bookmarkEnd w:id="1691"/>
      <w:bookmarkEnd w:id="1692"/>
      <w:r>
        <w:rPr>
          <w:rFonts w:ascii="Arial" w:eastAsia="Arial" w:hAnsi="Arial" w:cs="Arial"/>
          <w:color w:val="000000"/>
          <w:sz w:val="18"/>
        </w:rPr>
        <w:t xml:space="preserve">"Generally, the existence of an affirmative defense will not support a motion to dismiss." </w:t>
      </w:r>
      <w:bookmarkStart w:id="1693" w:name="Bookmark_I5JB61GR2HM6ND0050000400"/>
      <w:bookmarkEnd w:id="1693"/>
      <w:r>
        <w:rPr>
          <w:rFonts w:ascii="Arial" w:eastAsia="Arial" w:hAnsi="Arial" w:cs="Arial"/>
          <w:i/>
          <w:color w:val="000000"/>
          <w:sz w:val="18"/>
        </w:rPr>
        <w:t>Quiller v. Barclays Am./Credit, Inc.</w:t>
      </w:r>
      <w:r>
        <w:rPr>
          <w:rFonts w:ascii="Arial" w:eastAsia="Arial" w:hAnsi="Arial" w:cs="Arial"/>
          <w:color w:val="000000"/>
          <w:sz w:val="18"/>
        </w:rPr>
        <w:t xml:space="preserve">, 727 F.2d 1067, 1069 (11th Cir. 1984) </w:t>
      </w:r>
      <w:r>
        <w:rPr>
          <w:rFonts w:ascii="Arial" w:eastAsia="Arial" w:hAnsi="Arial" w:cs="Arial"/>
          <w:i/>
          <w:color w:val="000000"/>
          <w:sz w:val="18"/>
        </w:rPr>
        <w:t>aff'd and reinstated on reh'g</w:t>
      </w:r>
      <w:r>
        <w:rPr>
          <w:rFonts w:ascii="Arial" w:eastAsia="Arial" w:hAnsi="Arial" w:cs="Arial"/>
          <w:color w:val="000000"/>
          <w:sz w:val="18"/>
        </w:rPr>
        <w:t xml:space="preserve">, 764 F.2d 1400 (11th Cir. 1985) (en banc). In some cases, however, "[a] complaint may be dismissed if an affirmative defense . . . appears on the face of the complaint." </w:t>
      </w:r>
      <w:bookmarkStart w:id="1694" w:name="Bookmark_I5JB61GR2SF8H70020000400"/>
      <w:bookmarkEnd w:id="1694"/>
      <w:r>
        <w:rPr>
          <w:rFonts w:ascii="Arial" w:eastAsia="Arial" w:hAnsi="Arial" w:cs="Arial"/>
          <w:i/>
          <w:color w:val="000000"/>
          <w:sz w:val="18"/>
        </w:rPr>
        <w:t>Bingham v. Thomas</w:t>
      </w:r>
      <w:r>
        <w:rPr>
          <w:rFonts w:ascii="Arial" w:eastAsia="Arial" w:hAnsi="Arial" w:cs="Arial"/>
          <w:color w:val="000000"/>
          <w:sz w:val="18"/>
        </w:rPr>
        <w:t>, 654 F.3d 1171, 1175 (11th Cir. 2011). This is not such a case.</w:t>
      </w:r>
    </w:p>
  </w:footnote>
  <w:footnote w:id="49">
    <w:p w14:paraId="3728EC2C" w14:textId="77777777" w:rsidR="002D0E71" w:rsidRDefault="00000000">
      <w:pPr>
        <w:pStyle w:val="Normal10"/>
        <w:widowControl w:val="0"/>
        <w:spacing w:before="200" w:line="240" w:lineRule="atLeast"/>
        <w:jc w:val="both"/>
      </w:pPr>
      <w:r>
        <w:rPr>
          <w:rFonts w:ascii="Arial" w:eastAsia="Arial" w:hAnsi="Arial" w:cs="Arial"/>
          <w:color w:val="000000"/>
          <w:sz w:val="18"/>
          <w:vertAlign w:val="superscript"/>
        </w:rPr>
        <w:t>9 </w:t>
      </w:r>
      <w:bookmarkStart w:id="1704" w:name="Bookmark_fnpara_9_1"/>
      <w:bookmarkStart w:id="1705" w:name="Bookmark_I08P03GGYVB000RK982000F5"/>
      <w:bookmarkStart w:id="1706" w:name="Bookmark_I5JB61GR2SF8H80040000400"/>
      <w:bookmarkStart w:id="1707" w:name="Bookmark_I5JB61GR2N1PW70010000400"/>
      <w:bookmarkEnd w:id="1704"/>
      <w:bookmarkEnd w:id="1705"/>
      <w:bookmarkEnd w:id="1706"/>
      <w:bookmarkEnd w:id="1707"/>
      <w:r>
        <w:rPr>
          <w:rFonts w:ascii="Arial" w:eastAsia="Arial" w:hAnsi="Arial" w:cs="Arial"/>
          <w:color w:val="000000"/>
          <w:sz w:val="18"/>
        </w:rPr>
        <w:t xml:space="preserve">This Court decided </w:t>
      </w:r>
      <w:r>
        <w:rPr>
          <w:rFonts w:ascii="Arial" w:eastAsia="Arial" w:hAnsi="Arial" w:cs="Arial"/>
          <w:i/>
          <w:color w:val="000000"/>
          <w:sz w:val="18"/>
        </w:rPr>
        <w:t>Bhogaita</w:t>
      </w:r>
      <w:r>
        <w:rPr>
          <w:rFonts w:ascii="Arial" w:eastAsia="Arial" w:hAnsi="Arial" w:cs="Arial"/>
          <w:color w:val="000000"/>
          <w:sz w:val="18"/>
        </w:rPr>
        <w:t xml:space="preserve"> in the context of a motion for judgment as a matter of law, rather than a motion to dismiss. </w:t>
      </w:r>
      <w:bookmarkStart w:id="1708" w:name="Bookmark_I5JB61GR2SF8H80030000400"/>
      <w:bookmarkEnd w:id="1708"/>
      <w:r>
        <w:rPr>
          <w:rFonts w:ascii="Arial" w:eastAsia="Arial" w:hAnsi="Arial" w:cs="Arial"/>
          <w:color w:val="000000"/>
          <w:sz w:val="18"/>
        </w:rPr>
        <w:t xml:space="preserve">765 F.3d at 1281, 1285. Nevertheless, because none of the elements we set forth there were evidentiary in nature, we adopt these same elements as pleading requirements. </w:t>
      </w:r>
      <w:r>
        <w:rPr>
          <w:rFonts w:ascii="Arial" w:eastAsia="Arial" w:hAnsi="Arial" w:cs="Arial"/>
          <w:i/>
          <w:color w:val="000000"/>
          <w:sz w:val="18"/>
        </w:rPr>
        <w:t xml:space="preserve">See </w:t>
      </w:r>
      <w:bookmarkStart w:id="1709" w:name="Bookmark_I5JB61GR2SF8H80050000400"/>
      <w:bookmarkEnd w:id="1709"/>
      <w:r>
        <w:rPr>
          <w:rFonts w:ascii="Arial" w:eastAsia="Arial" w:hAnsi="Arial" w:cs="Arial"/>
          <w:i/>
          <w:color w:val="000000"/>
          <w:sz w:val="18"/>
        </w:rPr>
        <w:t>Swierkiewicz</w:t>
      </w:r>
      <w:r>
        <w:rPr>
          <w:rFonts w:ascii="Arial" w:eastAsia="Arial" w:hAnsi="Arial" w:cs="Arial"/>
          <w:color w:val="000000"/>
          <w:sz w:val="18"/>
        </w:rPr>
        <w:t>, 534 U.S. at 512 (</w:t>
      </w:r>
      <w:bookmarkStart w:id="1710" w:name="Bookmark_LNHNREFclscc20_1"/>
      <w:bookmarkEnd w:id="1710"/>
      <w:r>
        <w:rPr>
          <w:rFonts w:ascii="Arial" w:eastAsia="Arial" w:hAnsi="Arial" w:cs="Arial"/>
          <w:color w:val="000000"/>
          <w:sz w:val="18"/>
        </w:rPr>
        <w:t>"Given that the prima facie case operates as a flexible evidentiary standard, it should not be transposed into a rigid pleading standard for discrimination cases.").</w:t>
      </w:r>
    </w:p>
  </w:footnote>
  <w:footnote w:id="50">
    <w:p w14:paraId="37F930E5" w14:textId="77777777" w:rsidR="002D0E71" w:rsidRDefault="00000000">
      <w:pPr>
        <w:pStyle w:val="Normal11"/>
        <w:widowControl w:val="0"/>
        <w:spacing w:before="200" w:line="240" w:lineRule="atLeast"/>
        <w:jc w:val="both"/>
      </w:pPr>
      <w:r>
        <w:rPr>
          <w:rFonts w:ascii="Arial" w:eastAsia="Arial" w:hAnsi="Arial" w:cs="Arial"/>
          <w:color w:val="000000"/>
          <w:sz w:val="18"/>
          <w:vertAlign w:val="superscript"/>
        </w:rPr>
        <w:t>* </w:t>
      </w:r>
      <w:bookmarkStart w:id="1744" w:name="Bookmark_fnpara_1_8"/>
      <w:bookmarkEnd w:id="1744"/>
      <w:r>
        <w:rPr>
          <w:rFonts w:ascii="Arial" w:eastAsia="Arial" w:hAnsi="Arial" w:cs="Arial"/>
          <w:color w:val="000000"/>
          <w:sz w:val="18"/>
        </w:rPr>
        <w:t xml:space="preserve">Pursuant to </w:t>
      </w:r>
      <w:r>
        <w:rPr>
          <w:rFonts w:ascii="Arial" w:eastAsia="Arial" w:hAnsi="Arial" w:cs="Arial"/>
          <w:smallCaps/>
          <w:color w:val="000000"/>
          <w:sz w:val="18"/>
        </w:rPr>
        <w:t>5th Cir. R.</w:t>
      </w:r>
      <w:r>
        <w:rPr>
          <w:rFonts w:ascii="Arial" w:eastAsia="Arial" w:hAnsi="Arial" w:cs="Arial"/>
          <w:color w:val="000000"/>
          <w:sz w:val="18"/>
        </w:rPr>
        <w:t xml:space="preserve"> 47.5, the court has determined that this [**2]  opinion should not be published and is not precedent except under the limited circumstances set forth in </w:t>
      </w:r>
      <w:r>
        <w:rPr>
          <w:rFonts w:ascii="Arial" w:eastAsia="Arial" w:hAnsi="Arial" w:cs="Arial"/>
          <w:smallCaps/>
          <w:color w:val="000000"/>
          <w:sz w:val="18"/>
        </w:rPr>
        <w:t>5th Cir. R.</w:t>
      </w:r>
      <w:r>
        <w:rPr>
          <w:rFonts w:ascii="Arial" w:eastAsia="Arial" w:hAnsi="Arial" w:cs="Arial"/>
          <w:color w:val="000000"/>
          <w:sz w:val="18"/>
        </w:rPr>
        <w:t xml:space="preserve"> 47.5.4.</w:t>
      </w:r>
    </w:p>
  </w:footnote>
  <w:footnote w:id="51">
    <w:p w14:paraId="6DD5A405" w14:textId="77777777" w:rsidR="002D0E71" w:rsidRDefault="00000000">
      <w:pPr>
        <w:pStyle w:val="Normal11"/>
        <w:widowControl w:val="0"/>
        <w:spacing w:before="200" w:line="240" w:lineRule="atLeast"/>
        <w:jc w:val="both"/>
      </w:pPr>
      <w:r>
        <w:rPr>
          <w:rFonts w:ascii="Arial" w:eastAsia="Arial" w:hAnsi="Arial" w:cs="Arial"/>
          <w:color w:val="000000"/>
          <w:sz w:val="18"/>
          <w:vertAlign w:val="superscript"/>
        </w:rPr>
        <w:t>1 </w:t>
      </w:r>
      <w:bookmarkStart w:id="1747" w:name="Bookmark_fnpara_2_8"/>
      <w:bookmarkStart w:id="1748" w:name="Bookmark_I5HT0T5W2HM6G70010000400"/>
      <w:bookmarkEnd w:id="1747"/>
      <w:bookmarkEnd w:id="1748"/>
      <w:r>
        <w:rPr>
          <w:rFonts w:ascii="Arial" w:eastAsia="Arial" w:hAnsi="Arial" w:cs="Arial"/>
          <w:color w:val="000000"/>
          <w:sz w:val="18"/>
        </w:rPr>
        <w:t xml:space="preserve">Choi brought a number of other claims before the district court, including due process, equal protection, and First Amendment claims. Because his appellate briefs do not raise these arguments, they are waived. </w:t>
      </w:r>
      <w:bookmarkStart w:id="1749" w:name="Bookmark_I5HT0T5W2HM6G70030000400"/>
      <w:bookmarkEnd w:id="1749"/>
      <w:r>
        <w:rPr>
          <w:rFonts w:ascii="Arial" w:eastAsia="Arial" w:hAnsi="Arial" w:cs="Arial"/>
          <w:i/>
          <w:color w:val="000000"/>
          <w:sz w:val="18"/>
        </w:rPr>
        <w:t xml:space="preserve">See </w:t>
      </w:r>
      <w:bookmarkStart w:id="1750" w:name="Bookmark_I5HT0T5W2D6NJF0050000400"/>
      <w:bookmarkEnd w:id="1750"/>
      <w:r>
        <w:rPr>
          <w:rFonts w:ascii="Arial" w:eastAsia="Arial" w:hAnsi="Arial" w:cs="Arial"/>
          <w:i/>
          <w:color w:val="000000"/>
          <w:sz w:val="18"/>
        </w:rPr>
        <w:t>Procter &amp; Gamble Co. v. Amway Corp.</w:t>
      </w:r>
      <w:r>
        <w:rPr>
          <w:rFonts w:ascii="Arial" w:eastAsia="Arial" w:hAnsi="Arial" w:cs="Arial"/>
          <w:color w:val="000000"/>
          <w:sz w:val="18"/>
        </w:rPr>
        <w:t xml:space="preserve">, 376 F.3d 496, 499 n.1 (5th Cir. 2004). </w:t>
      </w:r>
      <w:bookmarkStart w:id="1751" w:name="Bookmark_I5HT0T5W2HM6G70030000400_2"/>
      <w:bookmarkEnd w:id="1751"/>
      <w:r>
        <w:rPr>
          <w:rFonts w:ascii="Arial" w:eastAsia="Arial" w:hAnsi="Arial" w:cs="Arial"/>
          <w:color w:val="000000"/>
          <w:sz w:val="18"/>
        </w:rPr>
        <w:t xml:space="preserve">Choi's passing reference to his equal protection claim in the "Summary of the Argument" section of his appellate brief is insufficient to prevent this waiver. </w:t>
      </w:r>
      <w:bookmarkStart w:id="1752" w:name="Bookmark_I5HT0T5W2HM6G70020000400"/>
      <w:bookmarkEnd w:id="1752"/>
      <w:r>
        <w:rPr>
          <w:rFonts w:ascii="Arial" w:eastAsia="Arial" w:hAnsi="Arial" w:cs="Arial"/>
          <w:i/>
          <w:color w:val="000000"/>
          <w:sz w:val="18"/>
        </w:rPr>
        <w:t>United States v. Thames</w:t>
      </w:r>
      <w:r>
        <w:rPr>
          <w:rFonts w:ascii="Arial" w:eastAsia="Arial" w:hAnsi="Arial" w:cs="Arial"/>
          <w:color w:val="000000"/>
          <w:sz w:val="18"/>
        </w:rPr>
        <w:t>, 214 F.3d 608, 611 n.3 (5th Cir. 2000).</w:t>
      </w:r>
    </w:p>
  </w:footnote>
  <w:footnote w:id="52">
    <w:p w14:paraId="3802440F" w14:textId="77777777" w:rsidR="002D0E71" w:rsidRDefault="00000000">
      <w:pPr>
        <w:pStyle w:val="Normal11"/>
        <w:widowControl w:val="0"/>
        <w:spacing w:before="200" w:line="240" w:lineRule="atLeast"/>
        <w:jc w:val="both"/>
      </w:pPr>
      <w:r>
        <w:rPr>
          <w:rFonts w:ascii="Arial" w:eastAsia="Arial" w:hAnsi="Arial" w:cs="Arial"/>
          <w:color w:val="000000"/>
          <w:sz w:val="18"/>
          <w:vertAlign w:val="superscript"/>
        </w:rPr>
        <w:t>2 </w:t>
      </w:r>
      <w:bookmarkStart w:id="1759" w:name="Bookmark_fnpara_3_6"/>
      <w:bookmarkStart w:id="1760" w:name="Bookmark_I55BYKG47N9000PRYKT005FK"/>
      <w:bookmarkStart w:id="1761" w:name="Bookmark_I5HT0T5W2HM6G70050000400"/>
      <w:bookmarkStart w:id="1762" w:name="Bookmark_I5HT0T5W2HM6G80020000400"/>
      <w:bookmarkEnd w:id="1759"/>
      <w:bookmarkEnd w:id="1760"/>
      <w:bookmarkEnd w:id="1761"/>
      <w:bookmarkEnd w:id="1762"/>
      <w:r>
        <w:rPr>
          <w:rFonts w:ascii="Arial" w:eastAsia="Arial" w:hAnsi="Arial" w:cs="Arial"/>
          <w:color w:val="000000"/>
          <w:sz w:val="18"/>
        </w:rPr>
        <w:t xml:space="preserve"> [**4] Choi argues that the district court applied the wrong legal standard in evaluating Defendants' Rule 12(b)(6) motion. Although he does not flesh out this argument fully in his briefs, he appears to rely on the "no set of facts" standard outlined in </w:t>
      </w:r>
      <w:bookmarkStart w:id="1763" w:name="Bookmark_I5HT0T5W2HM6G70040000400"/>
      <w:bookmarkEnd w:id="1763"/>
      <w:r>
        <w:rPr>
          <w:rFonts w:ascii="Arial" w:eastAsia="Arial" w:hAnsi="Arial" w:cs="Arial"/>
          <w:i/>
          <w:color w:val="000000"/>
          <w:sz w:val="18"/>
        </w:rPr>
        <w:t>Conley v. Gibson</w:t>
      </w:r>
      <w:r>
        <w:rPr>
          <w:rFonts w:ascii="Arial" w:eastAsia="Arial" w:hAnsi="Arial" w:cs="Arial"/>
          <w:color w:val="000000"/>
          <w:sz w:val="18"/>
        </w:rPr>
        <w:t xml:space="preserve">, 355 U.S. 41, 78 S. Ct. 99, 2 L. Ed. 2d 80 (1957). Of course, this argument lacks merit as </w:t>
      </w:r>
      <w:bookmarkStart w:id="1764" w:name="Bookmark_LNHNREFclscc2_9"/>
      <w:bookmarkEnd w:id="1764"/>
      <w:r>
        <w:rPr>
          <w:rFonts w:ascii="Arial" w:eastAsia="Arial" w:hAnsi="Arial" w:cs="Arial"/>
          <w:color w:val="000000"/>
          <w:sz w:val="18"/>
        </w:rPr>
        <w:t xml:space="preserve">"we no longer apply the minimal standard of adequate pleading set forth in </w:t>
      </w:r>
      <w:r>
        <w:rPr>
          <w:rFonts w:ascii="Arial" w:eastAsia="Arial" w:hAnsi="Arial" w:cs="Arial"/>
          <w:i/>
          <w:color w:val="000000"/>
          <w:sz w:val="18"/>
        </w:rPr>
        <w:t>Conley v. Gibson</w:t>
      </w:r>
      <w:r>
        <w:rPr>
          <w:rFonts w:ascii="Arial" w:eastAsia="Arial" w:hAnsi="Arial" w:cs="Arial"/>
          <w:color w:val="000000"/>
          <w:sz w:val="18"/>
        </w:rPr>
        <w:t xml:space="preserve"> . . . in light of [the Supreme Court's decisions in] </w:t>
      </w:r>
      <w:r>
        <w:rPr>
          <w:rFonts w:ascii="Arial" w:eastAsia="Arial" w:hAnsi="Arial" w:cs="Arial"/>
          <w:i/>
          <w:color w:val="000000"/>
          <w:sz w:val="18"/>
        </w:rPr>
        <w:t>Twombly</w:t>
      </w:r>
      <w:r>
        <w:rPr>
          <w:rFonts w:ascii="Arial" w:eastAsia="Arial" w:hAnsi="Arial" w:cs="Arial"/>
          <w:color w:val="000000"/>
          <w:sz w:val="18"/>
        </w:rPr>
        <w:t xml:space="preserve"> and </w:t>
      </w:r>
      <w:r>
        <w:rPr>
          <w:rFonts w:ascii="Arial" w:eastAsia="Arial" w:hAnsi="Arial" w:cs="Arial"/>
          <w:i/>
          <w:color w:val="000000"/>
          <w:sz w:val="18"/>
        </w:rPr>
        <w:t>Iqbal</w:t>
      </w:r>
      <w:r>
        <w:rPr>
          <w:rFonts w:ascii="Arial" w:eastAsia="Arial" w:hAnsi="Arial" w:cs="Arial"/>
          <w:color w:val="000000"/>
          <w:sz w:val="18"/>
        </w:rPr>
        <w:t xml:space="preserve">." </w:t>
      </w:r>
      <w:bookmarkStart w:id="1765" w:name="Bookmark_I5HT0T5W2HM6G80010000400"/>
      <w:bookmarkEnd w:id="1765"/>
      <w:r>
        <w:rPr>
          <w:rFonts w:ascii="Arial" w:eastAsia="Arial" w:hAnsi="Arial" w:cs="Arial"/>
          <w:i/>
          <w:color w:val="000000"/>
          <w:sz w:val="18"/>
        </w:rPr>
        <w:t>Wisznia Co. v. Gen. Star Indem. Co.</w:t>
      </w:r>
      <w:r>
        <w:rPr>
          <w:rFonts w:ascii="Arial" w:eastAsia="Arial" w:hAnsi="Arial" w:cs="Arial"/>
          <w:color w:val="000000"/>
          <w:sz w:val="18"/>
        </w:rPr>
        <w:t>, 759 F.3d 446, 454 (5th Cir. 2014) (internal quotation marks and citations omitted).</w:t>
      </w:r>
    </w:p>
  </w:footnote>
  <w:footnote w:id="53">
    <w:p w14:paraId="49F9D12F" w14:textId="77777777" w:rsidR="002D0E71" w:rsidRDefault="00000000">
      <w:pPr>
        <w:pStyle w:val="Normal11"/>
        <w:widowControl w:val="0"/>
        <w:spacing w:before="200" w:line="240" w:lineRule="atLeast"/>
        <w:jc w:val="both"/>
      </w:pPr>
      <w:r>
        <w:rPr>
          <w:rFonts w:ascii="Arial" w:eastAsia="Arial" w:hAnsi="Arial" w:cs="Arial"/>
          <w:color w:val="000000"/>
          <w:sz w:val="18"/>
          <w:vertAlign w:val="superscript"/>
        </w:rPr>
        <w:t>3 </w:t>
      </w:r>
      <w:bookmarkStart w:id="1784" w:name="Bookmark_fnpara_4_4"/>
      <w:bookmarkEnd w:id="1784"/>
      <w:r>
        <w:rPr>
          <w:rFonts w:ascii="Arial" w:eastAsia="Arial" w:hAnsi="Arial" w:cs="Arial"/>
          <w:color w:val="000000"/>
          <w:sz w:val="18"/>
        </w:rPr>
        <w:t xml:space="preserve">This is consistent with the statutory language of the ADA, which defines discrimination as, </w:t>
      </w:r>
      <w:r>
        <w:rPr>
          <w:rFonts w:ascii="Arial" w:eastAsia="Arial" w:hAnsi="Arial" w:cs="Arial"/>
          <w:i/>
          <w:color w:val="000000"/>
          <w:sz w:val="18"/>
        </w:rPr>
        <w:t>inter alia</w:t>
      </w:r>
      <w:r>
        <w:rPr>
          <w:rFonts w:ascii="Arial" w:eastAsia="Arial" w:hAnsi="Arial" w:cs="Arial"/>
          <w:color w:val="000000"/>
          <w:sz w:val="18"/>
        </w:rPr>
        <w:t xml:space="preserve">, "not making reasonable accommodations to the </w:t>
      </w:r>
      <w:r>
        <w:rPr>
          <w:rFonts w:ascii="Arial" w:eastAsia="Arial" w:hAnsi="Arial" w:cs="Arial"/>
          <w:i/>
          <w:color w:val="000000"/>
          <w:sz w:val="18"/>
        </w:rPr>
        <w:t>known physical or mental limitations</w:t>
      </w:r>
      <w:r>
        <w:rPr>
          <w:rFonts w:ascii="Arial" w:eastAsia="Arial" w:hAnsi="Arial" w:cs="Arial"/>
          <w:color w:val="000000"/>
          <w:sz w:val="18"/>
        </w:rPr>
        <w:t xml:space="preserve"> of an otherwise qualified individual with a disability." 42 U.S.C. § 12112(b)(5)(A) (emphasis added).</w:t>
      </w:r>
    </w:p>
  </w:footnote>
  <w:footnote w:id="54">
    <w:p w14:paraId="0FDADAD5" w14:textId="77777777" w:rsidR="002D0E71" w:rsidRDefault="00000000">
      <w:pPr>
        <w:pStyle w:val="Normal11"/>
        <w:widowControl w:val="0"/>
        <w:spacing w:before="200" w:line="240" w:lineRule="atLeast"/>
        <w:jc w:val="both"/>
      </w:pPr>
      <w:r>
        <w:rPr>
          <w:rFonts w:ascii="Arial" w:eastAsia="Arial" w:hAnsi="Arial" w:cs="Arial"/>
          <w:color w:val="000000"/>
          <w:sz w:val="18"/>
          <w:vertAlign w:val="superscript"/>
        </w:rPr>
        <w:t>4 </w:t>
      </w:r>
      <w:bookmarkStart w:id="1785" w:name="Bookmark_fnpara_5_2"/>
      <w:bookmarkEnd w:id="1785"/>
      <w:r>
        <w:rPr>
          <w:rFonts w:ascii="Arial" w:eastAsia="Arial" w:hAnsi="Arial" w:cs="Arial"/>
          <w:color w:val="000000"/>
          <w:sz w:val="18"/>
        </w:rPr>
        <w:t xml:space="preserve">Oddly, Choi does not even allege facts connecting his academic shortfall and subsequent dismissal to his ADD. Instead, he alleges that he was dismissed from the Dental School "because of the animus of one teacher," who had "no objective criteria" upon which to base his removal. This may explain why he: (1) did not tell the School about his ADD </w:t>
      </w:r>
      <w:r>
        <w:rPr>
          <w:rFonts w:ascii="Arial" w:eastAsia="Arial" w:hAnsi="Arial" w:cs="Arial"/>
          <w:i/>
          <w:color w:val="000000"/>
          <w:sz w:val="18"/>
        </w:rPr>
        <w:t>diagnosis</w:t>
      </w:r>
      <w:r>
        <w:rPr>
          <w:rFonts w:ascii="Arial" w:eastAsia="Arial" w:hAnsi="Arial" w:cs="Arial"/>
          <w:color w:val="000000"/>
          <w:sz w:val="18"/>
        </w:rPr>
        <w:t xml:space="preserve"> until after he failed his third-year [**6]  clinical course and failed at remediation; and (2) even then, did not disclose any limitations resulting from his ADD.</w:t>
      </w:r>
    </w:p>
  </w:footnote>
  <w:footnote w:id="55">
    <w:p w14:paraId="5A09E04A" w14:textId="77777777" w:rsidR="002D0E71" w:rsidRDefault="00000000">
      <w:pPr>
        <w:pStyle w:val="Normal12"/>
        <w:widowControl w:val="0"/>
        <w:spacing w:before="200" w:line="240" w:lineRule="atLeast"/>
        <w:jc w:val="both"/>
      </w:pPr>
      <w:r>
        <w:rPr>
          <w:rFonts w:ascii="Arial" w:eastAsia="Arial" w:hAnsi="Arial" w:cs="Arial"/>
          <w:color w:val="000000"/>
          <w:sz w:val="18"/>
          <w:vertAlign w:val="superscript"/>
        </w:rPr>
        <w:t>1 </w:t>
      </w:r>
      <w:bookmarkStart w:id="1832" w:name="Bookmark_fnpara_1_9"/>
      <w:bookmarkStart w:id="1833" w:name="Bookmark_I5HNK6W72HM64N0020000400"/>
      <w:bookmarkEnd w:id="1832"/>
      <w:bookmarkEnd w:id="1833"/>
      <w:r>
        <w:rPr>
          <w:rFonts w:ascii="Arial" w:eastAsia="Arial" w:hAnsi="Arial" w:cs="Arial"/>
          <w:color w:val="000000"/>
          <w:sz w:val="18"/>
        </w:rPr>
        <w:t xml:space="preserve">J.H. did not make this contention in either her opening brief or reply brief. It was too late for J.H. to raise this contention in oral argument. </w:t>
      </w:r>
      <w:r>
        <w:rPr>
          <w:rFonts w:ascii="Arial" w:eastAsia="Arial" w:hAnsi="Arial" w:cs="Arial"/>
          <w:i/>
          <w:color w:val="000000"/>
          <w:sz w:val="18"/>
        </w:rPr>
        <w:t xml:space="preserve">See </w:t>
      </w:r>
      <w:bookmarkStart w:id="1834" w:name="Bookmark_I5HNK6W72HM64N0010000400"/>
      <w:bookmarkEnd w:id="1834"/>
      <w:r>
        <w:rPr>
          <w:rFonts w:ascii="Arial" w:eastAsia="Arial" w:hAnsi="Arial" w:cs="Arial"/>
          <w:i/>
          <w:color w:val="000000"/>
          <w:sz w:val="18"/>
        </w:rPr>
        <w:t>Thomas v. Denny's, Inc.</w:t>
      </w:r>
      <w:r>
        <w:rPr>
          <w:rFonts w:ascii="Arial" w:eastAsia="Arial" w:hAnsi="Arial" w:cs="Arial"/>
          <w:color w:val="000000"/>
          <w:sz w:val="18"/>
        </w:rPr>
        <w:t xml:space="preserve">, 111 F.3d 1506, 1510 n.5 (10th Cir. 1997) (stating that </w:t>
      </w:r>
      <w:bookmarkStart w:id="1835" w:name="Bookmark_LNHNREFclscc3_10"/>
      <w:bookmarkEnd w:id="1835"/>
      <w:r>
        <w:rPr>
          <w:rFonts w:ascii="Arial" w:eastAsia="Arial" w:hAnsi="Arial" w:cs="Arial"/>
          <w:color w:val="000000"/>
          <w:sz w:val="18"/>
        </w:rPr>
        <w:t xml:space="preserve">it is too late to make a contention for the first time in oral argument). But this contention would not matter anyway because J.P. could be arrested even if her offense constituted a misdemeanor rather than a felony. </w:t>
      </w:r>
      <w:r>
        <w:rPr>
          <w:rFonts w:ascii="Arial" w:eastAsia="Arial" w:hAnsi="Arial" w:cs="Arial"/>
          <w:i/>
          <w:color w:val="000000"/>
          <w:sz w:val="18"/>
        </w:rPr>
        <w:t>See</w:t>
      </w:r>
      <w:r>
        <w:rPr>
          <w:rFonts w:ascii="Arial" w:eastAsia="Arial" w:hAnsi="Arial" w:cs="Arial"/>
          <w:color w:val="000000"/>
          <w:sz w:val="18"/>
        </w:rPr>
        <w:t xml:space="preserve"> text accompanying note.</w:t>
      </w:r>
    </w:p>
  </w:footnote>
  <w:footnote w:id="56">
    <w:p w14:paraId="47EE5897" w14:textId="77777777" w:rsidR="002D0E71" w:rsidRDefault="00000000">
      <w:pPr>
        <w:pStyle w:val="Normal12"/>
        <w:widowControl w:val="0"/>
        <w:spacing w:before="200" w:line="240" w:lineRule="atLeast"/>
        <w:jc w:val="both"/>
      </w:pPr>
      <w:r>
        <w:rPr>
          <w:rFonts w:ascii="Arial" w:eastAsia="Arial" w:hAnsi="Arial" w:cs="Arial"/>
          <w:color w:val="000000"/>
          <w:sz w:val="18"/>
          <w:vertAlign w:val="superscript"/>
        </w:rPr>
        <w:t>2 </w:t>
      </w:r>
      <w:bookmarkStart w:id="1846" w:name="Bookmark_fnpara_2_9"/>
      <w:bookmarkStart w:id="1847" w:name="Bookmark_I0BF1S3DDPD000RGTG60031F"/>
      <w:bookmarkStart w:id="1848" w:name="Bookmark_I5HNK6W72HM64P0050000400"/>
      <w:bookmarkEnd w:id="1846"/>
      <w:bookmarkEnd w:id="1847"/>
      <w:bookmarkEnd w:id="1848"/>
      <w:r>
        <w:rPr>
          <w:rFonts w:ascii="Arial" w:eastAsia="Arial" w:hAnsi="Arial" w:cs="Arial"/>
          <w:color w:val="000000"/>
          <w:sz w:val="18"/>
        </w:rPr>
        <w:t xml:space="preserve">It is possible for someone to be handcuffed for so long that the handcuffing constitutes an unreasonable use of force. </w:t>
      </w:r>
      <w:r>
        <w:rPr>
          <w:rFonts w:ascii="Arial" w:eastAsia="Arial" w:hAnsi="Arial" w:cs="Arial"/>
          <w:i/>
          <w:color w:val="000000"/>
          <w:sz w:val="18"/>
        </w:rPr>
        <w:t xml:space="preserve">See </w:t>
      </w:r>
      <w:bookmarkStart w:id="1849" w:name="Bookmark_I5HNK6W72HM64P0040000400"/>
      <w:bookmarkEnd w:id="1849"/>
      <w:r>
        <w:rPr>
          <w:rFonts w:ascii="Arial" w:eastAsia="Arial" w:hAnsi="Arial" w:cs="Arial"/>
          <w:i/>
          <w:color w:val="000000"/>
          <w:sz w:val="18"/>
        </w:rPr>
        <w:t>Fisher v. City of Las Cruces</w:t>
      </w:r>
      <w:r>
        <w:rPr>
          <w:rFonts w:ascii="Arial" w:eastAsia="Arial" w:hAnsi="Arial" w:cs="Arial"/>
          <w:color w:val="000000"/>
          <w:sz w:val="18"/>
        </w:rPr>
        <w:t xml:space="preserve">, 584 F.3d 888, 894 (10th Cir. 2009) ("[T]he justifiable initial use of handcuffs can become unreasonable if other factors, such as prolonged duration, 'affect the balance of interests under </w:t>
      </w:r>
      <w:bookmarkStart w:id="1850" w:name="Bookmark_I5HNK6W72SF86V0010000400"/>
      <w:bookmarkEnd w:id="1850"/>
      <w:r>
        <w:rPr>
          <w:rFonts w:ascii="Arial" w:eastAsia="Arial" w:hAnsi="Arial" w:cs="Arial"/>
          <w:i/>
          <w:color w:val="000000"/>
          <w:sz w:val="18"/>
        </w:rPr>
        <w:t>Graham [v. Connor</w:t>
      </w:r>
      <w:r>
        <w:rPr>
          <w:rFonts w:ascii="Arial" w:eastAsia="Arial" w:hAnsi="Arial" w:cs="Arial"/>
          <w:color w:val="000000"/>
          <w:sz w:val="18"/>
        </w:rPr>
        <w:t xml:space="preserve">, 490 U.S. 386, 109 S. Ct. 1865, 104 L. Ed. 2d 443 (1989)].'" (quoting </w:t>
      </w:r>
      <w:bookmarkStart w:id="1851" w:name="Bookmark_I5HNK6W72SF86V0030000400"/>
      <w:bookmarkEnd w:id="1851"/>
      <w:r>
        <w:rPr>
          <w:rFonts w:ascii="Arial" w:eastAsia="Arial" w:hAnsi="Arial" w:cs="Arial"/>
          <w:i/>
          <w:color w:val="000000"/>
          <w:sz w:val="18"/>
        </w:rPr>
        <w:t>Muehler v. Mena</w:t>
      </w:r>
      <w:r>
        <w:rPr>
          <w:rFonts w:ascii="Arial" w:eastAsia="Arial" w:hAnsi="Arial" w:cs="Arial"/>
          <w:color w:val="000000"/>
          <w:sz w:val="18"/>
        </w:rPr>
        <w:t>, 544 U.S. 93, 100, 125 S. Ct. 1465, 161 L. Ed. 2d 299 (2005))). This possibility is not at issue here. Although J.H. argues that Deputy Sharkey should not have taken J.P. to the juvenile detention center, J.H. does not complain about the length of time that J.P. remained in handcuffs.</w:t>
      </w:r>
    </w:p>
  </w:footnote>
  <w:footnote w:id="57">
    <w:p w14:paraId="1DC96D4D" w14:textId="77777777" w:rsidR="002D0E71" w:rsidRDefault="00000000">
      <w:pPr>
        <w:pStyle w:val="Normal12"/>
        <w:widowControl w:val="0"/>
        <w:spacing w:before="200" w:line="240" w:lineRule="atLeast"/>
        <w:jc w:val="both"/>
      </w:pPr>
      <w:r>
        <w:rPr>
          <w:rFonts w:ascii="Arial" w:eastAsia="Arial" w:hAnsi="Arial" w:cs="Arial"/>
          <w:color w:val="000000"/>
          <w:sz w:val="18"/>
          <w:vertAlign w:val="superscript"/>
        </w:rPr>
        <w:t>3 </w:t>
      </w:r>
      <w:bookmarkStart w:id="1856" w:name="Bookmark_fnpara_3_7"/>
      <w:bookmarkStart w:id="1857" w:name="Bookmark_I0BF1S3DJHJ000RGTG60031G"/>
      <w:bookmarkStart w:id="1858" w:name="Bookmark_I5HNK6W72SF86W0030000400"/>
      <w:bookmarkStart w:id="1859" w:name="Bookmark_I5HNK6W72SF86W0050000400"/>
      <w:bookmarkEnd w:id="1856"/>
      <w:bookmarkEnd w:id="1857"/>
      <w:bookmarkEnd w:id="1858"/>
      <w:bookmarkEnd w:id="1859"/>
      <w:r>
        <w:rPr>
          <w:rFonts w:ascii="Arial" w:eastAsia="Arial" w:hAnsi="Arial" w:cs="Arial"/>
          <w:color w:val="000000"/>
          <w:sz w:val="18"/>
        </w:rPr>
        <w:t xml:space="preserve">Though </w:t>
      </w:r>
      <w:bookmarkStart w:id="1860" w:name="Bookmark_I5HNK6W72SF86W0020000400"/>
      <w:bookmarkEnd w:id="1860"/>
      <w:r>
        <w:rPr>
          <w:rFonts w:ascii="Arial" w:eastAsia="Arial" w:hAnsi="Arial" w:cs="Arial"/>
          <w:i/>
          <w:color w:val="000000"/>
          <w:sz w:val="18"/>
        </w:rPr>
        <w:t>Hawker</w:t>
      </w:r>
      <w:r>
        <w:rPr>
          <w:rFonts w:ascii="Arial" w:eastAsia="Arial" w:hAnsi="Arial" w:cs="Arial"/>
          <w:color w:val="000000"/>
          <w:sz w:val="18"/>
        </w:rPr>
        <w:t xml:space="preserve"> is [**7]  not precedential, we regard the quoted analysis as persuasive. In </w:t>
      </w:r>
      <w:r>
        <w:rPr>
          <w:rFonts w:ascii="Arial" w:eastAsia="Arial" w:hAnsi="Arial" w:cs="Arial"/>
          <w:i/>
          <w:color w:val="000000"/>
          <w:sz w:val="18"/>
        </w:rPr>
        <w:t>Hawker</w:t>
      </w:r>
      <w:r>
        <w:rPr>
          <w:rFonts w:ascii="Arial" w:eastAsia="Arial" w:hAnsi="Arial" w:cs="Arial"/>
          <w:color w:val="000000"/>
          <w:sz w:val="18"/>
        </w:rPr>
        <w:t xml:space="preserve">, we unanimously concluded that the use of force was reasonable when a police officer arrested and performed a twist-lock on a 9-year-old boy suspected of stealing an iPad. </w:t>
      </w:r>
      <w:r>
        <w:rPr>
          <w:rFonts w:ascii="Arial" w:eastAsia="Arial" w:hAnsi="Arial" w:cs="Arial"/>
          <w:i/>
          <w:color w:val="000000"/>
          <w:sz w:val="18"/>
        </w:rPr>
        <w:t xml:space="preserve">See </w:t>
      </w:r>
      <w:bookmarkStart w:id="1861" w:name="Bookmark_I5HNK6W72SF86W0040000400"/>
      <w:bookmarkEnd w:id="1861"/>
      <w:r>
        <w:rPr>
          <w:rFonts w:ascii="Arial" w:eastAsia="Arial" w:hAnsi="Arial" w:cs="Arial"/>
          <w:i/>
          <w:color w:val="000000"/>
          <w:sz w:val="18"/>
        </w:rPr>
        <w:t>Hawker</w:t>
      </w:r>
      <w:r>
        <w:rPr>
          <w:rFonts w:ascii="Arial" w:eastAsia="Arial" w:hAnsi="Arial" w:cs="Arial"/>
          <w:color w:val="000000"/>
          <w:sz w:val="18"/>
        </w:rPr>
        <w:t>, 591 F. App'x at 671.</w:t>
      </w:r>
    </w:p>
    <w:p w14:paraId="5372F1A6" w14:textId="77777777" w:rsidR="002D0E71" w:rsidRDefault="00000000">
      <w:pPr>
        <w:pStyle w:val="Normal12"/>
        <w:widowControl w:val="0"/>
        <w:spacing w:before="120" w:line="240" w:lineRule="atLeast"/>
        <w:jc w:val="both"/>
      </w:pPr>
      <w:bookmarkStart w:id="1862" w:name="Bookmark_fnpara_4_5"/>
      <w:bookmarkEnd w:id="1862"/>
      <w:r>
        <w:rPr>
          <w:rFonts w:ascii="Arial" w:eastAsia="Arial" w:hAnsi="Arial" w:cs="Arial"/>
          <w:color w:val="000000"/>
          <w:sz w:val="18"/>
        </w:rPr>
        <w:t>J.P.'s crime and the type of force were different: Her crime involved battery on a school official (rather than theft), and the use of force involved only handcuffing (rather than use of a twist-lock). In both cases, however, the law enforcement officer could reasonably consider restraint necessary even though the suspects were only 9 and 11 years old.</w:t>
      </w:r>
    </w:p>
  </w:footnote>
  <w:footnote w:id="58">
    <w:p w14:paraId="7BAD3C80" w14:textId="77777777" w:rsidR="002D0E71" w:rsidRDefault="00000000">
      <w:pPr>
        <w:pStyle w:val="Normal12"/>
        <w:widowControl w:val="0"/>
        <w:spacing w:before="200" w:line="240" w:lineRule="atLeast"/>
        <w:jc w:val="both"/>
      </w:pPr>
      <w:r>
        <w:rPr>
          <w:rFonts w:ascii="Arial" w:eastAsia="Arial" w:hAnsi="Arial" w:cs="Arial"/>
          <w:color w:val="000000"/>
          <w:sz w:val="18"/>
          <w:vertAlign w:val="superscript"/>
        </w:rPr>
        <w:t>4 </w:t>
      </w:r>
      <w:bookmarkStart w:id="1922" w:name="Bookmark_fnpara_5_3"/>
      <w:bookmarkStart w:id="1923" w:name="Bookmark_LNHNREFclscc17_3"/>
      <w:bookmarkEnd w:id="1922"/>
      <w:bookmarkEnd w:id="1923"/>
      <w:r>
        <w:rPr>
          <w:rFonts w:ascii="Arial" w:eastAsia="Arial" w:hAnsi="Arial" w:cs="Arial"/>
          <w:color w:val="000000"/>
          <w:sz w:val="18"/>
        </w:rPr>
        <w:t xml:space="preserve">A learning disability alone does not necessarily trigger the protections of the Americans with Disabilities Act. </w:t>
      </w:r>
      <w:r>
        <w:rPr>
          <w:rFonts w:ascii="Arial" w:eastAsia="Arial" w:hAnsi="Arial" w:cs="Arial"/>
          <w:i/>
          <w:color w:val="000000"/>
          <w:sz w:val="18"/>
        </w:rPr>
        <w:t xml:space="preserve">See, e.g., </w:t>
      </w:r>
      <w:bookmarkStart w:id="1924" w:name="Bookmark_I5HNK6W72HM64R0020000400"/>
      <w:bookmarkEnd w:id="1924"/>
      <w:r>
        <w:rPr>
          <w:rFonts w:ascii="Arial" w:eastAsia="Arial" w:hAnsi="Arial" w:cs="Arial"/>
          <w:i/>
          <w:color w:val="000000"/>
          <w:sz w:val="18"/>
        </w:rPr>
        <w:t>Weaving v. City of Hillsboro</w:t>
      </w:r>
      <w:r>
        <w:rPr>
          <w:rFonts w:ascii="Arial" w:eastAsia="Arial" w:hAnsi="Arial" w:cs="Arial"/>
          <w:color w:val="000000"/>
          <w:sz w:val="18"/>
        </w:rPr>
        <w:t xml:space="preserve">, 763 F.3d 1106, 1107 (9th Cir. 2014) (holding that the plaintiff's attention deficit disorder did not qualify as a disability under the Americans with Disabilities Act); </w:t>
      </w:r>
      <w:bookmarkStart w:id="1925" w:name="Bookmark_I5HNK6W72HM64R0040000400"/>
      <w:bookmarkEnd w:id="1925"/>
      <w:r>
        <w:rPr>
          <w:rFonts w:ascii="Arial" w:eastAsia="Arial" w:hAnsi="Arial" w:cs="Arial"/>
          <w:i/>
          <w:color w:val="000000"/>
          <w:sz w:val="18"/>
        </w:rPr>
        <w:t>Whitlock v. Mac-Gray, Inc.</w:t>
      </w:r>
      <w:r>
        <w:rPr>
          <w:rFonts w:ascii="Arial" w:eastAsia="Arial" w:hAnsi="Arial" w:cs="Arial"/>
          <w:color w:val="000000"/>
          <w:sz w:val="18"/>
        </w:rPr>
        <w:t>, 345 F.3d 44, 46 (1st Cir. 2003) ("[A] diagnosis [of attention deficit hyperactivity disorder] alone does not establish a disability within the meaning of the [Americans with Disabilities Act].").</w:t>
      </w:r>
    </w:p>
  </w:footnote>
  <w:footnote w:id="59">
    <w:p w14:paraId="3FF6FA7A" w14:textId="77777777" w:rsidR="002D0E71" w:rsidRDefault="00000000">
      <w:pPr>
        <w:pStyle w:val="Normal13"/>
        <w:widowControl w:val="0"/>
        <w:spacing w:before="120" w:line="240" w:lineRule="atLeast"/>
        <w:jc w:val="both"/>
      </w:pPr>
      <w:r>
        <w:rPr>
          <w:rFonts w:ascii="Arial" w:eastAsia="Arial" w:hAnsi="Arial" w:cs="Arial"/>
          <w:color w:val="000000"/>
          <w:sz w:val="18"/>
          <w:vertAlign w:val="superscript"/>
        </w:rPr>
        <w:t>** </w:t>
      </w:r>
      <w:bookmarkStart w:id="1942" w:name="Bookmark_fnpara_1_10"/>
      <w:bookmarkEnd w:id="1942"/>
      <w:r>
        <w:rPr>
          <w:rFonts w:ascii="Arial" w:eastAsia="Arial" w:hAnsi="Arial" w:cs="Arial"/>
          <w:color w:val="000000"/>
          <w:sz w:val="18"/>
        </w:rPr>
        <w:t>This summary constitutes no part of the opinion of the court. It has been prepared by court staff for the convenience of the reader.</w:t>
      </w:r>
    </w:p>
  </w:footnote>
  <w:footnote w:id="60">
    <w:p w14:paraId="00F3FD74" w14:textId="77777777" w:rsidR="002D0E71" w:rsidRDefault="00000000">
      <w:pPr>
        <w:pStyle w:val="Normal13"/>
        <w:widowControl w:val="0"/>
        <w:spacing w:before="120" w:line="240" w:lineRule="atLeast"/>
        <w:jc w:val="both"/>
      </w:pPr>
      <w:r>
        <w:rPr>
          <w:rFonts w:ascii="Arial" w:eastAsia="Arial" w:hAnsi="Arial" w:cs="Arial"/>
          <w:color w:val="000000"/>
          <w:sz w:val="18"/>
          <w:vertAlign w:val="superscript"/>
        </w:rPr>
        <w:t>* </w:t>
      </w:r>
      <w:bookmarkStart w:id="1951" w:name="Bookmark_fnpara_2_10"/>
      <w:bookmarkEnd w:id="1951"/>
      <w:r>
        <w:rPr>
          <w:rFonts w:ascii="Arial" w:eastAsia="Arial" w:hAnsi="Arial" w:cs="Arial"/>
          <w:color w:val="000000"/>
          <w:sz w:val="18"/>
        </w:rPr>
        <w:t>The Honorable Lee H. Rosenthal, United States District Judge for the Southern District of Texas, sitting by designation.</w:t>
      </w:r>
    </w:p>
  </w:footnote>
  <w:footnote w:id="61">
    <w:p w14:paraId="2B4F0A88" w14:textId="77777777" w:rsidR="002D0E71" w:rsidRDefault="00000000">
      <w:pPr>
        <w:pStyle w:val="Normal13"/>
        <w:widowControl w:val="0"/>
        <w:spacing w:before="200" w:line="240" w:lineRule="atLeast"/>
        <w:jc w:val="both"/>
      </w:pPr>
      <w:r>
        <w:rPr>
          <w:rFonts w:ascii="Arial" w:eastAsia="Arial" w:hAnsi="Arial" w:cs="Arial"/>
          <w:color w:val="000000"/>
          <w:sz w:val="18"/>
          <w:vertAlign w:val="superscript"/>
        </w:rPr>
        <w:t>1 </w:t>
      </w:r>
      <w:bookmarkStart w:id="1963" w:name="Bookmark_fnpara_3_8"/>
      <w:bookmarkEnd w:id="1963"/>
      <w:r>
        <w:rPr>
          <w:rFonts w:ascii="Arial" w:eastAsia="Arial" w:hAnsi="Arial" w:cs="Arial"/>
          <w:color w:val="000000"/>
          <w:sz w:val="18"/>
        </w:rPr>
        <w:t xml:space="preserve">There are two mechanisms for resolving special education disputes. </w:t>
      </w:r>
      <w:bookmarkStart w:id="1964" w:name="Bookmark_I5HM9PWB2HM6560040000400"/>
      <w:bookmarkEnd w:id="1964"/>
      <w:r>
        <w:rPr>
          <w:rFonts w:ascii="Arial" w:eastAsia="Arial" w:hAnsi="Arial" w:cs="Arial"/>
          <w:color w:val="000000"/>
          <w:sz w:val="18"/>
        </w:rPr>
        <w:t xml:space="preserve">The first is to seek a due process hearing before a hearing officer. The hearing officer's decision may be appealed, directly or indirectly, to a federal district court. </w:t>
      </w:r>
      <w:r>
        <w:rPr>
          <w:rFonts w:ascii="Arial" w:eastAsia="Arial" w:hAnsi="Arial" w:cs="Arial"/>
          <w:i/>
          <w:color w:val="000000"/>
          <w:sz w:val="18"/>
        </w:rPr>
        <w:t>See</w:t>
      </w:r>
      <w:r>
        <w:rPr>
          <w:rFonts w:ascii="Arial" w:eastAsia="Arial" w:hAnsi="Arial" w:cs="Arial"/>
          <w:color w:val="000000"/>
          <w:sz w:val="18"/>
        </w:rPr>
        <w:t xml:space="preserve"> 20 U.S.C. § 1415; </w:t>
      </w:r>
      <w:bookmarkStart w:id="1965" w:name="Bookmark_I5HM9PWB2HM6560030000400"/>
      <w:bookmarkEnd w:id="1965"/>
      <w:r>
        <w:rPr>
          <w:rFonts w:ascii="Arial" w:eastAsia="Arial" w:hAnsi="Arial" w:cs="Arial"/>
          <w:i/>
          <w:color w:val="000000"/>
          <w:sz w:val="18"/>
        </w:rPr>
        <w:t>Porter v. Bd. of Trs. of Manhattan Beach Unified Sch. Dist.</w:t>
      </w:r>
      <w:r>
        <w:rPr>
          <w:rFonts w:ascii="Arial" w:eastAsia="Arial" w:hAnsi="Arial" w:cs="Arial"/>
          <w:color w:val="000000"/>
          <w:sz w:val="18"/>
        </w:rPr>
        <w:t xml:space="preserve">, 307 F.3d 1064, 1066-67 (9th Cir. 2002). </w:t>
      </w:r>
      <w:bookmarkStart w:id="1966" w:name="Bookmark_I5HM9PWB2D6N930010000400"/>
      <w:bookmarkEnd w:id="1966"/>
      <w:r>
        <w:rPr>
          <w:rFonts w:ascii="Arial" w:eastAsia="Arial" w:hAnsi="Arial" w:cs="Arial"/>
          <w:color w:val="000000"/>
          <w:sz w:val="18"/>
        </w:rPr>
        <w:t xml:space="preserve">Second, either side may use a state's complaint resolution procedure. Each state is required, under regulations promulgated pursuant to the IDEA, to provide a formal means for resolving disputes outside of a due process hearing. </w:t>
      </w:r>
      <w:r>
        <w:rPr>
          <w:rFonts w:ascii="Arial" w:eastAsia="Arial" w:hAnsi="Arial" w:cs="Arial"/>
          <w:i/>
          <w:color w:val="000000"/>
          <w:sz w:val="18"/>
        </w:rPr>
        <w:t>See</w:t>
      </w:r>
      <w:r>
        <w:rPr>
          <w:rFonts w:ascii="Arial" w:eastAsia="Arial" w:hAnsi="Arial" w:cs="Arial"/>
          <w:color w:val="000000"/>
          <w:sz w:val="18"/>
        </w:rPr>
        <w:t xml:space="preserve"> 34 C.F.R. § 300.151; </w:t>
      </w:r>
      <w:bookmarkStart w:id="1967" w:name="Bookmark_I5HM9PWB2HM6560050000400"/>
      <w:bookmarkEnd w:id="1967"/>
      <w:r>
        <w:rPr>
          <w:rFonts w:ascii="Arial" w:eastAsia="Arial" w:hAnsi="Arial" w:cs="Arial"/>
          <w:i/>
          <w:color w:val="000000"/>
          <w:sz w:val="18"/>
        </w:rPr>
        <w:t>Porter</w:t>
      </w:r>
      <w:r>
        <w:rPr>
          <w:rFonts w:ascii="Arial" w:eastAsia="Arial" w:hAnsi="Arial" w:cs="Arial"/>
          <w:color w:val="000000"/>
          <w:sz w:val="18"/>
        </w:rPr>
        <w:t>, 307 F.3d at 1066-67. Filing a compliance complaint is the way to activate California's complaint resolution procedure.</w:t>
      </w:r>
    </w:p>
  </w:footnote>
  <w:footnote w:id="62">
    <w:p w14:paraId="1253D083" w14:textId="77777777" w:rsidR="002D0E71" w:rsidRDefault="00000000">
      <w:pPr>
        <w:pStyle w:val="Normal13"/>
        <w:widowControl w:val="0"/>
        <w:spacing w:before="120" w:line="240" w:lineRule="atLeast"/>
        <w:jc w:val="both"/>
      </w:pPr>
      <w:r>
        <w:rPr>
          <w:rFonts w:ascii="Arial" w:eastAsia="Arial" w:hAnsi="Arial" w:cs="Arial"/>
          <w:color w:val="000000"/>
          <w:sz w:val="18"/>
          <w:vertAlign w:val="superscript"/>
        </w:rPr>
        <w:t>2 </w:t>
      </w:r>
      <w:bookmarkStart w:id="2020" w:name="Bookmark_fnpara_4_6"/>
      <w:bookmarkEnd w:id="2020"/>
      <w:r>
        <w:rPr>
          <w:rFonts w:ascii="Arial" w:eastAsia="Arial" w:hAnsi="Arial" w:cs="Arial"/>
          <w:color w:val="000000"/>
          <w:sz w:val="18"/>
        </w:rPr>
        <w:t>In April 2012, the Brenneises filed a Rule 54(b) motion for the court to reconsider its ruling on attorneys' fees. They noticed their appeal in June 2012, after the court had issued its ruling on the motion for attorneys' fees and summary judgment, but while the motion for reconsideration was still pending. In July 2012, the court denied the Brenneises' motion under Rule 54(b) to reconsider the denial of the request for $1.4 million in attorneys' fees and costs.</w:t>
      </w:r>
    </w:p>
    <w:p w14:paraId="3472ED0C" w14:textId="77777777" w:rsidR="002D0E71" w:rsidRDefault="00000000">
      <w:pPr>
        <w:pStyle w:val="Normal13"/>
        <w:widowControl w:val="0"/>
        <w:spacing w:before="200" w:line="240" w:lineRule="atLeast"/>
        <w:jc w:val="both"/>
      </w:pPr>
      <w:bookmarkStart w:id="2021" w:name="Bookmark_fnpara_5_4"/>
      <w:bookmarkEnd w:id="2021"/>
      <w:r>
        <w:rPr>
          <w:rFonts w:ascii="Arial" w:eastAsia="Arial" w:hAnsi="Arial" w:cs="Arial"/>
          <w:color w:val="000000"/>
          <w:sz w:val="18"/>
        </w:rPr>
        <w:t xml:space="preserve">The parties dispute whether the ruling on the Rule 54(b) motion is before the court. </w:t>
      </w:r>
      <w:bookmarkStart w:id="2022" w:name="Bookmark_I5HM9PWB2HM6570040000400"/>
      <w:bookmarkEnd w:id="2022"/>
      <w:r>
        <w:rPr>
          <w:rFonts w:ascii="Arial" w:eastAsia="Arial" w:hAnsi="Arial" w:cs="Arial"/>
          <w:color w:val="000000"/>
          <w:sz w:val="18"/>
        </w:rPr>
        <w:t xml:space="preserve">It is not. The motion did not toll the time for filing an appeal because the district court did not extend the time to appeal under Rule 58. </w:t>
      </w:r>
      <w:r>
        <w:rPr>
          <w:rFonts w:ascii="Arial" w:eastAsia="Arial" w:hAnsi="Arial" w:cs="Arial"/>
          <w:i/>
          <w:color w:val="000000"/>
          <w:sz w:val="18"/>
        </w:rPr>
        <w:t>See</w:t>
      </w:r>
      <w:r>
        <w:rPr>
          <w:rFonts w:ascii="Arial" w:eastAsia="Arial" w:hAnsi="Arial" w:cs="Arial"/>
          <w:color w:val="000000"/>
          <w:sz w:val="18"/>
        </w:rPr>
        <w:t xml:space="preserve"> Fed. R. App. P. 4(a)(4)(A)(iii). Therefore, the Brenneises were required to file a separate appeal relating to this motion, which they did not. </w:t>
      </w:r>
      <w:r>
        <w:rPr>
          <w:rFonts w:ascii="Arial" w:eastAsia="Arial" w:hAnsi="Arial" w:cs="Arial"/>
          <w:i/>
          <w:color w:val="000000"/>
          <w:sz w:val="18"/>
        </w:rPr>
        <w:t>See id.</w:t>
      </w:r>
      <w:r>
        <w:rPr>
          <w:rFonts w:ascii="Arial" w:eastAsia="Arial" w:hAnsi="Arial" w:cs="Arial"/>
          <w:color w:val="000000"/>
          <w:sz w:val="18"/>
        </w:rPr>
        <w:t xml:space="preserve"> R. 4(a)(4)(B)(i); </w:t>
      </w:r>
      <w:bookmarkStart w:id="2023" w:name="Bookmark_I5HM9PWB2HM6570030000400"/>
      <w:bookmarkEnd w:id="2023"/>
      <w:r>
        <w:rPr>
          <w:rFonts w:ascii="Arial" w:eastAsia="Arial" w:hAnsi="Arial" w:cs="Arial"/>
          <w:i/>
          <w:color w:val="000000"/>
          <w:sz w:val="18"/>
        </w:rPr>
        <w:t>Stone v. INS</w:t>
      </w:r>
      <w:r>
        <w:rPr>
          <w:rFonts w:ascii="Arial" w:eastAsia="Arial" w:hAnsi="Arial" w:cs="Arial"/>
          <w:color w:val="000000"/>
          <w:sz w:val="18"/>
        </w:rPr>
        <w:t>, 514 U.S. 386, 403, 115 S. Ct. 1537, 131 L. Ed. 2d 465 (1995) ("[M]otions that do not toll the time for taking an appeal give rise to two separate appellate proceedings . . . ."). Nevertheless, our disposition of this case is not affected [**32]  by the Brenneises' failure to appeal the decision on the Rule 54(b) motion.</w:t>
      </w:r>
    </w:p>
  </w:footnote>
  <w:footnote w:id="63">
    <w:p w14:paraId="37FCB113" w14:textId="77777777" w:rsidR="002D0E71" w:rsidRDefault="00000000">
      <w:pPr>
        <w:pStyle w:val="Normal13"/>
        <w:widowControl w:val="0"/>
        <w:spacing w:before="120" w:line="240" w:lineRule="atLeast"/>
        <w:jc w:val="both"/>
      </w:pPr>
      <w:r>
        <w:rPr>
          <w:rFonts w:ascii="Arial" w:eastAsia="Arial" w:hAnsi="Arial" w:cs="Arial"/>
          <w:color w:val="000000"/>
          <w:sz w:val="18"/>
          <w:vertAlign w:val="superscript"/>
        </w:rPr>
        <w:t>3 </w:t>
      </w:r>
      <w:bookmarkStart w:id="2041" w:name="Bookmark_fnpara_6_2"/>
      <w:bookmarkStart w:id="2042" w:name="Bookmark_LNHNREFclscc4_11"/>
      <w:bookmarkEnd w:id="2041"/>
      <w:bookmarkEnd w:id="2042"/>
      <w:r>
        <w:rPr>
          <w:rFonts w:ascii="Arial" w:eastAsia="Arial" w:hAnsi="Arial" w:cs="Arial"/>
          <w:color w:val="000000"/>
          <w:sz w:val="18"/>
        </w:rPr>
        <w:t>42 U.S.C. § 12132 provides that "no qualified individual with a disability shall, by reason of such disability, be excluded from participation in or be denied the benefits of the services, programs, or activities of a public entity, or be subjected to discrimination by any such entity."</w:t>
      </w:r>
    </w:p>
  </w:footnote>
  <w:footnote w:id="64">
    <w:p w14:paraId="74220193" w14:textId="77777777" w:rsidR="002D0E71" w:rsidRDefault="00000000">
      <w:pPr>
        <w:pStyle w:val="Normal13"/>
        <w:widowControl w:val="0"/>
        <w:spacing w:before="120" w:line="240" w:lineRule="atLeast"/>
        <w:jc w:val="both"/>
      </w:pPr>
      <w:r>
        <w:rPr>
          <w:rFonts w:ascii="Arial" w:eastAsia="Arial" w:hAnsi="Arial" w:cs="Arial"/>
          <w:color w:val="000000"/>
          <w:sz w:val="18"/>
          <w:vertAlign w:val="superscript"/>
        </w:rPr>
        <w:t>4 </w:t>
      </w:r>
      <w:bookmarkStart w:id="2058" w:name="Bookmark_fnpara_7_2"/>
      <w:bookmarkEnd w:id="2058"/>
      <w:r>
        <w:rPr>
          <w:rFonts w:ascii="Arial" w:eastAsia="Arial" w:hAnsi="Arial" w:cs="Arial"/>
          <w:color w:val="000000"/>
          <w:sz w:val="18"/>
        </w:rPr>
        <w:t>Although the Brenneises consistently claim that they only sought for T.B. to be able to attend school safely, they do not assert that, in the absence of the California regulations, the district's plans for T.B.'s g-tube feeding were unreasonable.</w:t>
      </w:r>
    </w:p>
  </w:footnote>
  <w:footnote w:id="65">
    <w:p w14:paraId="57A35A7D" w14:textId="77777777" w:rsidR="002D0E71" w:rsidRDefault="00000000">
      <w:pPr>
        <w:pStyle w:val="Normal13"/>
        <w:widowControl w:val="0"/>
        <w:spacing w:before="200" w:line="240" w:lineRule="atLeast"/>
        <w:jc w:val="both"/>
      </w:pPr>
      <w:r>
        <w:rPr>
          <w:rFonts w:ascii="Arial" w:eastAsia="Arial" w:hAnsi="Arial" w:cs="Arial"/>
          <w:color w:val="000000"/>
          <w:sz w:val="18"/>
          <w:vertAlign w:val="superscript"/>
        </w:rPr>
        <w:t>5 </w:t>
      </w:r>
      <w:bookmarkStart w:id="2063" w:name="Bookmark_fnpara_8_2"/>
      <w:bookmarkEnd w:id="2063"/>
      <w:r>
        <w:rPr>
          <w:rFonts w:ascii="Arial" w:eastAsia="Arial" w:hAnsi="Arial" w:cs="Arial"/>
          <w:color w:val="000000"/>
          <w:sz w:val="18"/>
        </w:rPr>
        <w:t xml:space="preserve">We say "minimum" advisedly. Of course, a state's law prescribing a mandatory reasonable accommodation may not be reasonable in all circumstances. </w:t>
      </w:r>
      <w:bookmarkStart w:id="2064" w:name="Bookmark_I5HM9PWB28T4H10030000400"/>
      <w:bookmarkEnd w:id="2064"/>
      <w:r>
        <w:rPr>
          <w:rFonts w:ascii="Arial" w:eastAsia="Arial" w:hAnsi="Arial" w:cs="Arial"/>
          <w:color w:val="000000"/>
          <w:sz w:val="18"/>
        </w:rPr>
        <w:t xml:space="preserve">It is possible that there could be situations where a student is so disabled that a statutory accommodation would be inadequate. In such a case, the district would not avoid its duties by pointing to the minimum statutory requirement. </w:t>
      </w:r>
      <w:r>
        <w:rPr>
          <w:rFonts w:ascii="Arial" w:eastAsia="Arial" w:hAnsi="Arial" w:cs="Arial"/>
          <w:i/>
          <w:color w:val="000000"/>
          <w:sz w:val="18"/>
        </w:rPr>
        <w:t xml:space="preserve">See, e.g., </w:t>
      </w:r>
      <w:bookmarkStart w:id="2065" w:name="Bookmark_I5HM9PWB28T4H10020000400"/>
      <w:bookmarkEnd w:id="2065"/>
      <w:r>
        <w:rPr>
          <w:rFonts w:ascii="Arial" w:eastAsia="Arial" w:hAnsi="Arial" w:cs="Arial"/>
          <w:i/>
          <w:color w:val="000000"/>
          <w:sz w:val="18"/>
        </w:rPr>
        <w:t>Quinones v. City of Evanston, Ill.</w:t>
      </w:r>
      <w:r>
        <w:rPr>
          <w:rFonts w:ascii="Arial" w:eastAsia="Arial" w:hAnsi="Arial" w:cs="Arial"/>
          <w:color w:val="000000"/>
          <w:sz w:val="18"/>
        </w:rPr>
        <w:t>, 58 F.3d 275, 277 (7th Cir. 1995).</w:t>
      </w:r>
    </w:p>
  </w:footnote>
  <w:footnote w:id="66">
    <w:p w14:paraId="30D35171" w14:textId="77777777" w:rsidR="002D0E71" w:rsidRDefault="00000000">
      <w:pPr>
        <w:pStyle w:val="Normal13"/>
        <w:widowControl w:val="0"/>
        <w:spacing w:before="200" w:line="240" w:lineRule="atLeast"/>
        <w:jc w:val="both"/>
      </w:pPr>
      <w:r>
        <w:rPr>
          <w:rFonts w:ascii="Arial" w:eastAsia="Arial" w:hAnsi="Arial" w:cs="Arial"/>
          <w:color w:val="000000"/>
          <w:sz w:val="18"/>
          <w:vertAlign w:val="superscript"/>
        </w:rPr>
        <w:t>6 </w:t>
      </w:r>
      <w:bookmarkStart w:id="2076" w:name="Bookmark_fnpara_9_2"/>
      <w:bookmarkEnd w:id="2076"/>
      <w:r>
        <w:rPr>
          <w:rFonts w:ascii="Arial" w:eastAsia="Arial" w:hAnsi="Arial" w:cs="Arial"/>
          <w:color w:val="000000"/>
          <w:sz w:val="18"/>
        </w:rPr>
        <w:t>Amici supporting the school district make other arguments why we should not rule that the state's statutory accommodation is enforceable. Amicus California School Boards Association submits that the ALJ misinterpreted Education Code § 49423.5(a), which provides that g-tube feeding "may" be provided by qualified individuals. This argument (if it was made at all) evidently failed to persuade the [**39]  district court in its denial of the school district's appeal from the ALJ's ruling, and the district chose not to appeal that decision to this court. In any case, it is unconvincing. Amicus ignores the opening words of § 49423.5(a), "[n]otwithstanding Section 49422," which references a section that delineates stricter requirements for which health professionals may administer health services in the schools. In that context, the use of the term "may" in § 49423.5 appears to be intended to carve out a permissive exception to these more rigorous requirements.</w:t>
      </w:r>
    </w:p>
  </w:footnote>
  <w:footnote w:id="67">
    <w:p w14:paraId="35E82256" w14:textId="77777777" w:rsidR="002D0E71" w:rsidRDefault="00000000">
      <w:pPr>
        <w:pStyle w:val="Normal13"/>
        <w:widowControl w:val="0"/>
        <w:spacing w:before="200" w:line="240" w:lineRule="atLeast"/>
        <w:jc w:val="both"/>
      </w:pPr>
      <w:r>
        <w:rPr>
          <w:rFonts w:ascii="Arial" w:eastAsia="Arial" w:hAnsi="Arial" w:cs="Arial"/>
          <w:color w:val="000000"/>
          <w:sz w:val="18"/>
          <w:vertAlign w:val="superscript"/>
        </w:rPr>
        <w:t>7 </w:t>
      </w:r>
      <w:bookmarkStart w:id="2099" w:name="Bookmark_fnpara_10_0"/>
      <w:bookmarkStart w:id="2100" w:name="Bookmark_I5HM9PWB2HM6580010000400"/>
      <w:bookmarkEnd w:id="2099"/>
      <w:bookmarkEnd w:id="2100"/>
      <w:r>
        <w:rPr>
          <w:rFonts w:ascii="Arial" w:eastAsia="Arial" w:hAnsi="Arial" w:cs="Arial"/>
          <w:color w:val="000000"/>
          <w:sz w:val="18"/>
        </w:rPr>
        <w:t xml:space="preserve">In the Second Amended Complaint, the Brenneises also alleged that the district was deliberately indifferent by failing to provide transition services, and in particular occupational therapy, at the same level as before. The Brenneises have not pressed this claim on appeal, and it is therefore waived. </w:t>
      </w:r>
      <w:r>
        <w:rPr>
          <w:rFonts w:ascii="Arial" w:eastAsia="Arial" w:hAnsi="Arial" w:cs="Arial"/>
          <w:i/>
          <w:color w:val="000000"/>
          <w:sz w:val="18"/>
        </w:rPr>
        <w:t xml:space="preserve">See </w:t>
      </w:r>
      <w:bookmarkStart w:id="2101" w:name="Bookmark_I5HM9PWB2D6N960050000400"/>
      <w:bookmarkEnd w:id="2101"/>
      <w:r>
        <w:rPr>
          <w:rFonts w:ascii="Arial" w:eastAsia="Arial" w:hAnsi="Arial" w:cs="Arial"/>
          <w:i/>
          <w:color w:val="000000"/>
          <w:sz w:val="18"/>
        </w:rPr>
        <w:t>Arpin v. Santa Clara Valley Transp. Auth.</w:t>
      </w:r>
      <w:r>
        <w:rPr>
          <w:rFonts w:ascii="Arial" w:eastAsia="Arial" w:hAnsi="Arial" w:cs="Arial"/>
          <w:color w:val="000000"/>
          <w:sz w:val="18"/>
        </w:rPr>
        <w:t>, 261 F.3d 912, 919 (9th Cir. 2001).</w:t>
      </w:r>
    </w:p>
  </w:footnote>
  <w:footnote w:id="68">
    <w:p w14:paraId="2579FF42" w14:textId="77777777" w:rsidR="002D0E71" w:rsidRDefault="00000000">
      <w:pPr>
        <w:pStyle w:val="Normal13"/>
        <w:widowControl w:val="0"/>
        <w:spacing w:before="200" w:line="240" w:lineRule="atLeast"/>
        <w:jc w:val="both"/>
      </w:pPr>
      <w:r>
        <w:rPr>
          <w:rFonts w:ascii="Arial" w:eastAsia="Arial" w:hAnsi="Arial" w:cs="Arial"/>
          <w:color w:val="000000"/>
          <w:sz w:val="18"/>
          <w:vertAlign w:val="superscript"/>
        </w:rPr>
        <w:t>8 </w:t>
      </w:r>
      <w:bookmarkStart w:id="2107" w:name="Bookmark_fnpara_11_0"/>
      <w:bookmarkEnd w:id="2107"/>
      <w:r>
        <w:rPr>
          <w:rFonts w:ascii="Arial" w:eastAsia="Arial" w:hAnsi="Arial" w:cs="Arial"/>
          <w:color w:val="000000"/>
          <w:sz w:val="18"/>
        </w:rPr>
        <w:t xml:space="preserve">The school district argues that the Brenneises failed to exhaust their civil rights claims, including the claim asserted in Count V. In particular, it objects that the Brenneises never alleged in a due process hearing that the district discriminated and retaliated against them by failing to provide staff to perform the g-tube feedings, and that they should have filed for a due process hearing relating to the December 2007 IEP. The g-tube issue was pursued through a due process hearing for the 2006-07 school year, as [**48]  discussed above, but there was no due process hearing for the 2007-08 school year, as the family moved to Minnesota. </w:t>
      </w:r>
      <w:bookmarkStart w:id="2108" w:name="Bookmark_I5HM9PWB2HM6580030000400"/>
      <w:bookmarkEnd w:id="2108"/>
      <w:r>
        <w:rPr>
          <w:rFonts w:ascii="Arial" w:eastAsia="Arial" w:hAnsi="Arial" w:cs="Arial"/>
          <w:color w:val="000000"/>
          <w:sz w:val="18"/>
        </w:rPr>
        <w:t>Claim V presents a claim for the 2007-08 school year. The district court did not discuss the exhaustion issue and did not base the summary judgment on any failure to exhaust.</w:t>
      </w:r>
    </w:p>
    <w:p w14:paraId="54423B6D" w14:textId="77777777" w:rsidR="002D0E71" w:rsidRDefault="00000000">
      <w:pPr>
        <w:pStyle w:val="Normal13"/>
        <w:widowControl w:val="0"/>
        <w:spacing w:before="200" w:line="240" w:lineRule="atLeast"/>
        <w:jc w:val="both"/>
      </w:pPr>
      <w:bookmarkStart w:id="2109" w:name="Bookmark_fnpara_12_0"/>
      <w:bookmarkStart w:id="2110" w:name="Bookmark_I5HM9PWB2HM6580030000400_2"/>
      <w:bookmarkEnd w:id="2109"/>
      <w:bookmarkEnd w:id="2110"/>
      <w:r>
        <w:rPr>
          <w:rFonts w:ascii="Arial" w:eastAsia="Arial" w:hAnsi="Arial" w:cs="Arial"/>
          <w:color w:val="000000"/>
          <w:sz w:val="18"/>
        </w:rPr>
        <w:t xml:space="preserve">We held in </w:t>
      </w:r>
      <w:bookmarkStart w:id="2111" w:name="Bookmark_I5HM9PWB2HM6580020000400"/>
      <w:bookmarkEnd w:id="2111"/>
      <w:r>
        <w:rPr>
          <w:rFonts w:ascii="Arial" w:eastAsia="Arial" w:hAnsi="Arial" w:cs="Arial"/>
          <w:i/>
          <w:color w:val="000000"/>
          <w:sz w:val="18"/>
        </w:rPr>
        <w:t>Payne ex rel. D.P. v. Peninsula School District</w:t>
      </w:r>
      <w:r>
        <w:rPr>
          <w:rFonts w:ascii="Arial" w:eastAsia="Arial" w:hAnsi="Arial" w:cs="Arial"/>
          <w:color w:val="000000"/>
          <w:sz w:val="18"/>
        </w:rPr>
        <w:t>, 653 F.3d 863, 874 (9th Cir. 2011) (en banc), that "[t]he IDEA's exhaustion requirement applies to claims only to the extent that the relief actually sought by the plaintiff could have been provided by the IDEA." Count V of the Second Amended Complaint asserts a non-IDEA claim for discrimination under Section 504 and the ADA. We note that the damages sought in Count V have not been precisely set forth. Although the relief sought, in part, appears to be beyond what could be obtained through the IDEA, including damages for lost educational opportunities for the mother, lost wages and costs incurred in moving to Minnesota, and emotional distress, other requested relief, such as costs the parents allegedly incurred to educate T.B. at home, appears to duplicate the potential IDEA remedy and thus may be subject to the exhaustion requirement. Additionally, neither party has briefed the issues of exceptions to the exhaustion requirement or the effect of the [**49]  family's move to Minnesota on the viability of the 2007-08 due process hearing. In light of the lack of clarity regarding the types of damages at issue in Count V and the other issues affecting the exhaustion analysis that have not been fully briefed on appeal, we leave the exhaustion issue open on remand for the district court to consider in the first instance.</w:t>
      </w:r>
    </w:p>
  </w:footnote>
  <w:footnote w:id="69">
    <w:p w14:paraId="0BEEA422" w14:textId="77777777" w:rsidR="002D0E71" w:rsidRDefault="00000000">
      <w:pPr>
        <w:pStyle w:val="Normal13"/>
        <w:widowControl w:val="0"/>
        <w:spacing w:before="120" w:line="240" w:lineRule="atLeast"/>
        <w:jc w:val="both"/>
      </w:pPr>
      <w:r>
        <w:rPr>
          <w:rFonts w:ascii="Arial" w:eastAsia="Arial" w:hAnsi="Arial" w:cs="Arial"/>
          <w:color w:val="000000"/>
          <w:sz w:val="18"/>
          <w:vertAlign w:val="superscript"/>
        </w:rPr>
        <w:t>9 </w:t>
      </w:r>
      <w:bookmarkStart w:id="2137" w:name="Bookmark_fnpara_13_0"/>
      <w:bookmarkEnd w:id="2137"/>
      <w:r>
        <w:rPr>
          <w:rFonts w:ascii="Arial" w:eastAsia="Arial" w:hAnsi="Arial" w:cs="Arial"/>
          <w:color w:val="000000"/>
          <w:sz w:val="18"/>
        </w:rPr>
        <w:t>In the Second Amended Complaint, the Brenneises also alleged that the district had retaliated by failing to provide a qualified home teacher. Like the Brenneises' claim relating to transition services, this claim has not been pressed on appeal and is waived.</w:t>
      </w:r>
    </w:p>
  </w:footnote>
  <w:footnote w:id="70">
    <w:p w14:paraId="5D1B7687" w14:textId="77777777" w:rsidR="002D0E71" w:rsidRDefault="00000000">
      <w:pPr>
        <w:pStyle w:val="Normal13"/>
        <w:widowControl w:val="0"/>
        <w:spacing w:before="200" w:line="240" w:lineRule="atLeast"/>
        <w:jc w:val="both"/>
      </w:pPr>
      <w:r>
        <w:rPr>
          <w:rFonts w:ascii="Arial" w:eastAsia="Arial" w:hAnsi="Arial" w:cs="Arial"/>
          <w:color w:val="000000"/>
          <w:sz w:val="18"/>
          <w:vertAlign w:val="superscript"/>
        </w:rPr>
        <w:t>10 </w:t>
      </w:r>
      <w:bookmarkStart w:id="2140" w:name="Bookmark_fnpara_14"/>
      <w:bookmarkEnd w:id="2140"/>
      <w:r>
        <w:rPr>
          <w:rFonts w:ascii="Arial" w:eastAsia="Arial" w:hAnsi="Arial" w:cs="Arial"/>
          <w:color w:val="000000"/>
          <w:sz w:val="18"/>
        </w:rPr>
        <w:t>The district court's decision on fees was originally filed under seal. It was also filed under seal as part of the record in this court, but the Brenneises moved to unseal it. The motion was denied because the district court had ruled that "[b]ecause this memorandum contains confidential settlement discussions, the Court files this memorandum under seal until further order of the Court or upon stipulation of the parties." The parties later jointly moved to unseal the decision in the district court, and the motion was granted. The parties have not renewed their motion to unseal the decision [**53]  in this court. Nevertheless, because the parties have cited to and quoted from the fee decision liberally in their unsealed briefs, and because the decision is unsealed in district court, we order that it be unsealed in this court and treat it that way.</w:t>
      </w:r>
    </w:p>
  </w:footnote>
  <w:footnote w:id="71">
    <w:p w14:paraId="019F1282" w14:textId="77777777" w:rsidR="002D0E71" w:rsidRDefault="00000000">
      <w:pPr>
        <w:pStyle w:val="Normal13"/>
        <w:widowControl w:val="0"/>
        <w:spacing w:before="200" w:line="240" w:lineRule="atLeast"/>
        <w:jc w:val="both"/>
      </w:pPr>
      <w:r>
        <w:rPr>
          <w:rFonts w:ascii="Arial" w:eastAsia="Arial" w:hAnsi="Arial" w:cs="Arial"/>
          <w:color w:val="000000"/>
          <w:sz w:val="18"/>
          <w:vertAlign w:val="superscript"/>
        </w:rPr>
        <w:t>11 </w:t>
      </w:r>
      <w:bookmarkStart w:id="2166" w:name="Bookmark_fnpara_15"/>
      <w:bookmarkEnd w:id="2166"/>
      <w:r>
        <w:rPr>
          <w:rFonts w:ascii="Arial" w:eastAsia="Arial" w:hAnsi="Arial" w:cs="Arial"/>
          <w:color w:val="000000"/>
          <w:sz w:val="18"/>
        </w:rPr>
        <w:t xml:space="preserve">Rule 68 was originally even more similar to § 1415(i)(3)(D), as the period in which an offer could be made before trial was ten days, not fourteen. This was changed in the 2009 amendment to reflect the change in the Rule 6(a) method for computing periods less than eleven days. </w:t>
      </w:r>
      <w:r>
        <w:rPr>
          <w:rFonts w:ascii="Arial" w:eastAsia="Arial" w:hAnsi="Arial" w:cs="Arial"/>
          <w:i/>
          <w:color w:val="000000"/>
          <w:sz w:val="18"/>
        </w:rPr>
        <w:t>See</w:t>
      </w:r>
      <w:r>
        <w:rPr>
          <w:rFonts w:ascii="Arial" w:eastAsia="Arial" w:hAnsi="Arial" w:cs="Arial"/>
          <w:color w:val="000000"/>
          <w:sz w:val="18"/>
        </w:rPr>
        <w:t xml:space="preserve"> Mark R. Kravitz, Advisory Comm. on Fed. Rules of Civil Procedure, </w:t>
      </w:r>
      <w:r>
        <w:rPr>
          <w:rFonts w:ascii="Arial" w:eastAsia="Arial" w:hAnsi="Arial" w:cs="Arial"/>
          <w:i/>
          <w:color w:val="000000"/>
          <w:sz w:val="18"/>
        </w:rPr>
        <w:t>Report of the Civil Rules Advisory Committee</w:t>
      </w:r>
      <w:r>
        <w:rPr>
          <w:rFonts w:ascii="Arial" w:eastAsia="Arial" w:hAnsi="Arial" w:cs="Arial"/>
          <w:color w:val="000000"/>
          <w:sz w:val="18"/>
        </w:rPr>
        <w:t xml:space="preserve"> 33-34 (May 9, 2008); Fed. R. Civ. P. 68 advisory committee's note (2009 Amendments).</w:t>
      </w:r>
    </w:p>
  </w:footnote>
  <w:footnote w:id="72">
    <w:p w14:paraId="4E95A333" w14:textId="77777777" w:rsidR="002D0E71" w:rsidRDefault="00000000">
      <w:pPr>
        <w:pStyle w:val="Normal13"/>
        <w:widowControl w:val="0"/>
        <w:spacing w:before="120" w:line="240" w:lineRule="atLeast"/>
        <w:jc w:val="both"/>
      </w:pPr>
      <w:r>
        <w:rPr>
          <w:rFonts w:ascii="Arial" w:eastAsia="Arial" w:hAnsi="Arial" w:cs="Arial"/>
          <w:color w:val="000000"/>
          <w:sz w:val="18"/>
          <w:vertAlign w:val="superscript"/>
        </w:rPr>
        <w:t>12 </w:t>
      </w:r>
      <w:bookmarkStart w:id="2187" w:name="Bookmark_fnpara_16"/>
      <w:bookmarkEnd w:id="2187"/>
      <w:r>
        <w:rPr>
          <w:rFonts w:ascii="Arial" w:eastAsia="Arial" w:hAnsi="Arial" w:cs="Arial"/>
          <w:color w:val="000000"/>
          <w:sz w:val="18"/>
        </w:rPr>
        <w:t>A comparison of the terms of the proposed IEP with the outcome of the litigation expressed in the ALJ's decision would presumably be relevant in determining the amount of attorneys' fees to be awarded as a reflection of what the Brenneises achieved through the litigation. The district court did not make such assessment in this case, however, instead denying all fees after the rejection of the settlement offer. Our decision does not preclude consideration on remand of the degree of success as a relevant factor in determining the amount to be awarded.</w:t>
      </w:r>
    </w:p>
  </w:footnote>
  <w:footnote w:id="73">
    <w:p w14:paraId="5DA2A82E" w14:textId="77777777" w:rsidR="002D0E71" w:rsidRDefault="00000000">
      <w:pPr>
        <w:pStyle w:val="Normal13"/>
        <w:widowControl w:val="0"/>
        <w:spacing w:before="200" w:line="240" w:lineRule="atLeast"/>
        <w:jc w:val="both"/>
      </w:pPr>
      <w:r>
        <w:rPr>
          <w:rFonts w:ascii="Arial" w:eastAsia="Arial" w:hAnsi="Arial" w:cs="Arial"/>
          <w:color w:val="000000"/>
          <w:sz w:val="18"/>
          <w:vertAlign w:val="superscript"/>
        </w:rPr>
        <w:t>13 </w:t>
      </w:r>
      <w:bookmarkStart w:id="2202" w:name="Bookmark_fnpara_17"/>
      <w:bookmarkEnd w:id="2202"/>
      <w:r>
        <w:rPr>
          <w:rFonts w:ascii="Arial" w:eastAsia="Arial" w:hAnsi="Arial" w:cs="Arial"/>
          <w:color w:val="000000"/>
          <w:sz w:val="18"/>
        </w:rPr>
        <w:t xml:space="preserve">At what point T.B. could be reenrolled was not entirely clear. The offer itself appears to preclude T.B.'s return to the district until the 2009-10 school year. The cover letter that accompanied the settlement offer suggested that the parents could reenroll T.B. in the district any year after the upcoming 2007-08 school year, or as early as the 2008-09 school year. This confusion regarding a material term of the offer may alone have substantially justified [**66]  the parents' rejection of the offer. </w:t>
      </w:r>
      <w:r>
        <w:rPr>
          <w:rFonts w:ascii="Arial" w:eastAsia="Arial" w:hAnsi="Arial" w:cs="Arial"/>
          <w:i/>
          <w:color w:val="000000"/>
          <w:sz w:val="18"/>
        </w:rPr>
        <w:t>See</w:t>
      </w:r>
      <w:r>
        <w:rPr>
          <w:rFonts w:ascii="Arial" w:eastAsia="Arial" w:hAnsi="Arial" w:cs="Arial"/>
          <w:color w:val="000000"/>
          <w:sz w:val="18"/>
        </w:rPr>
        <w:t xml:space="preserve"> 20 U.S.C. § 1415(i)(3)(E).</w:t>
      </w:r>
    </w:p>
  </w:footnote>
  <w:footnote w:id="74">
    <w:p w14:paraId="441ACB0C" w14:textId="77777777" w:rsidR="002D0E71" w:rsidRDefault="00000000">
      <w:pPr>
        <w:pStyle w:val="Normal13"/>
        <w:widowControl w:val="0"/>
        <w:spacing w:before="200" w:line="240" w:lineRule="atLeast"/>
        <w:jc w:val="both"/>
      </w:pPr>
      <w:r>
        <w:rPr>
          <w:rFonts w:ascii="Arial" w:eastAsia="Arial" w:hAnsi="Arial" w:cs="Arial"/>
          <w:color w:val="000000"/>
          <w:sz w:val="18"/>
          <w:vertAlign w:val="superscript"/>
        </w:rPr>
        <w:t>14 </w:t>
      </w:r>
      <w:bookmarkStart w:id="2227" w:name="Bookmark_fnpara_18"/>
      <w:bookmarkStart w:id="2228" w:name="Bookmark_I5HM9PWB2N1PP40020000400"/>
      <w:bookmarkEnd w:id="2227"/>
      <w:bookmarkEnd w:id="2228"/>
      <w:r>
        <w:rPr>
          <w:rFonts w:ascii="Arial" w:eastAsia="Arial" w:hAnsi="Arial" w:cs="Arial"/>
          <w:color w:val="000000"/>
          <w:sz w:val="18"/>
        </w:rPr>
        <w:t xml:space="preserve">We make clear that we do not hold as a matter of law that there is anything improper about an arrangement along the lines of the settlement proposal here, under which the school district would pay a certain amount for a given period and the parents would take responsibility for the child's education program. The IDEA favors settlement of disputes between parents and school districts. </w:t>
      </w:r>
      <w:r>
        <w:rPr>
          <w:rFonts w:ascii="Arial" w:eastAsia="Arial" w:hAnsi="Arial" w:cs="Arial"/>
          <w:i/>
          <w:color w:val="000000"/>
          <w:sz w:val="18"/>
        </w:rPr>
        <w:t xml:space="preserve">See, e.g., </w:t>
      </w:r>
      <w:bookmarkStart w:id="2229" w:name="Bookmark_I5HM9PWB2N1PP40010000400"/>
      <w:bookmarkEnd w:id="2229"/>
      <w:r>
        <w:rPr>
          <w:rFonts w:ascii="Arial" w:eastAsia="Arial" w:hAnsi="Arial" w:cs="Arial"/>
          <w:i/>
          <w:color w:val="000000"/>
          <w:sz w:val="18"/>
        </w:rPr>
        <w:t>D.R. ex rel. M.R. v. E. Brunswick Bd. of Educ.</w:t>
      </w:r>
      <w:r>
        <w:rPr>
          <w:rFonts w:ascii="Arial" w:eastAsia="Arial" w:hAnsi="Arial" w:cs="Arial"/>
          <w:color w:val="000000"/>
          <w:sz w:val="18"/>
        </w:rPr>
        <w:t xml:space="preserve">, 109 F.3d 896, 901 (3d Cir. 1997) ("[P]ublic policy plainly favors upholding the settlement [**76]  agreement entered between D.R.'s parents and the Board."); </w:t>
      </w:r>
      <w:r>
        <w:rPr>
          <w:rFonts w:ascii="Arial" w:eastAsia="Arial" w:hAnsi="Arial" w:cs="Arial"/>
          <w:i/>
          <w:color w:val="000000"/>
          <w:sz w:val="18"/>
        </w:rPr>
        <w:t xml:space="preserve">cf. </w:t>
      </w:r>
      <w:bookmarkStart w:id="2230" w:name="Bookmark_I5HM9PWB2N1PP40030000400"/>
      <w:bookmarkEnd w:id="2230"/>
      <w:r>
        <w:rPr>
          <w:rFonts w:ascii="Arial" w:eastAsia="Arial" w:hAnsi="Arial" w:cs="Arial"/>
          <w:i/>
          <w:color w:val="000000"/>
          <w:sz w:val="18"/>
        </w:rPr>
        <w:t>McDermott, Inc. v. AmClyde</w:t>
      </w:r>
      <w:r>
        <w:rPr>
          <w:rFonts w:ascii="Arial" w:eastAsia="Arial" w:hAnsi="Arial" w:cs="Arial"/>
          <w:color w:val="000000"/>
          <w:sz w:val="18"/>
        </w:rPr>
        <w:t>, 511 U.S. 202, 215, 114 S. Ct. 1461, 128 L. Ed. 2d 148 (1994) (noting in another context that "[p]ublic policy wisely encourages settlements"). A cash settlement would not provide for education of the child in the public school, the approach preferred under the IDEA, but in some circumstances it may be the best course for the child, consistent with the IDEA.</w:t>
      </w:r>
    </w:p>
    <w:p w14:paraId="52EC5922" w14:textId="77777777" w:rsidR="002D0E71" w:rsidRDefault="00000000">
      <w:pPr>
        <w:pStyle w:val="Normal13"/>
        <w:widowControl w:val="0"/>
        <w:spacing w:before="200" w:line="240" w:lineRule="atLeast"/>
        <w:jc w:val="both"/>
      </w:pPr>
      <w:bookmarkStart w:id="2231" w:name="Bookmark_fnpara_19"/>
      <w:bookmarkEnd w:id="2231"/>
      <w:r>
        <w:rPr>
          <w:rFonts w:ascii="Arial" w:eastAsia="Arial" w:hAnsi="Arial" w:cs="Arial"/>
          <w:color w:val="000000"/>
          <w:sz w:val="18"/>
        </w:rPr>
        <w:t xml:space="preserve">However, we also caution that a district should not be able to threaten parents that they might be denied attorneys' fees and costs and be forced to bear the expense of litigation themselves thereafter by declining to accept an offer that absolves the district of responsibility, even if the monetary settlement offered would cover the costs for the parents to personally oversee or provide for their children's education. The IDEA and California law impose responsibilities on local school districts for the education of children with disabilities. 20 U.S.C. § 1400(d)(1)(A); </w:t>
      </w:r>
      <w:r>
        <w:rPr>
          <w:rFonts w:ascii="Arial" w:eastAsia="Arial" w:hAnsi="Arial" w:cs="Arial"/>
          <w:i/>
          <w:color w:val="000000"/>
          <w:sz w:val="18"/>
        </w:rPr>
        <w:t>see, e.g.</w:t>
      </w:r>
      <w:r>
        <w:rPr>
          <w:rFonts w:ascii="Arial" w:eastAsia="Arial" w:hAnsi="Arial" w:cs="Arial"/>
          <w:color w:val="000000"/>
          <w:sz w:val="18"/>
        </w:rPr>
        <w:t xml:space="preserve">, Cal. Educ. Code § 56000 </w:t>
      </w:r>
      <w:r>
        <w:rPr>
          <w:rFonts w:ascii="Arial" w:eastAsia="Arial" w:hAnsi="Arial" w:cs="Arial"/>
          <w:i/>
          <w:color w:val="000000"/>
          <w:sz w:val="18"/>
        </w:rPr>
        <w:t>et seq.</w:t>
      </w:r>
      <w:r>
        <w:rPr>
          <w:rFonts w:ascii="Arial" w:eastAsia="Arial" w:hAnsi="Arial" w:cs="Arial"/>
          <w:color w:val="000000"/>
          <w:sz w:val="18"/>
        </w:rPr>
        <w:t xml:space="preserve"> For parents who express a preference for the school district to assume those obligations, failure to settle for a cash payout should not trigger the statutory bar.</w:t>
      </w:r>
    </w:p>
  </w:footnote>
  <w:footnote w:id="75">
    <w:p w14:paraId="50245C05" w14:textId="77777777" w:rsidR="002D0E71" w:rsidRDefault="00000000">
      <w:pPr>
        <w:pStyle w:val="Normal13"/>
        <w:widowControl w:val="0"/>
        <w:spacing w:before="120" w:line="240" w:lineRule="atLeast"/>
        <w:jc w:val="both"/>
      </w:pPr>
      <w:r>
        <w:rPr>
          <w:rFonts w:ascii="Arial" w:eastAsia="Arial" w:hAnsi="Arial" w:cs="Arial"/>
          <w:color w:val="000000"/>
          <w:sz w:val="18"/>
          <w:vertAlign w:val="superscript"/>
        </w:rPr>
        <w:t>15 </w:t>
      </w:r>
      <w:bookmarkStart w:id="2253" w:name="Bookmark_fnpara_20"/>
      <w:bookmarkEnd w:id="2253"/>
      <w:r>
        <w:rPr>
          <w:rFonts w:ascii="Arial" w:eastAsia="Arial" w:hAnsi="Arial" w:cs="Arial"/>
          <w:color w:val="000000"/>
          <w:sz w:val="18"/>
        </w:rPr>
        <w:t>We note in particular that the district court clearly erred in its apparent belief that the school district had previously offered $200,000 per year to settle the case, more than it was currently paying for garage school. More broadly, it is not apparent that the inability to reach agreement was entirely the responsibility of the Brenneises. As the district court itself observed in the same order, "[b]oth sides [were] responsible for creating and fostering the animosity that impaired an efficient resolution to the case."</w:t>
      </w:r>
    </w:p>
  </w:footnote>
  <w:footnote w:id="76">
    <w:p w14:paraId="1DEB1086" w14:textId="77777777" w:rsidR="002D0E71" w:rsidRDefault="00000000">
      <w:pPr>
        <w:pStyle w:val="Normal13"/>
        <w:widowControl w:val="0"/>
        <w:spacing w:before="120" w:line="240" w:lineRule="atLeast"/>
        <w:jc w:val="both"/>
      </w:pPr>
      <w:r>
        <w:rPr>
          <w:rFonts w:ascii="Arial" w:eastAsia="Arial" w:hAnsi="Arial" w:cs="Arial"/>
          <w:color w:val="000000"/>
          <w:sz w:val="18"/>
          <w:vertAlign w:val="superscript"/>
        </w:rPr>
        <w:t>16 </w:t>
      </w:r>
      <w:bookmarkStart w:id="2285" w:name="Bookmark_fnpara_21"/>
      <w:bookmarkEnd w:id="2285"/>
      <w:r>
        <w:rPr>
          <w:rFonts w:ascii="Arial" w:eastAsia="Arial" w:hAnsi="Arial" w:cs="Arial"/>
          <w:color w:val="000000"/>
          <w:sz w:val="18"/>
        </w:rPr>
        <w:t>The court did not rule on taxable costs under 28 U.S.C. § 1920, preferring that these be addressed by the clerk of court at the end of the litigation.</w:t>
      </w:r>
    </w:p>
  </w:footnote>
  <w:footnote w:id="77">
    <w:p w14:paraId="5DE59CF3" w14:textId="77777777" w:rsidR="002D0E71" w:rsidRDefault="00000000">
      <w:pPr>
        <w:pStyle w:val="Normal14"/>
        <w:widowControl w:val="0"/>
        <w:spacing w:before="200" w:line="240" w:lineRule="atLeast"/>
        <w:jc w:val="both"/>
      </w:pPr>
      <w:r>
        <w:rPr>
          <w:rFonts w:ascii="Arial" w:eastAsia="Arial" w:hAnsi="Arial" w:cs="Arial"/>
          <w:color w:val="000000"/>
          <w:sz w:val="18"/>
          <w:vertAlign w:val="superscript"/>
        </w:rPr>
        <w:t>* </w:t>
      </w:r>
      <w:bookmarkStart w:id="2288" w:name="Bookmark_fnpara_1_11"/>
      <w:bookmarkEnd w:id="2288"/>
      <w:r>
        <w:rPr>
          <w:rFonts w:ascii="Arial" w:eastAsia="Arial" w:hAnsi="Arial" w:cs="Arial"/>
          <w:color w:val="000000"/>
          <w:sz w:val="18"/>
        </w:rPr>
        <w:t>After examining the briefs and record, we have concluded that oral argument is unnecessary. Thus the appeal is submitted on the briefs and record.</w:t>
      </w:r>
      <w:r>
        <w:rPr>
          <w:rFonts w:ascii="Arial" w:eastAsia="Arial" w:hAnsi="Arial" w:cs="Arial"/>
          <w:i/>
          <w:color w:val="000000"/>
          <w:sz w:val="18"/>
        </w:rPr>
        <w:t xml:space="preserve"> See</w:t>
      </w:r>
      <w:r>
        <w:rPr>
          <w:rFonts w:ascii="Arial" w:eastAsia="Arial" w:hAnsi="Arial" w:cs="Arial"/>
          <w:color w:val="000000"/>
          <w:sz w:val="18"/>
        </w:rPr>
        <w:t xml:space="preserve"> </w:t>
      </w:r>
      <w:r>
        <w:rPr>
          <w:rFonts w:ascii="Arial" w:eastAsia="Arial" w:hAnsi="Arial" w:cs="Arial"/>
          <w:smallCaps/>
          <w:color w:val="000000"/>
          <w:sz w:val="18"/>
        </w:rPr>
        <w:t>Fed. R. App. P.</w:t>
      </w:r>
      <w:r>
        <w:rPr>
          <w:rFonts w:ascii="Arial" w:eastAsia="Arial" w:hAnsi="Arial" w:cs="Arial"/>
          <w:color w:val="000000"/>
          <w:sz w:val="18"/>
        </w:rPr>
        <w:t xml:space="preserve"> 34(a)(2)(C).</w:t>
      </w:r>
    </w:p>
  </w:footnote>
  <w:footnote w:id="78">
    <w:p w14:paraId="4CC2FFED" w14:textId="77777777" w:rsidR="002D0E71" w:rsidRDefault="00000000">
      <w:pPr>
        <w:pStyle w:val="Normal15"/>
        <w:widowControl w:val="0"/>
        <w:spacing w:before="200" w:line="240" w:lineRule="atLeast"/>
        <w:jc w:val="both"/>
      </w:pPr>
      <w:r>
        <w:rPr>
          <w:rFonts w:ascii="Arial" w:eastAsia="Arial" w:hAnsi="Arial" w:cs="Arial"/>
          <w:color w:val="000000"/>
          <w:sz w:val="18"/>
          <w:vertAlign w:val="superscript"/>
        </w:rPr>
        <w:t>1 </w:t>
      </w:r>
      <w:bookmarkStart w:id="2410" w:name="Bookmark_fnpara_1_12"/>
      <w:bookmarkEnd w:id="2410"/>
      <w:r>
        <w:rPr>
          <w:rFonts w:ascii="Arial" w:eastAsia="Arial" w:hAnsi="Arial" w:cs="Arial"/>
          <w:color w:val="000000"/>
          <w:sz w:val="18"/>
        </w:rPr>
        <w:t xml:space="preserve">The majority hints that Reed's suit raises issues beyond the adequacy of the state court's accommodation of her disability. Majority Op. at 11 ("[T]he present, federal litigation encompasses the full range of issues concerning the scope and application of federal disability law to her plight."). That's not correct. Reed has alleged a single failure-to-accommodate claim under the ADA and the Rehabilitation Act. Both statutes prohibit disability discrimination, </w:t>
      </w:r>
      <w:r>
        <w:rPr>
          <w:rFonts w:ascii="Arial" w:eastAsia="Arial" w:hAnsi="Arial" w:cs="Arial"/>
          <w:i/>
          <w:color w:val="000000"/>
          <w:sz w:val="18"/>
        </w:rPr>
        <w:t>see</w:t>
      </w:r>
      <w:r>
        <w:rPr>
          <w:rFonts w:ascii="Arial" w:eastAsia="Arial" w:hAnsi="Arial" w:cs="Arial"/>
          <w:color w:val="000000"/>
          <w:sz w:val="18"/>
        </w:rPr>
        <w:t xml:space="preserve"> 42 U.S.C. § 12132 (the ADA); 29 U.S.C. § 794 (the Rehabilitation Act), and failing to accommodate a disabled person is one form of disability discrimination. Reed alleges that the defendants violated the ADA and the Rehabilitation Act (i.e., they committed an act of disability discrimination) by inadequately accommodating her disability during her state-court trial. She neither alleges nor argues that the defendants committed any other acts of disability [**24]  discrimination.</w:t>
      </w:r>
    </w:p>
  </w:footnote>
  <w:footnote w:id="79">
    <w:p w14:paraId="6FE10548" w14:textId="77777777" w:rsidR="002D0E71" w:rsidRDefault="00000000">
      <w:pPr>
        <w:pStyle w:val="Normal15"/>
        <w:widowControl w:val="0"/>
        <w:spacing w:before="200" w:line="240" w:lineRule="atLeast"/>
        <w:jc w:val="both"/>
      </w:pPr>
      <w:r>
        <w:rPr>
          <w:rFonts w:ascii="Arial" w:eastAsia="Arial" w:hAnsi="Arial" w:cs="Arial"/>
          <w:color w:val="000000"/>
          <w:sz w:val="18"/>
          <w:vertAlign w:val="superscript"/>
        </w:rPr>
        <w:t>2 </w:t>
      </w:r>
      <w:bookmarkStart w:id="2420" w:name="Bookmark_fnpara_2_11"/>
      <w:bookmarkStart w:id="2421" w:name="Bookmark_I48TWKY9VW20003XDX7003FB"/>
      <w:bookmarkStart w:id="2422" w:name="Bookmark_I5HFM41N2D6NM50010000400"/>
      <w:bookmarkEnd w:id="2420"/>
      <w:bookmarkEnd w:id="2421"/>
      <w:bookmarkEnd w:id="2422"/>
      <w:r>
        <w:rPr>
          <w:rFonts w:ascii="Arial" w:eastAsia="Arial" w:hAnsi="Arial" w:cs="Arial"/>
          <w:color w:val="000000"/>
          <w:sz w:val="18"/>
        </w:rPr>
        <w:t>It's worth mentioning that Reed has never argued that applying collateral estoppel is unfair for the reasons adopted by my colleagues. Instead, she argued that applying collateral estoppel places her in an unfair catch-22: If she had not requested accommodations in state court, the ADA would not be implicated, but by asking the state judge for an accommodation, she is estopped from litigating the issue in federal court. Reed raised this argument for the first time in a Rule 59(e) motion in the district court, s</w:t>
      </w:r>
      <w:r>
        <w:rPr>
          <w:rFonts w:ascii="Arial" w:eastAsia="Arial" w:hAnsi="Arial" w:cs="Arial"/>
          <w:i/>
          <w:color w:val="000000"/>
          <w:sz w:val="18"/>
        </w:rPr>
        <w:t>ee</w:t>
      </w:r>
      <w:r>
        <w:rPr>
          <w:rFonts w:ascii="Arial" w:eastAsia="Arial" w:hAnsi="Arial" w:cs="Arial"/>
          <w:color w:val="000000"/>
          <w:sz w:val="18"/>
        </w:rPr>
        <w:t xml:space="preserve"> FED. R. CIV. P. 59(e), and the district [**28]  court correctly rejected it as an improper basis for relief under Rule 59(e), </w:t>
      </w:r>
      <w:r>
        <w:rPr>
          <w:rFonts w:ascii="Arial" w:eastAsia="Arial" w:hAnsi="Arial" w:cs="Arial"/>
          <w:i/>
          <w:color w:val="000000"/>
          <w:sz w:val="18"/>
        </w:rPr>
        <w:t xml:space="preserve">see </w:t>
      </w:r>
      <w:bookmarkStart w:id="2423" w:name="Bookmark_I5HFM41N2D6NM40050000400"/>
      <w:bookmarkEnd w:id="2423"/>
      <w:r>
        <w:rPr>
          <w:rFonts w:ascii="Arial" w:eastAsia="Arial" w:hAnsi="Arial" w:cs="Arial"/>
          <w:i/>
          <w:color w:val="000000"/>
          <w:sz w:val="18"/>
        </w:rPr>
        <w:t>Bordelon v. Chi. Sch. Reform Bd. of Trs.</w:t>
      </w:r>
      <w:r>
        <w:rPr>
          <w:rFonts w:ascii="Arial" w:eastAsia="Arial" w:hAnsi="Arial" w:cs="Arial"/>
          <w:color w:val="000000"/>
          <w:sz w:val="18"/>
        </w:rPr>
        <w:t>, 233 F.3d 524, 529 (7th Cir. 2000) (explaining that Rule 59(e) is not a vehicle to raise new arguments not presented to the district court prior to judgment). Regardless, because the state courts are equally competent to resolve disability accommodation issues, I see no inherent unfairness here.</w:t>
      </w:r>
    </w:p>
  </w:footnote>
  <w:footnote w:id="80">
    <w:p w14:paraId="2694815C" w14:textId="77777777" w:rsidR="002D0E71" w:rsidRDefault="00000000">
      <w:pPr>
        <w:pStyle w:val="Normal17"/>
        <w:widowControl w:val="0"/>
        <w:spacing w:before="200" w:line="240" w:lineRule="atLeast"/>
        <w:jc w:val="both"/>
      </w:pPr>
      <w:r>
        <w:rPr>
          <w:rFonts w:ascii="Arial" w:eastAsia="Arial" w:hAnsi="Arial" w:cs="Arial"/>
          <w:color w:val="000000"/>
          <w:sz w:val="18"/>
          <w:vertAlign w:val="superscript"/>
        </w:rPr>
        <w:t>1 </w:t>
      </w:r>
      <w:bookmarkStart w:id="2472" w:name="Bookmark_fnpara_1_13"/>
      <w:bookmarkEnd w:id="2472"/>
      <w:r>
        <w:rPr>
          <w:rFonts w:ascii="Arial" w:eastAsia="Arial" w:hAnsi="Arial" w:cs="Arial"/>
          <w:color w:val="000000"/>
          <w:sz w:val="18"/>
        </w:rPr>
        <w:t>Though of no consequence to the outcome of this appeal, Dean attests that in 2010, with sponsorship from a Caribbean medical school, he registered for, sat for, and passed Step 1 of the USMLE. [**12] </w:t>
      </w:r>
    </w:p>
  </w:footnote>
  <w:footnote w:id="81">
    <w:p w14:paraId="2A3376F9" w14:textId="77777777" w:rsidR="002D0E71" w:rsidRDefault="00000000">
      <w:pPr>
        <w:pStyle w:val="Normal17"/>
        <w:widowControl w:val="0"/>
        <w:spacing w:before="200" w:line="240" w:lineRule="atLeast"/>
        <w:jc w:val="both"/>
      </w:pPr>
      <w:r>
        <w:rPr>
          <w:rFonts w:ascii="Arial" w:eastAsia="Arial" w:hAnsi="Arial" w:cs="Arial"/>
          <w:color w:val="000000"/>
          <w:sz w:val="18"/>
          <w:vertAlign w:val="superscript"/>
        </w:rPr>
        <w:t>2 </w:t>
      </w:r>
      <w:bookmarkStart w:id="2482" w:name="Bookmark_fnpara_2_12"/>
      <w:bookmarkEnd w:id="2482"/>
      <w:r>
        <w:rPr>
          <w:rFonts w:ascii="Arial" w:eastAsia="Arial" w:hAnsi="Arial" w:cs="Arial"/>
          <w:color w:val="000000"/>
          <w:sz w:val="18"/>
        </w:rPr>
        <w:t xml:space="preserve">Dean conceded before the district court that neither the ADA nor the Rehabilitation Act permit [**13]  claims against state officials in their individual capacities. </w:t>
      </w:r>
      <w:bookmarkStart w:id="2483" w:name="Bookmark_I5H8GK1S2D6NPG0020000400"/>
      <w:bookmarkEnd w:id="2483"/>
      <w:r>
        <w:rPr>
          <w:rFonts w:ascii="Arial" w:eastAsia="Arial" w:hAnsi="Arial" w:cs="Arial"/>
          <w:i/>
          <w:color w:val="000000"/>
          <w:sz w:val="18"/>
        </w:rPr>
        <w:t>Dean</w:t>
      </w:r>
      <w:r>
        <w:rPr>
          <w:rFonts w:ascii="Arial" w:eastAsia="Arial" w:hAnsi="Arial" w:cs="Arial"/>
          <w:color w:val="000000"/>
          <w:sz w:val="18"/>
        </w:rPr>
        <w:t>, 2014 U.S. Dist. LEXIS 44578, 2014 WL 1316186, at *5.</w:t>
      </w:r>
    </w:p>
  </w:footnote>
  <w:footnote w:id="82">
    <w:p w14:paraId="1367EC0D" w14:textId="77777777" w:rsidR="002D0E71" w:rsidRDefault="00000000">
      <w:pPr>
        <w:pStyle w:val="Normal17"/>
        <w:widowControl w:val="0"/>
        <w:spacing w:before="120" w:line="240" w:lineRule="atLeast"/>
        <w:jc w:val="both"/>
      </w:pPr>
      <w:r>
        <w:rPr>
          <w:rFonts w:ascii="Arial" w:eastAsia="Arial" w:hAnsi="Arial" w:cs="Arial"/>
          <w:color w:val="000000"/>
          <w:sz w:val="18"/>
          <w:vertAlign w:val="superscript"/>
        </w:rPr>
        <w:t>3 </w:t>
      </w:r>
      <w:bookmarkStart w:id="2547" w:name="Bookmark_fnpara_3_9"/>
      <w:bookmarkEnd w:id="2547"/>
      <w:r>
        <w:rPr>
          <w:rFonts w:ascii="Arial" w:eastAsia="Arial" w:hAnsi="Arial" w:cs="Arial"/>
          <w:color w:val="000000"/>
          <w:sz w:val="18"/>
        </w:rPr>
        <w:t>Because Dean's requested three-month leave included time for exam preparation, the fact that his medical documentation did not endorse that leave period is neither material to whether the proposed accommodation was received nor dispositive of the reasonableness of that request.</w:t>
      </w:r>
    </w:p>
  </w:footnote>
  <w:footnote w:id="83">
    <w:p w14:paraId="14D76E0A" w14:textId="77777777" w:rsidR="002D0E71" w:rsidRDefault="00000000">
      <w:pPr>
        <w:pStyle w:val="Normal17"/>
        <w:widowControl w:val="0"/>
        <w:spacing w:before="200" w:line="240" w:lineRule="atLeast"/>
        <w:jc w:val="both"/>
      </w:pPr>
      <w:r>
        <w:rPr>
          <w:rFonts w:ascii="Arial" w:eastAsia="Arial" w:hAnsi="Arial" w:cs="Arial"/>
          <w:color w:val="000000"/>
          <w:sz w:val="18"/>
          <w:vertAlign w:val="superscript"/>
        </w:rPr>
        <w:t>4 </w:t>
      </w:r>
      <w:bookmarkStart w:id="2627" w:name="Bookmark_fnpara_4_7"/>
      <w:bookmarkEnd w:id="2627"/>
      <w:r>
        <w:rPr>
          <w:rFonts w:ascii="Arial" w:eastAsia="Arial" w:hAnsi="Arial" w:cs="Arial"/>
          <w:color w:val="000000"/>
          <w:sz w:val="18"/>
        </w:rPr>
        <w:t xml:space="preserve">Defendants concede that Dean possessed a constitutionally cognizable property interest in the continuation of his medical school studies. </w:t>
      </w:r>
      <w:r>
        <w:rPr>
          <w:rFonts w:ascii="Arial" w:eastAsia="Arial" w:hAnsi="Arial" w:cs="Arial"/>
          <w:i/>
          <w:color w:val="000000"/>
          <w:sz w:val="18"/>
        </w:rPr>
        <w:t xml:space="preserve">See </w:t>
      </w:r>
      <w:bookmarkStart w:id="2628" w:name="Bookmark_I5H8GK1T2HM6HV0020000400"/>
      <w:bookmarkEnd w:id="2628"/>
      <w:r>
        <w:rPr>
          <w:rFonts w:ascii="Arial" w:eastAsia="Arial" w:hAnsi="Arial" w:cs="Arial"/>
          <w:i/>
          <w:color w:val="000000"/>
          <w:sz w:val="18"/>
        </w:rPr>
        <w:t>Branum v. Clark</w:t>
      </w:r>
      <w:r>
        <w:rPr>
          <w:rFonts w:ascii="Arial" w:eastAsia="Arial" w:hAnsi="Arial" w:cs="Arial"/>
          <w:color w:val="000000"/>
          <w:sz w:val="18"/>
        </w:rPr>
        <w:t>, 927 F.2d 698, 705 (2d Cir. 1991).</w:t>
      </w:r>
    </w:p>
  </w:footnote>
  <w:footnote w:id="84">
    <w:p w14:paraId="27A53BC4" w14:textId="77777777" w:rsidR="002D0E71" w:rsidRDefault="00000000">
      <w:pPr>
        <w:pStyle w:val="Normal17"/>
        <w:widowControl w:val="0"/>
        <w:spacing w:before="200" w:line="240" w:lineRule="atLeast"/>
        <w:jc w:val="both"/>
      </w:pPr>
      <w:r>
        <w:rPr>
          <w:rFonts w:ascii="Arial" w:eastAsia="Arial" w:hAnsi="Arial" w:cs="Arial"/>
          <w:color w:val="000000"/>
          <w:sz w:val="18"/>
          <w:vertAlign w:val="superscript"/>
        </w:rPr>
        <w:t>5 </w:t>
      </w:r>
      <w:bookmarkStart w:id="2680" w:name="Bookmark_fnpara_5_5"/>
      <w:bookmarkEnd w:id="2680"/>
      <w:r>
        <w:rPr>
          <w:rFonts w:ascii="Arial" w:eastAsia="Arial" w:hAnsi="Arial" w:cs="Arial"/>
          <w:color w:val="000000"/>
          <w:sz w:val="18"/>
        </w:rPr>
        <w:t xml:space="preserve">In an earlier case, </w:t>
      </w:r>
      <w:bookmarkStart w:id="2681" w:name="Bookmark_I5H8GK1T2HM6HY0030000400"/>
      <w:bookmarkEnd w:id="2681"/>
      <w:r>
        <w:rPr>
          <w:rFonts w:ascii="Arial" w:eastAsia="Arial" w:hAnsi="Arial" w:cs="Arial"/>
          <w:i/>
          <w:color w:val="000000"/>
          <w:sz w:val="18"/>
        </w:rPr>
        <w:t>Tennessee v. Lane</w:t>
      </w:r>
      <w:r>
        <w:rPr>
          <w:rFonts w:ascii="Arial" w:eastAsia="Arial" w:hAnsi="Arial" w:cs="Arial"/>
          <w:color w:val="000000"/>
          <w:sz w:val="18"/>
        </w:rPr>
        <w:t xml:space="preserve">, 541 U.S. 509, 124 S. Ct. 1978, 158 L. Ed. 2d 820 (2004), the Court concluded, in a case implicating a fundamental right, that Title II "constitutes a valid exercise of Congress' § 5 authority to enforce the guarantees [**37]  of the Fourteenth Amendment," </w:t>
      </w:r>
      <w:bookmarkStart w:id="2682" w:name="Bookmark_I5H8GK1T2HM6HY0050000400"/>
      <w:bookmarkEnd w:id="2682"/>
      <w:r>
        <w:rPr>
          <w:rFonts w:ascii="Arial" w:eastAsia="Arial" w:hAnsi="Arial" w:cs="Arial"/>
          <w:i/>
          <w:color w:val="000000"/>
          <w:sz w:val="18"/>
        </w:rPr>
        <w:t>id.</w:t>
      </w:r>
      <w:r>
        <w:rPr>
          <w:rFonts w:ascii="Arial" w:eastAsia="Arial" w:hAnsi="Arial" w:cs="Arial"/>
          <w:color w:val="000000"/>
          <w:sz w:val="18"/>
        </w:rPr>
        <w:t xml:space="preserve"> at 533-34.</w:t>
      </w:r>
    </w:p>
  </w:footnote>
  <w:footnote w:id="85">
    <w:p w14:paraId="08F2A8A5" w14:textId="77777777" w:rsidR="002D0E71" w:rsidRDefault="00000000">
      <w:pPr>
        <w:pStyle w:val="Normal17"/>
        <w:widowControl w:val="0"/>
        <w:spacing w:before="200" w:line="240" w:lineRule="atLeast"/>
        <w:jc w:val="both"/>
      </w:pPr>
      <w:r>
        <w:rPr>
          <w:rFonts w:ascii="Arial" w:eastAsia="Arial" w:hAnsi="Arial" w:cs="Arial"/>
          <w:color w:val="000000"/>
          <w:sz w:val="18"/>
          <w:vertAlign w:val="superscript"/>
        </w:rPr>
        <w:t>6 </w:t>
      </w:r>
      <w:bookmarkStart w:id="2701" w:name="Bookmark_fnpara_6_3"/>
      <w:bookmarkEnd w:id="2701"/>
      <w:r>
        <w:rPr>
          <w:rFonts w:ascii="Arial" w:eastAsia="Arial" w:hAnsi="Arial" w:cs="Arial"/>
          <w:color w:val="000000"/>
          <w:sz w:val="18"/>
        </w:rPr>
        <w:t xml:space="preserve">In </w:t>
      </w:r>
      <w:r>
        <w:rPr>
          <w:rFonts w:ascii="Arial" w:eastAsia="Arial" w:hAnsi="Arial" w:cs="Arial"/>
          <w:i/>
          <w:color w:val="000000"/>
          <w:sz w:val="18"/>
        </w:rPr>
        <w:t>Bolmer</w:t>
      </w:r>
      <w:r>
        <w:rPr>
          <w:rFonts w:ascii="Arial" w:eastAsia="Arial" w:hAnsi="Arial" w:cs="Arial"/>
          <w:color w:val="000000"/>
          <w:sz w:val="18"/>
        </w:rPr>
        <w:t xml:space="preserve">, we noted that this Circuit had not yet decided whether </w:t>
      </w:r>
      <w:r>
        <w:rPr>
          <w:rFonts w:ascii="Arial" w:eastAsia="Arial" w:hAnsi="Arial" w:cs="Arial"/>
          <w:i/>
          <w:color w:val="000000"/>
          <w:sz w:val="18"/>
        </w:rPr>
        <w:t>Garcia</w:t>
      </w:r>
      <w:r>
        <w:rPr>
          <w:rFonts w:ascii="Arial" w:eastAsia="Arial" w:hAnsi="Arial" w:cs="Arial"/>
          <w:color w:val="000000"/>
          <w:sz w:val="18"/>
        </w:rPr>
        <w:t xml:space="preserve"> survived </w:t>
      </w:r>
      <w:r>
        <w:rPr>
          <w:rFonts w:ascii="Arial" w:eastAsia="Arial" w:hAnsi="Arial" w:cs="Arial"/>
          <w:i/>
          <w:color w:val="000000"/>
          <w:sz w:val="18"/>
        </w:rPr>
        <w:t>Lane</w:t>
      </w:r>
      <w:r>
        <w:rPr>
          <w:rFonts w:ascii="Arial" w:eastAsia="Arial" w:hAnsi="Arial" w:cs="Arial"/>
          <w:color w:val="000000"/>
          <w:sz w:val="18"/>
        </w:rPr>
        <w:t xml:space="preserve"> and </w:t>
      </w:r>
      <w:r>
        <w:rPr>
          <w:rFonts w:ascii="Arial" w:eastAsia="Arial" w:hAnsi="Arial" w:cs="Arial"/>
          <w:i/>
          <w:color w:val="000000"/>
          <w:sz w:val="18"/>
        </w:rPr>
        <w:t>Georgia</w:t>
      </w:r>
      <w:r>
        <w:rPr>
          <w:rFonts w:ascii="Arial" w:eastAsia="Arial" w:hAnsi="Arial" w:cs="Arial"/>
          <w:color w:val="000000"/>
          <w:sz w:val="18"/>
        </w:rPr>
        <w:t xml:space="preserve">, but we declined to address the question as we found </w:t>
      </w:r>
      <w:r>
        <w:rPr>
          <w:rFonts w:ascii="Arial" w:eastAsia="Arial" w:hAnsi="Arial" w:cs="Arial"/>
          <w:i/>
          <w:color w:val="000000"/>
          <w:sz w:val="18"/>
        </w:rPr>
        <w:t>Garcia</w:t>
      </w:r>
      <w:r>
        <w:rPr>
          <w:rFonts w:ascii="Arial" w:eastAsia="Arial" w:hAnsi="Arial" w:cs="Arial"/>
          <w:color w:val="000000"/>
          <w:sz w:val="18"/>
        </w:rPr>
        <w:t xml:space="preserve"> was limited to Equal Protection Clause claims and thus did not apply to the substantive due process claim at issue. </w:t>
      </w:r>
      <w:bookmarkStart w:id="2702" w:name="Bookmark_I5H8GK1T2N1PXN0020000400"/>
      <w:bookmarkEnd w:id="2702"/>
      <w:r>
        <w:rPr>
          <w:rFonts w:ascii="Arial" w:eastAsia="Arial" w:hAnsi="Arial" w:cs="Arial"/>
          <w:color w:val="000000"/>
          <w:sz w:val="18"/>
        </w:rPr>
        <w:t>594 F.3d at 148.</w:t>
      </w:r>
    </w:p>
  </w:footnote>
  <w:footnote w:id="86">
    <w:p w14:paraId="603C7EA2" w14:textId="77777777" w:rsidR="002D0E71" w:rsidRDefault="00000000">
      <w:pPr>
        <w:pStyle w:val="Normal17"/>
        <w:widowControl w:val="0"/>
        <w:spacing w:before="200" w:line="240" w:lineRule="atLeast"/>
        <w:jc w:val="both"/>
      </w:pPr>
      <w:r>
        <w:rPr>
          <w:rFonts w:ascii="Arial" w:eastAsia="Arial" w:hAnsi="Arial" w:cs="Arial"/>
          <w:color w:val="000000"/>
          <w:sz w:val="18"/>
          <w:vertAlign w:val="superscript"/>
        </w:rPr>
        <w:t>7 </w:t>
      </w:r>
      <w:bookmarkStart w:id="2703" w:name="Bookmark_fnpara_7_3"/>
      <w:bookmarkEnd w:id="2703"/>
      <w:r>
        <w:rPr>
          <w:rFonts w:ascii="Arial" w:eastAsia="Arial" w:hAnsi="Arial" w:cs="Arial"/>
          <w:i/>
          <w:color w:val="000000"/>
          <w:sz w:val="18"/>
        </w:rPr>
        <w:t xml:space="preserve">See, e.g., </w:t>
      </w:r>
      <w:bookmarkStart w:id="2704" w:name="Bookmark_I5H8GK1T2N1PXN0040000400"/>
      <w:bookmarkEnd w:id="2704"/>
      <w:r>
        <w:rPr>
          <w:rFonts w:ascii="Arial" w:eastAsia="Arial" w:hAnsi="Arial" w:cs="Arial"/>
          <w:i/>
          <w:color w:val="000000"/>
          <w:sz w:val="18"/>
        </w:rPr>
        <w:t>Frank v. Sachem Sch. Dist.</w:t>
      </w:r>
      <w:r>
        <w:rPr>
          <w:rFonts w:ascii="Arial" w:eastAsia="Arial" w:hAnsi="Arial" w:cs="Arial"/>
          <w:color w:val="000000"/>
          <w:sz w:val="18"/>
        </w:rPr>
        <w:t xml:space="preserve">, No. 14-cv-67(ADS)(ARL), 84 F. Supp. 3d 172, 2015 WL 500489, *12 (E.D.N.Y. 2015) (applying </w:t>
      </w:r>
      <w:r>
        <w:rPr>
          <w:rFonts w:ascii="Arial" w:eastAsia="Arial" w:hAnsi="Arial" w:cs="Arial"/>
          <w:i/>
          <w:color w:val="000000"/>
          <w:sz w:val="18"/>
        </w:rPr>
        <w:t>Garcia</w:t>
      </w:r>
      <w:r>
        <w:rPr>
          <w:rFonts w:ascii="Arial" w:eastAsia="Arial" w:hAnsi="Arial" w:cs="Arial"/>
          <w:color w:val="000000"/>
          <w:sz w:val="18"/>
        </w:rPr>
        <w:t xml:space="preserve"> without discussion of </w:t>
      </w:r>
      <w:r>
        <w:rPr>
          <w:rFonts w:ascii="Arial" w:eastAsia="Arial" w:hAnsi="Arial" w:cs="Arial"/>
          <w:i/>
          <w:color w:val="000000"/>
          <w:sz w:val="18"/>
        </w:rPr>
        <w:t>Georgia)</w:t>
      </w:r>
      <w:r>
        <w:rPr>
          <w:rFonts w:ascii="Arial" w:eastAsia="Arial" w:hAnsi="Arial" w:cs="Arial"/>
          <w:color w:val="000000"/>
          <w:sz w:val="18"/>
        </w:rPr>
        <w:t xml:space="preserve">; </w:t>
      </w:r>
      <w:bookmarkStart w:id="2705" w:name="Bookmark_I5H8GK1T2D6NPT0010000400"/>
      <w:bookmarkEnd w:id="2705"/>
      <w:r>
        <w:rPr>
          <w:rFonts w:ascii="Arial" w:eastAsia="Arial" w:hAnsi="Arial" w:cs="Arial"/>
          <w:i/>
          <w:color w:val="000000"/>
          <w:sz w:val="18"/>
        </w:rPr>
        <w:t>Morales v. New York</w:t>
      </w:r>
      <w:r>
        <w:rPr>
          <w:rFonts w:ascii="Arial" w:eastAsia="Arial" w:hAnsi="Arial" w:cs="Arial"/>
          <w:color w:val="000000"/>
          <w:sz w:val="18"/>
        </w:rPr>
        <w:t xml:space="preserve">, 22 F. Supp. 3d 256, 269 (S.D.N.Y. 2014) (same); </w:t>
      </w:r>
      <w:bookmarkStart w:id="2706" w:name="Bookmark_I5H8GK1T2D6NPT0030000400"/>
      <w:bookmarkEnd w:id="2706"/>
      <w:r>
        <w:rPr>
          <w:rFonts w:ascii="Arial" w:eastAsia="Arial" w:hAnsi="Arial" w:cs="Arial"/>
          <w:i/>
          <w:color w:val="000000"/>
          <w:sz w:val="18"/>
        </w:rPr>
        <w:t>Brown v. DeFrank</w:t>
      </w:r>
      <w:r>
        <w:rPr>
          <w:rFonts w:ascii="Arial" w:eastAsia="Arial" w:hAnsi="Arial" w:cs="Arial"/>
          <w:color w:val="000000"/>
          <w:sz w:val="18"/>
        </w:rPr>
        <w:t xml:space="preserve">, No. 06 Civ. 2235(AJP), 2006 U.S. Dist. LEXIS 83345, 2006 WL 3313821, at *26 (S.D.N.Y. Nov. 15, 2006) (acknowledging </w:t>
      </w:r>
      <w:r>
        <w:rPr>
          <w:rFonts w:ascii="Arial" w:eastAsia="Arial" w:hAnsi="Arial" w:cs="Arial"/>
          <w:i/>
          <w:color w:val="000000"/>
          <w:sz w:val="18"/>
        </w:rPr>
        <w:t>Georgia</w:t>
      </w:r>
      <w:r>
        <w:rPr>
          <w:rFonts w:ascii="Arial" w:eastAsia="Arial" w:hAnsi="Arial" w:cs="Arial"/>
          <w:color w:val="000000"/>
          <w:sz w:val="18"/>
        </w:rPr>
        <w:t xml:space="preserve"> but applying </w:t>
      </w:r>
      <w:r>
        <w:rPr>
          <w:rFonts w:ascii="Arial" w:eastAsia="Arial" w:hAnsi="Arial" w:cs="Arial"/>
          <w:i/>
          <w:color w:val="000000"/>
          <w:sz w:val="18"/>
        </w:rPr>
        <w:t>Garcia)</w:t>
      </w:r>
      <w:r>
        <w:rPr>
          <w:rFonts w:ascii="Arial" w:eastAsia="Arial" w:hAnsi="Arial" w:cs="Arial"/>
          <w:color w:val="000000"/>
          <w:sz w:val="18"/>
        </w:rPr>
        <w:t xml:space="preserve">; </w:t>
      </w:r>
      <w:bookmarkStart w:id="2707" w:name="Bookmark_I5H8GK1T2D6NPT0050000400"/>
      <w:bookmarkEnd w:id="2707"/>
      <w:r>
        <w:rPr>
          <w:rFonts w:ascii="Arial" w:eastAsia="Arial" w:hAnsi="Arial" w:cs="Arial"/>
          <w:i/>
          <w:color w:val="000000"/>
          <w:sz w:val="18"/>
        </w:rPr>
        <w:t>Cabassa v. Smith</w:t>
      </w:r>
      <w:r>
        <w:rPr>
          <w:rFonts w:ascii="Arial" w:eastAsia="Arial" w:hAnsi="Arial" w:cs="Arial"/>
          <w:color w:val="000000"/>
          <w:sz w:val="18"/>
        </w:rPr>
        <w:t>, No. 9:08- CV-0480 (LEK/DEP), 2011 U.S. Dist. LEXIS 29720, 2009 WL 1212495, at *14 n.17 (N.D.N.Y. Apr. 30, 2009) (same).</w:t>
      </w:r>
    </w:p>
  </w:footnote>
  <w:footnote w:id="87">
    <w:p w14:paraId="0BD2EBA4" w14:textId="77777777" w:rsidR="002D0E71" w:rsidRDefault="00000000">
      <w:pPr>
        <w:pStyle w:val="Normal17"/>
        <w:widowControl w:val="0"/>
        <w:spacing w:before="200" w:line="240" w:lineRule="atLeast"/>
        <w:jc w:val="both"/>
      </w:pPr>
      <w:r>
        <w:rPr>
          <w:rFonts w:ascii="Arial" w:eastAsia="Arial" w:hAnsi="Arial" w:cs="Arial"/>
          <w:color w:val="000000"/>
          <w:sz w:val="18"/>
          <w:vertAlign w:val="superscript"/>
        </w:rPr>
        <w:t>8 </w:t>
      </w:r>
      <w:bookmarkStart w:id="2708" w:name="Bookmark_fnpara_8_3"/>
      <w:bookmarkEnd w:id="2708"/>
      <w:r>
        <w:rPr>
          <w:rFonts w:ascii="Arial" w:eastAsia="Arial" w:hAnsi="Arial" w:cs="Arial"/>
          <w:i/>
          <w:color w:val="000000"/>
          <w:sz w:val="18"/>
        </w:rPr>
        <w:t xml:space="preserve">See, e.g., </w:t>
      </w:r>
      <w:bookmarkStart w:id="2709" w:name="Bookmark_I5H8GK1T2N1PXP0020000400"/>
      <w:bookmarkEnd w:id="2709"/>
      <w:r>
        <w:rPr>
          <w:rFonts w:ascii="Arial" w:eastAsia="Arial" w:hAnsi="Arial" w:cs="Arial"/>
          <w:i/>
          <w:color w:val="000000"/>
          <w:sz w:val="18"/>
        </w:rPr>
        <w:t>Goonewardena v. New York</w:t>
      </w:r>
      <w:r>
        <w:rPr>
          <w:rFonts w:ascii="Arial" w:eastAsia="Arial" w:hAnsi="Arial" w:cs="Arial"/>
          <w:color w:val="000000"/>
          <w:sz w:val="18"/>
        </w:rPr>
        <w:t xml:space="preserve">, 475 F. Supp. 2d 310, 323-24 (S.D.N.Y. 2007) (applying </w:t>
      </w:r>
      <w:r>
        <w:rPr>
          <w:rFonts w:ascii="Arial" w:eastAsia="Arial" w:hAnsi="Arial" w:cs="Arial"/>
          <w:i/>
          <w:color w:val="000000"/>
          <w:sz w:val="18"/>
        </w:rPr>
        <w:t>Georgia</w:t>
      </w:r>
      <w:r>
        <w:rPr>
          <w:rFonts w:ascii="Arial" w:eastAsia="Arial" w:hAnsi="Arial" w:cs="Arial"/>
          <w:color w:val="000000"/>
          <w:sz w:val="18"/>
        </w:rPr>
        <w:t xml:space="preserve"> and concluding that Congress validly abrogated state sovereign immunity under Title II with respect to discrimination against the disabled in access to education); </w:t>
      </w:r>
      <w:bookmarkStart w:id="2710" w:name="Bookmark_I5H8GK1T2N1PXP0040000400"/>
      <w:bookmarkEnd w:id="2710"/>
      <w:r>
        <w:rPr>
          <w:rFonts w:ascii="Arial" w:eastAsia="Arial" w:hAnsi="Arial" w:cs="Arial"/>
          <w:i/>
          <w:color w:val="000000"/>
          <w:sz w:val="18"/>
        </w:rPr>
        <w:t>Andino v. Fischer</w:t>
      </w:r>
      <w:r>
        <w:rPr>
          <w:rFonts w:ascii="Arial" w:eastAsia="Arial" w:hAnsi="Arial" w:cs="Arial"/>
          <w:color w:val="000000"/>
          <w:sz w:val="18"/>
        </w:rPr>
        <w:t xml:space="preserve">, 698 F. Supp. 2d 362, 377-78 (S.D.N.Y. 2010) (following </w:t>
      </w:r>
      <w:r>
        <w:rPr>
          <w:rFonts w:ascii="Arial" w:eastAsia="Arial" w:hAnsi="Arial" w:cs="Arial"/>
          <w:i/>
          <w:color w:val="000000"/>
          <w:sz w:val="18"/>
        </w:rPr>
        <w:t>Goonewardena</w:t>
      </w:r>
      <w:r>
        <w:rPr>
          <w:rFonts w:ascii="Arial" w:eastAsia="Arial" w:hAnsi="Arial" w:cs="Arial"/>
          <w:color w:val="000000"/>
          <w:sz w:val="18"/>
        </w:rPr>
        <w:t xml:space="preserve"> but finding no violation of Title II at the first of the </w:t>
      </w:r>
      <w:r>
        <w:rPr>
          <w:rFonts w:ascii="Arial" w:eastAsia="Arial" w:hAnsi="Arial" w:cs="Arial"/>
          <w:i/>
          <w:color w:val="000000"/>
          <w:sz w:val="18"/>
        </w:rPr>
        <w:t>Georgia</w:t>
      </w:r>
      <w:r>
        <w:rPr>
          <w:rFonts w:ascii="Arial" w:eastAsia="Arial" w:hAnsi="Arial" w:cs="Arial"/>
          <w:color w:val="000000"/>
          <w:sz w:val="18"/>
        </w:rPr>
        <w:t xml:space="preserve"> steps); </w:t>
      </w:r>
      <w:bookmarkStart w:id="2711" w:name="Bookmark_I5H8GK1V28T4DG0010000400"/>
      <w:bookmarkEnd w:id="2711"/>
      <w:r>
        <w:rPr>
          <w:rFonts w:ascii="Arial" w:eastAsia="Arial" w:hAnsi="Arial" w:cs="Arial"/>
          <w:i/>
          <w:color w:val="000000"/>
          <w:sz w:val="18"/>
        </w:rPr>
        <w:t>Ali v. Hogan</w:t>
      </w:r>
      <w:r>
        <w:rPr>
          <w:rFonts w:ascii="Arial" w:eastAsia="Arial" w:hAnsi="Arial" w:cs="Arial"/>
          <w:color w:val="000000"/>
          <w:sz w:val="18"/>
        </w:rPr>
        <w:t xml:space="preserve">, No. 9:12-CV-0104, 2013 U.S. Dist. LEXIS 141239, 2013 WL 5466302, at *11 (N.D.N.Y. Sep. 30, 2013) (adopting </w:t>
      </w:r>
      <w:r>
        <w:rPr>
          <w:rFonts w:ascii="Arial" w:eastAsia="Arial" w:hAnsi="Arial" w:cs="Arial"/>
          <w:i/>
          <w:color w:val="000000"/>
          <w:sz w:val="18"/>
        </w:rPr>
        <w:t>Goonewardena</w:t>
      </w:r>
      <w:r>
        <w:rPr>
          <w:rFonts w:ascii="Arial" w:eastAsia="Arial" w:hAnsi="Arial" w:cs="Arial"/>
          <w:color w:val="000000"/>
          <w:sz w:val="18"/>
        </w:rPr>
        <w:t xml:space="preserve"> approach).</w:t>
      </w:r>
    </w:p>
  </w:footnote>
  <w:footnote w:id="88">
    <w:p w14:paraId="35A69D70" w14:textId="77777777" w:rsidR="002D0E71" w:rsidRDefault="00000000">
      <w:pPr>
        <w:pStyle w:val="Normal17"/>
        <w:widowControl w:val="0"/>
        <w:spacing w:before="200" w:line="240" w:lineRule="atLeast"/>
        <w:jc w:val="both"/>
      </w:pPr>
      <w:r>
        <w:rPr>
          <w:rFonts w:ascii="Arial" w:eastAsia="Arial" w:hAnsi="Arial" w:cs="Arial"/>
          <w:color w:val="000000"/>
          <w:sz w:val="18"/>
          <w:vertAlign w:val="superscript"/>
        </w:rPr>
        <w:t>9 </w:t>
      </w:r>
      <w:bookmarkStart w:id="2712" w:name="Bookmark_fnpara_9_3"/>
      <w:bookmarkStart w:id="2713" w:name="Bookmark_I5PX5KJYM0N000VWWV3001DM"/>
      <w:bookmarkStart w:id="2714" w:name="Bookmark_I5PX5KJYT3H000VWWV30043K"/>
      <w:bookmarkStart w:id="2715" w:name="Bookmark_I5PX5KK01G3000VWWV3001DR"/>
      <w:bookmarkStart w:id="2716" w:name="Bookmark_I5PX5KK07VN000VWWV30043M"/>
      <w:bookmarkStart w:id="2717" w:name="Bookmark_I5H8GK1V28T4DG0040000400"/>
      <w:bookmarkStart w:id="2718" w:name="Bookmark_I5PX5KK0G77000VWWV30043P"/>
      <w:bookmarkStart w:id="2719" w:name="Bookmark_I5H8GK1V28T4DH0020000400"/>
      <w:bookmarkEnd w:id="2712"/>
      <w:bookmarkEnd w:id="2713"/>
      <w:bookmarkEnd w:id="2714"/>
      <w:bookmarkEnd w:id="2715"/>
      <w:bookmarkEnd w:id="2716"/>
      <w:bookmarkEnd w:id="2717"/>
      <w:bookmarkEnd w:id="2718"/>
      <w:bookmarkEnd w:id="2719"/>
      <w:r>
        <w:rPr>
          <w:rFonts w:ascii="Arial" w:eastAsia="Arial" w:hAnsi="Arial" w:cs="Arial"/>
          <w:color w:val="000000"/>
          <w:sz w:val="18"/>
        </w:rPr>
        <w:t xml:space="preserve">Several of our sister circuits hold that abrogation of state sovereign immunity under Title II in the context of discrimination in access to public higher education for individuals with disabilities falls within Congress's enforcement power under the Fourteenth Amendment. </w:t>
      </w:r>
      <w:r>
        <w:rPr>
          <w:rFonts w:ascii="Arial" w:eastAsia="Arial" w:hAnsi="Arial" w:cs="Arial"/>
          <w:i/>
          <w:color w:val="000000"/>
          <w:sz w:val="18"/>
        </w:rPr>
        <w:t xml:space="preserve">See </w:t>
      </w:r>
      <w:bookmarkStart w:id="2720" w:name="Bookmark_I5H8GK1V28T4DG0030000400"/>
      <w:bookmarkEnd w:id="2720"/>
      <w:r>
        <w:rPr>
          <w:rFonts w:ascii="Arial" w:eastAsia="Arial" w:hAnsi="Arial" w:cs="Arial"/>
          <w:i/>
          <w:color w:val="000000"/>
          <w:sz w:val="18"/>
        </w:rPr>
        <w:t>Bowers v. Nat'l Collegiate Athletic Ass'n</w:t>
      </w:r>
      <w:r>
        <w:rPr>
          <w:rFonts w:ascii="Arial" w:eastAsia="Arial" w:hAnsi="Arial" w:cs="Arial"/>
          <w:color w:val="000000"/>
          <w:sz w:val="18"/>
        </w:rPr>
        <w:t xml:space="preserve">, 475 F.3d 524, 555-56 (3d Cir. 2007); </w:t>
      </w:r>
      <w:bookmarkStart w:id="2721" w:name="Bookmark_I5H8GK1V28T4DG0050000400"/>
      <w:bookmarkEnd w:id="2721"/>
      <w:r>
        <w:rPr>
          <w:rFonts w:ascii="Arial" w:eastAsia="Arial" w:hAnsi="Arial" w:cs="Arial"/>
          <w:i/>
          <w:color w:val="000000"/>
          <w:sz w:val="18"/>
        </w:rPr>
        <w:t>Toledo v. Sanchez</w:t>
      </w:r>
      <w:r>
        <w:rPr>
          <w:rFonts w:ascii="Arial" w:eastAsia="Arial" w:hAnsi="Arial" w:cs="Arial"/>
          <w:color w:val="000000"/>
          <w:sz w:val="18"/>
        </w:rPr>
        <w:t xml:space="preserve">, 454 F.3d 24, 40 (1st Cir. 2006); </w:t>
      </w:r>
      <w:bookmarkStart w:id="2722" w:name="Bookmark_I5H8GK1V2HM6J00020000400"/>
      <w:bookmarkEnd w:id="2722"/>
      <w:r>
        <w:rPr>
          <w:rFonts w:ascii="Arial" w:eastAsia="Arial" w:hAnsi="Arial" w:cs="Arial"/>
          <w:i/>
          <w:color w:val="000000"/>
          <w:sz w:val="18"/>
        </w:rPr>
        <w:t>Constantine v. Rectors &amp; Visitors of George Mason Univ.</w:t>
      </w:r>
      <w:r>
        <w:rPr>
          <w:rFonts w:ascii="Arial" w:eastAsia="Arial" w:hAnsi="Arial" w:cs="Arial"/>
          <w:color w:val="000000"/>
          <w:sz w:val="18"/>
        </w:rPr>
        <w:t xml:space="preserve">, 411 F.3d 474, 490 (4th Cir. 2005); </w:t>
      </w:r>
      <w:bookmarkStart w:id="2723" w:name="Bookmark_I5H8GK1V2HM6J00040000400"/>
      <w:bookmarkEnd w:id="2723"/>
      <w:r>
        <w:rPr>
          <w:rFonts w:ascii="Arial" w:eastAsia="Arial" w:hAnsi="Arial" w:cs="Arial"/>
          <w:i/>
          <w:color w:val="000000"/>
          <w:sz w:val="18"/>
        </w:rPr>
        <w:t>Ass'n for Disabled Americans v. Fla. Int-l Univ.</w:t>
      </w:r>
      <w:r>
        <w:rPr>
          <w:rFonts w:ascii="Arial" w:eastAsia="Arial" w:hAnsi="Arial" w:cs="Arial"/>
          <w:color w:val="000000"/>
          <w:sz w:val="18"/>
        </w:rPr>
        <w:t xml:space="preserve">, 405 F.3d 954, 956-59 (11th Cir. 2005). </w:t>
      </w:r>
      <w:r>
        <w:rPr>
          <w:rFonts w:ascii="Arial" w:eastAsia="Arial" w:hAnsi="Arial" w:cs="Arial"/>
          <w:i/>
          <w:color w:val="000000"/>
          <w:sz w:val="18"/>
        </w:rPr>
        <w:t xml:space="preserve">But see </w:t>
      </w:r>
      <w:bookmarkStart w:id="2724" w:name="Bookmark_I5H8GK1V28T4DH0010000400"/>
      <w:bookmarkEnd w:id="2724"/>
      <w:r>
        <w:rPr>
          <w:rFonts w:ascii="Arial" w:eastAsia="Arial" w:hAnsi="Arial" w:cs="Arial"/>
          <w:i/>
          <w:color w:val="000000"/>
          <w:sz w:val="18"/>
        </w:rPr>
        <w:t>Pace v. Bogalusa City Sch. Bd.</w:t>
      </w:r>
      <w:r>
        <w:rPr>
          <w:rFonts w:ascii="Arial" w:eastAsia="Arial" w:hAnsi="Arial" w:cs="Arial"/>
          <w:color w:val="000000"/>
          <w:sz w:val="18"/>
        </w:rPr>
        <w:t xml:space="preserve">, 403 F.3d 272, 287 (5th Cir. 2005) (declining to address whether </w:t>
      </w:r>
      <w:r>
        <w:rPr>
          <w:rFonts w:ascii="Arial" w:eastAsia="Arial" w:hAnsi="Arial" w:cs="Arial"/>
          <w:i/>
          <w:color w:val="000000"/>
          <w:sz w:val="18"/>
        </w:rPr>
        <w:t>Lane</w:t>
      </w:r>
      <w:r>
        <w:rPr>
          <w:rFonts w:ascii="Arial" w:eastAsia="Arial" w:hAnsi="Arial" w:cs="Arial"/>
          <w:color w:val="000000"/>
          <w:sz w:val="18"/>
        </w:rPr>
        <w:t xml:space="preserve"> extends to disability discrimination in access to public education [**38]  as no recognized fundamental right was at stake).</w:t>
      </w:r>
    </w:p>
  </w:footnote>
  <w:footnote w:id="89">
    <w:p w14:paraId="53F2A7A1" w14:textId="77777777" w:rsidR="002D0E71" w:rsidRDefault="00000000">
      <w:pPr>
        <w:pStyle w:val="Normal18"/>
        <w:widowControl w:val="0"/>
        <w:spacing w:before="200" w:line="240" w:lineRule="atLeast"/>
        <w:jc w:val="both"/>
      </w:pPr>
      <w:r>
        <w:rPr>
          <w:rFonts w:ascii="Arial" w:eastAsia="Arial" w:hAnsi="Arial" w:cs="Arial"/>
          <w:color w:val="000000"/>
          <w:sz w:val="18"/>
          <w:vertAlign w:val="superscript"/>
        </w:rPr>
        <w:t>* </w:t>
      </w:r>
      <w:bookmarkStart w:id="2738" w:name="Bookmark_fnpara_1_14"/>
      <w:bookmarkEnd w:id="2738"/>
      <w:r>
        <w:rPr>
          <w:rFonts w:ascii="Arial" w:eastAsia="Arial" w:hAnsi="Arial" w:cs="Arial"/>
          <w:color w:val="000000"/>
          <w:sz w:val="18"/>
        </w:rPr>
        <w:t xml:space="preserve">Pursuant to </w:t>
      </w:r>
      <w:r>
        <w:rPr>
          <w:rFonts w:ascii="Arial" w:eastAsia="Arial" w:hAnsi="Arial" w:cs="Arial"/>
          <w:smallCaps/>
          <w:color w:val="000000"/>
          <w:sz w:val="18"/>
        </w:rPr>
        <w:t>5th Cir. R.</w:t>
      </w:r>
      <w:r>
        <w:rPr>
          <w:rFonts w:ascii="Arial" w:eastAsia="Arial" w:hAnsi="Arial" w:cs="Arial"/>
          <w:color w:val="000000"/>
          <w:sz w:val="18"/>
        </w:rPr>
        <w:t xml:space="preserve"> 47.5, the court has determined that this opinion should not be published and is not precedent except under the limited circumstances set forth in </w:t>
      </w:r>
      <w:r>
        <w:rPr>
          <w:rFonts w:ascii="Arial" w:eastAsia="Arial" w:hAnsi="Arial" w:cs="Arial"/>
          <w:smallCaps/>
          <w:color w:val="000000"/>
          <w:sz w:val="18"/>
        </w:rPr>
        <w:t>5th Cir. R.</w:t>
      </w:r>
      <w:r>
        <w:rPr>
          <w:rFonts w:ascii="Arial" w:eastAsia="Arial" w:hAnsi="Arial" w:cs="Arial"/>
          <w:color w:val="000000"/>
          <w:sz w:val="18"/>
        </w:rPr>
        <w:t xml:space="preserve"> 47.5.4.</w:t>
      </w:r>
    </w:p>
  </w:footnote>
  <w:footnote w:id="90">
    <w:p w14:paraId="1F15B271" w14:textId="77777777" w:rsidR="002D0E71" w:rsidRDefault="00000000">
      <w:pPr>
        <w:pStyle w:val="Normal18"/>
        <w:widowControl w:val="0"/>
        <w:spacing w:before="200" w:line="240" w:lineRule="atLeast"/>
        <w:jc w:val="both"/>
      </w:pPr>
      <w:r>
        <w:rPr>
          <w:rFonts w:ascii="Arial" w:eastAsia="Arial" w:hAnsi="Arial" w:cs="Arial"/>
          <w:color w:val="000000"/>
          <w:sz w:val="18"/>
          <w:vertAlign w:val="superscript"/>
        </w:rPr>
        <w:t>1 </w:t>
      </w:r>
      <w:bookmarkStart w:id="2775" w:name="Bookmark_fnpara_2_13"/>
      <w:bookmarkStart w:id="2776" w:name="Bookmark_I5H0TDV22N1RJF0050000400"/>
      <w:bookmarkEnd w:id="2775"/>
      <w:bookmarkEnd w:id="2776"/>
      <w:r>
        <w:rPr>
          <w:rFonts w:ascii="Arial" w:eastAsia="Arial" w:hAnsi="Arial" w:cs="Arial"/>
          <w:color w:val="000000"/>
          <w:sz w:val="18"/>
        </w:rPr>
        <w:t xml:space="preserve">The plaintiffs also appear to argue that the district court should have addressed the merits of their ADA claim. In their response to DHR's motion for partial summary judgment, the plaintiffs' only argument on the ADA claim was that they had standing to bring the claim because there was a real and immediate threat of future harm. They did not raise any argument as to the merits of their ADA claim. They may not raise that issue now. </w:t>
      </w:r>
      <w:r>
        <w:rPr>
          <w:rFonts w:ascii="Arial" w:eastAsia="Arial" w:hAnsi="Arial" w:cs="Arial"/>
          <w:i/>
          <w:color w:val="000000"/>
          <w:sz w:val="18"/>
        </w:rPr>
        <w:t xml:space="preserve">See </w:t>
      </w:r>
      <w:bookmarkStart w:id="2777" w:name="Bookmark_I5H0TDV22N1RJF0040000400"/>
      <w:bookmarkEnd w:id="2777"/>
      <w:r>
        <w:rPr>
          <w:rFonts w:ascii="Arial" w:eastAsia="Arial" w:hAnsi="Arial" w:cs="Arial"/>
          <w:i/>
          <w:color w:val="000000"/>
          <w:sz w:val="18"/>
        </w:rPr>
        <w:t>Brazos Valley Coal. for Life, Inc. v. City of Bryan</w:t>
      </w:r>
      <w:r>
        <w:rPr>
          <w:rFonts w:ascii="Arial" w:eastAsia="Arial" w:hAnsi="Arial" w:cs="Arial"/>
          <w:color w:val="000000"/>
          <w:sz w:val="18"/>
        </w:rPr>
        <w:t>, 421 F.3d 314, 321 n.7 (5th Cir. 2005).</w:t>
      </w:r>
    </w:p>
  </w:footnote>
  <w:footnote w:id="91">
    <w:p w14:paraId="1E6B628F" w14:textId="77777777" w:rsidR="002D0E71" w:rsidRDefault="00000000">
      <w:pPr>
        <w:pStyle w:val="Normal19"/>
        <w:widowControl w:val="0"/>
        <w:spacing w:before="200" w:line="240" w:lineRule="atLeast"/>
        <w:jc w:val="both"/>
      </w:pPr>
      <w:r>
        <w:rPr>
          <w:rFonts w:ascii="Arial" w:eastAsia="Arial" w:hAnsi="Arial" w:cs="Arial"/>
          <w:color w:val="000000"/>
          <w:sz w:val="18"/>
          <w:vertAlign w:val="superscript"/>
        </w:rPr>
        <w:t>1 </w:t>
      </w:r>
      <w:bookmarkStart w:id="2979" w:name="Bookmark_fnpara_1_15"/>
      <w:bookmarkStart w:id="2980" w:name="Bookmark_I5GW5WK12HM6420030000400"/>
      <w:bookmarkStart w:id="2981" w:name="Bookmark_I5GW5WK12N1RWP0010000400"/>
      <w:bookmarkStart w:id="2982" w:name="Bookmark_I3F5JBHGV2W000G4WWW004MY"/>
      <w:bookmarkStart w:id="2983" w:name="Bookmark_I5GW5WK12N1RWP0030000400"/>
      <w:bookmarkEnd w:id="2979"/>
      <w:bookmarkEnd w:id="2980"/>
      <w:bookmarkEnd w:id="2981"/>
      <w:bookmarkEnd w:id="2982"/>
      <w:bookmarkEnd w:id="2983"/>
      <w:r>
        <w:rPr>
          <w:rFonts w:ascii="Arial" w:eastAsia="Arial" w:hAnsi="Arial" w:cs="Arial"/>
          <w:color w:val="000000"/>
          <w:sz w:val="18"/>
        </w:rPr>
        <w:t>Our test for intentional discrimination under Title II of the ADA previously required that the discrimination be "</w:t>
      </w:r>
      <w:r>
        <w:rPr>
          <w:rFonts w:ascii="Arial" w:eastAsia="Arial" w:hAnsi="Arial" w:cs="Arial"/>
          <w:i/>
          <w:color w:val="000000"/>
          <w:sz w:val="18"/>
        </w:rPr>
        <w:t>solely</w:t>
      </w:r>
      <w:r>
        <w:rPr>
          <w:rFonts w:ascii="Arial" w:eastAsia="Arial" w:hAnsi="Arial" w:cs="Arial"/>
          <w:color w:val="000000"/>
          <w:sz w:val="18"/>
        </w:rPr>
        <w:t xml:space="preserve">" because of the plaintiff's disability, </w:t>
      </w:r>
      <w:bookmarkStart w:id="2984" w:name="Bookmark_I5GW5WK12HM6420020000400"/>
      <w:bookmarkEnd w:id="2984"/>
      <w:r>
        <w:rPr>
          <w:rFonts w:ascii="Arial" w:eastAsia="Arial" w:hAnsi="Arial" w:cs="Arial"/>
          <w:i/>
          <w:color w:val="000000"/>
          <w:sz w:val="18"/>
        </w:rPr>
        <w:t>Tucker</w:t>
      </w:r>
      <w:r>
        <w:rPr>
          <w:rFonts w:ascii="Arial" w:eastAsia="Arial" w:hAnsi="Arial" w:cs="Arial"/>
          <w:color w:val="000000"/>
          <w:sz w:val="18"/>
        </w:rPr>
        <w:t xml:space="preserve">, 539 F.3d at 535 (emphasis original); </w:t>
      </w:r>
      <w:r>
        <w:rPr>
          <w:rFonts w:ascii="Arial" w:eastAsia="Arial" w:hAnsi="Arial" w:cs="Arial"/>
          <w:i/>
          <w:color w:val="000000"/>
          <w:sz w:val="18"/>
        </w:rPr>
        <w:t xml:space="preserve">see also </w:t>
      </w:r>
      <w:bookmarkStart w:id="2985" w:name="Bookmark_I5GW5WK12HM6420040000400"/>
      <w:bookmarkEnd w:id="2985"/>
      <w:r>
        <w:rPr>
          <w:rFonts w:ascii="Arial" w:eastAsia="Arial" w:hAnsi="Arial" w:cs="Arial"/>
          <w:i/>
          <w:color w:val="000000"/>
          <w:sz w:val="18"/>
        </w:rPr>
        <w:t>Dillery v. City of Sandusky</w:t>
      </w:r>
      <w:r>
        <w:rPr>
          <w:rFonts w:ascii="Arial" w:eastAsia="Arial" w:hAnsi="Arial" w:cs="Arial"/>
          <w:color w:val="000000"/>
          <w:sz w:val="18"/>
        </w:rPr>
        <w:t xml:space="preserve">, 398 F.3d 562, 567 (6th Cir. 2005), </w:t>
      </w:r>
      <w:bookmarkStart w:id="2986" w:name="Bookmark_I5GW5WK12N1RWN0010000400"/>
      <w:bookmarkEnd w:id="2986"/>
      <w:r>
        <w:rPr>
          <w:rFonts w:ascii="Arial" w:eastAsia="Arial" w:hAnsi="Arial" w:cs="Arial"/>
          <w:i/>
          <w:color w:val="000000"/>
          <w:sz w:val="18"/>
        </w:rPr>
        <w:t>Jones v. City of Monroe, Mich.</w:t>
      </w:r>
      <w:r>
        <w:rPr>
          <w:rFonts w:ascii="Arial" w:eastAsia="Arial" w:hAnsi="Arial" w:cs="Arial"/>
          <w:color w:val="000000"/>
          <w:sz w:val="18"/>
        </w:rPr>
        <w:t xml:space="preserve">, 341 F.3d 474, 477 (6th Cir. 2003), but our decision in </w:t>
      </w:r>
      <w:bookmarkStart w:id="2987" w:name="Bookmark_I5GW5WK12N1RWN0030000400"/>
      <w:bookmarkEnd w:id="2987"/>
      <w:r>
        <w:rPr>
          <w:rFonts w:ascii="Arial" w:eastAsia="Arial" w:hAnsi="Arial" w:cs="Arial"/>
          <w:i/>
          <w:color w:val="000000"/>
          <w:sz w:val="18"/>
        </w:rPr>
        <w:t>Lewis v. Humboldt Acquisition Corp.</w:t>
      </w:r>
      <w:r>
        <w:rPr>
          <w:rFonts w:ascii="Arial" w:eastAsia="Arial" w:hAnsi="Arial" w:cs="Arial"/>
          <w:color w:val="000000"/>
          <w:sz w:val="18"/>
        </w:rPr>
        <w:t xml:space="preserve">, 681 F.3d 312, 317 (6th Cir. 2012) (en banc), rejected this sole-causation requirement. While </w:t>
      </w:r>
      <w:r>
        <w:rPr>
          <w:rFonts w:ascii="Arial" w:eastAsia="Arial" w:hAnsi="Arial" w:cs="Arial"/>
          <w:i/>
          <w:color w:val="000000"/>
          <w:sz w:val="18"/>
        </w:rPr>
        <w:t>Lewis</w:t>
      </w:r>
      <w:r>
        <w:rPr>
          <w:rFonts w:ascii="Arial" w:eastAsia="Arial" w:hAnsi="Arial" w:cs="Arial"/>
          <w:color w:val="000000"/>
          <w:sz w:val="18"/>
        </w:rPr>
        <w:t xml:space="preserve"> dealt with intentional discrimination claims under Title I of the ADA, we specifically discussed the causation language in Title II, noting that it too "fails to use 'solely.'" </w:t>
      </w:r>
      <w:bookmarkStart w:id="2988" w:name="Bookmark_I5GW5WK12N1RWN0050000400"/>
      <w:bookmarkEnd w:id="2988"/>
      <w:r>
        <w:rPr>
          <w:rFonts w:ascii="Arial" w:eastAsia="Arial" w:hAnsi="Arial" w:cs="Arial"/>
          <w:i/>
          <w:color w:val="000000"/>
          <w:sz w:val="18"/>
        </w:rPr>
        <w:t>Id.</w:t>
      </w:r>
      <w:r>
        <w:rPr>
          <w:rFonts w:ascii="Arial" w:eastAsia="Arial" w:hAnsi="Arial" w:cs="Arial"/>
          <w:color w:val="000000"/>
          <w:sz w:val="18"/>
        </w:rPr>
        <w:t xml:space="preserve"> at 315. Therefore our holding in </w:t>
      </w:r>
      <w:r>
        <w:rPr>
          <w:rFonts w:ascii="Arial" w:eastAsia="Arial" w:hAnsi="Arial" w:cs="Arial"/>
          <w:i/>
          <w:color w:val="000000"/>
          <w:sz w:val="18"/>
        </w:rPr>
        <w:t>Lewis</w:t>
      </w:r>
      <w:r>
        <w:rPr>
          <w:rFonts w:ascii="Arial" w:eastAsia="Arial" w:hAnsi="Arial" w:cs="Arial"/>
          <w:color w:val="000000"/>
          <w:sz w:val="18"/>
        </w:rPr>
        <w:t xml:space="preserve"> that "[t]he sole-cause standard . . . does not apply to claims under the ADA," </w:t>
      </w:r>
      <w:bookmarkStart w:id="2989" w:name="Bookmark_I5GW5WK12N1RWP0020000400"/>
      <w:bookmarkEnd w:id="2989"/>
      <w:r>
        <w:rPr>
          <w:rFonts w:ascii="Arial" w:eastAsia="Arial" w:hAnsi="Arial" w:cs="Arial"/>
          <w:i/>
          <w:color w:val="000000"/>
          <w:sz w:val="18"/>
        </w:rPr>
        <w:t>id.</w:t>
      </w:r>
      <w:r>
        <w:rPr>
          <w:rFonts w:ascii="Arial" w:eastAsia="Arial" w:hAnsi="Arial" w:cs="Arial"/>
          <w:color w:val="000000"/>
          <w:sz w:val="18"/>
        </w:rPr>
        <w:t xml:space="preserve"> at 317, applies with equal force where, as here, the intentional discrimination claim is brought under Title II.</w:t>
      </w:r>
    </w:p>
  </w:footnote>
  <w:footnote w:id="92">
    <w:p w14:paraId="18B0C2B2" w14:textId="77777777" w:rsidR="002D0E71" w:rsidRDefault="00000000">
      <w:pPr>
        <w:pStyle w:val="Normal20"/>
        <w:widowControl w:val="0"/>
        <w:spacing w:before="120" w:line="240" w:lineRule="atLeast"/>
        <w:jc w:val="both"/>
      </w:pPr>
      <w:r>
        <w:rPr>
          <w:rFonts w:ascii="Arial" w:eastAsia="Arial" w:hAnsi="Arial" w:cs="Arial"/>
          <w:color w:val="000000"/>
          <w:sz w:val="18"/>
          <w:vertAlign w:val="superscript"/>
        </w:rPr>
        <w:t>* </w:t>
      </w:r>
      <w:bookmarkStart w:id="3126" w:name="Bookmark_fnpara_1_16"/>
      <w:bookmarkEnd w:id="3126"/>
      <w:r>
        <w:rPr>
          <w:rFonts w:ascii="Arial" w:eastAsia="Arial" w:hAnsi="Arial" w:cs="Arial"/>
          <w:color w:val="000000"/>
          <w:sz w:val="18"/>
        </w:rPr>
        <w:t>Honorable Richard Linn, United States Circuit Judge for the Federal Circuit, sitting by designation.</w:t>
      </w:r>
    </w:p>
  </w:footnote>
  <w:footnote w:id="93">
    <w:p w14:paraId="5029E9B9" w14:textId="77777777" w:rsidR="002D0E71" w:rsidRDefault="00000000">
      <w:pPr>
        <w:pStyle w:val="Normal20"/>
        <w:widowControl w:val="0"/>
        <w:spacing w:before="120" w:line="240" w:lineRule="atLeast"/>
        <w:jc w:val="both"/>
      </w:pPr>
      <w:r>
        <w:rPr>
          <w:rFonts w:ascii="Arial" w:eastAsia="Arial" w:hAnsi="Arial" w:cs="Arial"/>
          <w:color w:val="000000"/>
          <w:sz w:val="18"/>
          <w:vertAlign w:val="superscript"/>
        </w:rPr>
        <w:t>1 </w:t>
      </w:r>
      <w:bookmarkStart w:id="3131" w:name="Bookmark_fnpara_2_14"/>
      <w:bookmarkEnd w:id="3131"/>
      <w:r>
        <w:rPr>
          <w:rFonts w:ascii="Arial" w:eastAsia="Arial" w:hAnsi="Arial" w:cs="Arial"/>
          <w:color w:val="000000"/>
          <w:sz w:val="18"/>
        </w:rPr>
        <w:t>The district court also granted summary judgment on claims asserted by Plaintiffs under the Florida Civil Rights Act of 1992. Plaintiffs do not specifically challenge on appeal or offer any arguments concerning the district court's ruling on claims made under this statute.</w:t>
      </w:r>
    </w:p>
  </w:footnote>
  <w:footnote w:id="94">
    <w:p w14:paraId="72F84DD9" w14:textId="77777777" w:rsidR="002D0E71" w:rsidRDefault="00000000">
      <w:pPr>
        <w:pStyle w:val="Normal20"/>
        <w:widowControl w:val="0"/>
        <w:spacing w:before="120" w:line="240" w:lineRule="atLeast"/>
        <w:jc w:val="both"/>
      </w:pPr>
      <w:r>
        <w:rPr>
          <w:rFonts w:ascii="Arial" w:eastAsia="Arial" w:hAnsi="Arial" w:cs="Arial"/>
          <w:color w:val="000000"/>
          <w:sz w:val="18"/>
          <w:vertAlign w:val="superscript"/>
        </w:rPr>
        <w:t>2 </w:t>
      </w:r>
      <w:bookmarkStart w:id="3136" w:name="Bookmark_fnpara_3_10"/>
      <w:bookmarkEnd w:id="3136"/>
      <w:r>
        <w:rPr>
          <w:rFonts w:ascii="Arial" w:eastAsia="Arial" w:hAnsi="Arial" w:cs="Arial"/>
          <w:color w:val="000000"/>
          <w:sz w:val="18"/>
        </w:rPr>
        <w:t>LifeLinks is an interpreting service that provides access to a live ASL interpreter on a video screen.</w:t>
      </w:r>
    </w:p>
  </w:footnote>
  <w:footnote w:id="95">
    <w:p w14:paraId="3ACF7066" w14:textId="77777777" w:rsidR="002D0E71" w:rsidRDefault="00000000">
      <w:pPr>
        <w:pStyle w:val="Normal20"/>
        <w:widowControl w:val="0"/>
        <w:spacing w:before="200" w:line="240" w:lineRule="atLeast"/>
        <w:jc w:val="both"/>
      </w:pPr>
      <w:r>
        <w:rPr>
          <w:rFonts w:ascii="Arial" w:eastAsia="Arial" w:hAnsi="Arial" w:cs="Arial"/>
          <w:color w:val="000000"/>
          <w:sz w:val="18"/>
          <w:vertAlign w:val="superscript"/>
        </w:rPr>
        <w:t>3 </w:t>
      </w:r>
      <w:bookmarkStart w:id="3142" w:name="Bookmark_fnpara_4_8"/>
      <w:bookmarkEnd w:id="3142"/>
      <w:r>
        <w:rPr>
          <w:rFonts w:ascii="Arial" w:eastAsia="Arial" w:hAnsi="Arial" w:cs="Arial"/>
          <w:color w:val="000000"/>
          <w:sz w:val="18"/>
        </w:rPr>
        <w:t>D'Ambrosio also had access to [**8]  an ASL translating service on his laptop, but, crediting D'Ambrosio's testimony, we assume that he was prohibited by his service agreement from using the translating service to converse with people in the same room as him, and so he could not use the service to communicate with hospital staff.</w:t>
      </w:r>
    </w:p>
  </w:footnote>
  <w:footnote w:id="96">
    <w:p w14:paraId="4317C88E" w14:textId="77777777" w:rsidR="002D0E71" w:rsidRDefault="00000000">
      <w:pPr>
        <w:pStyle w:val="Normal20"/>
        <w:widowControl w:val="0"/>
        <w:spacing w:before="200" w:line="240" w:lineRule="atLeast"/>
        <w:jc w:val="both"/>
      </w:pPr>
      <w:r>
        <w:rPr>
          <w:rFonts w:ascii="Arial" w:eastAsia="Arial" w:hAnsi="Arial" w:cs="Arial"/>
          <w:color w:val="000000"/>
          <w:sz w:val="18"/>
          <w:vertAlign w:val="superscript"/>
        </w:rPr>
        <w:t>4 </w:t>
      </w:r>
      <w:bookmarkStart w:id="3149" w:name="Bookmark_fnpara_5_6"/>
      <w:bookmarkEnd w:id="3149"/>
      <w:r>
        <w:rPr>
          <w:rFonts w:ascii="Arial" w:eastAsia="Arial" w:hAnsi="Arial" w:cs="Arial"/>
          <w:color w:val="000000"/>
          <w:sz w:val="18"/>
        </w:rPr>
        <w:t xml:space="preserve">Plaintiffs claimed in their brief in opposition to summary judgment, as they claim in their appellate brief, that Martin requested an interpreter [**11]  upon his arrival at the hospital and numerous times thereafter, but no interpreter was provided. </w:t>
      </w:r>
      <w:bookmarkStart w:id="3150" w:name="Bookmark_I5GS69SS2D6MX90020000400"/>
      <w:bookmarkEnd w:id="3150"/>
      <w:r>
        <w:rPr>
          <w:rFonts w:ascii="Arial" w:eastAsia="Arial" w:hAnsi="Arial" w:cs="Arial"/>
          <w:color w:val="000000"/>
          <w:sz w:val="18"/>
        </w:rPr>
        <w:t xml:space="preserve">Yet, Plaintiffs cited no evidence in support of that claim in any of the materials they filed in the district court. Likewise, Plaintiffs cite no supporting evidence for this assertion on appeal. </w:t>
      </w:r>
      <w:r>
        <w:rPr>
          <w:rFonts w:ascii="Arial" w:eastAsia="Arial" w:hAnsi="Arial" w:cs="Arial"/>
          <w:i/>
          <w:color w:val="000000"/>
          <w:sz w:val="18"/>
        </w:rPr>
        <w:t xml:space="preserve">See </w:t>
      </w:r>
      <w:bookmarkStart w:id="3151" w:name="Bookmark_I5GS69SS2D6MX90010000400"/>
      <w:bookmarkEnd w:id="3151"/>
      <w:r>
        <w:rPr>
          <w:rFonts w:ascii="Arial" w:eastAsia="Arial" w:hAnsi="Arial" w:cs="Arial"/>
          <w:i/>
          <w:color w:val="000000"/>
          <w:sz w:val="18"/>
        </w:rPr>
        <w:t>Mann v. Taser Int'l, Inc.</w:t>
      </w:r>
      <w:r>
        <w:rPr>
          <w:rFonts w:ascii="Arial" w:eastAsia="Arial" w:hAnsi="Arial" w:cs="Arial"/>
          <w:color w:val="000000"/>
          <w:sz w:val="18"/>
        </w:rPr>
        <w:t>, 588 F.3d 1291, 1303 (11th Cir. 2009) (</w:t>
      </w:r>
      <w:bookmarkStart w:id="3152" w:name="Bookmark_LNHNREFclscc1_16"/>
      <w:bookmarkEnd w:id="3152"/>
      <w:r>
        <w:rPr>
          <w:rFonts w:ascii="Arial" w:eastAsia="Arial" w:hAnsi="Arial" w:cs="Arial"/>
          <w:color w:val="000000"/>
          <w:sz w:val="18"/>
        </w:rPr>
        <w:t xml:space="preserve">"For factual issues to be considered genuine, they must have a real basis in the record.") (citation and quotation marks omitted); </w:t>
      </w:r>
      <w:bookmarkStart w:id="3153" w:name="Bookmark_I5GS69SS2D6MX90030000400"/>
      <w:bookmarkEnd w:id="3153"/>
      <w:r>
        <w:rPr>
          <w:rFonts w:ascii="Arial" w:eastAsia="Arial" w:hAnsi="Arial" w:cs="Arial"/>
          <w:i/>
          <w:color w:val="000000"/>
          <w:sz w:val="18"/>
        </w:rPr>
        <w:t>Gargiulo v. G.M. Sales, Inc.</w:t>
      </w:r>
      <w:r>
        <w:rPr>
          <w:rFonts w:ascii="Arial" w:eastAsia="Arial" w:hAnsi="Arial" w:cs="Arial"/>
          <w:color w:val="000000"/>
          <w:sz w:val="18"/>
        </w:rPr>
        <w:t>, 131 F.3d 995, 999 (11th Cir. 1997) (</w:t>
      </w:r>
      <w:bookmarkStart w:id="3154" w:name="Bookmark_LNHNREFclscc2_16"/>
      <w:bookmarkEnd w:id="3154"/>
      <w:r>
        <w:rPr>
          <w:rFonts w:ascii="Arial" w:eastAsia="Arial" w:hAnsi="Arial" w:cs="Arial"/>
          <w:color w:val="000000"/>
          <w:sz w:val="18"/>
        </w:rPr>
        <w:t>"to oppose [a] properly supported motion for summary judgment, [the plaintiff] must come forward with specific factual evidence, presenting more than mere allegations").</w:t>
      </w:r>
    </w:p>
  </w:footnote>
  <w:footnote w:id="97">
    <w:p w14:paraId="0275BEB7" w14:textId="77777777" w:rsidR="002D0E71" w:rsidRDefault="00000000">
      <w:pPr>
        <w:pStyle w:val="Normal20"/>
        <w:widowControl w:val="0"/>
        <w:spacing w:before="120" w:line="240" w:lineRule="atLeast"/>
        <w:jc w:val="both"/>
      </w:pPr>
      <w:r>
        <w:rPr>
          <w:rFonts w:ascii="Arial" w:eastAsia="Arial" w:hAnsi="Arial" w:cs="Arial"/>
          <w:color w:val="000000"/>
          <w:sz w:val="18"/>
          <w:vertAlign w:val="superscript"/>
        </w:rPr>
        <w:t>5 </w:t>
      </w:r>
      <w:bookmarkStart w:id="3160" w:name="Bookmark_fnpara_6_4"/>
      <w:bookmarkEnd w:id="3160"/>
      <w:r>
        <w:rPr>
          <w:rFonts w:ascii="Arial" w:eastAsia="Arial" w:hAnsi="Arial" w:cs="Arial"/>
          <w:color w:val="000000"/>
          <w:sz w:val="18"/>
        </w:rPr>
        <w:t>They also attached to the declarations some hospital records, including D'Ambrosio's discharge summary and selected handwritten notes that D'Ambrosio and Gervarzes had exchanged with hospital staff.</w:t>
      </w:r>
    </w:p>
  </w:footnote>
  <w:footnote w:id="98">
    <w:p w14:paraId="7A221EC3" w14:textId="77777777" w:rsidR="002D0E71" w:rsidRDefault="00000000">
      <w:pPr>
        <w:pStyle w:val="Normal20"/>
        <w:widowControl w:val="0"/>
        <w:spacing w:before="120" w:line="240" w:lineRule="atLeast"/>
        <w:jc w:val="both"/>
      </w:pPr>
      <w:r>
        <w:rPr>
          <w:rFonts w:ascii="Arial" w:eastAsia="Arial" w:hAnsi="Arial" w:cs="Arial"/>
          <w:color w:val="000000"/>
          <w:sz w:val="18"/>
          <w:vertAlign w:val="superscript"/>
        </w:rPr>
        <w:t>6 </w:t>
      </w:r>
      <w:bookmarkStart w:id="3208" w:name="Bookmark_fnpara_7_4"/>
      <w:bookmarkEnd w:id="3208"/>
      <w:r>
        <w:rPr>
          <w:rFonts w:ascii="Arial" w:eastAsia="Arial" w:hAnsi="Arial" w:cs="Arial"/>
          <w:color w:val="000000"/>
          <w:sz w:val="18"/>
        </w:rPr>
        <w:t>In his brief, D'Ambrosio asserts that certain written exchanges reveal the existence of "communication barriers." Leaving aside the fact that D'Ambrosio did not include this assertion in his declaration, the cited written notes, when read in context, do not demonstrate any lapse in comprehension.</w:t>
      </w:r>
    </w:p>
  </w:footnote>
  <w:footnote w:id="99">
    <w:p w14:paraId="0A030619" w14:textId="77777777" w:rsidR="002D0E71" w:rsidRDefault="00000000">
      <w:pPr>
        <w:pStyle w:val="Normal20"/>
        <w:widowControl w:val="0"/>
        <w:spacing w:before="120" w:line="240" w:lineRule="atLeast"/>
        <w:jc w:val="both"/>
      </w:pPr>
      <w:r>
        <w:rPr>
          <w:rFonts w:ascii="Arial" w:eastAsia="Arial" w:hAnsi="Arial" w:cs="Arial"/>
          <w:color w:val="000000"/>
          <w:sz w:val="18"/>
          <w:vertAlign w:val="superscript"/>
        </w:rPr>
        <w:t>7 </w:t>
      </w:r>
      <w:bookmarkStart w:id="3214" w:name="Bookmark_fnpara_8_4"/>
      <w:bookmarkEnd w:id="3214"/>
      <w:r>
        <w:rPr>
          <w:rFonts w:ascii="Arial" w:eastAsia="Arial" w:hAnsi="Arial" w:cs="Arial"/>
          <w:color w:val="000000"/>
          <w:sz w:val="18"/>
        </w:rPr>
        <w:t>D'Ambrosio testified at his deposition that he believed a live ASL interpreter should have been present at all times during his hospitalization, even when he was asleep or unconscious.</w:t>
      </w:r>
    </w:p>
  </w:footnote>
  <w:footnote w:id="100">
    <w:p w14:paraId="310D9CD0" w14:textId="77777777" w:rsidR="002D0E71" w:rsidRDefault="00000000">
      <w:pPr>
        <w:pStyle w:val="Normal21"/>
        <w:widowControl w:val="0"/>
        <w:spacing w:before="120" w:line="240" w:lineRule="atLeast"/>
        <w:jc w:val="both"/>
      </w:pPr>
      <w:r>
        <w:rPr>
          <w:rFonts w:ascii="Arial" w:eastAsia="Arial" w:hAnsi="Arial" w:cs="Arial"/>
          <w:color w:val="000000"/>
          <w:sz w:val="18"/>
          <w:vertAlign w:val="superscript"/>
        </w:rPr>
        <w:t>* </w:t>
      </w:r>
      <w:bookmarkStart w:id="3268" w:name="Bookmark_fnpara_1_17"/>
      <w:bookmarkEnd w:id="3268"/>
      <w:r>
        <w:rPr>
          <w:rFonts w:ascii="Arial" w:eastAsia="Arial" w:hAnsi="Arial" w:cs="Arial"/>
          <w:color w:val="000000"/>
          <w:sz w:val="18"/>
        </w:rPr>
        <w:t>Honorable Richard W. Goldberg, United States Court of International Trade Judge, sitting by designation.</w:t>
      </w:r>
    </w:p>
  </w:footnote>
  <w:footnote w:id="101">
    <w:p w14:paraId="7245A616" w14:textId="77777777" w:rsidR="002D0E71" w:rsidRDefault="00000000">
      <w:pPr>
        <w:pStyle w:val="Normal21"/>
        <w:widowControl w:val="0"/>
        <w:spacing w:before="200" w:line="240" w:lineRule="atLeast"/>
        <w:jc w:val="both"/>
      </w:pPr>
      <w:r>
        <w:rPr>
          <w:rFonts w:ascii="Arial" w:eastAsia="Arial" w:hAnsi="Arial" w:cs="Arial"/>
          <w:color w:val="000000"/>
          <w:sz w:val="18"/>
          <w:vertAlign w:val="superscript"/>
        </w:rPr>
        <w:t>1 </w:t>
      </w:r>
      <w:bookmarkStart w:id="3284" w:name="Bookmark_fnpara_2_15"/>
      <w:bookmarkStart w:id="3285" w:name="Bookmark_LNHNREFclscc5_17"/>
      <w:bookmarkEnd w:id="3284"/>
      <w:bookmarkEnd w:id="3285"/>
      <w:r>
        <w:rPr>
          <w:rFonts w:ascii="Arial" w:eastAsia="Arial" w:hAnsi="Arial" w:cs="Arial"/>
          <w:color w:val="000000"/>
          <w:sz w:val="18"/>
        </w:rPr>
        <w:t xml:space="preserve">Under the ADA, only the Attorney General may file civil suits for damages and penalties. </w:t>
      </w:r>
      <w:r>
        <w:rPr>
          <w:rFonts w:ascii="Arial" w:eastAsia="Arial" w:hAnsi="Arial" w:cs="Arial"/>
          <w:i/>
          <w:color w:val="000000"/>
          <w:sz w:val="18"/>
        </w:rPr>
        <w:t>See</w:t>
      </w:r>
      <w:r>
        <w:rPr>
          <w:rFonts w:ascii="Arial" w:eastAsia="Arial" w:hAnsi="Arial" w:cs="Arial"/>
          <w:color w:val="000000"/>
          <w:sz w:val="18"/>
        </w:rPr>
        <w:t xml:space="preserve"> 42 U.S.C. § 12188(b). </w:t>
      </w:r>
      <w:bookmarkStart w:id="3286" w:name="Bookmark_I5G432P328T52G0040000400"/>
      <w:bookmarkEnd w:id="3286"/>
      <w:r>
        <w:rPr>
          <w:rFonts w:ascii="Arial" w:eastAsia="Arial" w:hAnsi="Arial" w:cs="Arial"/>
          <w:color w:val="000000"/>
          <w:sz w:val="18"/>
        </w:rPr>
        <w:t xml:space="preserve">And the Attorney General may sue only if he has cause to believe that a business is engaged in a "pattern or practice of discrimination," or if discriminatory conduct "raises an issue of general public importance." </w:t>
      </w:r>
      <w:r>
        <w:rPr>
          <w:rFonts w:ascii="Arial" w:eastAsia="Arial" w:hAnsi="Arial" w:cs="Arial"/>
          <w:i/>
          <w:color w:val="000000"/>
          <w:sz w:val="18"/>
        </w:rPr>
        <w:t>Id.</w:t>
      </w:r>
      <w:r>
        <w:rPr>
          <w:rFonts w:ascii="Arial" w:eastAsia="Arial" w:hAnsi="Arial" w:cs="Arial"/>
          <w:color w:val="000000"/>
          <w:sz w:val="18"/>
        </w:rPr>
        <w:t xml:space="preserve"> § 12188(b)(1)(B). As a consequence, those who violate the ADA face damages and penalties only rarely. Nat'l Council on Disability, </w:t>
      </w:r>
      <w:r>
        <w:rPr>
          <w:rFonts w:ascii="Arial" w:eastAsia="Arial" w:hAnsi="Arial" w:cs="Arial"/>
          <w:i/>
          <w:color w:val="000000"/>
          <w:sz w:val="18"/>
        </w:rPr>
        <w:t>Implementation of the Americans with Disabilities Act</w:t>
      </w:r>
      <w:r>
        <w:rPr>
          <w:rFonts w:ascii="Arial" w:eastAsia="Arial" w:hAnsi="Arial" w:cs="Arial"/>
          <w:color w:val="000000"/>
          <w:sz w:val="18"/>
        </w:rPr>
        <w:t xml:space="preserve"> 167-68 (2007) (noting limited involvement [**5]  of Justice Department in ADA litigation); Samuel R. Bagenstos, </w:t>
      </w:r>
      <w:r>
        <w:rPr>
          <w:rFonts w:ascii="Arial" w:eastAsia="Arial" w:hAnsi="Arial" w:cs="Arial"/>
          <w:i/>
          <w:color w:val="000000"/>
          <w:sz w:val="18"/>
        </w:rPr>
        <w:t>The Perversity of Limited Civil Rights Remedies: The Case of "Abusive" ADA Litigation</w:t>
      </w:r>
      <w:r>
        <w:rPr>
          <w:rFonts w:ascii="Arial" w:eastAsia="Arial" w:hAnsi="Arial" w:cs="Arial"/>
          <w:color w:val="000000"/>
          <w:sz w:val="18"/>
        </w:rPr>
        <w:t xml:space="preserve">, 54 UCLA L. Rev. 1, 9-10 (2006) (remarking that Justice Department employs "only a small cadre of lawyers" to enforce ADA(internal quotation marks omitted)); Casey L. Raymond, </w:t>
      </w:r>
      <w:bookmarkStart w:id="3287" w:name="Bookmark_I5G432P328T52G0030000400"/>
      <w:bookmarkEnd w:id="3287"/>
      <w:r>
        <w:rPr>
          <w:rFonts w:ascii="Arial" w:eastAsia="Arial" w:hAnsi="Arial" w:cs="Arial"/>
          <w:i/>
          <w:color w:val="000000"/>
          <w:sz w:val="18"/>
        </w:rPr>
        <w:t>A Growing Threat to the ADA: An Empirical Study of Mass Filings, Popular Backlash, and Potential Solutions Under Titles II and III</w:t>
      </w:r>
      <w:r>
        <w:rPr>
          <w:rFonts w:ascii="Arial" w:eastAsia="Arial" w:hAnsi="Arial" w:cs="Arial"/>
          <w:color w:val="000000"/>
          <w:sz w:val="18"/>
        </w:rPr>
        <w:t xml:space="preserve">, 18 Tex. J. C.L. &amp; C.R. 235, 257-59 (2012) (describing Justice Department's limited enforcement role). Thus the </w:t>
      </w:r>
      <w:r>
        <w:rPr>
          <w:rFonts w:ascii="Arial" w:eastAsia="Arial" w:hAnsi="Arial" w:cs="Arial"/>
          <w:i/>
          <w:color w:val="000000"/>
          <w:sz w:val="18"/>
        </w:rPr>
        <w:t>qui tam</w:t>
      </w:r>
      <w:r>
        <w:rPr>
          <w:rFonts w:ascii="Arial" w:eastAsia="Arial" w:hAnsi="Arial" w:cs="Arial"/>
          <w:color w:val="000000"/>
          <w:sz w:val="18"/>
        </w:rPr>
        <w:t xml:space="preserve"> or private attorney general suit is the most common form of enforcement under the ADA, but the only remedies there are injunctions, fees, and costs. </w:t>
      </w:r>
      <w:r>
        <w:rPr>
          <w:rFonts w:ascii="Arial" w:eastAsia="Arial" w:hAnsi="Arial" w:cs="Arial"/>
          <w:i/>
          <w:color w:val="000000"/>
          <w:sz w:val="18"/>
        </w:rPr>
        <w:t>See</w:t>
      </w:r>
      <w:r>
        <w:rPr>
          <w:rFonts w:ascii="Arial" w:eastAsia="Arial" w:hAnsi="Arial" w:cs="Arial"/>
          <w:color w:val="000000"/>
          <w:sz w:val="18"/>
        </w:rPr>
        <w:t xml:space="preserve"> 42 U.S.C. § 12188(a)(1) (incorporating by reference 42 U.S.C. § 2000a-3).</w:t>
      </w:r>
    </w:p>
  </w:footnote>
  <w:footnote w:id="102">
    <w:p w14:paraId="7501819D" w14:textId="77777777" w:rsidR="002D0E71" w:rsidRDefault="00000000">
      <w:pPr>
        <w:pStyle w:val="Normal21"/>
        <w:widowControl w:val="0"/>
        <w:spacing w:before="200" w:line="240" w:lineRule="atLeast"/>
        <w:jc w:val="both"/>
      </w:pPr>
      <w:r>
        <w:rPr>
          <w:rFonts w:ascii="Arial" w:eastAsia="Arial" w:hAnsi="Arial" w:cs="Arial"/>
          <w:color w:val="000000"/>
          <w:sz w:val="18"/>
          <w:vertAlign w:val="superscript"/>
        </w:rPr>
        <w:t>2 </w:t>
      </w:r>
      <w:bookmarkStart w:id="3300" w:name="Bookmark_fnpara_3_11"/>
      <w:bookmarkEnd w:id="3300"/>
      <w:r>
        <w:rPr>
          <w:rFonts w:ascii="Arial" w:eastAsia="Arial" w:hAnsi="Arial" w:cs="Arial"/>
          <w:color w:val="000000"/>
          <w:sz w:val="18"/>
        </w:rPr>
        <w:t xml:space="preserve">Though the </w:t>
      </w:r>
      <w:r>
        <w:rPr>
          <w:rFonts w:ascii="Arial" w:eastAsia="Arial" w:hAnsi="Arial" w:cs="Arial"/>
          <w:i/>
          <w:color w:val="000000"/>
          <w:sz w:val="18"/>
        </w:rPr>
        <w:t>Final Results</w:t>
      </w:r>
      <w:r>
        <w:rPr>
          <w:rFonts w:ascii="Arial" w:eastAsia="Arial" w:hAnsi="Arial" w:cs="Arial"/>
          <w:color w:val="000000"/>
          <w:sz w:val="18"/>
        </w:rPr>
        <w:t xml:space="preserve"> became effective in March 2011, the communications standards relevant to this case went into effect on March 15, 2012. </w:t>
      </w:r>
      <w:r>
        <w:rPr>
          <w:rFonts w:ascii="Arial" w:eastAsia="Arial" w:hAnsi="Arial" w:cs="Arial"/>
          <w:i/>
          <w:color w:val="000000"/>
          <w:sz w:val="18"/>
        </w:rPr>
        <w:t>See Final Rule</w:t>
      </w:r>
      <w:r>
        <w:rPr>
          <w:rFonts w:ascii="Arial" w:eastAsia="Arial" w:hAnsi="Arial" w:cs="Arial"/>
          <w:color w:val="000000"/>
          <w:sz w:val="18"/>
        </w:rPr>
        <w:t xml:space="preserve"> at 56,237, 56,256.</w:t>
      </w:r>
    </w:p>
  </w:footnote>
  <w:footnote w:id="103">
    <w:p w14:paraId="55D66C54" w14:textId="77777777" w:rsidR="002D0E71" w:rsidRDefault="00000000">
      <w:pPr>
        <w:pStyle w:val="Normal21"/>
        <w:widowControl w:val="0"/>
        <w:spacing w:before="200" w:line="240" w:lineRule="atLeast"/>
        <w:jc w:val="both"/>
      </w:pPr>
      <w:r>
        <w:rPr>
          <w:rFonts w:ascii="Arial" w:eastAsia="Arial" w:hAnsi="Arial" w:cs="Arial"/>
          <w:color w:val="000000"/>
          <w:sz w:val="18"/>
          <w:vertAlign w:val="superscript"/>
        </w:rPr>
        <w:t>3 </w:t>
      </w:r>
      <w:bookmarkStart w:id="3363" w:name="Bookmark_fnpara_4_9"/>
      <w:bookmarkEnd w:id="3363"/>
      <w:r>
        <w:rPr>
          <w:rFonts w:ascii="Arial" w:eastAsia="Arial" w:hAnsi="Arial" w:cs="Arial"/>
          <w:color w:val="000000"/>
          <w:sz w:val="18"/>
        </w:rPr>
        <w:t xml:space="preserve">Gomez cited </w:t>
      </w:r>
      <w:r>
        <w:rPr>
          <w:rFonts w:ascii="Arial" w:eastAsia="Arial" w:hAnsi="Arial" w:cs="Arial"/>
          <w:i/>
          <w:color w:val="000000"/>
          <w:sz w:val="18"/>
        </w:rPr>
        <w:t>Sawczyn</w:t>
      </w:r>
      <w:r>
        <w:rPr>
          <w:rFonts w:ascii="Arial" w:eastAsia="Arial" w:hAnsi="Arial" w:cs="Arial"/>
          <w:color w:val="000000"/>
          <w:sz w:val="18"/>
        </w:rPr>
        <w:t xml:space="preserve"> not to prove he had constitutional standing, but to show that his claim was not moot. We do not address mootness because we agree with the trial court that Gomez lacked standing to bring his case. We thus distinguish </w:t>
      </w:r>
      <w:bookmarkStart w:id="3364" w:name="Bookmark_I5G432P32N1RDJ0030000400"/>
      <w:bookmarkEnd w:id="3364"/>
      <w:r>
        <w:rPr>
          <w:rFonts w:ascii="Arial" w:eastAsia="Arial" w:hAnsi="Arial" w:cs="Arial"/>
          <w:i/>
          <w:color w:val="000000"/>
          <w:sz w:val="18"/>
        </w:rPr>
        <w:t>Sawczyn</w:t>
      </w:r>
      <w:r>
        <w:rPr>
          <w:rFonts w:ascii="Arial" w:eastAsia="Arial" w:hAnsi="Arial" w:cs="Arial"/>
          <w:color w:val="000000"/>
          <w:sz w:val="18"/>
        </w:rPr>
        <w:t xml:space="preserve"> to the extent it found plaintiff had standing to maintain an ADA action.</w:t>
      </w:r>
    </w:p>
  </w:footnote>
  <w:footnote w:id="104">
    <w:p w14:paraId="1E06BBF1" w14:textId="77777777" w:rsidR="002D0E71" w:rsidRDefault="00000000">
      <w:pPr>
        <w:pStyle w:val="Normal22"/>
        <w:widowControl w:val="0"/>
        <w:spacing w:before="120" w:line="240" w:lineRule="atLeast"/>
        <w:jc w:val="both"/>
      </w:pPr>
      <w:r>
        <w:rPr>
          <w:rFonts w:ascii="Arial" w:eastAsia="Arial" w:hAnsi="Arial" w:cs="Arial"/>
          <w:color w:val="000000"/>
          <w:sz w:val="18"/>
          <w:vertAlign w:val="superscript"/>
        </w:rPr>
        <w:t>* </w:t>
      </w:r>
      <w:bookmarkStart w:id="3376" w:name="Bookmark_fnpara_1_18"/>
      <w:bookmarkEnd w:id="3376"/>
      <w:r>
        <w:rPr>
          <w:rFonts w:ascii="Arial" w:eastAsia="Arial" w:hAnsi="Arial" w:cs="Arial"/>
          <w:color w:val="000000"/>
          <w:sz w:val="18"/>
        </w:rPr>
        <w:t>After examining the briefs and record, we have concluded that oral argument is unnecessary. Thus the appeal is submitted on the briefs and record. See FED. R. APP. P. 34(a)(2)(A).</w:t>
      </w:r>
    </w:p>
  </w:footnote>
  <w:footnote w:id="105">
    <w:p w14:paraId="0364D5D6" w14:textId="77777777" w:rsidR="002D0E71" w:rsidRDefault="00000000">
      <w:pPr>
        <w:pStyle w:val="Normal23"/>
        <w:widowControl w:val="0"/>
        <w:spacing w:before="120" w:line="240" w:lineRule="atLeast"/>
        <w:jc w:val="both"/>
      </w:pPr>
      <w:r>
        <w:rPr>
          <w:rFonts w:ascii="Arial" w:eastAsia="Arial" w:hAnsi="Arial" w:cs="Arial"/>
          <w:color w:val="000000"/>
          <w:sz w:val="18"/>
          <w:vertAlign w:val="superscript"/>
        </w:rPr>
        <w:t>** </w:t>
      </w:r>
      <w:bookmarkStart w:id="3407" w:name="Bookmark_fnpara_1_19"/>
      <w:bookmarkEnd w:id="3407"/>
      <w:r>
        <w:rPr>
          <w:rFonts w:ascii="Arial" w:eastAsia="Arial" w:hAnsi="Arial" w:cs="Arial"/>
          <w:color w:val="000000"/>
          <w:sz w:val="18"/>
        </w:rPr>
        <w:t>This summary constitutes no part of the opinion of the court. It has been prepared by court staff for the convenience of the reader.</w:t>
      </w:r>
    </w:p>
  </w:footnote>
  <w:footnote w:id="106">
    <w:p w14:paraId="4E6C1895" w14:textId="77777777" w:rsidR="002D0E71" w:rsidRDefault="00000000">
      <w:pPr>
        <w:pStyle w:val="Normal23"/>
        <w:widowControl w:val="0"/>
        <w:spacing w:before="120" w:line="240" w:lineRule="atLeast"/>
        <w:jc w:val="both"/>
      </w:pPr>
      <w:r>
        <w:rPr>
          <w:rFonts w:ascii="Arial" w:eastAsia="Arial" w:hAnsi="Arial" w:cs="Arial"/>
          <w:color w:val="000000"/>
          <w:sz w:val="18"/>
          <w:vertAlign w:val="superscript"/>
        </w:rPr>
        <w:t>* </w:t>
      </w:r>
      <w:bookmarkStart w:id="3415" w:name="Bookmark_fnpara_2_16"/>
      <w:bookmarkEnd w:id="3415"/>
      <w:r>
        <w:rPr>
          <w:rFonts w:ascii="Arial" w:eastAsia="Arial" w:hAnsi="Arial" w:cs="Arial"/>
          <w:color w:val="000000"/>
          <w:sz w:val="18"/>
        </w:rPr>
        <w:t>The Honorable J. Frederick Motz, Senior District Judge for the U.S. District Court for the District of Maryland, sitting by designation.</w:t>
      </w:r>
    </w:p>
  </w:footnote>
  <w:footnote w:id="107">
    <w:p w14:paraId="23F7DB8E" w14:textId="77777777" w:rsidR="002D0E71" w:rsidRDefault="00000000">
      <w:pPr>
        <w:pStyle w:val="Normal23"/>
        <w:widowControl w:val="0"/>
        <w:spacing w:before="200" w:line="240" w:lineRule="atLeast"/>
        <w:jc w:val="both"/>
      </w:pPr>
      <w:r>
        <w:rPr>
          <w:rFonts w:ascii="Arial" w:eastAsia="Arial" w:hAnsi="Arial" w:cs="Arial"/>
          <w:color w:val="000000"/>
          <w:sz w:val="18"/>
          <w:vertAlign w:val="superscript"/>
        </w:rPr>
        <w:t>1 </w:t>
      </w:r>
      <w:bookmarkStart w:id="3423" w:name="Bookmark_fnpara_3_12"/>
      <w:bookmarkEnd w:id="3423"/>
      <w:r>
        <w:rPr>
          <w:rFonts w:ascii="Arial" w:eastAsia="Arial" w:hAnsi="Arial" w:cs="Arial"/>
          <w:color w:val="000000"/>
          <w:sz w:val="18"/>
        </w:rPr>
        <w:t xml:space="preserve">"Because a private plaintiff can sue only for injunctive relief (i.e., for removal of the barrier) under the ADA, a defendant's voluntary removal of alleged barriers prior to trial can have the effect of mooting a plaintiff's ADA claim." </w:t>
      </w:r>
      <w:bookmarkStart w:id="3424" w:name="Bookmark_I5FSPS622SF8M10010000400"/>
      <w:bookmarkEnd w:id="3424"/>
      <w:r>
        <w:rPr>
          <w:rFonts w:ascii="Arial" w:eastAsia="Arial" w:hAnsi="Arial" w:cs="Arial"/>
          <w:i/>
          <w:color w:val="000000"/>
          <w:sz w:val="18"/>
        </w:rPr>
        <w:t>Oliver v. Ralphs Grocery Co</w:t>
      </w:r>
      <w:r>
        <w:rPr>
          <w:rFonts w:ascii="Arial" w:eastAsia="Arial" w:hAnsi="Arial" w:cs="Arial"/>
          <w:color w:val="000000"/>
          <w:sz w:val="18"/>
        </w:rPr>
        <w:t>., 654 F.3d 903, 905 (9th Cir. 2011).</w:t>
      </w:r>
    </w:p>
  </w:footnote>
  <w:footnote w:id="108">
    <w:p w14:paraId="76AE9EBD" w14:textId="77777777" w:rsidR="002D0E71" w:rsidRDefault="00000000">
      <w:pPr>
        <w:pStyle w:val="Normal23"/>
        <w:widowControl w:val="0"/>
        <w:spacing w:before="200" w:line="240" w:lineRule="atLeast"/>
        <w:jc w:val="both"/>
      </w:pPr>
      <w:r>
        <w:rPr>
          <w:rFonts w:ascii="Arial" w:eastAsia="Arial" w:hAnsi="Arial" w:cs="Arial"/>
          <w:color w:val="000000"/>
          <w:sz w:val="18"/>
          <w:vertAlign w:val="superscript"/>
        </w:rPr>
        <w:t>2 </w:t>
      </w:r>
      <w:bookmarkStart w:id="3447" w:name="Bookmark_fnpara_4_10"/>
      <w:bookmarkEnd w:id="3447"/>
      <w:r>
        <w:rPr>
          <w:rFonts w:ascii="Arial" w:eastAsia="Arial" w:hAnsi="Arial" w:cs="Arial"/>
          <w:color w:val="000000"/>
          <w:sz w:val="18"/>
        </w:rPr>
        <w:t xml:space="preserve">Though Kohler refers to his paper towel and toilet paper dispenser claims in both his "Facts and Proceedings" and "Statement of the Issues" sections, the only errors he argues related to those claims deal with the award of attorneys' fees. Kohler has waived his challenge to summary judgment on those claims. </w:t>
      </w:r>
      <w:r>
        <w:rPr>
          <w:rFonts w:ascii="Arial" w:eastAsia="Arial" w:hAnsi="Arial" w:cs="Arial"/>
          <w:i/>
          <w:color w:val="000000"/>
          <w:sz w:val="18"/>
        </w:rPr>
        <w:t xml:space="preserve">See </w:t>
      </w:r>
      <w:bookmarkStart w:id="3448" w:name="Bookmark_I5FSPS6228T4VP0030000400"/>
      <w:bookmarkEnd w:id="3448"/>
      <w:r>
        <w:rPr>
          <w:rFonts w:ascii="Arial" w:eastAsia="Arial" w:hAnsi="Arial" w:cs="Arial"/>
          <w:i/>
          <w:color w:val="000000"/>
          <w:sz w:val="18"/>
        </w:rPr>
        <w:t>Simpson v. Union Oil Co. of Cal</w:t>
      </w:r>
      <w:r>
        <w:rPr>
          <w:rFonts w:ascii="Arial" w:eastAsia="Arial" w:hAnsi="Arial" w:cs="Arial"/>
          <w:color w:val="000000"/>
          <w:sz w:val="18"/>
        </w:rPr>
        <w:t>., 411 F.2d 897, 900 n.2 (9th Cir. 1969) (</w:t>
      </w:r>
      <w:r>
        <w:rPr>
          <w:rFonts w:ascii="Arial" w:eastAsia="Arial" w:hAnsi="Arial" w:cs="Arial"/>
          <w:i/>
          <w:color w:val="000000"/>
          <w:sz w:val="18"/>
        </w:rPr>
        <w:t>rev'd on other grounds</w:t>
      </w:r>
      <w:r>
        <w:rPr>
          <w:rFonts w:ascii="Arial" w:eastAsia="Arial" w:hAnsi="Arial" w:cs="Arial"/>
          <w:color w:val="000000"/>
          <w:sz w:val="18"/>
        </w:rPr>
        <w:t>, 396 U.S. 13, 90 S. Ct. 30, 24 L. Ed. 2d 13 (1969)).</w:t>
      </w:r>
    </w:p>
  </w:footnote>
  <w:footnote w:id="109">
    <w:p w14:paraId="240CB5CB" w14:textId="77777777" w:rsidR="002D0E71" w:rsidRDefault="00000000">
      <w:pPr>
        <w:pStyle w:val="Normal23"/>
        <w:widowControl w:val="0"/>
        <w:spacing w:before="120" w:line="240" w:lineRule="atLeast"/>
        <w:jc w:val="both"/>
      </w:pPr>
      <w:r>
        <w:rPr>
          <w:rFonts w:ascii="Arial" w:eastAsia="Arial" w:hAnsi="Arial" w:cs="Arial"/>
          <w:color w:val="000000"/>
          <w:sz w:val="18"/>
          <w:vertAlign w:val="superscript"/>
        </w:rPr>
        <w:t>3 </w:t>
      </w:r>
      <w:bookmarkStart w:id="3471" w:name="Bookmark_fnpara_5_7"/>
      <w:bookmarkEnd w:id="3471"/>
      <w:r>
        <w:rPr>
          <w:rFonts w:ascii="Arial" w:eastAsia="Arial" w:hAnsi="Arial" w:cs="Arial"/>
          <w:color w:val="000000"/>
          <w:sz w:val="18"/>
        </w:rPr>
        <w:t>It also unnecessarily complicates the process of remediating the ADA violation. Were a court to grant an injunction against a tenant to remediate a violation in an area of the property under the landlord's exclusive control, such an injunction would require the tenant to then sue the landlord, under an uncertain cause of action, to ensure subsequent remediation. The goals of the ADA are better served by allocating such compliance obligations directly to the landlord.</w:t>
      </w:r>
    </w:p>
  </w:footnote>
  <w:footnote w:id="110">
    <w:p w14:paraId="16A6ED69" w14:textId="77777777" w:rsidR="002D0E71" w:rsidRDefault="00000000">
      <w:pPr>
        <w:pStyle w:val="Normal23"/>
        <w:widowControl w:val="0"/>
        <w:spacing w:before="120" w:line="240" w:lineRule="atLeast"/>
        <w:jc w:val="both"/>
      </w:pPr>
      <w:r>
        <w:rPr>
          <w:rFonts w:ascii="Arial" w:eastAsia="Arial" w:hAnsi="Arial" w:cs="Arial"/>
          <w:color w:val="000000"/>
          <w:sz w:val="18"/>
          <w:vertAlign w:val="superscript"/>
        </w:rPr>
        <w:t>4 </w:t>
      </w:r>
      <w:bookmarkStart w:id="3482" w:name="Bookmark_fnpara_6_5"/>
      <w:bookmarkStart w:id="3483" w:name="Bookmark_LNHNREFclscc11_13"/>
      <w:bookmarkEnd w:id="3482"/>
      <w:bookmarkEnd w:id="3483"/>
      <w:r>
        <w:rPr>
          <w:rFonts w:ascii="Arial" w:eastAsia="Arial" w:hAnsi="Arial" w:cs="Arial"/>
          <w:color w:val="000000"/>
          <w:sz w:val="18"/>
        </w:rPr>
        <w:t>A "path of travel" is a continuous, accessible pathway from a particular altered area to "an exterior approach (including sidewalks, streets, and parking areas), an entrance to the facility, and other parts of the facility." 28 C.F.R. § 36.403(e)(1). In the context of a shopping center, such a path of travel would include many features considered to be within the "Common Area" under BB&amp;B's lease, such as "walks and sidewalks, curb ramps and other interior or exterior pedestrian ramps; clear floor paths through lobbies, corridors, rooms, and other improved areas; parking access aisles; elevators and lifts; or a combination of these elements." 28 C.F.R. § 36.403(e)(2).</w:t>
      </w:r>
    </w:p>
  </w:footnote>
  <w:footnote w:id="111">
    <w:p w14:paraId="1CEEA59F" w14:textId="77777777" w:rsidR="002D0E71" w:rsidRDefault="00000000">
      <w:pPr>
        <w:pStyle w:val="Normal23"/>
        <w:widowControl w:val="0"/>
        <w:spacing w:before="200" w:line="240" w:lineRule="atLeast"/>
        <w:jc w:val="both"/>
      </w:pPr>
      <w:r>
        <w:rPr>
          <w:rFonts w:ascii="Arial" w:eastAsia="Arial" w:hAnsi="Arial" w:cs="Arial"/>
          <w:color w:val="000000"/>
          <w:sz w:val="18"/>
          <w:vertAlign w:val="superscript"/>
        </w:rPr>
        <w:t>5 </w:t>
      </w:r>
      <w:bookmarkStart w:id="3491" w:name="Bookmark_fnpara_7_5"/>
      <w:bookmarkEnd w:id="3491"/>
      <w:r>
        <w:rPr>
          <w:rFonts w:ascii="Arial" w:eastAsia="Arial" w:hAnsi="Arial" w:cs="Arial"/>
          <w:color w:val="000000"/>
          <w:sz w:val="18"/>
        </w:rPr>
        <w:t xml:space="preserve">Kohler, in his reply brief, points for the first time to an FAQ document from the DOJ, discussing landlord and tenant obligations in the context of leased medical office space. That document does refer to a potential arrangement where a tenant could be liable for ADA violations in toilets used by other tenants. </w:t>
      </w:r>
      <w:r>
        <w:rPr>
          <w:rFonts w:ascii="Arial" w:eastAsia="Arial" w:hAnsi="Arial" w:cs="Arial"/>
          <w:i/>
          <w:color w:val="000000"/>
          <w:sz w:val="18"/>
        </w:rPr>
        <w:t>See</w:t>
      </w:r>
      <w:r>
        <w:rPr>
          <w:rFonts w:ascii="Arial" w:eastAsia="Arial" w:hAnsi="Arial" w:cs="Arial"/>
          <w:color w:val="000000"/>
          <w:sz w:val="18"/>
        </w:rPr>
        <w:t xml:space="preserve"> DOJ Disability Rights Section, "Americans with Disabilities Act, Access to Medical Care for Individuals with Mobility Disabilities," at 3, </w:t>
      </w:r>
      <w:r>
        <w:rPr>
          <w:rFonts w:ascii="Arial" w:eastAsia="Arial" w:hAnsi="Arial" w:cs="Arial"/>
          <w:i/>
          <w:color w:val="000000"/>
          <w:sz w:val="18"/>
        </w:rPr>
        <w:t>available</w:t>
      </w:r>
      <w:r>
        <w:rPr>
          <w:rFonts w:ascii="Arial" w:eastAsia="Arial" w:hAnsi="Arial" w:cs="Arial"/>
          <w:color w:val="000000"/>
          <w:sz w:val="18"/>
        </w:rPr>
        <w:t xml:space="preserve"> at: http://www.ada.gov/medcare_ mobility_ta/medcare_ta.htm. But this is a general statement, describing a possible arrangement between landlord and tenant; nothing in this source persuasively suggests that the DOJ has moved away from its specific and definite statement in the Technical Assistance Manual, quoted above.</w:t>
      </w:r>
    </w:p>
  </w:footnote>
  <w:footnote w:id="112">
    <w:p w14:paraId="0A547B63" w14:textId="77777777" w:rsidR="002D0E71" w:rsidRDefault="00000000">
      <w:pPr>
        <w:pStyle w:val="Normal24"/>
        <w:widowControl w:val="0"/>
        <w:spacing w:before="120" w:line="240" w:lineRule="atLeast"/>
        <w:jc w:val="both"/>
      </w:pPr>
      <w:r>
        <w:rPr>
          <w:rFonts w:ascii="Arial" w:eastAsia="Arial" w:hAnsi="Arial" w:cs="Arial"/>
          <w:color w:val="000000"/>
          <w:sz w:val="18"/>
          <w:vertAlign w:val="superscript"/>
        </w:rPr>
        <w:t>** </w:t>
      </w:r>
      <w:bookmarkStart w:id="3525" w:name="Bookmark_fnpara_1_20"/>
      <w:bookmarkEnd w:id="3525"/>
      <w:r>
        <w:rPr>
          <w:rFonts w:ascii="Arial" w:eastAsia="Arial" w:hAnsi="Arial" w:cs="Arial"/>
          <w:color w:val="000000"/>
          <w:sz w:val="18"/>
        </w:rPr>
        <w:t>This summary constitutes no part of the opinion of the court. It has been prepared by court staff for the convenience of the reader.</w:t>
      </w:r>
    </w:p>
  </w:footnote>
  <w:footnote w:id="113">
    <w:p w14:paraId="660E4866" w14:textId="77777777" w:rsidR="002D0E71" w:rsidRDefault="00000000">
      <w:pPr>
        <w:pStyle w:val="Normal24"/>
        <w:widowControl w:val="0"/>
        <w:spacing w:before="120" w:line="240" w:lineRule="atLeast"/>
        <w:jc w:val="both"/>
      </w:pPr>
      <w:r>
        <w:rPr>
          <w:rFonts w:ascii="Arial" w:eastAsia="Arial" w:hAnsi="Arial" w:cs="Arial"/>
          <w:color w:val="000000"/>
          <w:sz w:val="18"/>
          <w:vertAlign w:val="superscript"/>
        </w:rPr>
        <w:t>* </w:t>
      </w:r>
      <w:bookmarkStart w:id="3534" w:name="Bookmark_fnpara_2_17"/>
      <w:bookmarkEnd w:id="3534"/>
      <w:r>
        <w:rPr>
          <w:rFonts w:ascii="Arial" w:eastAsia="Arial" w:hAnsi="Arial" w:cs="Arial"/>
          <w:color w:val="000000"/>
          <w:sz w:val="18"/>
        </w:rPr>
        <w:t>The Honorable J. Frederick Motz, Senior United States District Judge for the District of Maryland, sitting by designation.</w:t>
      </w:r>
    </w:p>
  </w:footnote>
  <w:footnote w:id="114">
    <w:p w14:paraId="4CFC5D2D" w14:textId="77777777" w:rsidR="002D0E71" w:rsidRDefault="00000000">
      <w:pPr>
        <w:pStyle w:val="Normal24"/>
        <w:widowControl w:val="0"/>
        <w:spacing w:before="200" w:line="240" w:lineRule="atLeast"/>
        <w:jc w:val="both"/>
      </w:pPr>
      <w:r>
        <w:rPr>
          <w:rFonts w:ascii="Arial" w:eastAsia="Arial" w:hAnsi="Arial" w:cs="Arial"/>
          <w:color w:val="000000"/>
          <w:sz w:val="18"/>
          <w:vertAlign w:val="superscript"/>
        </w:rPr>
        <w:t>1 </w:t>
      </w:r>
      <w:bookmarkStart w:id="3592" w:name="Bookmark_fnpara_3_13"/>
      <w:bookmarkEnd w:id="3592"/>
      <w:r>
        <w:rPr>
          <w:rFonts w:ascii="Arial" w:eastAsia="Arial" w:hAnsi="Arial" w:cs="Arial"/>
          <w:color w:val="000000"/>
          <w:sz w:val="18"/>
        </w:rPr>
        <w:t xml:space="preserve">At oral argument, counsel for Eddie Bauer argued that the counters contained a "cut out" that made them compliant with the ADA. In a 28(j) letter to the court, Eddie Bauer argues that the counter had a shelf attached to its side measuring thirty-four inches in height. </w:t>
      </w:r>
      <w:bookmarkStart w:id="3593" w:name="Bookmark_I5FRVGWN28T40X0020000400"/>
      <w:bookmarkStart w:id="3594" w:name="Bookmark_LNHNREFclscc8_17"/>
      <w:bookmarkEnd w:id="3593"/>
      <w:bookmarkEnd w:id="3594"/>
      <w:r>
        <w:rPr>
          <w:rFonts w:ascii="Arial" w:eastAsia="Arial" w:hAnsi="Arial" w:cs="Arial"/>
          <w:color w:val="000000"/>
          <w:sz w:val="18"/>
        </w:rPr>
        <w:t xml:space="preserve">Neither argument was adjudicated in the district court's opinion or mentioned in the briefs before this court. Thus, they are waived on this appeal. </w:t>
      </w:r>
      <w:r>
        <w:rPr>
          <w:rFonts w:ascii="Arial" w:eastAsia="Arial" w:hAnsi="Arial" w:cs="Arial"/>
          <w:i/>
          <w:color w:val="000000"/>
          <w:sz w:val="18"/>
        </w:rPr>
        <w:t xml:space="preserve">See </w:t>
      </w:r>
      <w:bookmarkStart w:id="3595" w:name="Bookmark_I5FRVGWN28T40X0010000400"/>
      <w:bookmarkEnd w:id="3595"/>
      <w:r>
        <w:rPr>
          <w:rFonts w:ascii="Arial" w:eastAsia="Arial" w:hAnsi="Arial" w:cs="Arial"/>
          <w:i/>
          <w:color w:val="000000"/>
          <w:sz w:val="18"/>
        </w:rPr>
        <w:t>Cruz v. Int'l Collection Corp</w:t>
      </w:r>
      <w:r>
        <w:rPr>
          <w:rFonts w:ascii="Arial" w:eastAsia="Arial" w:hAnsi="Arial" w:cs="Arial"/>
          <w:color w:val="000000"/>
          <w:sz w:val="18"/>
        </w:rPr>
        <w:t>., 673 F.3d 991, 998 (9th Cir. 2012).</w:t>
      </w:r>
    </w:p>
  </w:footnote>
  <w:footnote w:id="115">
    <w:p w14:paraId="088F6550" w14:textId="77777777" w:rsidR="002D0E71" w:rsidRDefault="00000000">
      <w:pPr>
        <w:pStyle w:val="Normal24"/>
        <w:widowControl w:val="0"/>
        <w:spacing w:before="200" w:line="240" w:lineRule="atLeast"/>
        <w:jc w:val="both"/>
      </w:pPr>
      <w:r>
        <w:rPr>
          <w:rFonts w:ascii="Arial" w:eastAsia="Arial" w:hAnsi="Arial" w:cs="Arial"/>
          <w:color w:val="000000"/>
          <w:sz w:val="18"/>
          <w:vertAlign w:val="superscript"/>
        </w:rPr>
        <w:t>2 </w:t>
      </w:r>
      <w:bookmarkStart w:id="3614" w:name="Bookmark_fnpara_4_11"/>
      <w:bookmarkEnd w:id="3614"/>
      <w:r>
        <w:rPr>
          <w:rFonts w:ascii="Arial" w:eastAsia="Arial" w:hAnsi="Arial" w:cs="Arial"/>
          <w:color w:val="000000"/>
          <w:sz w:val="18"/>
        </w:rPr>
        <w:t xml:space="preserve">This holding follows the reasoning of another district court in this Circuit. </w:t>
      </w:r>
      <w:r>
        <w:rPr>
          <w:rFonts w:ascii="Arial" w:eastAsia="Arial" w:hAnsi="Arial" w:cs="Arial"/>
          <w:i/>
          <w:color w:val="000000"/>
          <w:sz w:val="18"/>
        </w:rPr>
        <w:t xml:space="preserve">See </w:t>
      </w:r>
      <w:bookmarkStart w:id="3615" w:name="Bookmark_I5FRVGX92SF8K70010000400"/>
      <w:bookmarkEnd w:id="3615"/>
      <w:r>
        <w:rPr>
          <w:rFonts w:ascii="Arial" w:eastAsia="Arial" w:hAnsi="Arial" w:cs="Arial"/>
          <w:i/>
          <w:color w:val="000000"/>
          <w:sz w:val="18"/>
        </w:rPr>
        <w:t>Johnson v. Wayside Prop., Inc</w:t>
      </w:r>
      <w:r>
        <w:rPr>
          <w:rFonts w:ascii="Arial" w:eastAsia="Arial" w:hAnsi="Arial" w:cs="Arial"/>
          <w:color w:val="000000"/>
          <w:sz w:val="18"/>
        </w:rPr>
        <w:t>., 41 F. Supp. 3d 973, 2014 WL 4276164, at *5 (E.D. Cal. 2014).</w:t>
      </w:r>
    </w:p>
  </w:footnote>
  <w:footnote w:id="116">
    <w:p w14:paraId="002E5900" w14:textId="77777777" w:rsidR="002D0E71" w:rsidRDefault="00000000">
      <w:pPr>
        <w:pStyle w:val="Normal24"/>
        <w:widowControl w:val="0"/>
        <w:spacing w:before="200" w:line="240" w:lineRule="atLeast"/>
        <w:jc w:val="both"/>
      </w:pPr>
      <w:r>
        <w:rPr>
          <w:rFonts w:ascii="Arial" w:eastAsia="Arial" w:hAnsi="Arial" w:cs="Arial"/>
          <w:color w:val="000000"/>
          <w:sz w:val="18"/>
          <w:vertAlign w:val="superscript"/>
        </w:rPr>
        <w:t>3 </w:t>
      </w:r>
      <w:bookmarkStart w:id="3626" w:name="Bookmark_fnpara_5_8"/>
      <w:bookmarkStart w:id="3627" w:name="Bookmark_I4GW5RVTK1G000RKF9P000WN"/>
      <w:bookmarkStart w:id="3628" w:name="Bookmark_I5FRVGX928T4600050000400"/>
      <w:bookmarkEnd w:id="3626"/>
      <w:bookmarkEnd w:id="3627"/>
      <w:bookmarkEnd w:id="3628"/>
      <w:r>
        <w:rPr>
          <w:rFonts w:ascii="Arial" w:eastAsia="Arial" w:hAnsi="Arial" w:cs="Arial"/>
          <w:color w:val="000000"/>
          <w:sz w:val="18"/>
        </w:rPr>
        <w:t xml:space="preserve">This ruling is in accordance with this court's recent decision in </w:t>
      </w:r>
      <w:bookmarkStart w:id="3629" w:name="Bookmark_I5FRVGX928T4600040000400"/>
      <w:bookmarkEnd w:id="3629"/>
      <w:r>
        <w:rPr>
          <w:rFonts w:ascii="Arial" w:eastAsia="Arial" w:hAnsi="Arial" w:cs="Arial"/>
          <w:i/>
          <w:color w:val="000000"/>
          <w:sz w:val="18"/>
        </w:rPr>
        <w:t>Chapman v. Pier 1 Imports (U.S.) Inc</w:t>
      </w:r>
      <w:r>
        <w:rPr>
          <w:rFonts w:ascii="Arial" w:eastAsia="Arial" w:hAnsi="Arial" w:cs="Arial"/>
          <w:color w:val="000000"/>
          <w:sz w:val="18"/>
        </w:rPr>
        <w:t xml:space="preserve">., 779 F.3d 1001, 2015 U.S. App. LEXIS 3535, 2015 WL 925586 (9th Cir. Mar. 5, 2015). In </w:t>
      </w:r>
      <w:r>
        <w:rPr>
          <w:rFonts w:ascii="Arial" w:eastAsia="Arial" w:hAnsi="Arial" w:cs="Arial"/>
          <w:i/>
          <w:color w:val="000000"/>
          <w:sz w:val="18"/>
        </w:rPr>
        <w:t>Chapman</w:t>
      </w:r>
      <w:r>
        <w:rPr>
          <w:rFonts w:ascii="Arial" w:eastAsia="Arial" w:hAnsi="Arial" w:cs="Arial"/>
          <w:color w:val="000000"/>
          <w:sz w:val="18"/>
        </w:rPr>
        <w:t>, this court affirmed a district court's finding that Pier 1's aisles violated the ADA. The plaintiff presented evidence that on eleven separate visits to the store, he encountered several obstructed and blocked aisles. He also submitted photographs and an expert report to this effect. Here, Kohler only offered vague testimony that on one visit to the store there was merchandise in the aisles and he did not provide [**11]  an expert report or photographs indicating that the aisles were blocked.</w:t>
      </w:r>
    </w:p>
  </w:footnote>
  <w:footnote w:id="117">
    <w:p w14:paraId="0D190B8D" w14:textId="77777777" w:rsidR="002D0E71" w:rsidRDefault="00000000">
      <w:pPr>
        <w:pStyle w:val="Normal24"/>
        <w:widowControl w:val="0"/>
        <w:spacing w:before="200" w:line="240" w:lineRule="atLeast"/>
        <w:jc w:val="both"/>
      </w:pPr>
      <w:r>
        <w:rPr>
          <w:rFonts w:ascii="Arial" w:eastAsia="Arial" w:hAnsi="Arial" w:cs="Arial"/>
          <w:color w:val="000000"/>
          <w:sz w:val="18"/>
          <w:vertAlign w:val="superscript"/>
        </w:rPr>
        <w:t>4 </w:t>
      </w:r>
      <w:bookmarkStart w:id="3645" w:name="Bookmark_fnpara_6_6"/>
      <w:bookmarkStart w:id="3646" w:name="Bookmark_I4GW5RVTPVM000RKF9P000WP"/>
      <w:bookmarkStart w:id="3647" w:name="Bookmark_I5FRVGX92D6NCV0050000400"/>
      <w:bookmarkEnd w:id="3645"/>
      <w:bookmarkEnd w:id="3646"/>
      <w:bookmarkEnd w:id="3647"/>
      <w:r>
        <w:rPr>
          <w:rFonts w:ascii="Arial" w:eastAsia="Arial" w:hAnsi="Arial" w:cs="Arial"/>
          <w:color w:val="000000"/>
          <w:sz w:val="18"/>
        </w:rPr>
        <w:t xml:space="preserve">Notably, the court in </w:t>
      </w:r>
      <w:r>
        <w:rPr>
          <w:rFonts w:ascii="Arial" w:eastAsia="Arial" w:hAnsi="Arial" w:cs="Arial"/>
          <w:i/>
          <w:color w:val="000000"/>
          <w:sz w:val="18"/>
        </w:rPr>
        <w:t>Jankey</w:t>
      </w:r>
      <w:r>
        <w:rPr>
          <w:rFonts w:ascii="Arial" w:eastAsia="Arial" w:hAnsi="Arial" w:cs="Arial"/>
          <w:color w:val="000000"/>
          <w:sz w:val="18"/>
        </w:rPr>
        <w:t xml:space="preserve"> did not rely upon the 2009 amendments to the CDPA in holding that section 55 was not preempted by the ADA. The court instead drew on the ADA's construction clause and the fact that plaintiffs were not required to bring claims under both the ADA and section 55. </w:t>
      </w:r>
      <w:r>
        <w:rPr>
          <w:rFonts w:ascii="Arial" w:eastAsia="Arial" w:hAnsi="Arial" w:cs="Arial"/>
          <w:i/>
          <w:color w:val="000000"/>
          <w:sz w:val="18"/>
        </w:rPr>
        <w:t xml:space="preserve">See </w:t>
      </w:r>
      <w:bookmarkStart w:id="3648" w:name="Bookmark_I5FRVGX92D6NCV0040000400"/>
      <w:bookmarkEnd w:id="3648"/>
      <w:r>
        <w:rPr>
          <w:rFonts w:ascii="Arial" w:eastAsia="Arial" w:hAnsi="Arial" w:cs="Arial"/>
          <w:i/>
          <w:color w:val="000000"/>
          <w:sz w:val="18"/>
        </w:rPr>
        <w:t>Jankey</w:t>
      </w:r>
      <w:r>
        <w:rPr>
          <w:rFonts w:ascii="Arial" w:eastAsia="Arial" w:hAnsi="Arial" w:cs="Arial"/>
          <w:color w:val="000000"/>
          <w:sz w:val="18"/>
        </w:rPr>
        <w:t>, 290 P.3d at 193—95. This court declines to adopt these arguments.</w:t>
      </w:r>
    </w:p>
  </w:footnote>
  <w:footnote w:id="118">
    <w:p w14:paraId="14DCDCB2" w14:textId="77777777" w:rsidR="002D0E71" w:rsidRDefault="00000000">
      <w:pPr>
        <w:pStyle w:val="Normal25"/>
        <w:widowControl w:val="0"/>
        <w:spacing w:before="120" w:line="240" w:lineRule="atLeast"/>
        <w:jc w:val="both"/>
      </w:pPr>
      <w:r>
        <w:rPr>
          <w:rFonts w:ascii="Arial" w:eastAsia="Arial" w:hAnsi="Arial" w:cs="Arial"/>
          <w:color w:val="000000"/>
          <w:sz w:val="18"/>
          <w:vertAlign w:val="superscript"/>
        </w:rPr>
        <w:t>* </w:t>
      </w:r>
      <w:bookmarkStart w:id="3658" w:name="Bookmark_fnpara_1_21"/>
      <w:bookmarkEnd w:id="3658"/>
      <w:r>
        <w:rPr>
          <w:rFonts w:ascii="Arial" w:eastAsia="Arial" w:hAnsi="Arial" w:cs="Arial"/>
          <w:color w:val="000000"/>
          <w:sz w:val="18"/>
        </w:rPr>
        <w:t>The Honorable J. Frederick Motz, Senior District Judge for the U.S. District Court for the District of Maryland, sitting by designation.</w:t>
      </w:r>
    </w:p>
  </w:footnote>
  <w:footnote w:id="119">
    <w:p w14:paraId="780B4A8E" w14:textId="77777777" w:rsidR="002D0E71" w:rsidRDefault="00000000">
      <w:pPr>
        <w:pStyle w:val="Normal25"/>
        <w:widowControl w:val="0"/>
        <w:spacing w:before="120" w:line="240" w:lineRule="atLeast"/>
        <w:jc w:val="both"/>
      </w:pPr>
      <w:r>
        <w:rPr>
          <w:rFonts w:ascii="Arial" w:eastAsia="Arial" w:hAnsi="Arial" w:cs="Arial"/>
          <w:color w:val="000000"/>
          <w:sz w:val="18"/>
          <w:vertAlign w:val="superscript"/>
        </w:rPr>
        <w:t>** </w:t>
      </w:r>
      <w:bookmarkStart w:id="3661" w:name="Bookmark_fnpara_2_18"/>
      <w:bookmarkEnd w:id="3661"/>
      <w:r>
        <w:rPr>
          <w:rFonts w:ascii="Arial" w:eastAsia="Arial" w:hAnsi="Arial" w:cs="Arial"/>
          <w:color w:val="000000"/>
          <w:sz w:val="18"/>
        </w:rPr>
        <w:t>This summary constitutes no part of the opinion of the court. It has been prepared by court staff for the convenience of the reader.</w:t>
      </w:r>
    </w:p>
  </w:footnote>
  <w:footnote w:id="120">
    <w:p w14:paraId="6438197D" w14:textId="77777777" w:rsidR="002D0E71" w:rsidRDefault="00000000">
      <w:pPr>
        <w:pStyle w:val="Normal25"/>
        <w:widowControl w:val="0"/>
        <w:spacing w:before="120" w:line="240" w:lineRule="atLeast"/>
        <w:jc w:val="both"/>
      </w:pPr>
      <w:r>
        <w:rPr>
          <w:rFonts w:ascii="Arial" w:eastAsia="Arial" w:hAnsi="Arial" w:cs="Arial"/>
          <w:color w:val="000000"/>
          <w:sz w:val="18"/>
          <w:vertAlign w:val="superscript"/>
        </w:rPr>
        <w:t>1 </w:t>
      </w:r>
      <w:bookmarkStart w:id="3700" w:name="Bookmark_fnpara_3_14"/>
      <w:bookmarkEnd w:id="3700"/>
      <w:r>
        <w:rPr>
          <w:rFonts w:ascii="Arial" w:eastAsia="Arial" w:hAnsi="Arial" w:cs="Arial"/>
          <w:color w:val="000000"/>
          <w:sz w:val="18"/>
        </w:rPr>
        <w:t>Holding that an equivalent facilitation was non-compliant and required to adhere to the 2010 guidelines would also lead to incongruent results. Counsel for Kohler admitted as much at oral argument when he conceded that a bench forty-eight inches in length and surrounded by walls on three sides would not allow a disabled person to complete a diagonal transfer, but would be compliant under the 1991 ADAAG. A bench that is governed by the 1991 ADAAG, in Kohler's logic, only has to be constructed to permit a diagonal transfer when it is longer than forty-eight inches.</w:t>
      </w:r>
    </w:p>
  </w:footnote>
  <w:footnote w:id="121">
    <w:p w14:paraId="5736C838" w14:textId="77777777" w:rsidR="002D0E71" w:rsidRDefault="00000000">
      <w:pPr>
        <w:pStyle w:val="Normal25"/>
        <w:widowControl w:val="0"/>
        <w:spacing w:before="200" w:line="240" w:lineRule="atLeast"/>
        <w:jc w:val="both"/>
      </w:pPr>
      <w:r>
        <w:rPr>
          <w:rFonts w:ascii="Arial" w:eastAsia="Arial" w:hAnsi="Arial" w:cs="Arial"/>
          <w:color w:val="000000"/>
          <w:sz w:val="18"/>
          <w:vertAlign w:val="superscript"/>
        </w:rPr>
        <w:t>2 </w:t>
      </w:r>
      <w:bookmarkStart w:id="3703" w:name="Bookmark_fnpara_4_12"/>
      <w:bookmarkStart w:id="3704" w:name="Bookmark_I82C6K584Y30007DHV2001WW"/>
      <w:bookmarkStart w:id="3705" w:name="Bookmark_I82C6K58B1Y0007DHV2001WX"/>
      <w:bookmarkStart w:id="3706" w:name="Bookmark_I5FN31M32N1RT70040000400"/>
      <w:bookmarkEnd w:id="3703"/>
      <w:bookmarkEnd w:id="3704"/>
      <w:bookmarkEnd w:id="3705"/>
      <w:bookmarkEnd w:id="3706"/>
      <w:r>
        <w:rPr>
          <w:rFonts w:ascii="Arial" w:eastAsia="Arial" w:hAnsi="Arial" w:cs="Arial"/>
          <w:color w:val="000000"/>
          <w:sz w:val="18"/>
        </w:rPr>
        <w:t xml:space="preserve">Kohler relies on two district court decisions that denied defendants' motions for summary judgment on the bench issue. </w:t>
      </w:r>
      <w:r>
        <w:rPr>
          <w:rFonts w:ascii="Arial" w:eastAsia="Arial" w:hAnsi="Arial" w:cs="Arial"/>
          <w:i/>
          <w:color w:val="000000"/>
          <w:sz w:val="18"/>
        </w:rPr>
        <w:t xml:space="preserve">See </w:t>
      </w:r>
      <w:bookmarkStart w:id="3707" w:name="Bookmark_I5FN31M32N1RT70030000400"/>
      <w:bookmarkEnd w:id="3707"/>
      <w:r>
        <w:rPr>
          <w:rFonts w:ascii="Arial" w:eastAsia="Arial" w:hAnsi="Arial" w:cs="Arial"/>
          <w:i/>
          <w:color w:val="000000"/>
          <w:sz w:val="18"/>
        </w:rPr>
        <w:t>Rush v. Hyun Suk Kim</w:t>
      </w:r>
      <w:r>
        <w:rPr>
          <w:rFonts w:ascii="Arial" w:eastAsia="Arial" w:hAnsi="Arial" w:cs="Arial"/>
          <w:color w:val="000000"/>
          <w:sz w:val="18"/>
        </w:rPr>
        <w:t xml:space="preserve">, 908 F.Supp.2d 1117 (C.D. Cal 2012); </w:t>
      </w:r>
      <w:bookmarkStart w:id="3708" w:name="Bookmark_I5FN31M32N1RT70050000400"/>
      <w:bookmarkEnd w:id="3708"/>
      <w:r>
        <w:rPr>
          <w:rFonts w:ascii="Arial" w:eastAsia="Arial" w:hAnsi="Arial" w:cs="Arial"/>
          <w:i/>
          <w:color w:val="000000"/>
          <w:sz w:val="18"/>
        </w:rPr>
        <w:t>Strong v. Horton Plaza, LP, et al</w:t>
      </w:r>
      <w:r>
        <w:rPr>
          <w:rFonts w:ascii="Arial" w:eastAsia="Arial" w:hAnsi="Arial" w:cs="Arial"/>
          <w:color w:val="000000"/>
          <w:sz w:val="18"/>
        </w:rPr>
        <w:t xml:space="preserve">., Case No. 3:09—cv—2901—JM (NLSx), 2010 U.S. Dist. LEXIS 86885 at *8 (S.D. Cal. Apr. 29, 2010). These decisions were decided prior to </w:t>
      </w:r>
      <w:r>
        <w:rPr>
          <w:rFonts w:ascii="Arial" w:eastAsia="Arial" w:hAnsi="Arial" w:cs="Arial"/>
          <w:i/>
          <w:color w:val="000000"/>
          <w:sz w:val="18"/>
        </w:rPr>
        <w:t>Martinez</w:t>
      </w:r>
      <w:r>
        <w:rPr>
          <w:rFonts w:ascii="Arial" w:eastAsia="Arial" w:hAnsi="Arial" w:cs="Arial"/>
          <w:color w:val="000000"/>
          <w:sz w:val="18"/>
        </w:rPr>
        <w:t>. Furthermore, they did not hold that a bench longer than 48 inches was non-compliant, only that the determination if a bench were compliant was a factual issue to be resolved at trial. This opinion makes explicit that a bench longer than forty-eight [**9]  inches that allows for a person to make a parallel transfer is an equivalent facilitation under the 1991 ADAAG.</w:t>
      </w:r>
    </w:p>
  </w:footnote>
  <w:footnote w:id="122">
    <w:p w14:paraId="6BABF730" w14:textId="77777777" w:rsidR="002D0E71" w:rsidRDefault="00000000">
      <w:pPr>
        <w:pStyle w:val="Normal26"/>
        <w:widowControl w:val="0"/>
        <w:spacing w:before="120" w:line="240" w:lineRule="atLeast"/>
        <w:jc w:val="both"/>
      </w:pPr>
      <w:r>
        <w:rPr>
          <w:rFonts w:ascii="Arial" w:eastAsia="Arial" w:hAnsi="Arial" w:cs="Arial"/>
          <w:color w:val="000000"/>
          <w:sz w:val="18"/>
          <w:vertAlign w:val="superscript"/>
        </w:rPr>
        <w:t>** </w:t>
      </w:r>
      <w:bookmarkStart w:id="3731" w:name="Bookmark_fnpara_1_22"/>
      <w:bookmarkEnd w:id="3731"/>
      <w:r>
        <w:rPr>
          <w:rFonts w:ascii="Arial" w:eastAsia="Arial" w:hAnsi="Arial" w:cs="Arial"/>
          <w:color w:val="000000"/>
          <w:sz w:val="18"/>
        </w:rPr>
        <w:t>This summary constitutes no part of the opinion of the court. It has been prepared by court staff for the convenience of the reader.</w:t>
      </w:r>
    </w:p>
  </w:footnote>
  <w:footnote w:id="123">
    <w:p w14:paraId="3F36ED64" w14:textId="77777777" w:rsidR="002D0E71" w:rsidRDefault="00000000">
      <w:pPr>
        <w:pStyle w:val="Normal26"/>
        <w:widowControl w:val="0"/>
        <w:spacing w:before="120" w:line="240" w:lineRule="atLeast"/>
        <w:jc w:val="both"/>
      </w:pPr>
      <w:r>
        <w:rPr>
          <w:rFonts w:ascii="Arial" w:eastAsia="Arial" w:hAnsi="Arial" w:cs="Arial"/>
          <w:color w:val="000000"/>
          <w:sz w:val="18"/>
          <w:vertAlign w:val="superscript"/>
        </w:rPr>
        <w:t>* </w:t>
      </w:r>
      <w:bookmarkStart w:id="3739" w:name="Bookmark_fnpara_2_19"/>
      <w:bookmarkEnd w:id="3739"/>
      <w:r>
        <w:rPr>
          <w:rFonts w:ascii="Arial" w:eastAsia="Arial" w:hAnsi="Arial" w:cs="Arial"/>
          <w:color w:val="000000"/>
          <w:sz w:val="18"/>
        </w:rPr>
        <w:t>The Honorable Elaine E. Bucklo, Senior District Judge for the U.S. District Court for the Northern District of Illinois, sitting by designation.</w:t>
      </w:r>
    </w:p>
  </w:footnote>
  <w:footnote w:id="124">
    <w:p w14:paraId="393DE008" w14:textId="77777777" w:rsidR="002D0E71" w:rsidRDefault="00000000">
      <w:pPr>
        <w:pStyle w:val="Normal26"/>
        <w:widowControl w:val="0"/>
        <w:spacing w:before="200" w:line="240" w:lineRule="atLeast"/>
        <w:jc w:val="both"/>
      </w:pPr>
      <w:r>
        <w:rPr>
          <w:rFonts w:ascii="Arial" w:eastAsia="Arial" w:hAnsi="Arial" w:cs="Arial"/>
          <w:color w:val="000000"/>
          <w:sz w:val="18"/>
          <w:vertAlign w:val="superscript"/>
        </w:rPr>
        <w:t>1 </w:t>
      </w:r>
      <w:bookmarkStart w:id="3746" w:name="Bookmark_fnpara_3_15"/>
      <w:bookmarkEnd w:id="3746"/>
      <w:r>
        <w:rPr>
          <w:rFonts w:ascii="Arial" w:eastAsia="Arial" w:hAnsi="Arial" w:cs="Arial"/>
          <w:color w:val="000000"/>
          <w:sz w:val="18"/>
        </w:rPr>
        <w:t xml:space="preserve">Chapman's state claims are entirely dependent on his ADA claim. He does not allege any conduct beyond that alleged to violate the ADA. </w:t>
      </w:r>
      <w:r>
        <w:rPr>
          <w:rFonts w:ascii="Arial" w:eastAsia="Arial" w:hAnsi="Arial" w:cs="Arial"/>
          <w:i/>
          <w:color w:val="000000"/>
          <w:sz w:val="18"/>
        </w:rPr>
        <w:t>See, e.g</w:t>
      </w:r>
      <w:r>
        <w:rPr>
          <w:rFonts w:ascii="Arial" w:eastAsia="Arial" w:hAnsi="Arial" w:cs="Arial"/>
          <w:color w:val="000000"/>
          <w:sz w:val="18"/>
        </w:rPr>
        <w:t xml:space="preserve">., </w:t>
      </w:r>
      <w:bookmarkStart w:id="3747" w:name="Bookmark_LNHNREFclscc1_21"/>
      <w:bookmarkEnd w:id="3747"/>
      <w:r>
        <w:rPr>
          <w:rFonts w:ascii="Arial" w:eastAsia="Arial" w:hAnsi="Arial" w:cs="Arial"/>
          <w:color w:val="000000"/>
          <w:sz w:val="18"/>
        </w:rPr>
        <w:t>Cal. Civ. Code § 51(f) ("A violation of the right of any individual under the [ADA] shall also constitute a violation of this section"); Cal. Civ. Code § 54(c) ("A violation of the right of any individual under the [ADA] also constitutes a violation of this section").</w:t>
      </w:r>
    </w:p>
  </w:footnote>
  <w:footnote w:id="125">
    <w:p w14:paraId="15C8706B" w14:textId="77777777" w:rsidR="002D0E71" w:rsidRDefault="00000000">
      <w:pPr>
        <w:pStyle w:val="Normal26"/>
        <w:widowControl w:val="0"/>
        <w:spacing w:before="120" w:line="240" w:lineRule="atLeast"/>
        <w:jc w:val="both"/>
      </w:pPr>
      <w:r>
        <w:rPr>
          <w:rFonts w:ascii="Arial" w:eastAsia="Arial" w:hAnsi="Arial" w:cs="Arial"/>
          <w:color w:val="000000"/>
          <w:sz w:val="18"/>
          <w:vertAlign w:val="superscript"/>
        </w:rPr>
        <w:t>2 </w:t>
      </w:r>
      <w:bookmarkStart w:id="3767" w:name="Bookmark_fnpara_4_13"/>
      <w:bookmarkEnd w:id="3767"/>
      <w:r>
        <w:rPr>
          <w:rFonts w:ascii="Arial" w:eastAsia="Arial" w:hAnsi="Arial" w:cs="Arial"/>
          <w:color w:val="000000"/>
          <w:sz w:val="18"/>
        </w:rPr>
        <w:t>Pier 1 argued in the district court that "movable obstructions" do not violate the ADA. It does not appeal, however, the district court's conclusion that "nothing in the [DOJ's] commentaries or its technical assistance materials — nor in the ADA itself, its implementing regulations or the ADA Accessibility Guidelines . . . state or imply that 'movable obstructions' cannot violate the ADA."</w:t>
      </w:r>
    </w:p>
  </w:footnote>
  <w:footnote w:id="126">
    <w:p w14:paraId="458D86B9" w14:textId="77777777" w:rsidR="002D0E71" w:rsidRDefault="00000000">
      <w:pPr>
        <w:pStyle w:val="Normal26"/>
        <w:widowControl w:val="0"/>
        <w:spacing w:before="120" w:line="240" w:lineRule="atLeast"/>
        <w:jc w:val="both"/>
      </w:pPr>
      <w:r>
        <w:rPr>
          <w:rFonts w:ascii="Arial" w:eastAsia="Arial" w:hAnsi="Arial" w:cs="Arial"/>
          <w:color w:val="000000"/>
          <w:sz w:val="18"/>
          <w:vertAlign w:val="superscript"/>
        </w:rPr>
        <w:t>3 </w:t>
      </w:r>
      <w:bookmarkStart w:id="3779" w:name="Bookmark_fnpara_5_9"/>
      <w:bookmarkEnd w:id="3779"/>
      <w:r>
        <w:rPr>
          <w:rFonts w:ascii="Arial" w:eastAsia="Arial" w:hAnsi="Arial" w:cs="Arial"/>
          <w:color w:val="000000"/>
          <w:sz w:val="18"/>
        </w:rPr>
        <w:t>Available at http://www.ada.gov/1991standards/adastd94-archive.pdf (last visited on February 24, 2015).</w:t>
      </w:r>
    </w:p>
  </w:footnote>
  <w:footnote w:id="127">
    <w:p w14:paraId="6176367B" w14:textId="77777777" w:rsidR="002D0E71" w:rsidRDefault="00000000">
      <w:pPr>
        <w:pStyle w:val="Normal26"/>
        <w:widowControl w:val="0"/>
        <w:spacing w:before="120" w:line="240" w:lineRule="atLeast"/>
        <w:jc w:val="both"/>
      </w:pPr>
      <w:r>
        <w:rPr>
          <w:rFonts w:ascii="Arial" w:eastAsia="Arial" w:hAnsi="Arial" w:cs="Arial"/>
          <w:color w:val="000000"/>
          <w:sz w:val="18"/>
          <w:vertAlign w:val="superscript"/>
        </w:rPr>
        <w:t>4 </w:t>
      </w:r>
      <w:bookmarkStart w:id="3789" w:name="Bookmark_fnpara_6_7"/>
      <w:bookmarkEnd w:id="3789"/>
      <w:r>
        <w:rPr>
          <w:rFonts w:ascii="Arial" w:eastAsia="Arial" w:hAnsi="Arial" w:cs="Arial"/>
          <w:color w:val="000000"/>
          <w:sz w:val="18"/>
        </w:rPr>
        <w:t>Available at http://www.ada.gov/taman3.html (last visited Feb. 24, 2015).</w:t>
      </w:r>
    </w:p>
  </w:footnote>
  <w:footnote w:id="128">
    <w:p w14:paraId="0F14ED45" w14:textId="77777777" w:rsidR="002D0E71" w:rsidRDefault="00000000">
      <w:pPr>
        <w:pStyle w:val="Normal26"/>
        <w:widowControl w:val="0"/>
        <w:spacing w:before="200" w:line="240" w:lineRule="atLeast"/>
        <w:jc w:val="both"/>
      </w:pPr>
      <w:r>
        <w:rPr>
          <w:rFonts w:ascii="Arial" w:eastAsia="Arial" w:hAnsi="Arial" w:cs="Arial"/>
          <w:color w:val="000000"/>
          <w:sz w:val="18"/>
          <w:vertAlign w:val="superscript"/>
        </w:rPr>
        <w:t>5 </w:t>
      </w:r>
      <w:bookmarkStart w:id="3791" w:name="Bookmark_fnpara_7_6"/>
      <w:bookmarkEnd w:id="3791"/>
      <w:r>
        <w:rPr>
          <w:rFonts w:ascii="Arial" w:eastAsia="Arial" w:hAnsi="Arial" w:cs="Arial"/>
          <w:color w:val="000000"/>
          <w:sz w:val="18"/>
        </w:rPr>
        <w:t xml:space="preserve">The Manual, as the DOJ's interpretation of its own [**15]  regulations, is entitled to "substantial deference." </w:t>
      </w:r>
      <w:r>
        <w:rPr>
          <w:rFonts w:ascii="Arial" w:eastAsia="Arial" w:hAnsi="Arial" w:cs="Arial"/>
          <w:i/>
          <w:color w:val="000000"/>
          <w:sz w:val="18"/>
        </w:rPr>
        <w:t xml:space="preserve">See </w:t>
      </w:r>
      <w:bookmarkStart w:id="3792" w:name="Bookmark_I5FMN28N2D6NTB0050000400"/>
      <w:bookmarkEnd w:id="3792"/>
      <w:r>
        <w:rPr>
          <w:rFonts w:ascii="Arial" w:eastAsia="Arial" w:hAnsi="Arial" w:cs="Arial"/>
          <w:i/>
          <w:color w:val="000000"/>
          <w:sz w:val="18"/>
        </w:rPr>
        <w:t>Miller</w:t>
      </w:r>
      <w:r>
        <w:rPr>
          <w:rFonts w:ascii="Arial" w:eastAsia="Arial" w:hAnsi="Arial" w:cs="Arial"/>
          <w:color w:val="000000"/>
          <w:sz w:val="18"/>
        </w:rPr>
        <w:t>, 536 F.3d at 1028.</w:t>
      </w:r>
    </w:p>
  </w:footnote>
  <w:footnote w:id="129">
    <w:p w14:paraId="30DF28B7" w14:textId="77777777" w:rsidR="002D0E71" w:rsidRDefault="00000000">
      <w:pPr>
        <w:pStyle w:val="Normal26"/>
        <w:widowControl w:val="0"/>
        <w:spacing w:before="200" w:line="240" w:lineRule="atLeast"/>
        <w:jc w:val="both"/>
      </w:pPr>
      <w:r>
        <w:rPr>
          <w:rFonts w:ascii="Arial" w:eastAsia="Arial" w:hAnsi="Arial" w:cs="Arial"/>
          <w:color w:val="000000"/>
          <w:sz w:val="18"/>
          <w:vertAlign w:val="superscript"/>
        </w:rPr>
        <w:t>6 </w:t>
      </w:r>
      <w:bookmarkStart w:id="3794" w:name="Bookmark_fnpara_8_5"/>
      <w:bookmarkStart w:id="3795" w:name="Bookmark_I5FMN28N28T4BY0030000400"/>
      <w:bookmarkEnd w:id="3794"/>
      <w:bookmarkEnd w:id="3795"/>
      <w:r>
        <w:rPr>
          <w:rFonts w:ascii="Arial" w:eastAsia="Arial" w:hAnsi="Arial" w:cs="Arial"/>
          <w:color w:val="000000"/>
          <w:sz w:val="18"/>
        </w:rPr>
        <w:t xml:space="preserve">The DOJ issued a notice of proposed rulemaking in 2008 proposing amended regulations designed to adopt updated accessibility standards and otherwise revise existing Title III regulations. </w:t>
      </w:r>
      <w:bookmarkStart w:id="3796" w:name="Bookmark_I5FMN28N28T4BY0050000400"/>
      <w:bookmarkEnd w:id="3796"/>
      <w:r>
        <w:rPr>
          <w:rFonts w:ascii="Arial" w:eastAsia="Arial" w:hAnsi="Arial" w:cs="Arial"/>
          <w:i/>
          <w:color w:val="000000"/>
          <w:sz w:val="18"/>
        </w:rPr>
        <w:t>See</w:t>
      </w:r>
      <w:r>
        <w:rPr>
          <w:rFonts w:ascii="Arial" w:eastAsia="Arial" w:hAnsi="Arial" w:cs="Arial"/>
          <w:color w:val="000000"/>
          <w:sz w:val="18"/>
        </w:rPr>
        <w:t xml:space="preserve"> </w:t>
      </w:r>
      <w:bookmarkStart w:id="3797" w:name="Bookmark_I5FMN28N28T4BY0020000400"/>
      <w:bookmarkEnd w:id="3797"/>
      <w:r>
        <w:rPr>
          <w:rFonts w:ascii="Arial" w:eastAsia="Arial" w:hAnsi="Arial" w:cs="Arial"/>
          <w:color w:val="000000"/>
          <w:sz w:val="18"/>
        </w:rPr>
        <w:t xml:space="preserve">73 Fed. Reg. 34,508 (June 17, 2008). A final rule adopting these updates and revisions issued in 2010. </w:t>
      </w:r>
      <w:bookmarkStart w:id="3798" w:name="Bookmark_I5FMN28N28T4BY0050000400_2"/>
      <w:bookmarkEnd w:id="3798"/>
      <w:r>
        <w:rPr>
          <w:rFonts w:ascii="Arial" w:eastAsia="Arial" w:hAnsi="Arial" w:cs="Arial"/>
          <w:i/>
          <w:color w:val="000000"/>
          <w:sz w:val="18"/>
        </w:rPr>
        <w:t>See</w:t>
      </w:r>
      <w:r>
        <w:rPr>
          <w:rFonts w:ascii="Arial" w:eastAsia="Arial" w:hAnsi="Arial" w:cs="Arial"/>
          <w:color w:val="000000"/>
          <w:sz w:val="18"/>
        </w:rPr>
        <w:t xml:space="preserve"> </w:t>
      </w:r>
      <w:bookmarkStart w:id="3799" w:name="Bookmark_I5FMN28N28T4BY0040000400"/>
      <w:bookmarkEnd w:id="3799"/>
      <w:r>
        <w:rPr>
          <w:rFonts w:ascii="Arial" w:eastAsia="Arial" w:hAnsi="Arial" w:cs="Arial"/>
          <w:color w:val="000000"/>
          <w:sz w:val="18"/>
        </w:rPr>
        <w:t>75 Fed. Reg. 56,236 (Sept. 15, 2010).</w:t>
      </w:r>
    </w:p>
  </w:footnote>
  <w:footnote w:id="130">
    <w:p w14:paraId="7C29B43E" w14:textId="77777777" w:rsidR="002D0E71" w:rsidRDefault="00000000">
      <w:pPr>
        <w:pStyle w:val="Normal26"/>
        <w:widowControl w:val="0"/>
        <w:spacing w:before="120" w:line="240" w:lineRule="atLeast"/>
        <w:jc w:val="both"/>
      </w:pPr>
      <w:r>
        <w:rPr>
          <w:rFonts w:ascii="Arial" w:eastAsia="Arial" w:hAnsi="Arial" w:cs="Arial"/>
          <w:color w:val="000000"/>
          <w:sz w:val="18"/>
          <w:vertAlign w:val="superscript"/>
        </w:rPr>
        <w:t>7 </w:t>
      </w:r>
      <w:bookmarkStart w:id="3813" w:name="Bookmark_fnpara_9_4"/>
      <w:bookmarkEnd w:id="3813"/>
      <w:r>
        <w:rPr>
          <w:rFonts w:ascii="Arial" w:eastAsia="Arial" w:hAnsi="Arial" w:cs="Arial"/>
          <w:color w:val="000000"/>
          <w:sz w:val="18"/>
        </w:rPr>
        <w:t>The district court excluded the Snow Declaration from consideration on summary judgment. As we would affirm the grant of summary judgment to Chapman with or without the Snow Declaration, we do not consider whether the exclusion was an abuse of discretion.</w:t>
      </w:r>
    </w:p>
  </w:footnote>
  <w:footnote w:id="131">
    <w:p w14:paraId="66F49E77" w14:textId="77777777" w:rsidR="002D0E71" w:rsidRDefault="00000000">
      <w:pPr>
        <w:pStyle w:val="Normal26"/>
        <w:widowControl w:val="0"/>
        <w:spacing w:before="120" w:line="240" w:lineRule="atLeast"/>
        <w:jc w:val="both"/>
      </w:pPr>
      <w:r>
        <w:rPr>
          <w:rFonts w:ascii="Arial" w:eastAsia="Arial" w:hAnsi="Arial" w:cs="Arial"/>
          <w:color w:val="000000"/>
          <w:sz w:val="18"/>
          <w:vertAlign w:val="superscript"/>
        </w:rPr>
        <w:t>8 </w:t>
      </w:r>
      <w:bookmarkStart w:id="3849" w:name="Bookmark_fnpara_10_1"/>
      <w:bookmarkEnd w:id="3849"/>
      <w:r>
        <w:rPr>
          <w:rFonts w:ascii="Arial" w:eastAsia="Arial" w:hAnsi="Arial" w:cs="Arial"/>
          <w:color w:val="000000"/>
          <w:sz w:val="18"/>
        </w:rPr>
        <w:t>Snow stated in her declaration that she was present when Chapman's expert made a purchase, and that the items on the counter "did not interfere" with customers placing or purchasing merchandise.</w:t>
      </w:r>
    </w:p>
  </w:footnote>
  <w:footnote w:id="132">
    <w:p w14:paraId="51702374" w14:textId="77777777" w:rsidR="002D0E71" w:rsidRDefault="00000000">
      <w:pPr>
        <w:pStyle w:val="Normal28"/>
        <w:widowControl w:val="0"/>
        <w:spacing w:before="120" w:line="240" w:lineRule="atLeast"/>
        <w:jc w:val="both"/>
      </w:pPr>
      <w:r>
        <w:rPr>
          <w:rFonts w:ascii="Arial" w:eastAsia="Arial" w:hAnsi="Arial" w:cs="Arial"/>
          <w:color w:val="000000"/>
          <w:sz w:val="18"/>
          <w:vertAlign w:val="superscript"/>
        </w:rPr>
        <w:t>** </w:t>
      </w:r>
      <w:bookmarkStart w:id="3977" w:name="Bookmark_fnpara_1_23"/>
      <w:bookmarkEnd w:id="3977"/>
      <w:r>
        <w:rPr>
          <w:rFonts w:ascii="Arial" w:eastAsia="Arial" w:hAnsi="Arial" w:cs="Arial"/>
          <w:color w:val="000000"/>
          <w:sz w:val="18"/>
        </w:rPr>
        <w:t>This summary constitutes no part of the opinion of the court. It has been prepared by court staff for the convenience of the reader.</w:t>
      </w:r>
    </w:p>
  </w:footnote>
  <w:footnote w:id="133">
    <w:p w14:paraId="560D0C61" w14:textId="77777777" w:rsidR="002D0E71" w:rsidRDefault="00000000">
      <w:pPr>
        <w:pStyle w:val="Normal28"/>
        <w:widowControl w:val="0"/>
        <w:spacing w:before="120" w:line="240" w:lineRule="atLeast"/>
        <w:jc w:val="both"/>
      </w:pPr>
      <w:r>
        <w:rPr>
          <w:rFonts w:ascii="Arial" w:eastAsia="Arial" w:hAnsi="Arial" w:cs="Arial"/>
          <w:color w:val="000000"/>
          <w:sz w:val="18"/>
          <w:vertAlign w:val="superscript"/>
        </w:rPr>
        <w:t>* </w:t>
      </w:r>
      <w:bookmarkStart w:id="3984" w:name="Bookmark_fnpara_2_20"/>
      <w:bookmarkEnd w:id="3984"/>
      <w:r>
        <w:rPr>
          <w:rFonts w:ascii="Arial" w:eastAsia="Arial" w:hAnsi="Arial" w:cs="Arial"/>
          <w:color w:val="000000"/>
          <w:sz w:val="18"/>
        </w:rPr>
        <w:t>The Honorable J. Frederick Motz, Senior District Judge for the U.S. District Court for the District of Maryland, sitting by designation.</w:t>
      </w:r>
    </w:p>
  </w:footnote>
  <w:footnote w:id="134">
    <w:p w14:paraId="4DA0CD03" w14:textId="77777777" w:rsidR="002D0E71" w:rsidRDefault="00000000">
      <w:pPr>
        <w:pStyle w:val="Normal28"/>
        <w:widowControl w:val="0"/>
        <w:spacing w:before="120" w:line="240" w:lineRule="atLeast"/>
        <w:jc w:val="both"/>
      </w:pPr>
      <w:r>
        <w:rPr>
          <w:rFonts w:ascii="Arial" w:eastAsia="Arial" w:hAnsi="Arial" w:cs="Arial"/>
          <w:color w:val="000000"/>
          <w:sz w:val="18"/>
          <w:vertAlign w:val="superscript"/>
        </w:rPr>
        <w:t>1 </w:t>
      </w:r>
      <w:bookmarkStart w:id="3991" w:name="Bookmark_fnpara_3_16"/>
      <w:bookmarkEnd w:id="3991"/>
      <w:r>
        <w:rPr>
          <w:rFonts w:ascii="Arial" w:eastAsia="Arial" w:hAnsi="Arial" w:cs="Arial"/>
          <w:color w:val="000000"/>
          <w:sz w:val="18"/>
        </w:rPr>
        <w:t>The "strike side" is the side of the door that strikes the doorframe (as opposed to the hinge side).</w:t>
      </w:r>
    </w:p>
  </w:footnote>
  <w:footnote w:id="135">
    <w:p w14:paraId="2CE5DBE2" w14:textId="77777777" w:rsidR="002D0E71" w:rsidRDefault="00000000">
      <w:pPr>
        <w:pStyle w:val="Normal28"/>
        <w:widowControl w:val="0"/>
        <w:spacing w:before="200" w:line="240" w:lineRule="atLeast"/>
        <w:jc w:val="both"/>
      </w:pPr>
      <w:r>
        <w:rPr>
          <w:rFonts w:ascii="Arial" w:eastAsia="Arial" w:hAnsi="Arial" w:cs="Arial"/>
          <w:color w:val="000000"/>
          <w:sz w:val="18"/>
          <w:vertAlign w:val="superscript"/>
        </w:rPr>
        <w:t>2 </w:t>
      </w:r>
      <w:bookmarkStart w:id="3992" w:name="Bookmark_fnpara_4_14"/>
      <w:bookmarkEnd w:id="3992"/>
      <w:r>
        <w:rPr>
          <w:rFonts w:ascii="Arial" w:eastAsia="Arial" w:hAnsi="Arial" w:cs="Arial"/>
          <w:color w:val="000000"/>
          <w:sz w:val="18"/>
        </w:rPr>
        <w:t>"Pull side" (as opposed to push side) means that the person [**4]  passing through the door is on the side where for entry the door is pulled toward that person instead of pushed away.</w:t>
      </w:r>
    </w:p>
  </w:footnote>
  <w:footnote w:id="136">
    <w:p w14:paraId="0931473E" w14:textId="77777777" w:rsidR="002D0E71" w:rsidRDefault="00000000">
      <w:pPr>
        <w:pStyle w:val="Normal28"/>
        <w:widowControl w:val="0"/>
        <w:spacing w:before="200" w:line="240" w:lineRule="atLeast"/>
        <w:jc w:val="both"/>
      </w:pPr>
      <w:r>
        <w:rPr>
          <w:rFonts w:ascii="Arial" w:eastAsia="Arial" w:hAnsi="Arial" w:cs="Arial"/>
          <w:color w:val="000000"/>
          <w:sz w:val="18"/>
          <w:vertAlign w:val="superscript"/>
        </w:rPr>
        <w:t>3 </w:t>
      </w:r>
      <w:bookmarkStart w:id="4035" w:name="Bookmark_fnpara_5_10"/>
      <w:bookmarkEnd w:id="4035"/>
      <w:r>
        <w:rPr>
          <w:rFonts w:ascii="Arial" w:eastAsia="Arial" w:hAnsi="Arial" w:cs="Arial"/>
          <w:color w:val="000000"/>
          <w:sz w:val="18"/>
        </w:rPr>
        <w:t xml:space="preserve">We reject Kohler's argument that because a document from the Department of Justice refers to "wall space," wall space is required to comply with the ADA. The ADA Checklist for New Lodging Facilities does use the term "wall space" to describe the maneuvering space which extends parallel to the doorway, past the latch. </w:t>
      </w:r>
      <w:r>
        <w:rPr>
          <w:rFonts w:ascii="Arial" w:eastAsia="Arial" w:hAnsi="Arial" w:cs="Arial"/>
          <w:i/>
          <w:color w:val="000000"/>
          <w:sz w:val="18"/>
        </w:rPr>
        <w:t>See</w:t>
      </w:r>
      <w:r>
        <w:rPr>
          <w:rFonts w:ascii="Arial" w:eastAsia="Arial" w:hAnsi="Arial" w:cs="Arial"/>
          <w:color w:val="000000"/>
          <w:sz w:val="18"/>
        </w:rPr>
        <w:t xml:space="preserve"> DOJ Disability Rights Section, "ADA Checklist for New Lodging Facilities," at 14, </w:t>
      </w:r>
      <w:r>
        <w:rPr>
          <w:rFonts w:ascii="Arial" w:eastAsia="Arial" w:hAnsi="Arial" w:cs="Arial"/>
          <w:i/>
          <w:color w:val="000000"/>
          <w:sz w:val="18"/>
        </w:rPr>
        <w:t>available at</w:t>
      </w:r>
      <w:r>
        <w:rPr>
          <w:rFonts w:ascii="Arial" w:eastAsia="Arial" w:hAnsi="Arial" w:cs="Arial"/>
          <w:color w:val="000000"/>
          <w:sz w:val="18"/>
        </w:rPr>
        <w:t xml:space="preserve"> http://www.ada.gov/hsurvey.pdf. But [**13]  as the district court reasoned, there is no indication that this statement is anything other than an imprecisely-worded shorthand reference to the floor space extending beyond, and parallel to, the doorway. It does not overcome the language and structure of the Guidelines themselves, which together doom Kohler's argument.</w:t>
      </w:r>
    </w:p>
  </w:footnote>
  <w:footnote w:id="137">
    <w:p w14:paraId="4286DCB5" w14:textId="77777777" w:rsidR="002D0E71" w:rsidRDefault="00000000">
      <w:pPr>
        <w:pStyle w:val="Normal29"/>
        <w:widowControl w:val="0"/>
        <w:spacing w:before="120" w:line="240" w:lineRule="atLeast"/>
        <w:jc w:val="both"/>
      </w:pPr>
      <w:r>
        <w:rPr>
          <w:rFonts w:ascii="Arial" w:eastAsia="Arial" w:hAnsi="Arial" w:cs="Arial"/>
          <w:color w:val="000000"/>
          <w:sz w:val="18"/>
          <w:vertAlign w:val="superscript"/>
        </w:rPr>
        <w:t>** </w:t>
      </w:r>
      <w:bookmarkStart w:id="4056" w:name="Bookmark_fnpara_1_24"/>
      <w:bookmarkEnd w:id="4056"/>
      <w:r>
        <w:rPr>
          <w:rFonts w:ascii="Arial" w:eastAsia="Arial" w:hAnsi="Arial" w:cs="Arial"/>
          <w:color w:val="000000"/>
          <w:sz w:val="18"/>
        </w:rPr>
        <w:t>This summary constitutes no part of the opinion of the court. It has been prepared by court staff for the convenience of the reader.</w:t>
      </w:r>
    </w:p>
  </w:footnote>
  <w:footnote w:id="138">
    <w:p w14:paraId="4ACDD4A9" w14:textId="77777777" w:rsidR="002D0E71" w:rsidRDefault="00000000">
      <w:pPr>
        <w:pStyle w:val="Normal29"/>
        <w:widowControl w:val="0"/>
        <w:spacing w:before="120" w:line="240" w:lineRule="atLeast"/>
        <w:jc w:val="both"/>
      </w:pPr>
      <w:r>
        <w:rPr>
          <w:rFonts w:ascii="Arial" w:eastAsia="Arial" w:hAnsi="Arial" w:cs="Arial"/>
          <w:color w:val="000000"/>
          <w:sz w:val="18"/>
          <w:vertAlign w:val="superscript"/>
        </w:rPr>
        <w:t>* </w:t>
      </w:r>
      <w:bookmarkStart w:id="4062" w:name="Bookmark_fnpara_2_21"/>
      <w:bookmarkEnd w:id="4062"/>
      <w:r>
        <w:rPr>
          <w:rFonts w:ascii="Arial" w:eastAsia="Arial" w:hAnsi="Arial" w:cs="Arial"/>
          <w:color w:val="000000"/>
          <w:sz w:val="18"/>
        </w:rPr>
        <w:t>The Honorable Robert S. Lasnik, District Judge for the U.S. District Court for the Western District of Washington, sitting by designation.</w:t>
      </w:r>
    </w:p>
  </w:footnote>
  <w:footnote w:id="139">
    <w:p w14:paraId="5564271E" w14:textId="77777777" w:rsidR="002D0E71" w:rsidRDefault="00000000">
      <w:pPr>
        <w:pStyle w:val="Normal29"/>
        <w:widowControl w:val="0"/>
        <w:spacing w:before="200" w:line="240" w:lineRule="atLeast"/>
        <w:jc w:val="both"/>
      </w:pPr>
      <w:r>
        <w:rPr>
          <w:rFonts w:ascii="Arial" w:eastAsia="Arial" w:hAnsi="Arial" w:cs="Arial"/>
          <w:color w:val="000000"/>
          <w:sz w:val="18"/>
          <w:vertAlign w:val="superscript"/>
        </w:rPr>
        <w:t>1 </w:t>
      </w:r>
      <w:bookmarkStart w:id="4067" w:name="Bookmark_fnpara_3_17"/>
      <w:bookmarkStart w:id="4068" w:name="Bookmark_I5FFRMNX28T3W50020000400"/>
      <w:bookmarkEnd w:id="4067"/>
      <w:bookmarkEnd w:id="4068"/>
      <w:r>
        <w:rPr>
          <w:rFonts w:ascii="Arial" w:eastAsia="Arial" w:hAnsi="Arial" w:cs="Arial"/>
          <w:color w:val="000000"/>
          <w:sz w:val="18"/>
        </w:rPr>
        <w:t xml:space="preserve">The operative facts are taken from Sharkey's complaint. "In reviewing a motion to dismiss pursuant to Rule 12(b)(6), we must accept as true all factual allegations in the complaint and draw all reasonable inferences in favor of the nonmoving party." </w:t>
      </w:r>
      <w:bookmarkStart w:id="4069" w:name="Bookmark_I5FFRMNX28T3W50010000400"/>
      <w:bookmarkEnd w:id="4069"/>
      <w:r>
        <w:rPr>
          <w:rFonts w:ascii="Arial" w:eastAsia="Arial" w:hAnsi="Arial" w:cs="Arial"/>
          <w:i/>
          <w:color w:val="000000"/>
          <w:sz w:val="18"/>
        </w:rPr>
        <w:t>Retail Prop. Trust v. United Bhd. of Carpenters &amp; Joiners of Am</w:t>
      </w:r>
      <w:r>
        <w:rPr>
          <w:rFonts w:ascii="Arial" w:eastAsia="Arial" w:hAnsi="Arial" w:cs="Arial"/>
          <w:color w:val="000000"/>
          <w:sz w:val="18"/>
        </w:rPr>
        <w:t>., 768 F.3d 938, 945 (9th Cir. 2014).</w:t>
      </w:r>
    </w:p>
  </w:footnote>
  <w:footnote w:id="140">
    <w:p w14:paraId="7E3D8DED" w14:textId="77777777" w:rsidR="002D0E71" w:rsidRDefault="00000000">
      <w:pPr>
        <w:pStyle w:val="Normal29"/>
        <w:widowControl w:val="0"/>
        <w:spacing w:before="200" w:line="240" w:lineRule="atLeast"/>
        <w:jc w:val="both"/>
      </w:pPr>
      <w:r>
        <w:rPr>
          <w:rFonts w:ascii="Arial" w:eastAsia="Arial" w:hAnsi="Arial" w:cs="Arial"/>
          <w:color w:val="000000"/>
          <w:sz w:val="18"/>
          <w:vertAlign w:val="superscript"/>
        </w:rPr>
        <w:t>2 </w:t>
      </w:r>
      <w:bookmarkStart w:id="4077" w:name="Bookmark_fnpara_4_15"/>
      <w:bookmarkEnd w:id="4077"/>
      <w:r>
        <w:rPr>
          <w:rFonts w:ascii="Arial" w:eastAsia="Arial" w:hAnsi="Arial" w:cs="Arial"/>
          <w:color w:val="000000"/>
          <w:sz w:val="18"/>
        </w:rPr>
        <w:t xml:space="preserve">The district judge also concluded that Agents O'Neal and Supervising Agent Sydney "were not properly served." On appeal, however, the defendants concede that they "do not argue, as an alternative basis for affirmance, that the suits should have been dismissed for lack of proper service." Indeed, the district court is responsible for effectuating service of process where the plaintiff is proceeding </w:t>
      </w:r>
      <w:r>
        <w:rPr>
          <w:rFonts w:ascii="Arial" w:eastAsia="Arial" w:hAnsi="Arial" w:cs="Arial"/>
          <w:i/>
          <w:color w:val="000000"/>
          <w:sz w:val="18"/>
        </w:rPr>
        <w:t>in forma pauperis</w:t>
      </w:r>
      <w:r>
        <w:rPr>
          <w:rFonts w:ascii="Arial" w:eastAsia="Arial" w:hAnsi="Arial" w:cs="Arial"/>
          <w:color w:val="000000"/>
          <w:sz w:val="18"/>
        </w:rPr>
        <w:t xml:space="preserve">, as Sharkey was. </w:t>
      </w:r>
      <w:r>
        <w:rPr>
          <w:rFonts w:ascii="Arial" w:eastAsia="Arial" w:hAnsi="Arial" w:cs="Arial"/>
          <w:i/>
          <w:color w:val="000000"/>
          <w:sz w:val="18"/>
        </w:rPr>
        <w:t>See</w:t>
      </w:r>
      <w:r>
        <w:rPr>
          <w:rFonts w:ascii="Arial" w:eastAsia="Arial" w:hAnsi="Arial" w:cs="Arial"/>
          <w:color w:val="000000"/>
          <w:sz w:val="18"/>
        </w:rPr>
        <w:t xml:space="preserve"> 28 U.S.C. § 1915(d); Fed. R. Civ. P. 4(c)(3); </w:t>
      </w:r>
      <w:bookmarkStart w:id="4078" w:name="Bookmark_I5FFRMNX28T3W50030000400"/>
      <w:bookmarkEnd w:id="4078"/>
      <w:r>
        <w:rPr>
          <w:rFonts w:ascii="Arial" w:eastAsia="Arial" w:hAnsi="Arial" w:cs="Arial"/>
          <w:i/>
          <w:color w:val="000000"/>
          <w:sz w:val="18"/>
        </w:rPr>
        <w:t>Davis v. Dep't of Corr</w:t>
      </w:r>
      <w:r>
        <w:rPr>
          <w:rFonts w:ascii="Arial" w:eastAsia="Arial" w:hAnsi="Arial" w:cs="Arial"/>
          <w:color w:val="000000"/>
          <w:sz w:val="18"/>
        </w:rPr>
        <w:t>., 446 F.2d 644, 645 (9th Cir. 1971).</w:t>
      </w:r>
    </w:p>
  </w:footnote>
  <w:footnote w:id="141">
    <w:p w14:paraId="1A7AA9BF" w14:textId="77777777" w:rsidR="002D0E71" w:rsidRDefault="00000000">
      <w:pPr>
        <w:pStyle w:val="Normal29"/>
        <w:widowControl w:val="0"/>
        <w:spacing w:before="200" w:line="240" w:lineRule="atLeast"/>
        <w:jc w:val="both"/>
      </w:pPr>
      <w:r>
        <w:rPr>
          <w:rFonts w:ascii="Arial" w:eastAsia="Arial" w:hAnsi="Arial" w:cs="Arial"/>
          <w:color w:val="000000"/>
          <w:sz w:val="18"/>
          <w:vertAlign w:val="superscript"/>
        </w:rPr>
        <w:t>3 </w:t>
      </w:r>
      <w:bookmarkStart w:id="4097" w:name="Bookmark_fnpara_5_11"/>
      <w:bookmarkStart w:id="4098" w:name="Bookmark_I798GMGC4Y5000G7H8S0009N"/>
      <w:bookmarkStart w:id="4099" w:name="Bookmark_I798GMGCWBK000G7H8S0009T"/>
      <w:bookmarkStart w:id="4100" w:name="Bookmark_I798GMGF6B9000G7H8S000B3"/>
      <w:bookmarkStart w:id="4101" w:name="Bookmark_I798GMGCH4W000G7H8S0009R"/>
      <w:bookmarkStart w:id="4102" w:name="Bookmark_I5FFRMNX2N1PTS0030000400"/>
      <w:bookmarkEnd w:id="4097"/>
      <w:bookmarkEnd w:id="4098"/>
      <w:bookmarkEnd w:id="4099"/>
      <w:bookmarkEnd w:id="4100"/>
      <w:bookmarkEnd w:id="4101"/>
      <w:bookmarkEnd w:id="4102"/>
      <w:r>
        <w:rPr>
          <w:rFonts w:ascii="Arial" w:eastAsia="Arial" w:hAnsi="Arial" w:cs="Arial"/>
          <w:i/>
          <w:color w:val="000000"/>
          <w:sz w:val="18"/>
        </w:rPr>
        <w:t xml:space="preserve">See </w:t>
      </w:r>
      <w:bookmarkStart w:id="4103" w:name="Bookmark_I5FFRMNX2N1PTS0020000400"/>
      <w:bookmarkEnd w:id="4103"/>
      <w:r>
        <w:rPr>
          <w:rFonts w:ascii="Arial" w:eastAsia="Arial" w:hAnsi="Arial" w:cs="Arial"/>
          <w:i/>
          <w:color w:val="000000"/>
          <w:sz w:val="18"/>
        </w:rPr>
        <w:t>Pickern v. Holiday Quality Foods, Inc</w:t>
      </w:r>
      <w:r>
        <w:rPr>
          <w:rFonts w:ascii="Arial" w:eastAsia="Arial" w:hAnsi="Arial" w:cs="Arial"/>
          <w:color w:val="000000"/>
          <w:sz w:val="18"/>
        </w:rPr>
        <w:t xml:space="preserve">., 293 F.3d 1133, 1137 n.2 (9th Cir. 2002); </w:t>
      </w:r>
      <w:bookmarkStart w:id="4104" w:name="Bookmark_I5FFRMNX2N1PTS0040000400"/>
      <w:bookmarkEnd w:id="4104"/>
      <w:r>
        <w:rPr>
          <w:rFonts w:ascii="Arial" w:eastAsia="Arial" w:hAnsi="Arial" w:cs="Arial"/>
          <w:i/>
          <w:color w:val="000000"/>
          <w:sz w:val="18"/>
        </w:rPr>
        <w:t>Daviton v. Columbia/HCA Healthcare Corp</w:t>
      </w:r>
      <w:r>
        <w:rPr>
          <w:rFonts w:ascii="Arial" w:eastAsia="Arial" w:hAnsi="Arial" w:cs="Arial"/>
          <w:color w:val="000000"/>
          <w:sz w:val="18"/>
        </w:rPr>
        <w:t xml:space="preserve">., 241 F.3d 1131, 1136 (9th Cir. 2001); </w:t>
      </w:r>
      <w:bookmarkStart w:id="4105" w:name="Bookmark_I5FFRMNX28T3W60010000400"/>
      <w:bookmarkEnd w:id="4105"/>
      <w:r>
        <w:rPr>
          <w:rFonts w:ascii="Arial" w:eastAsia="Arial" w:hAnsi="Arial" w:cs="Arial"/>
          <w:i/>
          <w:color w:val="000000"/>
          <w:sz w:val="18"/>
        </w:rPr>
        <w:t>Douglas v. Cal. Dep't of Youth Auth</w:t>
      </w:r>
      <w:r>
        <w:rPr>
          <w:rFonts w:ascii="Arial" w:eastAsia="Arial" w:hAnsi="Arial" w:cs="Arial"/>
          <w:color w:val="000000"/>
          <w:sz w:val="18"/>
        </w:rPr>
        <w:t xml:space="preserve">., 271 F.3d 812, 823 n.11 (9th Cir. 2001); </w:t>
      </w:r>
      <w:bookmarkStart w:id="4106" w:name="Bookmark_I5FFRMNX28T3W60030000400"/>
      <w:bookmarkEnd w:id="4106"/>
      <w:r>
        <w:rPr>
          <w:rFonts w:ascii="Arial" w:eastAsia="Arial" w:hAnsi="Arial" w:cs="Arial"/>
          <w:i/>
          <w:color w:val="000000"/>
          <w:sz w:val="18"/>
        </w:rPr>
        <w:t>Alexopulos v. San Francisco Unified Sch. Dist</w:t>
      </w:r>
      <w:r>
        <w:rPr>
          <w:rFonts w:ascii="Arial" w:eastAsia="Arial" w:hAnsi="Arial" w:cs="Arial"/>
          <w:color w:val="000000"/>
          <w:sz w:val="18"/>
        </w:rPr>
        <w:t>., 817 F.2d 551, 554 (1987).</w:t>
      </w:r>
    </w:p>
    <w:p w14:paraId="6ECEC68C" w14:textId="77777777" w:rsidR="002D0E71" w:rsidRDefault="00000000">
      <w:pPr>
        <w:pStyle w:val="Normal29"/>
        <w:widowControl w:val="0"/>
        <w:spacing w:before="200" w:line="240" w:lineRule="atLeast"/>
        <w:jc w:val="both"/>
      </w:pPr>
      <w:bookmarkStart w:id="4107" w:name="Bookmark_fnpara_6_8"/>
      <w:bookmarkStart w:id="4108" w:name="Bookmark_I5FFRMNX2HM5WM0010000400"/>
      <w:bookmarkStart w:id="4109" w:name="Bookmark_I5FFRMNX2N1PTS0030000400_2"/>
      <w:bookmarkEnd w:id="4107"/>
      <w:bookmarkEnd w:id="4108"/>
      <w:bookmarkEnd w:id="4109"/>
      <w:r>
        <w:rPr>
          <w:rFonts w:ascii="Arial" w:eastAsia="Arial" w:hAnsi="Arial" w:cs="Arial"/>
          <w:color w:val="000000"/>
          <w:sz w:val="18"/>
        </w:rPr>
        <w:t xml:space="preserve">A number of unpublished dispositions have also stated—without analysis other than citation to the above cases declining to reach the issue—that the personal injury limitations period applies to ADA claims. </w:t>
      </w:r>
      <w:r>
        <w:rPr>
          <w:rFonts w:ascii="Arial" w:eastAsia="Arial" w:hAnsi="Arial" w:cs="Arial"/>
          <w:i/>
          <w:color w:val="000000"/>
          <w:sz w:val="18"/>
        </w:rPr>
        <w:t xml:space="preserve">See, e.g., </w:t>
      </w:r>
      <w:bookmarkStart w:id="4110" w:name="Bookmark_I5FFRMNX28T3W60050000400"/>
      <w:bookmarkEnd w:id="4110"/>
      <w:r>
        <w:rPr>
          <w:rFonts w:ascii="Arial" w:eastAsia="Arial" w:hAnsi="Arial" w:cs="Arial"/>
          <w:i/>
          <w:color w:val="000000"/>
          <w:sz w:val="18"/>
        </w:rPr>
        <w:t>Thunderbird v. Or</w:t>
      </w:r>
      <w:r>
        <w:rPr>
          <w:rFonts w:ascii="Arial" w:eastAsia="Arial" w:hAnsi="Arial" w:cs="Arial"/>
          <w:color w:val="000000"/>
          <w:sz w:val="18"/>
        </w:rPr>
        <w:t xml:space="preserve">., 570 F. App'x 693, 694 (9th Cir. 2014); </w:t>
      </w:r>
      <w:bookmarkStart w:id="4111" w:name="Bookmark_I5FFRMNX2HM5WM0020000400"/>
      <w:bookmarkEnd w:id="4111"/>
      <w:r>
        <w:rPr>
          <w:rFonts w:ascii="Arial" w:eastAsia="Arial" w:hAnsi="Arial" w:cs="Arial"/>
          <w:i/>
          <w:color w:val="000000"/>
          <w:sz w:val="18"/>
        </w:rPr>
        <w:t>Hubbs v. Cnty. of San Bernardino</w:t>
      </w:r>
      <w:r>
        <w:rPr>
          <w:rFonts w:ascii="Arial" w:eastAsia="Arial" w:hAnsi="Arial" w:cs="Arial"/>
          <w:color w:val="000000"/>
          <w:sz w:val="18"/>
        </w:rPr>
        <w:t xml:space="preserve">, 519 F. App'x 468, 469 (9th Cir. 2013); </w:t>
      </w:r>
      <w:bookmarkStart w:id="4112" w:name="Bookmark_I5FFRMNX2HM5WM0040000400"/>
      <w:bookmarkEnd w:id="4112"/>
      <w:r>
        <w:rPr>
          <w:rFonts w:ascii="Arial" w:eastAsia="Arial" w:hAnsi="Arial" w:cs="Arial"/>
          <w:i/>
          <w:color w:val="000000"/>
          <w:sz w:val="18"/>
        </w:rPr>
        <w:t>Lancaster v. City of Reno</w:t>
      </w:r>
      <w:r>
        <w:rPr>
          <w:rFonts w:ascii="Arial" w:eastAsia="Arial" w:hAnsi="Arial" w:cs="Arial"/>
          <w:color w:val="000000"/>
          <w:sz w:val="18"/>
        </w:rPr>
        <w:t>, 479 F. App'x 774, 774 (9th Cir. 2012).</w:t>
      </w:r>
    </w:p>
  </w:footnote>
  <w:footnote w:id="142">
    <w:p w14:paraId="0DA3D19D" w14:textId="77777777" w:rsidR="002D0E71" w:rsidRDefault="00000000">
      <w:pPr>
        <w:pStyle w:val="Normal29"/>
        <w:widowControl w:val="0"/>
        <w:spacing w:before="200" w:line="240" w:lineRule="atLeast"/>
        <w:jc w:val="both"/>
      </w:pPr>
      <w:r>
        <w:rPr>
          <w:rFonts w:ascii="Arial" w:eastAsia="Arial" w:hAnsi="Arial" w:cs="Arial"/>
          <w:color w:val="000000"/>
          <w:sz w:val="18"/>
          <w:vertAlign w:val="superscript"/>
        </w:rPr>
        <w:t>4 </w:t>
      </w:r>
      <w:bookmarkStart w:id="4116" w:name="Bookmark_fnpara_7_7"/>
      <w:bookmarkEnd w:id="4116"/>
      <w:r>
        <w:rPr>
          <w:rFonts w:ascii="Arial" w:eastAsia="Arial" w:hAnsi="Arial" w:cs="Arial"/>
          <w:color w:val="000000"/>
          <w:sz w:val="18"/>
        </w:rPr>
        <w:t xml:space="preserve">Although we find that section 11135 provides the </w:t>
      </w:r>
      <w:r>
        <w:rPr>
          <w:rFonts w:ascii="Arial" w:eastAsia="Arial" w:hAnsi="Arial" w:cs="Arial"/>
          <w:i/>
          <w:color w:val="000000"/>
          <w:sz w:val="18"/>
        </w:rPr>
        <w:t>most</w:t>
      </w:r>
      <w:r>
        <w:rPr>
          <w:rFonts w:ascii="Arial" w:eastAsia="Arial" w:hAnsi="Arial" w:cs="Arial"/>
          <w:color w:val="000000"/>
          <w:sz w:val="18"/>
        </w:rPr>
        <w:t xml:space="preserve"> analogous state-law claim to an ADA Title II claim, we note that the other state statutes proffered by Sharkey—the Unruh Civil Rights Act and the California Disabled Persons Act (DPA)—also provide analogous causes of action for disability discrimination. </w:t>
      </w:r>
      <w:r>
        <w:rPr>
          <w:rFonts w:ascii="Arial" w:eastAsia="Arial" w:hAnsi="Arial" w:cs="Arial"/>
          <w:i/>
          <w:color w:val="000000"/>
          <w:sz w:val="18"/>
        </w:rPr>
        <w:t>See</w:t>
      </w:r>
      <w:r>
        <w:rPr>
          <w:rFonts w:ascii="Arial" w:eastAsia="Arial" w:hAnsi="Arial" w:cs="Arial"/>
          <w:color w:val="000000"/>
          <w:sz w:val="18"/>
        </w:rPr>
        <w:t xml:space="preserve"> Cal. Civ. Code §§ 51(f); 54(c); </w:t>
      </w:r>
      <w:bookmarkStart w:id="4117" w:name="Bookmark_I5FFRMNX2SF85S0010000400"/>
      <w:bookmarkEnd w:id="4117"/>
      <w:r>
        <w:rPr>
          <w:rFonts w:ascii="Arial" w:eastAsia="Arial" w:hAnsi="Arial" w:cs="Arial"/>
          <w:i/>
          <w:color w:val="000000"/>
          <w:sz w:val="18"/>
        </w:rPr>
        <w:t>Cohen v. City of Culver City</w:t>
      </w:r>
      <w:r>
        <w:rPr>
          <w:rFonts w:ascii="Arial" w:eastAsia="Arial" w:hAnsi="Arial" w:cs="Arial"/>
          <w:color w:val="000000"/>
          <w:sz w:val="18"/>
        </w:rPr>
        <w:t>, 754 F.3d 690, 701 (9th Cir. 2014) (holding that because the City was not entitled to summary judgment on Cohen's ADA Title II claim, the district court also erred in granting summary judgment to the City on Cohen's claims under the DPA and the Unruh Act).</w:t>
      </w:r>
    </w:p>
  </w:footnote>
  <w:footnote w:id="143">
    <w:p w14:paraId="60AD251D" w14:textId="77777777" w:rsidR="002D0E71" w:rsidRDefault="00000000">
      <w:pPr>
        <w:pStyle w:val="Normal29"/>
        <w:widowControl w:val="0"/>
        <w:spacing w:before="200" w:line="240" w:lineRule="atLeast"/>
        <w:jc w:val="both"/>
      </w:pPr>
      <w:r>
        <w:rPr>
          <w:rFonts w:ascii="Arial" w:eastAsia="Arial" w:hAnsi="Arial" w:cs="Arial"/>
          <w:color w:val="000000"/>
          <w:sz w:val="18"/>
          <w:vertAlign w:val="superscript"/>
        </w:rPr>
        <w:t>5 </w:t>
      </w:r>
      <w:bookmarkStart w:id="4118" w:name="Bookmark_fnpara_8_6"/>
      <w:bookmarkStart w:id="4119" w:name="Bookmark_I5FFRMNX2SF85S0040000400"/>
      <w:bookmarkEnd w:id="4118"/>
      <w:bookmarkEnd w:id="4119"/>
      <w:r>
        <w:rPr>
          <w:rFonts w:ascii="Arial" w:eastAsia="Arial" w:hAnsi="Arial" w:cs="Arial"/>
          <w:color w:val="000000"/>
          <w:sz w:val="18"/>
        </w:rPr>
        <w:t xml:space="preserve">The principal difference between section 11135 and Title II is that the former statute "may be enforced by a civil action for equitable relief," Cal. Gov't. Code § 11139, whereas under the latter statute, a plaintiff may recover compensatory damages if he makes a showing of discriminatory intent. </w:t>
      </w:r>
      <w:bookmarkStart w:id="4120" w:name="Bookmark_I5FFRMNX2N1PTT0010000400"/>
      <w:bookmarkEnd w:id="4120"/>
      <w:r>
        <w:rPr>
          <w:rFonts w:ascii="Arial" w:eastAsia="Arial" w:hAnsi="Arial" w:cs="Arial"/>
          <w:i/>
          <w:color w:val="000000"/>
          <w:sz w:val="18"/>
        </w:rPr>
        <w:t xml:space="preserve">See </w:t>
      </w:r>
      <w:bookmarkStart w:id="4121" w:name="Bookmark_I5FFRMNX2SF85S0030000400"/>
      <w:bookmarkEnd w:id="4121"/>
      <w:r>
        <w:rPr>
          <w:rFonts w:ascii="Arial" w:eastAsia="Arial" w:hAnsi="Arial" w:cs="Arial"/>
          <w:i/>
          <w:color w:val="000000"/>
          <w:sz w:val="18"/>
        </w:rPr>
        <w:t>Ferguson v. City of Phoenix</w:t>
      </w:r>
      <w:r>
        <w:rPr>
          <w:rFonts w:ascii="Arial" w:eastAsia="Arial" w:hAnsi="Arial" w:cs="Arial"/>
          <w:color w:val="000000"/>
          <w:sz w:val="18"/>
        </w:rPr>
        <w:t xml:space="preserve">, 157 F.3d 668, 674 (9th Cir. 1998). Notwithstanding this distinction, we conclude that section 11135 is the closest state-law analog to Title II. Listing differences between [**11]  the two statutes merely "begs the question of which [California] statute is most analogous . . . . </w:t>
      </w:r>
      <w:bookmarkStart w:id="4122" w:name="Bookmark_I5FFRMNX2N1PTT0010000400_2"/>
      <w:bookmarkEnd w:id="4122"/>
      <w:r>
        <w:rPr>
          <w:rFonts w:ascii="Arial" w:eastAsia="Arial" w:hAnsi="Arial" w:cs="Arial"/>
          <w:color w:val="000000"/>
          <w:sz w:val="18"/>
        </w:rPr>
        <w:t xml:space="preserve">The difference . . . simply means that . . . there is no perfect counterpart . . . and we must determine which statute is more appropriate." </w:t>
      </w:r>
      <w:bookmarkStart w:id="4123" w:name="Bookmark_I5FFRMNX2SF85S0050000400"/>
      <w:bookmarkEnd w:id="4123"/>
      <w:r>
        <w:rPr>
          <w:rFonts w:ascii="Arial" w:eastAsia="Arial" w:hAnsi="Arial" w:cs="Arial"/>
          <w:i/>
          <w:color w:val="000000"/>
          <w:sz w:val="18"/>
        </w:rPr>
        <w:t>McCullough v. Branch Banking &amp; Trust Co</w:t>
      </w:r>
      <w:r>
        <w:rPr>
          <w:rFonts w:ascii="Arial" w:eastAsia="Arial" w:hAnsi="Arial" w:cs="Arial"/>
          <w:color w:val="000000"/>
          <w:sz w:val="18"/>
        </w:rPr>
        <w:t xml:space="preserve">., 35 F.3d 127, 132 (4th Cir. 1994); </w:t>
      </w:r>
      <w:r>
        <w:rPr>
          <w:rFonts w:ascii="Arial" w:eastAsia="Arial" w:hAnsi="Arial" w:cs="Arial"/>
          <w:i/>
          <w:color w:val="000000"/>
          <w:sz w:val="18"/>
        </w:rPr>
        <w:t xml:space="preserve">see also </w:t>
      </w:r>
      <w:bookmarkStart w:id="4124" w:name="Bookmark_I5FFRMNX2N1PTT0020000400"/>
      <w:bookmarkEnd w:id="4124"/>
      <w:r>
        <w:rPr>
          <w:rFonts w:ascii="Arial" w:eastAsia="Arial" w:hAnsi="Arial" w:cs="Arial"/>
          <w:i/>
          <w:color w:val="000000"/>
          <w:sz w:val="18"/>
        </w:rPr>
        <w:t>Wilson</w:t>
      </w:r>
      <w:r>
        <w:rPr>
          <w:rFonts w:ascii="Arial" w:eastAsia="Arial" w:hAnsi="Arial" w:cs="Arial"/>
          <w:color w:val="000000"/>
          <w:sz w:val="18"/>
        </w:rPr>
        <w:t>, 471 U.S. at 271-72.</w:t>
      </w:r>
    </w:p>
  </w:footnote>
  <w:footnote w:id="144">
    <w:p w14:paraId="6D75A266" w14:textId="77777777" w:rsidR="002D0E71" w:rsidRDefault="00000000">
      <w:pPr>
        <w:pStyle w:val="Normal29"/>
        <w:widowControl w:val="0"/>
        <w:spacing w:before="200" w:line="240" w:lineRule="atLeast"/>
        <w:jc w:val="both"/>
      </w:pPr>
      <w:r>
        <w:rPr>
          <w:rFonts w:ascii="Arial" w:eastAsia="Arial" w:hAnsi="Arial" w:cs="Arial"/>
          <w:color w:val="000000"/>
          <w:sz w:val="18"/>
          <w:vertAlign w:val="superscript"/>
        </w:rPr>
        <w:t>6 </w:t>
      </w:r>
      <w:bookmarkStart w:id="4136" w:name="Bookmark_fnpara_9_5"/>
      <w:bookmarkEnd w:id="4136"/>
      <w:r>
        <w:rPr>
          <w:rFonts w:ascii="Arial" w:eastAsia="Arial" w:hAnsi="Arial" w:cs="Arial"/>
          <w:i/>
          <w:color w:val="000000"/>
          <w:sz w:val="18"/>
        </w:rPr>
        <w:t xml:space="preserve">See </w:t>
      </w:r>
      <w:bookmarkStart w:id="4137" w:name="Bookmark_I5FFRMNX2D6NN90010000400"/>
      <w:bookmarkEnd w:id="4137"/>
      <w:r>
        <w:rPr>
          <w:rFonts w:ascii="Arial" w:eastAsia="Arial" w:hAnsi="Arial" w:cs="Arial"/>
          <w:i/>
          <w:color w:val="000000"/>
          <w:sz w:val="18"/>
        </w:rPr>
        <w:t>Disabled in Action of Pa. v. Se. Pa. Transp. Auth</w:t>
      </w:r>
      <w:r>
        <w:rPr>
          <w:rFonts w:ascii="Arial" w:eastAsia="Arial" w:hAnsi="Arial" w:cs="Arial"/>
          <w:color w:val="000000"/>
          <w:sz w:val="18"/>
        </w:rPr>
        <w:t xml:space="preserve">., 539 F.3d 199, 208 (3d Cir. 2008) (Rehabilitation Act and ADA Title II); </w:t>
      </w:r>
      <w:bookmarkStart w:id="4138" w:name="Bookmark_I5FFRMNX2D6NN90030000400"/>
      <w:bookmarkEnd w:id="4138"/>
      <w:r>
        <w:rPr>
          <w:rFonts w:ascii="Arial" w:eastAsia="Arial" w:hAnsi="Arial" w:cs="Arial"/>
          <w:i/>
          <w:color w:val="000000"/>
          <w:sz w:val="18"/>
        </w:rPr>
        <w:t>Faibisch v. Univ. of Minn</w:t>
      </w:r>
      <w:r>
        <w:rPr>
          <w:rFonts w:ascii="Arial" w:eastAsia="Arial" w:hAnsi="Arial" w:cs="Arial"/>
          <w:color w:val="000000"/>
          <w:sz w:val="18"/>
        </w:rPr>
        <w:t xml:space="preserve">., 304 F.3d 797, 802 (8th Cir. 2002) (Rehabilitation Act); </w:t>
      </w:r>
      <w:bookmarkStart w:id="4139" w:name="Bookmark_I5FFRMNX2D6NN90050000400"/>
      <w:bookmarkEnd w:id="4139"/>
      <w:r>
        <w:rPr>
          <w:rFonts w:ascii="Arial" w:eastAsia="Arial" w:hAnsi="Arial" w:cs="Arial"/>
          <w:i/>
          <w:color w:val="000000"/>
          <w:sz w:val="18"/>
        </w:rPr>
        <w:t>Soignier v. Am. Bd. of Plastic Surgery</w:t>
      </w:r>
      <w:r>
        <w:rPr>
          <w:rFonts w:ascii="Arial" w:eastAsia="Arial" w:hAnsi="Arial" w:cs="Arial"/>
          <w:color w:val="000000"/>
          <w:sz w:val="18"/>
        </w:rPr>
        <w:t xml:space="preserve">, 92 F.3d 547, 550-51 (7th Cir. 1996) (ADA Title III); </w:t>
      </w:r>
      <w:bookmarkStart w:id="4140" w:name="Bookmark_I5FFRMNX2D6NNB0020000400"/>
      <w:bookmarkEnd w:id="4140"/>
      <w:r>
        <w:rPr>
          <w:rFonts w:ascii="Arial" w:eastAsia="Arial" w:hAnsi="Arial" w:cs="Arial"/>
          <w:i/>
          <w:color w:val="000000"/>
          <w:sz w:val="18"/>
        </w:rPr>
        <w:t>Baker v. Bd. of Regents of Kan</w:t>
      </w:r>
      <w:r>
        <w:rPr>
          <w:rFonts w:ascii="Arial" w:eastAsia="Arial" w:hAnsi="Arial" w:cs="Arial"/>
          <w:color w:val="000000"/>
          <w:sz w:val="18"/>
        </w:rPr>
        <w:t xml:space="preserve">., 991 F.2d 628, 631-32 (10th Cir. 1993) (Rehabilitation Act); </w:t>
      </w:r>
      <w:bookmarkStart w:id="4141" w:name="Bookmark_I5FFRMNX2D6NNB0040000400"/>
      <w:bookmarkEnd w:id="4141"/>
      <w:r>
        <w:rPr>
          <w:rFonts w:ascii="Arial" w:eastAsia="Arial" w:hAnsi="Arial" w:cs="Arial"/>
          <w:i/>
          <w:color w:val="000000"/>
          <w:sz w:val="18"/>
        </w:rPr>
        <w:t>Morse v. Univ. of Vt</w:t>
      </w:r>
      <w:r>
        <w:rPr>
          <w:rFonts w:ascii="Arial" w:eastAsia="Arial" w:hAnsi="Arial" w:cs="Arial"/>
          <w:color w:val="000000"/>
          <w:sz w:val="18"/>
        </w:rPr>
        <w:t xml:space="preserve">., 973 F.2d 122, 125-27 (2d Cir. 1992) (Rehabilitation Act). </w:t>
      </w:r>
      <w:r>
        <w:rPr>
          <w:rFonts w:ascii="Arial" w:eastAsia="Arial" w:hAnsi="Arial" w:cs="Arial"/>
          <w:i/>
          <w:color w:val="000000"/>
          <w:sz w:val="18"/>
        </w:rPr>
        <w:t xml:space="preserve">But see </w:t>
      </w:r>
      <w:bookmarkStart w:id="4142" w:name="Bookmark_I5FFRMNX28T3W70010000400"/>
      <w:bookmarkEnd w:id="4142"/>
      <w:r>
        <w:rPr>
          <w:rFonts w:ascii="Arial" w:eastAsia="Arial" w:hAnsi="Arial" w:cs="Arial"/>
          <w:i/>
          <w:color w:val="000000"/>
          <w:sz w:val="18"/>
        </w:rPr>
        <w:t>Gaona v. Town &amp; Country Credit</w:t>
      </w:r>
      <w:r>
        <w:rPr>
          <w:rFonts w:ascii="Arial" w:eastAsia="Arial" w:hAnsi="Arial" w:cs="Arial"/>
          <w:color w:val="000000"/>
          <w:sz w:val="18"/>
        </w:rPr>
        <w:t>, 324 F.3d 1050, 1054-56 (8th Cir. 2003) (rejecting state-law disability [**12]  discrimination analog for ADA Title III claim because prior decisions—none of which considered whether state law provided an analogous disability discrimination claim—applied personal injury limitations period to Rehabilitation Act claims).</w:t>
      </w:r>
    </w:p>
  </w:footnote>
  <w:footnote w:id="145">
    <w:p w14:paraId="54E40D3A" w14:textId="77777777" w:rsidR="002D0E71" w:rsidRDefault="00000000">
      <w:pPr>
        <w:pStyle w:val="Normal29"/>
        <w:widowControl w:val="0"/>
        <w:spacing w:before="200" w:line="240" w:lineRule="atLeast"/>
        <w:jc w:val="both"/>
      </w:pPr>
      <w:r>
        <w:rPr>
          <w:rFonts w:ascii="Arial" w:eastAsia="Arial" w:hAnsi="Arial" w:cs="Arial"/>
          <w:color w:val="000000"/>
          <w:sz w:val="18"/>
          <w:vertAlign w:val="superscript"/>
        </w:rPr>
        <w:t>7 </w:t>
      </w:r>
      <w:bookmarkStart w:id="4143" w:name="Bookmark_fnpara_10_2"/>
      <w:bookmarkEnd w:id="4143"/>
      <w:r>
        <w:rPr>
          <w:rFonts w:ascii="Arial" w:eastAsia="Arial" w:hAnsi="Arial" w:cs="Arial"/>
          <w:i/>
          <w:color w:val="000000"/>
          <w:sz w:val="18"/>
        </w:rPr>
        <w:t xml:space="preserve">See </w:t>
      </w:r>
      <w:bookmarkStart w:id="4144" w:name="Bookmark_I5FFRMNX28T3W70030000400"/>
      <w:bookmarkEnd w:id="4144"/>
      <w:r>
        <w:rPr>
          <w:rFonts w:ascii="Arial" w:eastAsia="Arial" w:hAnsi="Arial" w:cs="Arial"/>
          <w:i/>
          <w:color w:val="000000"/>
          <w:sz w:val="18"/>
        </w:rPr>
        <w:t>Disabled in Action of Pa</w:t>
      </w:r>
      <w:r>
        <w:rPr>
          <w:rFonts w:ascii="Arial" w:eastAsia="Arial" w:hAnsi="Arial" w:cs="Arial"/>
          <w:color w:val="000000"/>
          <w:sz w:val="18"/>
        </w:rPr>
        <w:t xml:space="preserve">., 539 F.3d at 208 (stating the parties did not dispute the district court's conclusion that the personal injury limitations period applied); </w:t>
      </w:r>
      <w:bookmarkStart w:id="4145" w:name="Bookmark_I5FFRMNX28T3W70050000400"/>
      <w:bookmarkEnd w:id="4145"/>
      <w:r>
        <w:rPr>
          <w:rFonts w:ascii="Arial" w:eastAsia="Arial" w:hAnsi="Arial" w:cs="Arial"/>
          <w:i/>
          <w:color w:val="000000"/>
          <w:sz w:val="18"/>
        </w:rPr>
        <w:t>Soignier v. Am. Bd. of Plastic Surgery</w:t>
      </w:r>
      <w:r>
        <w:rPr>
          <w:rFonts w:ascii="Arial" w:eastAsia="Arial" w:hAnsi="Arial" w:cs="Arial"/>
          <w:color w:val="000000"/>
          <w:sz w:val="18"/>
        </w:rPr>
        <w:t>, 92 F.3d at 550-51 (same).</w:t>
      </w:r>
    </w:p>
  </w:footnote>
  <w:footnote w:id="146">
    <w:p w14:paraId="4BDC52BF" w14:textId="77777777" w:rsidR="002D0E71" w:rsidRDefault="00000000">
      <w:pPr>
        <w:pStyle w:val="Normal29"/>
        <w:widowControl w:val="0"/>
        <w:spacing w:before="200" w:line="240" w:lineRule="atLeast"/>
        <w:jc w:val="both"/>
      </w:pPr>
      <w:r>
        <w:rPr>
          <w:rFonts w:ascii="Arial" w:eastAsia="Arial" w:hAnsi="Arial" w:cs="Arial"/>
          <w:color w:val="000000"/>
          <w:sz w:val="18"/>
          <w:vertAlign w:val="superscript"/>
        </w:rPr>
        <w:t>8 </w:t>
      </w:r>
      <w:bookmarkStart w:id="4156" w:name="Bookmark_fnpara_11_1"/>
      <w:bookmarkEnd w:id="4156"/>
      <w:r>
        <w:rPr>
          <w:rFonts w:ascii="Arial" w:eastAsia="Arial" w:hAnsi="Arial" w:cs="Arial"/>
          <w:i/>
          <w:color w:val="000000"/>
          <w:sz w:val="18"/>
        </w:rPr>
        <w:t xml:space="preserve">See </w:t>
      </w:r>
      <w:bookmarkStart w:id="4157" w:name="Bookmark_I5FFRMNX2SF85T0030000400"/>
      <w:bookmarkEnd w:id="4157"/>
      <w:r>
        <w:rPr>
          <w:rFonts w:ascii="Arial" w:eastAsia="Arial" w:hAnsi="Arial" w:cs="Arial"/>
          <w:i/>
          <w:color w:val="000000"/>
          <w:sz w:val="18"/>
        </w:rPr>
        <w:t>McCormick v. Miami Univ</w:t>
      </w:r>
      <w:r>
        <w:rPr>
          <w:rFonts w:ascii="Arial" w:eastAsia="Arial" w:hAnsi="Arial" w:cs="Arial"/>
          <w:color w:val="000000"/>
          <w:sz w:val="18"/>
        </w:rPr>
        <w:t xml:space="preserve">., 693 F.3d 654, 664 (6th Cir. 2012) ("Because § 4112.022 is not modeled after the ADA and does not set forth its own statute of limitations, the appropriate statute of limitations for a Title II claim is the two-year limitations period applicable to personal injury actions in Ohio"); </w:t>
      </w:r>
      <w:bookmarkStart w:id="4158" w:name="Bookmark_I5FFRMNX2SF85T0050000400"/>
      <w:bookmarkEnd w:id="4158"/>
      <w:r>
        <w:rPr>
          <w:rFonts w:ascii="Arial" w:eastAsia="Arial" w:hAnsi="Arial" w:cs="Arial"/>
          <w:i/>
          <w:color w:val="000000"/>
          <w:sz w:val="18"/>
        </w:rPr>
        <w:t>Frame v. City of Arlington</w:t>
      </w:r>
      <w:r>
        <w:rPr>
          <w:rFonts w:ascii="Arial" w:eastAsia="Arial" w:hAnsi="Arial" w:cs="Arial"/>
          <w:color w:val="000000"/>
          <w:sz w:val="18"/>
        </w:rPr>
        <w:t xml:space="preserve">, 657 F.3d 215, 237 n.116 (5th Cir. 2011) ("In selecting Texas's personal-injury limitations period, we note that Texas has not adopted a general disability discrimination law modeled on Title II or the Rehabilitation Act."); </w:t>
      </w:r>
      <w:bookmarkStart w:id="4159" w:name="Bookmark_I5FFRMNX2N1PTV0020000400"/>
      <w:bookmarkEnd w:id="4159"/>
      <w:r>
        <w:rPr>
          <w:rFonts w:ascii="Arial" w:eastAsia="Arial" w:hAnsi="Arial" w:cs="Arial"/>
          <w:i/>
          <w:color w:val="000000"/>
          <w:sz w:val="18"/>
        </w:rPr>
        <w:t>Everett v. Cobb Cnty. Sch. Dist</w:t>
      </w:r>
      <w:r>
        <w:rPr>
          <w:rFonts w:ascii="Arial" w:eastAsia="Arial" w:hAnsi="Arial" w:cs="Arial"/>
          <w:color w:val="000000"/>
          <w:sz w:val="18"/>
        </w:rPr>
        <w:t>., 138 F.3d 1407, 1409 (11th Cir. 1998) ("Because Georgia has not passed a state law identical to the Rehabilitation Act from which to borrow a limitations period, we . . . apply Georgia's two-year statute of limitations period for personal injury actions.").</w:t>
      </w:r>
    </w:p>
  </w:footnote>
  <w:footnote w:id="147">
    <w:p w14:paraId="5E5F39B5" w14:textId="77777777" w:rsidR="002D0E71" w:rsidRDefault="00000000">
      <w:pPr>
        <w:pStyle w:val="Normal30"/>
        <w:widowControl w:val="0"/>
        <w:spacing w:before="120" w:line="240" w:lineRule="atLeast"/>
        <w:jc w:val="both"/>
      </w:pPr>
      <w:r>
        <w:rPr>
          <w:rFonts w:ascii="Arial" w:eastAsia="Arial" w:hAnsi="Arial" w:cs="Arial"/>
          <w:color w:val="000000"/>
          <w:sz w:val="18"/>
          <w:vertAlign w:val="superscript"/>
        </w:rPr>
        <w:t>1 </w:t>
      </w:r>
      <w:bookmarkStart w:id="4237" w:name="Bookmark_fnpara_1_25"/>
      <w:bookmarkEnd w:id="4237"/>
      <w:r>
        <w:rPr>
          <w:rFonts w:ascii="Arial" w:eastAsia="Arial" w:hAnsi="Arial" w:cs="Arial"/>
          <w:color w:val="000000"/>
          <w:sz w:val="18"/>
        </w:rPr>
        <w:t>Appellant has filed a motion with this court to amend his complaint to add claims on theories of disparate treatment and disparate impact. Having failed to make such motion in the district court, he cannot amend the complaint at this late stage.</w:t>
      </w:r>
    </w:p>
  </w:footnote>
  <w:footnote w:id="148">
    <w:p w14:paraId="0635CA2C" w14:textId="77777777" w:rsidR="002D0E71" w:rsidRDefault="00000000">
      <w:pPr>
        <w:pStyle w:val="Normal31"/>
        <w:widowControl w:val="0"/>
        <w:spacing w:before="120" w:line="240" w:lineRule="atLeast"/>
        <w:jc w:val="both"/>
      </w:pPr>
      <w:r>
        <w:rPr>
          <w:rFonts w:ascii="Arial" w:eastAsia="Arial" w:hAnsi="Arial" w:cs="Arial"/>
          <w:color w:val="000000"/>
          <w:sz w:val="18"/>
          <w:vertAlign w:val="superscript"/>
        </w:rPr>
        <w:t>* </w:t>
      </w:r>
      <w:bookmarkStart w:id="4277" w:name="Bookmark_fnpara_1_26"/>
      <w:bookmarkEnd w:id="4277"/>
      <w:r>
        <w:rPr>
          <w:rFonts w:ascii="Arial" w:eastAsia="Arial" w:hAnsi="Arial" w:cs="Arial"/>
          <w:color w:val="000000"/>
          <w:sz w:val="18"/>
        </w:rPr>
        <w:t>This order and judgment is not binding precedent, except under the doctrines of law of the case, res judicata, and collateral estoppel. It may be cited, however, for its persuasive value consistent with Fed. R. App. P. 32.1 and 10th Cir. R. 32.1.</w:t>
      </w:r>
    </w:p>
  </w:footnote>
  <w:footnote w:id="149">
    <w:p w14:paraId="58999F4C" w14:textId="77777777" w:rsidR="002D0E71" w:rsidRDefault="00000000">
      <w:pPr>
        <w:pStyle w:val="Normal31"/>
        <w:widowControl w:val="0"/>
        <w:spacing w:before="120" w:line="240" w:lineRule="atLeast"/>
        <w:jc w:val="both"/>
      </w:pPr>
      <w:r>
        <w:rPr>
          <w:rFonts w:ascii="Arial" w:eastAsia="Arial" w:hAnsi="Arial" w:cs="Arial"/>
          <w:color w:val="000000"/>
          <w:sz w:val="18"/>
          <w:vertAlign w:val="superscript"/>
        </w:rPr>
        <w:t>1 </w:t>
      </w:r>
      <w:bookmarkStart w:id="4283" w:name="Bookmark_fnpara_2_22"/>
      <w:bookmarkEnd w:id="4283"/>
      <w:r>
        <w:rPr>
          <w:rFonts w:ascii="Arial" w:eastAsia="Arial" w:hAnsi="Arial" w:cs="Arial"/>
          <w:color w:val="000000"/>
          <w:sz w:val="18"/>
        </w:rPr>
        <w:t>Sperry provided other emails from police officials regarding Sperry, but none were addressed to the named defendants or the entire police force, so it is unclear to what extent that information reached the officers who later investigated Sperry for theft. Those emails placed an alert on Sperry's residence as a potential threat to officer safety and indicated that Sperry "has mental health issues," can be "extremely vocal and boisterous in his expressions" when not on medication, "easily angers and is difficult to reason with," and was still "very confrontational" as of November 16, 2007. Aplee. Supp. App. at 463-66.</w:t>
      </w:r>
    </w:p>
  </w:footnote>
  <w:footnote w:id="150">
    <w:p w14:paraId="188111FC" w14:textId="77777777" w:rsidR="002D0E71" w:rsidRDefault="00000000">
      <w:pPr>
        <w:pStyle w:val="Normal31"/>
        <w:widowControl w:val="0"/>
        <w:spacing w:before="120" w:line="240" w:lineRule="atLeast"/>
        <w:jc w:val="both"/>
      </w:pPr>
      <w:r>
        <w:rPr>
          <w:rFonts w:ascii="Arial" w:eastAsia="Arial" w:hAnsi="Arial" w:cs="Arial"/>
          <w:color w:val="000000"/>
          <w:sz w:val="18"/>
          <w:vertAlign w:val="superscript"/>
        </w:rPr>
        <w:t>2 </w:t>
      </w:r>
      <w:bookmarkStart w:id="4285" w:name="Bookmark_fnpara_3_18"/>
      <w:bookmarkEnd w:id="4285"/>
      <w:r>
        <w:rPr>
          <w:rFonts w:ascii="Arial" w:eastAsia="Arial" w:hAnsi="Arial" w:cs="Arial"/>
          <w:color w:val="000000"/>
          <w:sz w:val="18"/>
        </w:rPr>
        <w:t>Clifton Porter, an employee of the oil company affiliated with the gas station, stated that any combination of four numbers would work to "force" a sale through the system, which assumes that the numbers come from the clerk calling a bank for authorization.</w:t>
      </w:r>
    </w:p>
  </w:footnote>
  <w:footnote w:id="151">
    <w:p w14:paraId="2A9BAF30" w14:textId="77777777" w:rsidR="002D0E71" w:rsidRDefault="00000000">
      <w:pPr>
        <w:pStyle w:val="Normal31"/>
        <w:widowControl w:val="0"/>
        <w:spacing w:before="120" w:line="240" w:lineRule="atLeast"/>
        <w:jc w:val="both"/>
      </w:pPr>
      <w:r>
        <w:rPr>
          <w:rFonts w:ascii="Arial" w:eastAsia="Arial" w:hAnsi="Arial" w:cs="Arial"/>
          <w:color w:val="000000"/>
          <w:sz w:val="18"/>
          <w:vertAlign w:val="superscript"/>
        </w:rPr>
        <w:t>3 </w:t>
      </w:r>
      <w:bookmarkStart w:id="4287" w:name="Bookmark_fnpara_4_16"/>
      <w:bookmarkEnd w:id="4287"/>
      <w:r>
        <w:rPr>
          <w:rFonts w:ascii="Arial" w:eastAsia="Arial" w:hAnsi="Arial" w:cs="Arial"/>
          <w:color w:val="000000"/>
          <w:sz w:val="18"/>
        </w:rPr>
        <w:t>Elder had conducted one prior investigation into Todd Sperry and his wife for illegal dumping, but stated that he had never met either person and only made one phone call to the house. He said he did not remember Sperry's name when Porter filed his report. Elder was reportedly the only African American officer in the Castle Rock Police Department at the time, and Sperry stated that he never interacted with an officer of that description.</w:t>
      </w:r>
    </w:p>
  </w:footnote>
  <w:footnote w:id="152">
    <w:p w14:paraId="319C9895" w14:textId="77777777" w:rsidR="002D0E71" w:rsidRDefault="00000000">
      <w:pPr>
        <w:pStyle w:val="Normal31"/>
        <w:widowControl w:val="0"/>
        <w:spacing w:before="120" w:line="240" w:lineRule="atLeast"/>
        <w:jc w:val="both"/>
      </w:pPr>
      <w:r>
        <w:rPr>
          <w:rFonts w:ascii="Arial" w:eastAsia="Arial" w:hAnsi="Arial" w:cs="Arial"/>
          <w:color w:val="000000"/>
          <w:sz w:val="18"/>
          <w:vertAlign w:val="superscript"/>
        </w:rPr>
        <w:t>4 </w:t>
      </w:r>
      <w:bookmarkStart w:id="4291" w:name="Bookmark_fnpara_5_12"/>
      <w:bookmarkEnd w:id="4291"/>
      <w:r>
        <w:rPr>
          <w:rFonts w:ascii="Arial" w:eastAsia="Arial" w:hAnsi="Arial" w:cs="Arial"/>
          <w:color w:val="000000"/>
          <w:sz w:val="18"/>
        </w:rPr>
        <w:t>The relevant Colorado theft statute reads:</w:t>
      </w:r>
    </w:p>
    <w:p w14:paraId="5F96654B" w14:textId="77777777" w:rsidR="002D0E71" w:rsidRDefault="00000000">
      <w:pPr>
        <w:pStyle w:val="Normal31"/>
        <w:widowControl w:val="0"/>
        <w:spacing w:before="120" w:line="240" w:lineRule="atLeast"/>
        <w:ind w:left="400"/>
        <w:jc w:val="both"/>
      </w:pPr>
      <w:bookmarkStart w:id="4292" w:name="Bookmark_para_12_27"/>
      <w:bookmarkStart w:id="4293" w:name="Bookmark_LNHNREFclscc1_25"/>
      <w:bookmarkEnd w:id="4292"/>
      <w:bookmarkEnd w:id="4293"/>
      <w:r>
        <w:rPr>
          <w:rFonts w:ascii="Arial" w:eastAsia="Arial" w:hAnsi="Arial" w:cs="Arial"/>
          <w:color w:val="000000"/>
          <w:sz w:val="18"/>
        </w:rPr>
        <w:t>(1) A person commits theft when he or she knowingly obtains, retains, or exercises control over anything of value of another without authorization or by threat or deception; or receives, loans money by pawn or pledge on, or disposes of anything of value or belonging to another that he or she knows or believes to have been stolen, and:</w:t>
      </w:r>
    </w:p>
    <w:p w14:paraId="27B8CDEE" w14:textId="77777777" w:rsidR="002D0E71" w:rsidRDefault="00000000">
      <w:pPr>
        <w:pStyle w:val="Normal31"/>
        <w:widowControl w:val="0"/>
        <w:spacing w:before="120" w:line="240" w:lineRule="atLeast"/>
        <w:ind w:left="400"/>
        <w:jc w:val="both"/>
      </w:pPr>
      <w:bookmarkStart w:id="4294" w:name="Bookmark_para_13_27"/>
      <w:bookmarkEnd w:id="4294"/>
      <w:r>
        <w:rPr>
          <w:rFonts w:ascii="Arial" w:eastAsia="Arial" w:hAnsi="Arial" w:cs="Arial"/>
          <w:color w:val="000000"/>
          <w:sz w:val="18"/>
        </w:rPr>
        <w:t>(a) Intends to deprive the other person permanently of the use or benefit of the thing of value. Colo. Rev. Stat. § 18-4-401.</w:t>
      </w:r>
    </w:p>
  </w:footnote>
  <w:footnote w:id="153">
    <w:p w14:paraId="77C0FB93" w14:textId="77777777" w:rsidR="002D0E71" w:rsidRDefault="00000000">
      <w:pPr>
        <w:pStyle w:val="Normal31"/>
        <w:widowControl w:val="0"/>
        <w:spacing w:before="200" w:line="240" w:lineRule="atLeast"/>
        <w:jc w:val="both"/>
      </w:pPr>
      <w:r>
        <w:rPr>
          <w:rFonts w:ascii="Arial" w:eastAsia="Arial" w:hAnsi="Arial" w:cs="Arial"/>
          <w:color w:val="000000"/>
          <w:sz w:val="18"/>
          <w:vertAlign w:val="superscript"/>
        </w:rPr>
        <w:t>5 </w:t>
      </w:r>
      <w:bookmarkStart w:id="4295" w:name="Bookmark_fnpara_6_9"/>
      <w:bookmarkEnd w:id="4295"/>
      <w:r>
        <w:rPr>
          <w:rFonts w:ascii="Arial" w:eastAsia="Arial" w:hAnsi="Arial" w:cs="Arial"/>
          <w:color w:val="000000"/>
          <w:sz w:val="18"/>
        </w:rPr>
        <w:t>Crisis intervention training may have been available earlier than 2010 [**9]  as optional training, according to Elder's statements.</w:t>
      </w:r>
    </w:p>
  </w:footnote>
  <w:footnote w:id="154">
    <w:p w14:paraId="4180279F" w14:textId="77777777" w:rsidR="002D0E71" w:rsidRDefault="00000000">
      <w:pPr>
        <w:pStyle w:val="Normal31"/>
        <w:widowControl w:val="0"/>
        <w:spacing w:before="120" w:line="240" w:lineRule="atLeast"/>
        <w:jc w:val="both"/>
      </w:pPr>
      <w:r>
        <w:rPr>
          <w:rFonts w:ascii="Arial" w:eastAsia="Arial" w:hAnsi="Arial" w:cs="Arial"/>
          <w:color w:val="000000"/>
          <w:sz w:val="18"/>
          <w:vertAlign w:val="superscript"/>
        </w:rPr>
        <w:t>6 </w:t>
      </w:r>
      <w:bookmarkStart w:id="4301" w:name="Bookmark_fnpara_7_8"/>
      <w:bookmarkEnd w:id="4301"/>
      <w:r>
        <w:rPr>
          <w:rFonts w:ascii="Arial" w:eastAsia="Arial" w:hAnsi="Arial" w:cs="Arial"/>
          <w:color w:val="000000"/>
          <w:sz w:val="18"/>
        </w:rPr>
        <w:t>It is not clear from the Third Amended Complaint that Sperry made a municipal liability claim against the town under § 1983 with regard to the alleged malicious prosecution, but both the defendants and the district court appeared to construe the complaint broadly to include such a claim.</w:t>
      </w:r>
    </w:p>
  </w:footnote>
  <w:footnote w:id="155">
    <w:p w14:paraId="6C7CC3EB" w14:textId="77777777" w:rsidR="002D0E71" w:rsidRDefault="00000000">
      <w:pPr>
        <w:pStyle w:val="Normal31"/>
        <w:widowControl w:val="0"/>
        <w:spacing w:before="120" w:line="240" w:lineRule="atLeast"/>
        <w:jc w:val="both"/>
      </w:pPr>
      <w:r>
        <w:rPr>
          <w:rFonts w:ascii="Arial" w:eastAsia="Arial" w:hAnsi="Arial" w:cs="Arial"/>
          <w:color w:val="000000"/>
          <w:sz w:val="18"/>
          <w:vertAlign w:val="superscript"/>
        </w:rPr>
        <w:t>7 </w:t>
      </w:r>
      <w:bookmarkStart w:id="4320" w:name="Bookmark_fnpara_8_7"/>
      <w:bookmarkEnd w:id="4320"/>
      <w:r>
        <w:rPr>
          <w:rFonts w:ascii="Arial" w:eastAsia="Arial" w:hAnsi="Arial" w:cs="Arial"/>
          <w:color w:val="000000"/>
          <w:sz w:val="18"/>
        </w:rPr>
        <w:t xml:space="preserve">The Supreme Court decided in Pearson v. Callahan that courts may conduct the analysis in either order. </w:t>
      </w:r>
      <w:bookmarkStart w:id="4321" w:name="Bookmark_I5DV86382D6MX70040000400"/>
      <w:bookmarkEnd w:id="4321"/>
      <w:r>
        <w:rPr>
          <w:rFonts w:ascii="Arial" w:eastAsia="Arial" w:hAnsi="Arial" w:cs="Arial"/>
          <w:color w:val="000000"/>
          <w:sz w:val="18"/>
        </w:rPr>
        <w:t>555 U.S. 223, 236, 129 S. Ct. 808, 172 L. Ed. 2d 565 (2009).</w:t>
      </w:r>
    </w:p>
  </w:footnote>
  <w:footnote w:id="156">
    <w:p w14:paraId="09750151" w14:textId="77777777" w:rsidR="002D0E71" w:rsidRDefault="00000000">
      <w:pPr>
        <w:pStyle w:val="Normal31"/>
        <w:widowControl w:val="0"/>
        <w:spacing w:before="200" w:line="240" w:lineRule="atLeast"/>
        <w:jc w:val="both"/>
      </w:pPr>
      <w:r>
        <w:rPr>
          <w:rFonts w:ascii="Arial" w:eastAsia="Arial" w:hAnsi="Arial" w:cs="Arial"/>
          <w:color w:val="000000"/>
          <w:sz w:val="18"/>
          <w:vertAlign w:val="superscript"/>
        </w:rPr>
        <w:t>8 </w:t>
      </w:r>
      <w:bookmarkStart w:id="4365" w:name="Bookmark_fnpara_9_6"/>
      <w:bookmarkStart w:id="4366" w:name="Bookmark_I5DV86392N1RB20030000400"/>
      <w:bookmarkStart w:id="4367" w:name="Bookmark_I5DV86392N1RB20050000400"/>
      <w:bookmarkEnd w:id="4365"/>
      <w:bookmarkEnd w:id="4366"/>
      <w:bookmarkEnd w:id="4367"/>
      <w:r>
        <w:rPr>
          <w:rFonts w:ascii="Arial" w:eastAsia="Arial" w:hAnsi="Arial" w:cs="Arial"/>
          <w:color w:val="000000"/>
          <w:sz w:val="18"/>
        </w:rPr>
        <w:t xml:space="preserve">This lack of cases also indicates an omission of this kind is not "clearly established" as a constitutional violation for purposes of qualified immunity. </w:t>
      </w:r>
      <w:bookmarkStart w:id="4368" w:name="Bookmark_I5DV86392N1RB20020000400"/>
      <w:bookmarkEnd w:id="4368"/>
      <w:r>
        <w:rPr>
          <w:rFonts w:ascii="Arial" w:eastAsia="Arial" w:hAnsi="Arial" w:cs="Arial"/>
          <w:color w:val="000000"/>
          <w:sz w:val="18"/>
          <w:u w:val="single"/>
        </w:rPr>
        <w:t>Kerns v. Bader</w:t>
      </w:r>
      <w:r>
        <w:rPr>
          <w:rFonts w:ascii="Arial" w:eastAsia="Arial" w:hAnsi="Arial" w:cs="Arial"/>
          <w:color w:val="000000"/>
          <w:sz w:val="18"/>
        </w:rPr>
        <w:t xml:space="preserve">, 663 F.3d 1173, 1183 (10th Cir. 2011) (requiring the well-defined right be established "beyond debate" based on existing Supreme Court or Tenth Circuit precedent or a significant number of cases from outside the circuit). </w:t>
      </w:r>
      <w:r>
        <w:rPr>
          <w:rFonts w:ascii="Arial" w:eastAsia="Arial" w:hAnsi="Arial" w:cs="Arial"/>
          <w:color w:val="000000"/>
          <w:sz w:val="18"/>
          <w:u w:val="single"/>
        </w:rPr>
        <w:t xml:space="preserve">See also </w:t>
      </w:r>
      <w:bookmarkStart w:id="4369" w:name="Bookmark_I5DV86392N1RB20040000400"/>
      <w:bookmarkEnd w:id="4369"/>
      <w:r>
        <w:rPr>
          <w:rFonts w:ascii="Arial" w:eastAsia="Arial" w:hAnsi="Arial" w:cs="Arial"/>
          <w:color w:val="000000"/>
          <w:sz w:val="18"/>
          <w:u w:val="single"/>
        </w:rPr>
        <w:t>Cortez v. McCauley</w:t>
      </w:r>
      <w:r>
        <w:rPr>
          <w:rFonts w:ascii="Arial" w:eastAsia="Arial" w:hAnsi="Arial" w:cs="Arial"/>
          <w:color w:val="000000"/>
          <w:sz w:val="18"/>
        </w:rPr>
        <w:t>, 478 F.3d 1108, 1114-15 (10th Cir. 2007).</w:t>
      </w:r>
    </w:p>
  </w:footnote>
  <w:footnote w:id="157">
    <w:p w14:paraId="68C0261D" w14:textId="77777777" w:rsidR="002D0E71" w:rsidRDefault="00000000">
      <w:pPr>
        <w:pStyle w:val="Normal31"/>
        <w:widowControl w:val="0"/>
        <w:spacing w:before="120" w:line="240" w:lineRule="atLeast"/>
        <w:jc w:val="both"/>
      </w:pPr>
      <w:r>
        <w:rPr>
          <w:rFonts w:ascii="Arial" w:eastAsia="Arial" w:hAnsi="Arial" w:cs="Arial"/>
          <w:color w:val="000000"/>
          <w:sz w:val="18"/>
          <w:vertAlign w:val="superscript"/>
        </w:rPr>
        <w:t>9 </w:t>
      </w:r>
      <w:bookmarkStart w:id="4383" w:name="Bookmark_fnpara_10_3"/>
      <w:bookmarkEnd w:id="4383"/>
      <w:r>
        <w:rPr>
          <w:rFonts w:ascii="Arial" w:eastAsia="Arial" w:hAnsi="Arial" w:cs="Arial"/>
          <w:color w:val="000000"/>
          <w:sz w:val="18"/>
        </w:rPr>
        <w:t xml:space="preserve">The statutory language reads: </w:t>
      </w:r>
      <w:bookmarkStart w:id="4384" w:name="Bookmark_LNHNREFclscc11_16"/>
      <w:bookmarkEnd w:id="4384"/>
      <w:r>
        <w:rPr>
          <w:rFonts w:ascii="Arial" w:eastAsia="Arial" w:hAnsi="Arial" w:cs="Arial"/>
          <w:color w:val="000000"/>
          <w:sz w:val="18"/>
        </w:rPr>
        <w:t>"[N]o qualified individual with a disability shall, by reason of such disability, be excluded from participation in or be denied the benefits of the services, programs, or activities of a public entity, or be subjected to discrimination by any such entity." 42 U.S.C. § 12132.</w:t>
      </w:r>
    </w:p>
  </w:footnote>
  <w:footnote w:id="158">
    <w:p w14:paraId="2E830E63" w14:textId="77777777" w:rsidR="002D0E71" w:rsidRDefault="00000000">
      <w:pPr>
        <w:pStyle w:val="Normal31"/>
        <w:widowControl w:val="0"/>
        <w:spacing w:before="200" w:line="240" w:lineRule="atLeast"/>
        <w:jc w:val="both"/>
      </w:pPr>
      <w:r>
        <w:rPr>
          <w:rFonts w:ascii="Arial" w:eastAsia="Arial" w:hAnsi="Arial" w:cs="Arial"/>
          <w:color w:val="000000"/>
          <w:sz w:val="18"/>
          <w:vertAlign w:val="superscript"/>
        </w:rPr>
        <w:t>10 </w:t>
      </w:r>
      <w:bookmarkStart w:id="4407" w:name="Bookmark_fnpara_11_2"/>
      <w:bookmarkStart w:id="4408" w:name="Bookmark_I5DV863928T51C0030000400"/>
      <w:bookmarkEnd w:id="4407"/>
      <w:bookmarkEnd w:id="4408"/>
      <w:r>
        <w:rPr>
          <w:rFonts w:ascii="Arial" w:eastAsia="Arial" w:hAnsi="Arial" w:cs="Arial"/>
          <w:color w:val="000000"/>
          <w:sz w:val="18"/>
        </w:rPr>
        <w:t xml:space="preserve">On appeal, Sperry provides further documentation of his disability from the Social Security Administration, but such evidence does not appear to have been before the district court. Aplt. App. at 283-91. "In reviewing a ruling on summary judgment, we will not consider evidence that was not before the district court." </w:t>
      </w:r>
      <w:bookmarkStart w:id="4409" w:name="Bookmark_I5DV863928T51C0020000400"/>
      <w:bookmarkEnd w:id="4409"/>
      <w:r>
        <w:rPr>
          <w:rFonts w:ascii="Arial" w:eastAsia="Arial" w:hAnsi="Arial" w:cs="Arial"/>
          <w:color w:val="000000"/>
          <w:sz w:val="18"/>
          <w:u w:val="single"/>
        </w:rPr>
        <w:t>Wilburn v. Mid-South Health Dev., Inc</w:t>
      </w:r>
      <w:r>
        <w:rPr>
          <w:rFonts w:ascii="Arial" w:eastAsia="Arial" w:hAnsi="Arial" w:cs="Arial"/>
          <w:color w:val="000000"/>
          <w:sz w:val="18"/>
        </w:rPr>
        <w:t>., 343 F.3d 1274, 1281 (10th Cir. 2003).</w:t>
      </w:r>
    </w:p>
  </w:footnote>
  <w:footnote w:id="159">
    <w:p w14:paraId="74CBBC5C" w14:textId="77777777" w:rsidR="002D0E71" w:rsidRDefault="00000000">
      <w:pPr>
        <w:pStyle w:val="Normal32"/>
        <w:widowControl w:val="0"/>
        <w:spacing w:before="120" w:line="240" w:lineRule="atLeast"/>
        <w:jc w:val="both"/>
      </w:pPr>
      <w:r>
        <w:rPr>
          <w:rFonts w:ascii="Arial" w:eastAsia="Arial" w:hAnsi="Arial" w:cs="Arial"/>
          <w:color w:val="000000"/>
          <w:sz w:val="18"/>
          <w:vertAlign w:val="superscript"/>
        </w:rPr>
        <w:t>* </w:t>
      </w:r>
      <w:bookmarkStart w:id="4432" w:name="Bookmark_fnpara_1_27"/>
      <w:bookmarkEnd w:id="4432"/>
      <w:r>
        <w:rPr>
          <w:rFonts w:ascii="Arial" w:eastAsia="Arial" w:hAnsi="Arial" w:cs="Arial"/>
          <w:color w:val="000000"/>
          <w:sz w:val="18"/>
        </w:rPr>
        <w:t>Honorable Eugene E. Siler, Jr., United States Circuit Judge for the Sixth Circuit Court of Appeals, sitting by designation.</w:t>
      </w:r>
    </w:p>
  </w:footnote>
  <w:footnote w:id="160">
    <w:p w14:paraId="470611CD" w14:textId="77777777" w:rsidR="002D0E71" w:rsidRDefault="00000000">
      <w:pPr>
        <w:pStyle w:val="Normal32"/>
        <w:widowControl w:val="0"/>
        <w:spacing w:before="120" w:line="240" w:lineRule="atLeast"/>
        <w:jc w:val="both"/>
      </w:pPr>
      <w:r>
        <w:rPr>
          <w:rFonts w:ascii="Arial" w:eastAsia="Arial" w:hAnsi="Arial" w:cs="Arial"/>
          <w:color w:val="000000"/>
          <w:sz w:val="18"/>
          <w:vertAlign w:val="superscript"/>
        </w:rPr>
        <w:t>1 </w:t>
      </w:r>
      <w:bookmarkStart w:id="4442" w:name="Bookmark_fnpara_2_23"/>
      <w:bookmarkEnd w:id="4442"/>
      <w:r>
        <w:rPr>
          <w:rFonts w:ascii="Arial" w:eastAsia="Arial" w:hAnsi="Arial" w:cs="Arial"/>
          <w:color w:val="000000"/>
          <w:sz w:val="18"/>
        </w:rPr>
        <w:t>Throughout this opinion, we use "parents" when referring to both McCullum and Frazier. We refer to the parents individually as either "mother" or "father," and we refer to T.F. as "sister."</w:t>
      </w:r>
    </w:p>
  </w:footnote>
  <w:footnote w:id="161">
    <w:p w14:paraId="4EE5D364" w14:textId="77777777" w:rsidR="002D0E71" w:rsidRDefault="00000000">
      <w:pPr>
        <w:pStyle w:val="Normal32"/>
        <w:widowControl w:val="0"/>
        <w:spacing w:before="200" w:line="240" w:lineRule="atLeast"/>
        <w:jc w:val="both"/>
      </w:pPr>
      <w:r>
        <w:rPr>
          <w:rFonts w:ascii="Arial" w:eastAsia="Arial" w:hAnsi="Arial" w:cs="Arial"/>
          <w:color w:val="000000"/>
          <w:sz w:val="18"/>
          <w:vertAlign w:val="superscript"/>
        </w:rPr>
        <w:t>2 </w:t>
      </w:r>
      <w:bookmarkStart w:id="4446" w:name="Bookmark_fnpara_3_19"/>
      <w:bookmarkEnd w:id="4446"/>
      <w:r>
        <w:rPr>
          <w:rFonts w:ascii="Arial" w:eastAsia="Arial" w:hAnsi="Arial" w:cs="Arial"/>
          <w:color w:val="000000"/>
          <w:sz w:val="18"/>
        </w:rPr>
        <w:t xml:space="preserve">Child Life Specialists are healthcare professionals who are specifically trained to "use their knowledge of child development and developmentally appropriate interventions [**8]  to educate, prepare and support children through difficult tests, procedures, and the sometimes drastic changes that happen within their families due to chronic or acute illness, treatment, and recovery." </w:t>
      </w:r>
      <w:r>
        <w:rPr>
          <w:rFonts w:ascii="Arial" w:eastAsia="Arial" w:hAnsi="Arial" w:cs="Arial"/>
          <w:color w:val="000000"/>
          <w:sz w:val="18"/>
          <w:u w:val="single"/>
        </w:rPr>
        <w:t>See Child Life Specialist</w:t>
      </w:r>
      <w:r>
        <w:rPr>
          <w:rFonts w:ascii="Arial" w:eastAsia="Arial" w:hAnsi="Arial" w:cs="Arial"/>
          <w:color w:val="000000"/>
          <w:sz w:val="18"/>
        </w:rPr>
        <w:t>, Mayo Clinic (Jan. 21, 2014), http://www.mayo.edu/mshs/careers/child-life-specialist.</w:t>
      </w:r>
    </w:p>
  </w:footnote>
  <w:footnote w:id="162">
    <w:p w14:paraId="61EB8F13" w14:textId="77777777" w:rsidR="002D0E71" w:rsidRDefault="00000000">
      <w:pPr>
        <w:pStyle w:val="Normal32"/>
        <w:widowControl w:val="0"/>
        <w:spacing w:before="120" w:line="240" w:lineRule="atLeast"/>
        <w:jc w:val="both"/>
      </w:pPr>
      <w:r>
        <w:rPr>
          <w:rFonts w:ascii="Arial" w:eastAsia="Arial" w:hAnsi="Arial" w:cs="Arial"/>
          <w:color w:val="000000"/>
          <w:sz w:val="18"/>
          <w:vertAlign w:val="superscript"/>
        </w:rPr>
        <w:t>3 </w:t>
      </w:r>
      <w:bookmarkStart w:id="4447" w:name="Bookmark_fnpara_4_17"/>
      <w:bookmarkEnd w:id="4447"/>
      <w:r>
        <w:rPr>
          <w:rFonts w:ascii="Arial" w:eastAsia="Arial" w:hAnsi="Arial" w:cs="Arial"/>
          <w:color w:val="000000"/>
          <w:sz w:val="18"/>
        </w:rPr>
        <w:t>D.F. later testified that the book was "very large" and that he understood only a small part of it. But there is no evidence that he indicated to Burbage or anyone else at that time that he did not understand all of it.</w:t>
      </w:r>
    </w:p>
  </w:footnote>
  <w:footnote w:id="163">
    <w:p w14:paraId="24DCAD63" w14:textId="77777777" w:rsidR="002D0E71" w:rsidRDefault="00000000">
      <w:pPr>
        <w:pStyle w:val="Normal32"/>
        <w:widowControl w:val="0"/>
        <w:spacing w:before="120" w:line="240" w:lineRule="atLeast"/>
        <w:jc w:val="both"/>
      </w:pPr>
      <w:r>
        <w:rPr>
          <w:rFonts w:ascii="Arial" w:eastAsia="Arial" w:hAnsi="Arial" w:cs="Arial"/>
          <w:color w:val="000000"/>
          <w:sz w:val="18"/>
          <w:vertAlign w:val="superscript"/>
        </w:rPr>
        <w:t>4 </w:t>
      </w:r>
      <w:bookmarkStart w:id="4451" w:name="Bookmark_fnpara_5_13"/>
      <w:bookmarkEnd w:id="4451"/>
      <w:r>
        <w:rPr>
          <w:rFonts w:ascii="Arial" w:eastAsia="Arial" w:hAnsi="Arial" w:cs="Arial"/>
          <w:color w:val="000000"/>
          <w:sz w:val="18"/>
        </w:rPr>
        <w:t>North Brevard County Hospital District, which operates the Parrish hospital, and Orlando Regional Healthcare Systems, Inc., which operates the Arnold Palmer hospital, were named as the defendants.</w:t>
      </w:r>
    </w:p>
  </w:footnote>
  <w:footnote w:id="164">
    <w:p w14:paraId="40F46E81" w14:textId="77777777" w:rsidR="002D0E71" w:rsidRDefault="00000000">
      <w:pPr>
        <w:pStyle w:val="Normal32"/>
        <w:widowControl w:val="0"/>
        <w:spacing w:before="200" w:line="240" w:lineRule="atLeast"/>
        <w:jc w:val="both"/>
      </w:pPr>
      <w:r>
        <w:rPr>
          <w:rFonts w:ascii="Arial" w:eastAsia="Arial" w:hAnsi="Arial" w:cs="Arial"/>
          <w:color w:val="000000"/>
          <w:sz w:val="18"/>
          <w:vertAlign w:val="superscript"/>
        </w:rPr>
        <w:t>5 </w:t>
      </w:r>
      <w:bookmarkStart w:id="4464" w:name="Bookmark_fnpara_6_10"/>
      <w:bookmarkEnd w:id="4464"/>
      <w:r>
        <w:rPr>
          <w:rFonts w:ascii="Arial" w:eastAsia="Arial" w:hAnsi="Arial" w:cs="Arial"/>
          <w:color w:val="000000"/>
          <w:sz w:val="18"/>
        </w:rPr>
        <w:t xml:space="preserve">D.F.'s parents further allege that they were injured because the defendants relied on them to provide interpretive services in violation of 28 C.F.R. § 36.303(c)(3). </w:t>
      </w:r>
      <w:bookmarkStart w:id="4465" w:name="Bookmark_I5DG18K028T4RX0050000400"/>
      <w:bookmarkEnd w:id="4465"/>
      <w:r>
        <w:rPr>
          <w:rFonts w:ascii="Arial" w:eastAsia="Arial" w:hAnsi="Arial" w:cs="Arial"/>
          <w:color w:val="000000"/>
          <w:sz w:val="18"/>
          <w:u w:val="single"/>
        </w:rPr>
        <w:t>See</w:t>
      </w:r>
      <w:r>
        <w:rPr>
          <w:rFonts w:ascii="Arial" w:eastAsia="Arial" w:hAnsi="Arial" w:cs="Arial"/>
          <w:color w:val="000000"/>
          <w:sz w:val="18"/>
        </w:rPr>
        <w:t xml:space="preserve"> 28 C.F.R. § 36.303(c)(3) (stating that "[a] public accommodation shall not rely on an adult accompanying an individual with a disability to interpret or facilitate communication" except in certain circumstances). A violation of that regulation [**13]  cannot serve as a basis for their claim, however, because the regulation had not been enacted at the time of D.F.'s hospitalization in 2009. </w:t>
      </w:r>
      <w:r>
        <w:rPr>
          <w:rFonts w:ascii="Arial" w:eastAsia="Arial" w:hAnsi="Arial" w:cs="Arial"/>
          <w:color w:val="000000"/>
          <w:sz w:val="18"/>
          <w:u w:val="single"/>
        </w:rPr>
        <w:t>See</w:t>
      </w:r>
      <w:r>
        <w:rPr>
          <w:rFonts w:ascii="Arial" w:eastAsia="Arial" w:hAnsi="Arial" w:cs="Arial"/>
          <w:color w:val="000000"/>
          <w:sz w:val="18"/>
        </w:rPr>
        <w:t xml:space="preserve"> </w:t>
      </w:r>
      <w:bookmarkStart w:id="4466" w:name="Bookmark_I5DG18K028T4RX0040000400"/>
      <w:bookmarkEnd w:id="4466"/>
      <w:r>
        <w:rPr>
          <w:rFonts w:ascii="Arial" w:eastAsia="Arial" w:hAnsi="Arial" w:cs="Arial"/>
          <w:color w:val="000000"/>
          <w:sz w:val="18"/>
        </w:rPr>
        <w:t>Nondiscrimination on the Basis of Disability by Public Accommodations and in Commercial Facilities, 75 Fed. Reg. 56,236-37, 56,253-54 (Sept. 15, 2010). As a result, we have no occasion to decide whether a plaintiff may assert a cause of action premised on a violation of § 36.303(c)(3).</w:t>
      </w:r>
    </w:p>
  </w:footnote>
  <w:footnote w:id="165">
    <w:p w14:paraId="7C4025E6" w14:textId="77777777" w:rsidR="002D0E71" w:rsidRDefault="00000000">
      <w:pPr>
        <w:pStyle w:val="Normal32"/>
        <w:widowControl w:val="0"/>
        <w:spacing w:before="200" w:line="240" w:lineRule="atLeast"/>
        <w:jc w:val="both"/>
      </w:pPr>
      <w:r>
        <w:rPr>
          <w:rFonts w:ascii="Arial" w:eastAsia="Arial" w:hAnsi="Arial" w:cs="Arial"/>
          <w:color w:val="000000"/>
          <w:sz w:val="18"/>
          <w:vertAlign w:val="superscript"/>
        </w:rPr>
        <w:t>6 </w:t>
      </w:r>
      <w:bookmarkStart w:id="4507" w:name="Bookmark_fnpara_7_9"/>
      <w:bookmarkStart w:id="4508" w:name="Bookmark_I5DG18K028T4RY0040000400"/>
      <w:bookmarkEnd w:id="4507"/>
      <w:bookmarkEnd w:id="4508"/>
      <w:r>
        <w:rPr>
          <w:rFonts w:ascii="Arial" w:eastAsia="Arial" w:hAnsi="Arial" w:cs="Arial"/>
          <w:color w:val="000000"/>
          <w:sz w:val="18"/>
        </w:rPr>
        <w:t xml:space="preserve">This is the Second Circuit's holding on the RA associational standing issue, even though it is expressed in a concurring opinion. </w:t>
      </w:r>
      <w:r>
        <w:rPr>
          <w:rFonts w:ascii="Arial" w:eastAsia="Arial" w:hAnsi="Arial" w:cs="Arial"/>
          <w:color w:val="000000"/>
          <w:sz w:val="18"/>
          <w:u w:val="single"/>
        </w:rPr>
        <w:t xml:space="preserve">See </w:t>
      </w:r>
      <w:bookmarkStart w:id="4509" w:name="Bookmark_I5DG18K028T4RY0030000400"/>
      <w:bookmarkEnd w:id="4509"/>
      <w:r>
        <w:rPr>
          <w:rFonts w:ascii="Arial" w:eastAsia="Arial" w:hAnsi="Arial" w:cs="Arial"/>
          <w:color w:val="000000"/>
          <w:sz w:val="18"/>
          <w:u w:val="single"/>
        </w:rPr>
        <w:t>Loeffler</w:t>
      </w:r>
      <w:r>
        <w:rPr>
          <w:rFonts w:ascii="Arial" w:eastAsia="Arial" w:hAnsi="Arial" w:cs="Arial"/>
          <w:color w:val="000000"/>
          <w:sz w:val="18"/>
        </w:rPr>
        <w:t xml:space="preserve">, 582 F.3d at 279 (Wesley, J. concurring) ("I write to express the view of two members of the panel with regard to the children's claims under the Rehabilitation Act of 1973 (the 'RA')."); </w:t>
      </w:r>
      <w:bookmarkStart w:id="4510" w:name="Bookmark_I5DG18K028T4RY0050000400"/>
      <w:bookmarkEnd w:id="4510"/>
      <w:r>
        <w:rPr>
          <w:rFonts w:ascii="Arial" w:eastAsia="Arial" w:hAnsi="Arial" w:cs="Arial"/>
          <w:color w:val="000000"/>
          <w:sz w:val="18"/>
          <w:u w:val="single"/>
        </w:rPr>
        <w:t>id</w:t>
      </w:r>
      <w:r>
        <w:rPr>
          <w:rFonts w:ascii="Arial" w:eastAsia="Arial" w:hAnsi="Arial" w:cs="Arial"/>
          <w:color w:val="000000"/>
          <w:sz w:val="18"/>
        </w:rPr>
        <w:t>. at 277 ("The opinion of Judge Wesley constitutes the opinion of the Court as to this issue."). Because it is the court's majority opinion on that issue, we will skip the traditional citation convention of citing it as a concurring opinion every time we mention it here.</w:t>
      </w:r>
    </w:p>
  </w:footnote>
  <w:footnote w:id="166">
    <w:p w14:paraId="43FADCFE" w14:textId="77777777" w:rsidR="002D0E71" w:rsidRDefault="00000000">
      <w:pPr>
        <w:pStyle w:val="Normal32"/>
        <w:widowControl w:val="0"/>
        <w:spacing w:before="120" w:line="240" w:lineRule="atLeast"/>
        <w:jc w:val="both"/>
      </w:pPr>
      <w:r>
        <w:rPr>
          <w:rFonts w:ascii="Arial" w:eastAsia="Arial" w:hAnsi="Arial" w:cs="Arial"/>
          <w:color w:val="000000"/>
          <w:sz w:val="18"/>
          <w:vertAlign w:val="superscript"/>
        </w:rPr>
        <w:t>7 </w:t>
      </w:r>
      <w:bookmarkStart w:id="4529" w:name="Bookmark_fnpara_8_8"/>
      <w:bookmarkEnd w:id="4529"/>
      <w:r>
        <w:rPr>
          <w:rFonts w:ascii="Arial" w:eastAsia="Arial" w:hAnsi="Arial" w:cs="Arial"/>
          <w:color w:val="000000"/>
          <w:sz w:val="18"/>
        </w:rPr>
        <w:t>The claims of D.F. that we discuss in the remainder of this opinion are claims that his parents brought on his behalf. For clarity we refer to them simply as his claims and describe the parents' assertions and arguments on his behalf as his own.</w:t>
      </w:r>
    </w:p>
  </w:footnote>
  <w:footnote w:id="167">
    <w:p w14:paraId="09FCE09B" w14:textId="77777777" w:rsidR="002D0E71" w:rsidRDefault="00000000">
      <w:pPr>
        <w:pStyle w:val="Normal32"/>
        <w:widowControl w:val="0"/>
        <w:spacing w:before="200" w:line="240" w:lineRule="atLeast"/>
        <w:jc w:val="both"/>
      </w:pPr>
      <w:r>
        <w:rPr>
          <w:rFonts w:ascii="Arial" w:eastAsia="Arial" w:hAnsi="Arial" w:cs="Arial"/>
          <w:color w:val="000000"/>
          <w:sz w:val="18"/>
          <w:vertAlign w:val="superscript"/>
        </w:rPr>
        <w:t>8 </w:t>
      </w:r>
      <w:bookmarkStart w:id="4553" w:name="Bookmark_fnpara_9_7"/>
      <w:bookmarkStart w:id="4554" w:name="Bookmark_I5DG18K02N1RBH0030000400"/>
      <w:bookmarkEnd w:id="4553"/>
      <w:bookmarkEnd w:id="4554"/>
      <w:r>
        <w:rPr>
          <w:rFonts w:ascii="Arial" w:eastAsia="Arial" w:hAnsi="Arial" w:cs="Arial"/>
          <w:color w:val="000000"/>
          <w:sz w:val="18"/>
        </w:rPr>
        <w:t xml:space="preserve">Where a plaintiff is not seeking compensatory damages, discriminatory intent is not required. In that situation, a showing that the auxiliary aids he received to assist him in communicating were not sufficient to provide him with an equal opportunity to benefit from the healthcare provider's treatment is enough by itself to establish a violation of both the RA and ADA. </w:t>
      </w:r>
      <w:r>
        <w:rPr>
          <w:rFonts w:ascii="Arial" w:eastAsia="Arial" w:hAnsi="Arial" w:cs="Arial"/>
          <w:color w:val="000000"/>
          <w:sz w:val="18"/>
          <w:u w:val="single"/>
        </w:rPr>
        <w:t xml:space="preserve">See </w:t>
      </w:r>
      <w:bookmarkStart w:id="4555" w:name="Bookmark_I5DG18K02N1RBH0020000400"/>
      <w:bookmarkEnd w:id="4555"/>
      <w:r>
        <w:rPr>
          <w:rFonts w:ascii="Arial" w:eastAsia="Arial" w:hAnsi="Arial" w:cs="Arial"/>
          <w:color w:val="000000"/>
          <w:sz w:val="18"/>
          <w:u w:val="single"/>
        </w:rPr>
        <w:t>Liese</w:t>
      </w:r>
      <w:r>
        <w:rPr>
          <w:rFonts w:ascii="Arial" w:eastAsia="Arial" w:hAnsi="Arial" w:cs="Arial"/>
          <w:color w:val="000000"/>
          <w:sz w:val="18"/>
        </w:rPr>
        <w:t xml:space="preserve">, 701 F.3d at 343-44. </w:t>
      </w:r>
      <w:bookmarkStart w:id="4556" w:name="Bookmark_I5DG18K02N1RBH0050000400"/>
      <w:bookmarkEnd w:id="4556"/>
      <w:r>
        <w:rPr>
          <w:rFonts w:ascii="Arial" w:eastAsia="Arial" w:hAnsi="Arial" w:cs="Arial"/>
          <w:color w:val="000000"/>
          <w:sz w:val="18"/>
        </w:rPr>
        <w:t xml:space="preserve">And in this case, there is a genuine issue of material fact about whether D.F. was provided with effective accommodations. </w:t>
      </w:r>
      <w:bookmarkStart w:id="4557" w:name="Bookmark_I5DG18K02N1RBH0050000400_2"/>
      <w:bookmarkEnd w:id="4557"/>
      <w:r>
        <w:rPr>
          <w:rFonts w:ascii="Arial" w:eastAsia="Arial" w:hAnsi="Arial" w:cs="Arial"/>
          <w:color w:val="000000"/>
          <w:sz w:val="18"/>
        </w:rPr>
        <w:t xml:space="preserve">That does not, however, rule out summary judgment for the defendants on the compensatory [**28]  damages claim because D.F. must also establish a genuine issue of material fact that they acted, or failed to act, with discriminatory intent. </w:t>
      </w:r>
      <w:r>
        <w:rPr>
          <w:rFonts w:ascii="Arial" w:eastAsia="Arial" w:hAnsi="Arial" w:cs="Arial"/>
          <w:color w:val="000000"/>
          <w:sz w:val="18"/>
          <w:u w:val="single"/>
        </w:rPr>
        <w:t xml:space="preserve">See </w:t>
      </w:r>
      <w:bookmarkStart w:id="4558" w:name="Bookmark_I5DG18K02N1RBH0040000400"/>
      <w:bookmarkEnd w:id="4558"/>
      <w:r>
        <w:rPr>
          <w:rFonts w:ascii="Arial" w:eastAsia="Arial" w:hAnsi="Arial" w:cs="Arial"/>
          <w:color w:val="000000"/>
          <w:sz w:val="18"/>
          <w:u w:val="single"/>
        </w:rPr>
        <w:t>Liese</w:t>
      </w:r>
      <w:r>
        <w:rPr>
          <w:rFonts w:ascii="Arial" w:eastAsia="Arial" w:hAnsi="Arial" w:cs="Arial"/>
          <w:color w:val="000000"/>
          <w:sz w:val="18"/>
        </w:rPr>
        <w:t>, 701 F.3d at 342.</w:t>
      </w:r>
    </w:p>
  </w:footnote>
  <w:footnote w:id="168">
    <w:p w14:paraId="4541561A" w14:textId="77777777" w:rsidR="002D0E71" w:rsidRDefault="00000000">
      <w:pPr>
        <w:pStyle w:val="Normal32"/>
        <w:widowControl w:val="0"/>
        <w:spacing w:before="200" w:line="240" w:lineRule="atLeast"/>
        <w:jc w:val="both"/>
      </w:pPr>
      <w:r>
        <w:rPr>
          <w:rFonts w:ascii="Arial" w:eastAsia="Arial" w:hAnsi="Arial" w:cs="Arial"/>
          <w:color w:val="000000"/>
          <w:sz w:val="18"/>
          <w:vertAlign w:val="superscript"/>
        </w:rPr>
        <w:t>9 </w:t>
      </w:r>
      <w:bookmarkStart w:id="4585" w:name="Bookmark_fnpara_10_4"/>
      <w:bookmarkEnd w:id="4585"/>
      <w:r>
        <w:rPr>
          <w:rFonts w:ascii="Arial" w:eastAsia="Arial" w:hAnsi="Arial" w:cs="Arial"/>
          <w:color w:val="000000"/>
          <w:sz w:val="18"/>
        </w:rPr>
        <w:t xml:space="preserve">To prevail on D.F.'s claims seeking damages from the hospitals, the parents must also show deliberate indifference on the part of "an </w:t>
      </w:r>
      <w:r>
        <w:rPr>
          <w:rFonts w:ascii="Arial" w:eastAsia="Arial" w:hAnsi="Arial" w:cs="Arial"/>
          <w:color w:val="000000"/>
          <w:sz w:val="18"/>
          <w:u w:val="single"/>
        </w:rPr>
        <w:t>official</w:t>
      </w:r>
      <w:r>
        <w:rPr>
          <w:rFonts w:ascii="Arial" w:eastAsia="Arial" w:hAnsi="Arial" w:cs="Arial"/>
          <w:color w:val="000000"/>
          <w:sz w:val="18"/>
        </w:rPr>
        <w:t xml:space="preserve"> who at a minimum has </w:t>
      </w:r>
      <w:r>
        <w:rPr>
          <w:rFonts w:ascii="Arial" w:eastAsia="Arial" w:hAnsi="Arial" w:cs="Arial"/>
          <w:color w:val="000000"/>
          <w:sz w:val="18"/>
          <w:u w:val="single"/>
        </w:rPr>
        <w:t>authority</w:t>
      </w:r>
      <w:r>
        <w:rPr>
          <w:rFonts w:ascii="Arial" w:eastAsia="Arial" w:hAnsi="Arial" w:cs="Arial"/>
          <w:color w:val="000000"/>
          <w:sz w:val="18"/>
        </w:rPr>
        <w:t xml:space="preserve"> to address the alleged discrimination and to institute corrective measures on the organization's behalf and who has </w:t>
      </w:r>
      <w:r>
        <w:rPr>
          <w:rFonts w:ascii="Arial" w:eastAsia="Arial" w:hAnsi="Arial" w:cs="Arial"/>
          <w:color w:val="000000"/>
          <w:sz w:val="18"/>
          <w:u w:val="single"/>
        </w:rPr>
        <w:t>actual knowledge</w:t>
      </w:r>
      <w:r>
        <w:rPr>
          <w:rFonts w:ascii="Arial" w:eastAsia="Arial" w:hAnsi="Arial" w:cs="Arial"/>
          <w:color w:val="000000"/>
          <w:sz w:val="18"/>
        </w:rPr>
        <w:t xml:space="preserve"> of [**31]  discrimination in the organization's programs and fails to adequately respond." </w:t>
      </w:r>
      <w:r>
        <w:rPr>
          <w:rFonts w:ascii="Arial" w:eastAsia="Arial" w:hAnsi="Arial" w:cs="Arial"/>
          <w:color w:val="000000"/>
          <w:sz w:val="18"/>
          <w:u w:val="single"/>
        </w:rPr>
        <w:t xml:space="preserve">See </w:t>
      </w:r>
      <w:bookmarkStart w:id="4586" w:name="Bookmark_I5DG18K02D6N820050000400"/>
      <w:bookmarkEnd w:id="4586"/>
      <w:r>
        <w:rPr>
          <w:rFonts w:ascii="Arial" w:eastAsia="Arial" w:hAnsi="Arial" w:cs="Arial"/>
          <w:color w:val="000000"/>
          <w:sz w:val="18"/>
          <w:u w:val="single"/>
        </w:rPr>
        <w:t>Liese</w:t>
      </w:r>
      <w:r>
        <w:rPr>
          <w:rFonts w:ascii="Arial" w:eastAsia="Arial" w:hAnsi="Arial" w:cs="Arial"/>
          <w:color w:val="000000"/>
          <w:sz w:val="18"/>
        </w:rPr>
        <w:t xml:space="preserve">, 701 F.3d at 349 (alterations omitted); </w:t>
      </w:r>
      <w:r>
        <w:rPr>
          <w:rFonts w:ascii="Arial" w:eastAsia="Arial" w:hAnsi="Arial" w:cs="Arial"/>
          <w:color w:val="000000"/>
          <w:sz w:val="18"/>
          <w:u w:val="single"/>
        </w:rPr>
        <w:t xml:space="preserve">see also </w:t>
      </w:r>
      <w:bookmarkStart w:id="4587" w:name="Bookmark_I5DG18K02SF88H0020000400"/>
      <w:bookmarkEnd w:id="4587"/>
      <w:r>
        <w:rPr>
          <w:rFonts w:ascii="Arial" w:eastAsia="Arial" w:hAnsi="Arial" w:cs="Arial"/>
          <w:color w:val="000000"/>
          <w:sz w:val="18"/>
          <w:u w:val="single"/>
        </w:rPr>
        <w:t>Gebser v. Lago Vista Indep. Sch. Dist</w:t>
      </w:r>
      <w:r>
        <w:rPr>
          <w:rFonts w:ascii="Arial" w:eastAsia="Arial" w:hAnsi="Arial" w:cs="Arial"/>
          <w:color w:val="000000"/>
          <w:sz w:val="18"/>
        </w:rPr>
        <w:t xml:space="preserve">., 524 U.S. 274, 290, 118 S.Ct. 1989, 1999, 141 L. Ed. 2d 277 (1998). Because we conclude that D.F. has not presented sufficient evidence of deliberate indifference by any Parrish or Arnold Palmer staff member, we need not address whether the nurses and doctors treating him qualified as "officials" within the meaning of </w:t>
      </w:r>
      <w:r>
        <w:rPr>
          <w:rFonts w:ascii="Arial" w:eastAsia="Arial" w:hAnsi="Arial" w:cs="Arial"/>
          <w:color w:val="000000"/>
          <w:sz w:val="18"/>
          <w:u w:val="single"/>
        </w:rPr>
        <w:t>Liese</w:t>
      </w:r>
      <w:r>
        <w:rPr>
          <w:rFonts w:ascii="Arial" w:eastAsia="Arial" w:hAnsi="Arial" w:cs="Arial"/>
          <w:color w:val="000000"/>
          <w:sz w:val="18"/>
        </w:rPr>
        <w:t xml:space="preserve"> and </w:t>
      </w:r>
      <w:r>
        <w:rPr>
          <w:rFonts w:ascii="Arial" w:eastAsia="Arial" w:hAnsi="Arial" w:cs="Arial"/>
          <w:color w:val="000000"/>
          <w:sz w:val="18"/>
          <w:u w:val="single"/>
        </w:rPr>
        <w:t>Gebser</w:t>
      </w:r>
      <w:r>
        <w:rPr>
          <w:rFonts w:ascii="Arial" w:eastAsia="Arial" w:hAnsi="Arial" w:cs="Arial"/>
          <w:color w:val="000000"/>
          <w:sz w:val="18"/>
        </w:rPr>
        <w:t>.</w:t>
      </w:r>
    </w:p>
  </w:footnote>
  <w:footnote w:id="169">
    <w:p w14:paraId="7690FB55" w14:textId="77777777" w:rsidR="002D0E71" w:rsidRDefault="00000000">
      <w:pPr>
        <w:pStyle w:val="Normal33"/>
        <w:widowControl w:val="0"/>
        <w:spacing w:before="120" w:line="240" w:lineRule="atLeast"/>
        <w:jc w:val="both"/>
      </w:pPr>
      <w:r>
        <w:rPr>
          <w:rFonts w:ascii="Arial" w:eastAsia="Arial" w:hAnsi="Arial" w:cs="Arial"/>
          <w:color w:val="000000"/>
          <w:sz w:val="18"/>
          <w:vertAlign w:val="superscript"/>
        </w:rPr>
        <w:t>1 </w:t>
      </w:r>
      <w:bookmarkStart w:id="4609" w:name="Bookmark_fnpara_1_28"/>
      <w:bookmarkEnd w:id="4609"/>
      <w:r>
        <w:rPr>
          <w:rFonts w:ascii="Arial" w:eastAsia="Arial" w:hAnsi="Arial" w:cs="Arial"/>
          <w:color w:val="000000"/>
          <w:sz w:val="18"/>
        </w:rPr>
        <w:t>The nursing home's establishment predated the current ordinance, and it was granted a special permit to continue operation as a "domiciliary care facility."</w:t>
      </w:r>
    </w:p>
  </w:footnote>
  <w:footnote w:id="170">
    <w:p w14:paraId="3306EE8E" w14:textId="77777777" w:rsidR="002D0E71" w:rsidRDefault="00000000">
      <w:pPr>
        <w:pStyle w:val="Normal33"/>
        <w:widowControl w:val="0"/>
        <w:spacing w:before="200" w:line="240" w:lineRule="atLeast"/>
        <w:jc w:val="both"/>
      </w:pPr>
      <w:r>
        <w:rPr>
          <w:rFonts w:ascii="Arial" w:eastAsia="Arial" w:hAnsi="Arial" w:cs="Arial"/>
          <w:color w:val="000000"/>
          <w:sz w:val="18"/>
          <w:vertAlign w:val="superscript"/>
        </w:rPr>
        <w:t>2 </w:t>
      </w:r>
      <w:bookmarkStart w:id="4623" w:name="Bookmark_fnpara_2_24"/>
      <w:bookmarkEnd w:id="4623"/>
      <w:r>
        <w:rPr>
          <w:rFonts w:ascii="Arial" w:eastAsia="Arial" w:hAnsi="Arial" w:cs="Arial"/>
          <w:color w:val="000000"/>
          <w:sz w:val="18"/>
        </w:rPr>
        <w:t xml:space="preserve">Because its brief makes no argument regarding disparate impact, Sunrise has waived that issue on appeal. </w:t>
      </w:r>
      <w:r>
        <w:rPr>
          <w:rFonts w:ascii="Arial" w:eastAsia="Arial" w:hAnsi="Arial" w:cs="Arial"/>
          <w:i/>
          <w:color w:val="000000"/>
          <w:sz w:val="18"/>
        </w:rPr>
        <w:t xml:space="preserve">See </w:t>
      </w:r>
      <w:bookmarkStart w:id="4624" w:name="Bookmark_I5DFW8TX2N1RN20050000400"/>
      <w:bookmarkEnd w:id="4624"/>
      <w:r>
        <w:rPr>
          <w:rFonts w:ascii="Arial" w:eastAsia="Arial" w:hAnsi="Arial" w:cs="Arial"/>
          <w:i/>
          <w:color w:val="000000"/>
          <w:sz w:val="18"/>
        </w:rPr>
        <w:t>Gross v. Rell</w:t>
      </w:r>
      <w:r>
        <w:rPr>
          <w:rFonts w:ascii="Arial" w:eastAsia="Arial" w:hAnsi="Arial" w:cs="Arial"/>
          <w:color w:val="000000"/>
          <w:sz w:val="18"/>
        </w:rPr>
        <w:t>, 585 F.3d 72, 95 (2d Cir. 2009).</w:t>
      </w:r>
    </w:p>
  </w:footnote>
  <w:footnote w:id="171">
    <w:p w14:paraId="2BFA8F09" w14:textId="77777777" w:rsidR="002D0E71" w:rsidRDefault="00000000">
      <w:pPr>
        <w:pStyle w:val="Normal34"/>
        <w:widowControl w:val="0"/>
        <w:spacing w:before="200" w:line="240" w:lineRule="atLeast"/>
        <w:jc w:val="both"/>
      </w:pPr>
      <w:r>
        <w:rPr>
          <w:rFonts w:ascii="Arial" w:eastAsia="Arial" w:hAnsi="Arial" w:cs="Arial"/>
          <w:color w:val="000000"/>
          <w:sz w:val="18"/>
          <w:vertAlign w:val="superscript"/>
        </w:rPr>
        <w:t>1 </w:t>
      </w:r>
      <w:bookmarkStart w:id="4711" w:name="Bookmark_fnpara_1_29"/>
      <w:bookmarkStart w:id="4712" w:name="Bookmark_I5DFVX342HM60W0020000400"/>
      <w:bookmarkEnd w:id="4711"/>
      <w:bookmarkEnd w:id="4712"/>
      <w:r>
        <w:rPr>
          <w:rFonts w:ascii="Arial" w:eastAsia="Arial" w:hAnsi="Arial" w:cs="Arial"/>
          <w:color w:val="000000"/>
          <w:sz w:val="18"/>
        </w:rPr>
        <w:t xml:space="preserve">Seco also brought an unjust enrichment claim that was dismissed by the district court. Because Seco does not address the unjust enrichment claim on appeal, the claim is deemed abandoned. </w:t>
      </w:r>
      <w:r>
        <w:rPr>
          <w:rFonts w:ascii="Arial" w:eastAsia="Arial" w:hAnsi="Arial" w:cs="Arial"/>
          <w:color w:val="000000"/>
          <w:sz w:val="18"/>
          <w:u w:val="single"/>
        </w:rPr>
        <w:t xml:space="preserve">See </w:t>
      </w:r>
      <w:bookmarkStart w:id="4713" w:name="Bookmark_I5DFVX342HM60W0010000400"/>
      <w:bookmarkEnd w:id="4713"/>
      <w:r>
        <w:rPr>
          <w:rFonts w:ascii="Arial" w:eastAsia="Arial" w:hAnsi="Arial" w:cs="Arial"/>
          <w:color w:val="000000"/>
          <w:sz w:val="18"/>
          <w:u w:val="single"/>
        </w:rPr>
        <w:t>Access Now, Inc. v. Sw. Airlines Co</w:t>
      </w:r>
      <w:r>
        <w:rPr>
          <w:rFonts w:ascii="Arial" w:eastAsia="Arial" w:hAnsi="Arial" w:cs="Arial"/>
          <w:color w:val="000000"/>
          <w:sz w:val="18"/>
        </w:rPr>
        <w:t xml:space="preserve">., 385 F.3d 1324, 1330 (11th Cir. 2004) ("[T]he law is by now well settled in this Circuit that </w:t>
      </w:r>
      <w:bookmarkStart w:id="4714" w:name="Bookmark_LNHNREFclscc1_28"/>
      <w:bookmarkEnd w:id="4714"/>
      <w:r>
        <w:rPr>
          <w:rFonts w:ascii="Arial" w:eastAsia="Arial" w:hAnsi="Arial" w:cs="Arial"/>
          <w:color w:val="000000"/>
          <w:sz w:val="18"/>
        </w:rPr>
        <w:t>a legal claim or argument that has not been briefed before the court is deemed abandoned and its merits will not be addressed.").</w:t>
      </w:r>
    </w:p>
  </w:footnote>
  <w:footnote w:id="172">
    <w:p w14:paraId="464E10C1" w14:textId="77777777" w:rsidR="002D0E71" w:rsidRDefault="00000000">
      <w:pPr>
        <w:pStyle w:val="Normal34"/>
        <w:widowControl w:val="0"/>
        <w:spacing w:before="200" w:line="240" w:lineRule="atLeast"/>
        <w:jc w:val="both"/>
      </w:pPr>
      <w:r>
        <w:rPr>
          <w:rFonts w:ascii="Arial" w:eastAsia="Arial" w:hAnsi="Arial" w:cs="Arial"/>
          <w:color w:val="000000"/>
          <w:sz w:val="18"/>
          <w:vertAlign w:val="superscript"/>
        </w:rPr>
        <w:t>2 </w:t>
      </w:r>
      <w:bookmarkStart w:id="4718" w:name="Bookmark_fnpara_2_25"/>
      <w:bookmarkStart w:id="4719" w:name="Bookmark_I5DFVX342N1RFT0050000400"/>
      <w:bookmarkEnd w:id="4718"/>
      <w:bookmarkEnd w:id="4719"/>
      <w:r>
        <w:rPr>
          <w:rFonts w:ascii="Arial" w:eastAsia="Arial" w:hAnsi="Arial" w:cs="Arial"/>
          <w:color w:val="000000"/>
          <w:sz w:val="18"/>
        </w:rPr>
        <w:t xml:space="preserve">In his complaint, Seco broadly sought relief directed at "all of the barriers to access" on NCL's cruise ships. We confine our review on appeal to the alleged barriers that are specifically identified in Seco's brief. </w:t>
      </w:r>
      <w:r>
        <w:rPr>
          <w:rFonts w:ascii="Arial" w:eastAsia="Arial" w:hAnsi="Arial" w:cs="Arial"/>
          <w:color w:val="000000"/>
          <w:sz w:val="18"/>
          <w:u w:val="single"/>
        </w:rPr>
        <w:t xml:space="preserve">Cf. </w:t>
      </w:r>
      <w:bookmarkStart w:id="4720" w:name="Bookmark_I5DFVX342N1RFT0040000400"/>
      <w:bookmarkEnd w:id="4720"/>
      <w:r>
        <w:rPr>
          <w:rFonts w:ascii="Arial" w:eastAsia="Arial" w:hAnsi="Arial" w:cs="Arial"/>
          <w:color w:val="000000"/>
          <w:sz w:val="18"/>
          <w:u w:val="single"/>
        </w:rPr>
        <w:t>Access Now</w:t>
      </w:r>
      <w:r>
        <w:rPr>
          <w:rFonts w:ascii="Arial" w:eastAsia="Arial" w:hAnsi="Arial" w:cs="Arial"/>
          <w:color w:val="000000"/>
          <w:sz w:val="18"/>
        </w:rPr>
        <w:t>, 385 F.3d at 1330.</w:t>
      </w:r>
    </w:p>
  </w:footnote>
  <w:footnote w:id="173">
    <w:p w14:paraId="3BE596B4" w14:textId="77777777" w:rsidR="002D0E71" w:rsidRDefault="00000000">
      <w:pPr>
        <w:pStyle w:val="Normal34"/>
        <w:widowControl w:val="0"/>
        <w:spacing w:before="200" w:line="240" w:lineRule="atLeast"/>
        <w:jc w:val="both"/>
      </w:pPr>
      <w:r>
        <w:rPr>
          <w:rFonts w:ascii="Arial" w:eastAsia="Arial" w:hAnsi="Arial" w:cs="Arial"/>
          <w:color w:val="000000"/>
          <w:sz w:val="18"/>
          <w:vertAlign w:val="superscript"/>
        </w:rPr>
        <w:t>3 </w:t>
      </w:r>
      <w:bookmarkStart w:id="4735" w:name="Bookmark_fnpara_3_20"/>
      <w:bookmarkStart w:id="4736" w:name="Bookmark_I5DFVX3428T4JG0010000400"/>
      <w:bookmarkEnd w:id="4735"/>
      <w:bookmarkEnd w:id="4736"/>
      <w:r>
        <w:rPr>
          <w:rFonts w:ascii="Arial" w:eastAsia="Arial" w:hAnsi="Arial" w:cs="Arial"/>
          <w:color w:val="000000"/>
          <w:sz w:val="18"/>
        </w:rPr>
        <w:t xml:space="preserve">The only reference in the complaint to Seco's personal interest in the availability of handicapped-accessible exterior cabins is in the following sentence: "By failing to offer both balcony and window view [handicapped-accessible] cabins, NCL is unfairly discriminating against all handicapped persons, including Joseph Seco, who are interested in cruising but feel confined and/or claustrophobic and require or would prefer an exterior cabin." This statement is insufficient to allege that Seco suffers either from claustrophobia or from another disability that is affected by the presence of balconies or window views. </w:t>
      </w:r>
      <w:r>
        <w:rPr>
          <w:rFonts w:ascii="Arial" w:eastAsia="Arial" w:hAnsi="Arial" w:cs="Arial"/>
          <w:color w:val="000000"/>
          <w:sz w:val="18"/>
          <w:u w:val="single"/>
        </w:rPr>
        <w:t xml:space="preserve">Cf. </w:t>
      </w:r>
      <w:bookmarkStart w:id="4737" w:name="Bookmark_I5DFVX342N1RFV0050000400"/>
      <w:bookmarkEnd w:id="4737"/>
      <w:r>
        <w:rPr>
          <w:rFonts w:ascii="Arial" w:eastAsia="Arial" w:hAnsi="Arial" w:cs="Arial"/>
          <w:color w:val="000000"/>
          <w:sz w:val="18"/>
          <w:u w:val="single"/>
        </w:rPr>
        <w:t>Bell Atl. Corp. v. Twombly</w:t>
      </w:r>
      <w:r>
        <w:rPr>
          <w:rFonts w:ascii="Arial" w:eastAsia="Arial" w:hAnsi="Arial" w:cs="Arial"/>
          <w:color w:val="000000"/>
          <w:sz w:val="18"/>
        </w:rPr>
        <w:t>, 550 U.S. 544, 555, 127 S. Ct. 1955, 1965, 167 L. Ed. 2d 929 (2007) (</w:t>
      </w:r>
      <w:bookmarkStart w:id="4738" w:name="Bookmark_LNHNREFclscc5_27"/>
      <w:bookmarkEnd w:id="4738"/>
      <w:r>
        <w:rPr>
          <w:rFonts w:ascii="Arial" w:eastAsia="Arial" w:hAnsi="Arial" w:cs="Arial"/>
          <w:color w:val="000000"/>
          <w:sz w:val="18"/>
        </w:rPr>
        <w:t>"The pleading must contain something more . . . than . . . a statement of facts that merely creates a suspicion of a legally cognizable right of action" (alterations and internal quotation marks omitted)). Moreover, even if Seco were deemed to have alleged he is claustrophobic, he fails to allege any facts indicating that such claustrophobia substantially limits one or more life activities so as to trigger protection under the ADA.</w:t>
      </w:r>
    </w:p>
  </w:footnote>
  <w:footnote w:id="174">
    <w:p w14:paraId="71D34204" w14:textId="77777777" w:rsidR="002D0E71" w:rsidRDefault="00000000">
      <w:pPr>
        <w:pStyle w:val="Normal34"/>
        <w:widowControl w:val="0"/>
        <w:spacing w:before="200" w:line="240" w:lineRule="atLeast"/>
        <w:jc w:val="both"/>
      </w:pPr>
      <w:r>
        <w:rPr>
          <w:rFonts w:ascii="Arial" w:eastAsia="Arial" w:hAnsi="Arial" w:cs="Arial"/>
          <w:color w:val="000000"/>
          <w:sz w:val="18"/>
          <w:vertAlign w:val="superscript"/>
        </w:rPr>
        <w:t>4 </w:t>
      </w:r>
      <w:bookmarkStart w:id="4750" w:name="Bookmark_fnpara_4_18"/>
      <w:bookmarkEnd w:id="4750"/>
      <w:r>
        <w:rPr>
          <w:rFonts w:ascii="Arial" w:eastAsia="Arial" w:hAnsi="Arial" w:cs="Arial"/>
          <w:color w:val="000000"/>
          <w:sz w:val="18"/>
        </w:rPr>
        <w:t xml:space="preserve">4 We recognize that it has been suggested that our decision in Stevens may "conflic[t] with the Supreme Court's holding in </w:t>
      </w:r>
      <w:bookmarkStart w:id="4751" w:name="Bookmark_I5DFVX342HM60X0030000400"/>
      <w:bookmarkEnd w:id="4751"/>
      <w:r>
        <w:rPr>
          <w:rFonts w:ascii="Arial" w:eastAsia="Arial" w:hAnsi="Arial" w:cs="Arial"/>
          <w:color w:val="000000"/>
          <w:sz w:val="18"/>
          <w:u w:val="single"/>
        </w:rPr>
        <w:t>Lujan v. Defenders of Wildlife</w:t>
      </w:r>
      <w:r>
        <w:rPr>
          <w:rFonts w:ascii="Arial" w:eastAsia="Arial" w:hAnsi="Arial" w:cs="Arial"/>
          <w:color w:val="000000"/>
          <w:sz w:val="18"/>
        </w:rPr>
        <w:t xml:space="preserve">, 504 U.S. 555, 112 S.Ct. 2130, 119 L.Ed.2d 351 (1992), that 'some day intentions' are not enough." </w:t>
      </w:r>
      <w:bookmarkStart w:id="4752" w:name="Bookmark_I5DFVX342HM60X0050000400"/>
      <w:bookmarkEnd w:id="4752"/>
      <w:r>
        <w:rPr>
          <w:rFonts w:ascii="Arial" w:eastAsia="Arial" w:hAnsi="Arial" w:cs="Arial"/>
          <w:color w:val="000000"/>
          <w:sz w:val="18"/>
          <w:u w:val="single"/>
        </w:rPr>
        <w:t>Houston</w:t>
      </w:r>
      <w:r>
        <w:rPr>
          <w:rFonts w:ascii="Arial" w:eastAsia="Arial" w:hAnsi="Arial" w:cs="Arial"/>
          <w:color w:val="000000"/>
          <w:sz w:val="18"/>
        </w:rPr>
        <w:t xml:space="preserve">, 733 F.3d at 1335 n.5. </w:t>
      </w:r>
      <w:bookmarkStart w:id="4753" w:name="Bookmark_LNHNREFclscc7_25"/>
      <w:bookmarkEnd w:id="4753"/>
      <w:r>
        <w:rPr>
          <w:rFonts w:ascii="Arial" w:eastAsia="Arial" w:hAnsi="Arial" w:cs="Arial"/>
          <w:color w:val="000000"/>
          <w:sz w:val="18"/>
        </w:rPr>
        <w:t xml:space="preserve">"We are bound to follow a prior panel . . . , except where that holding has been overruled or undermined to the point of abrogation by a subsequent en banc or Supreme Court decision." </w:t>
      </w:r>
      <w:bookmarkStart w:id="4754" w:name="Bookmark_I5DFVX342SF8GN0020000400"/>
      <w:bookmarkEnd w:id="4754"/>
      <w:r>
        <w:rPr>
          <w:rFonts w:ascii="Arial" w:eastAsia="Arial" w:hAnsi="Arial" w:cs="Arial"/>
          <w:color w:val="000000"/>
          <w:sz w:val="18"/>
          <w:u w:val="single"/>
        </w:rPr>
        <w:t>Chambers v. Thompson</w:t>
      </w:r>
      <w:r>
        <w:rPr>
          <w:rFonts w:ascii="Arial" w:eastAsia="Arial" w:hAnsi="Arial" w:cs="Arial"/>
          <w:color w:val="000000"/>
          <w:sz w:val="18"/>
        </w:rPr>
        <w:t>, 150 F.3d 1324, 1326 (11th Cir. 1998).</w:t>
      </w:r>
    </w:p>
  </w:footnote>
  <w:footnote w:id="175">
    <w:p w14:paraId="5098905C" w14:textId="77777777" w:rsidR="002D0E71" w:rsidRDefault="00000000">
      <w:pPr>
        <w:pStyle w:val="Normal35"/>
        <w:widowControl w:val="0"/>
        <w:spacing w:before="120" w:line="240" w:lineRule="atLeast"/>
        <w:jc w:val="both"/>
      </w:pPr>
      <w:r>
        <w:rPr>
          <w:rFonts w:ascii="Arial" w:eastAsia="Arial" w:hAnsi="Arial" w:cs="Arial"/>
          <w:color w:val="000000"/>
          <w:sz w:val="18"/>
          <w:vertAlign w:val="superscript"/>
        </w:rPr>
        <w:t>1 </w:t>
      </w:r>
      <w:bookmarkStart w:id="4801" w:name="Bookmark_fnpara_1_30"/>
      <w:bookmarkEnd w:id="4801"/>
      <w:r>
        <w:rPr>
          <w:rFonts w:ascii="Arial" w:eastAsia="Arial" w:hAnsi="Arial" w:cs="Arial"/>
          <w:color w:val="000000"/>
          <w:sz w:val="18"/>
        </w:rPr>
        <w:t>However, the motion by Economic Opportunity for Savannah-Chatham County Area, Inc., John H. Finney, and Terry Tolbert for an award of damages and costs pursuant to 28 U.S.C. §§ 1912 and 1927, and Federal Rule of Appellate Procedure 38 is DENIED.</w:t>
      </w:r>
    </w:p>
  </w:footnote>
  <w:footnote w:id="176">
    <w:p w14:paraId="07E6EB79" w14:textId="77777777" w:rsidR="002D0E71" w:rsidRDefault="00000000">
      <w:pPr>
        <w:pStyle w:val="Normal35"/>
        <w:widowControl w:val="0"/>
        <w:spacing w:before="200" w:line="240" w:lineRule="atLeast"/>
        <w:jc w:val="both"/>
      </w:pPr>
      <w:r>
        <w:rPr>
          <w:rFonts w:ascii="Arial" w:eastAsia="Arial" w:hAnsi="Arial" w:cs="Arial"/>
          <w:color w:val="000000"/>
          <w:sz w:val="18"/>
          <w:vertAlign w:val="superscript"/>
        </w:rPr>
        <w:t>2 </w:t>
      </w:r>
      <w:bookmarkStart w:id="4843" w:name="Bookmark_fnpara_2_26"/>
      <w:bookmarkStart w:id="4844" w:name="Bookmark_I5DFVWW52HM5SB0030000400"/>
      <w:bookmarkEnd w:id="4843"/>
      <w:bookmarkEnd w:id="4844"/>
      <w:r>
        <w:rPr>
          <w:rFonts w:ascii="Arial" w:eastAsia="Arial" w:hAnsi="Arial" w:cs="Arial"/>
          <w:color w:val="000000"/>
          <w:sz w:val="18"/>
        </w:rPr>
        <w:t xml:space="preserve">Moreover, because Parker only cites the language of §12203(b) in her main brief, with no further elaboration, she has abandoned this argument. </w:t>
      </w:r>
      <w:bookmarkStart w:id="4845" w:name="Bookmark_I5DFVWW52HM5SB0050000400"/>
      <w:bookmarkEnd w:id="4845"/>
      <w:r>
        <w:rPr>
          <w:rFonts w:ascii="Arial" w:eastAsia="Arial" w:hAnsi="Arial" w:cs="Arial"/>
          <w:color w:val="000000"/>
          <w:sz w:val="18"/>
          <w:u w:val="single"/>
        </w:rPr>
        <w:t xml:space="preserve">See </w:t>
      </w:r>
      <w:bookmarkStart w:id="4846" w:name="Bookmark_I5DFVWW52HM5SB0020000400"/>
      <w:bookmarkEnd w:id="4846"/>
      <w:r>
        <w:rPr>
          <w:rFonts w:ascii="Arial" w:eastAsia="Arial" w:hAnsi="Arial" w:cs="Arial"/>
          <w:color w:val="000000"/>
          <w:sz w:val="18"/>
          <w:u w:val="single"/>
        </w:rPr>
        <w:t>Singh v. United States AG</w:t>
      </w:r>
      <w:r>
        <w:rPr>
          <w:rFonts w:ascii="Arial" w:eastAsia="Arial" w:hAnsi="Arial" w:cs="Arial"/>
          <w:color w:val="000000"/>
          <w:sz w:val="18"/>
        </w:rPr>
        <w:t xml:space="preserve">, 561 F.3d 1275, 1278 (11th Cir. 2009) (holding that </w:t>
      </w:r>
      <w:bookmarkStart w:id="4847" w:name="Bookmark_LNHNREFclscc10_24"/>
      <w:bookmarkEnd w:id="4847"/>
      <w:r>
        <w:rPr>
          <w:rFonts w:ascii="Arial" w:eastAsia="Arial" w:hAnsi="Arial" w:cs="Arial"/>
          <w:color w:val="000000"/>
          <w:sz w:val="18"/>
        </w:rPr>
        <w:t xml:space="preserve">merely stating an issue exists, without further argument or discussion, constitutes abandonment of that [**7]  issue). To the extent she attempts to delineate the claim in her reply brief, issues raised for the first time on reply are not reviewed. </w:t>
      </w:r>
      <w:bookmarkStart w:id="4848" w:name="Bookmark_I5DFVWW52HM5SB0050000400_2"/>
      <w:bookmarkEnd w:id="4848"/>
      <w:r>
        <w:rPr>
          <w:rFonts w:ascii="Arial" w:eastAsia="Arial" w:hAnsi="Arial" w:cs="Arial"/>
          <w:color w:val="000000"/>
          <w:sz w:val="18"/>
          <w:u w:val="single"/>
        </w:rPr>
        <w:t xml:space="preserve">See </w:t>
      </w:r>
      <w:bookmarkStart w:id="4849" w:name="Bookmark_I5DFVWW52HM5SB0040000400"/>
      <w:bookmarkEnd w:id="4849"/>
      <w:r>
        <w:rPr>
          <w:rFonts w:ascii="Arial" w:eastAsia="Arial" w:hAnsi="Arial" w:cs="Arial"/>
          <w:color w:val="000000"/>
          <w:sz w:val="18"/>
          <w:u w:val="single"/>
        </w:rPr>
        <w:t>Big Top Koolers, Inc. v. Circus-Man Snacks, Inc</w:t>
      </w:r>
      <w:r>
        <w:rPr>
          <w:rFonts w:ascii="Arial" w:eastAsia="Arial" w:hAnsi="Arial" w:cs="Arial"/>
          <w:color w:val="000000"/>
          <w:sz w:val="18"/>
        </w:rPr>
        <w:t>., 528 F.3d 839, 844 (11th Cir. 2008).</w:t>
      </w:r>
    </w:p>
  </w:footnote>
  <w:footnote w:id="177">
    <w:p w14:paraId="40E43076" w14:textId="77777777" w:rsidR="002D0E71" w:rsidRDefault="00000000">
      <w:pPr>
        <w:pStyle w:val="Normal36"/>
        <w:widowControl w:val="0"/>
        <w:spacing w:before="120" w:line="240" w:lineRule="atLeast"/>
        <w:jc w:val="both"/>
      </w:pPr>
      <w:r>
        <w:rPr>
          <w:rFonts w:ascii="Arial" w:eastAsia="Arial" w:hAnsi="Arial" w:cs="Arial"/>
          <w:color w:val="000000"/>
          <w:sz w:val="18"/>
          <w:vertAlign w:val="superscript"/>
        </w:rPr>
        <w:t>* </w:t>
      </w:r>
      <w:bookmarkStart w:id="4857" w:name="Bookmark_fnpara_1_31"/>
      <w:bookmarkEnd w:id="4857"/>
      <w:r>
        <w:rPr>
          <w:rFonts w:ascii="Arial" w:eastAsia="Arial" w:hAnsi="Arial" w:cs="Arial"/>
          <w:color w:val="000000"/>
          <w:sz w:val="18"/>
        </w:rPr>
        <w:t>Of the Tenth Circuit, sitting by designation.</w:t>
      </w:r>
    </w:p>
  </w:footnote>
  <w:footnote w:id="178">
    <w:p w14:paraId="0D23FEDB" w14:textId="77777777" w:rsidR="002D0E71" w:rsidRDefault="00000000">
      <w:pPr>
        <w:pStyle w:val="Normal36"/>
        <w:widowControl w:val="0"/>
        <w:spacing w:before="120" w:line="240" w:lineRule="atLeast"/>
        <w:jc w:val="both"/>
      </w:pPr>
      <w:r>
        <w:rPr>
          <w:rFonts w:ascii="Arial" w:eastAsia="Arial" w:hAnsi="Arial" w:cs="Arial"/>
          <w:color w:val="000000"/>
          <w:sz w:val="18"/>
          <w:vertAlign w:val="superscript"/>
        </w:rPr>
        <w:t>1 </w:t>
      </w:r>
      <w:bookmarkStart w:id="4869" w:name="Bookmark_fnpara_2_27"/>
      <w:bookmarkEnd w:id="4869"/>
      <w:r>
        <w:rPr>
          <w:rFonts w:ascii="Arial" w:eastAsia="Arial" w:hAnsi="Arial" w:cs="Arial"/>
          <w:color w:val="000000"/>
          <w:sz w:val="18"/>
        </w:rPr>
        <w:t>The record does not illuminate exactly why waste can arise in each of these scenarios, but the parties agree that such waste occurs. [App. at 73.]</w:t>
      </w:r>
    </w:p>
  </w:footnote>
  <w:footnote w:id="179">
    <w:p w14:paraId="38F4BED2" w14:textId="77777777" w:rsidR="002D0E71" w:rsidRDefault="00000000">
      <w:pPr>
        <w:pStyle w:val="Normal36"/>
        <w:widowControl w:val="0"/>
        <w:spacing w:before="200" w:line="240" w:lineRule="atLeast"/>
        <w:jc w:val="both"/>
      </w:pPr>
      <w:r>
        <w:rPr>
          <w:rFonts w:ascii="Arial" w:eastAsia="Arial" w:hAnsi="Arial" w:cs="Arial"/>
          <w:color w:val="000000"/>
          <w:sz w:val="18"/>
          <w:vertAlign w:val="superscript"/>
        </w:rPr>
        <w:t>2 </w:t>
      </w:r>
      <w:bookmarkStart w:id="4875" w:name="Bookmark_fnpara_3_21"/>
      <w:bookmarkEnd w:id="4875"/>
      <w:r>
        <w:rPr>
          <w:rFonts w:ascii="Arial" w:eastAsia="Arial" w:hAnsi="Arial" w:cs="Arial"/>
          <w:color w:val="000000"/>
          <w:sz w:val="18"/>
        </w:rPr>
        <w:t>Medications, whether delivered through the daily med line or the KOP program, are ordered from a pharmacy on behalf of each inmate receiving them. When an inmate's supply is close to running out, the prison orders a refill on behalf of that [**8]  patient. The prison can then track the rate at which these refill requests occur behind schedule. [App. at 305-06.]</w:t>
      </w:r>
    </w:p>
  </w:footnote>
  <w:footnote w:id="180">
    <w:p w14:paraId="20495F06" w14:textId="77777777" w:rsidR="002D0E71" w:rsidRDefault="00000000">
      <w:pPr>
        <w:pStyle w:val="Normal36"/>
        <w:widowControl w:val="0"/>
        <w:spacing w:before="120" w:line="240" w:lineRule="atLeast"/>
        <w:jc w:val="both"/>
      </w:pPr>
      <w:r>
        <w:rPr>
          <w:rFonts w:ascii="Arial" w:eastAsia="Arial" w:hAnsi="Arial" w:cs="Arial"/>
          <w:color w:val="000000"/>
          <w:sz w:val="18"/>
          <w:vertAlign w:val="superscript"/>
        </w:rPr>
        <w:t>3 </w:t>
      </w:r>
      <w:bookmarkStart w:id="4876" w:name="Bookmark_fnpara_4_19"/>
      <w:bookmarkEnd w:id="4876"/>
      <w:r>
        <w:rPr>
          <w:rFonts w:ascii="Arial" w:eastAsia="Arial" w:hAnsi="Arial" w:cs="Arial"/>
          <w:color w:val="000000"/>
          <w:sz w:val="18"/>
        </w:rPr>
        <w:t>As a matter of logic, an examination of late refills would seem more prone to overstate adherence for medication provided through the KOP program, where prisoners could return for more medication even without finishing their last pack, than for medication provided through the daily med line, where prison staff observe all doses.</w:t>
      </w:r>
    </w:p>
  </w:footnote>
  <w:footnote w:id="181">
    <w:p w14:paraId="39CF2FC3" w14:textId="77777777" w:rsidR="002D0E71" w:rsidRDefault="00000000">
      <w:pPr>
        <w:pStyle w:val="Normal36"/>
        <w:widowControl w:val="0"/>
        <w:spacing w:before="120" w:line="240" w:lineRule="atLeast"/>
        <w:jc w:val="both"/>
      </w:pPr>
      <w:r>
        <w:rPr>
          <w:rFonts w:ascii="Arial" w:eastAsia="Arial" w:hAnsi="Arial" w:cs="Arial"/>
          <w:color w:val="000000"/>
          <w:sz w:val="18"/>
          <w:vertAlign w:val="superscript"/>
        </w:rPr>
        <w:t>4 </w:t>
      </w:r>
      <w:bookmarkStart w:id="4909" w:name="Bookmark_fnpara_5_14"/>
      <w:bookmarkEnd w:id="4909"/>
      <w:r>
        <w:rPr>
          <w:rFonts w:ascii="Arial" w:eastAsia="Arial" w:hAnsi="Arial" w:cs="Arial"/>
          <w:color w:val="000000"/>
          <w:sz w:val="18"/>
        </w:rPr>
        <w:t>Although another plaintiff, Nunes, has not taken his medication since the policy change, we explain below in part C that the prison has made reasonable efforts to accommodate the problems that he says prevent him from doing so.</w:t>
      </w:r>
    </w:p>
  </w:footnote>
  <w:footnote w:id="182">
    <w:p w14:paraId="5C6829B9" w14:textId="77777777" w:rsidR="002D0E71" w:rsidRDefault="00000000">
      <w:pPr>
        <w:pStyle w:val="Normal36"/>
        <w:widowControl w:val="0"/>
        <w:spacing w:before="200" w:line="240" w:lineRule="atLeast"/>
        <w:jc w:val="both"/>
      </w:pPr>
      <w:r>
        <w:rPr>
          <w:rFonts w:ascii="Arial" w:eastAsia="Arial" w:hAnsi="Arial" w:cs="Arial"/>
          <w:color w:val="000000"/>
          <w:sz w:val="18"/>
          <w:vertAlign w:val="superscript"/>
        </w:rPr>
        <w:t>5 </w:t>
      </w:r>
      <w:bookmarkStart w:id="4924" w:name="Bookmark_fnpara_6_11"/>
      <w:bookmarkEnd w:id="4924"/>
      <w:r>
        <w:rPr>
          <w:rFonts w:ascii="Arial" w:eastAsia="Arial" w:hAnsi="Arial" w:cs="Arial"/>
          <w:color w:val="000000"/>
          <w:sz w:val="18"/>
          <w:u w:val="single"/>
        </w:rPr>
        <w:t xml:space="preserve">See </w:t>
      </w:r>
      <w:bookmarkStart w:id="4925" w:name="Bookmark_I5D9HPWH2HM69C0020000400"/>
      <w:bookmarkEnd w:id="4925"/>
      <w:r>
        <w:rPr>
          <w:rFonts w:ascii="Arial" w:eastAsia="Arial" w:hAnsi="Arial" w:cs="Arial"/>
          <w:color w:val="000000"/>
          <w:sz w:val="18"/>
          <w:u w:val="single"/>
        </w:rPr>
        <w:t>Powell v. Schriver</w:t>
      </w:r>
      <w:r>
        <w:rPr>
          <w:rFonts w:ascii="Arial" w:eastAsia="Arial" w:hAnsi="Arial" w:cs="Arial"/>
          <w:color w:val="000000"/>
          <w:sz w:val="18"/>
        </w:rPr>
        <w:t xml:space="preserve">, 175 F.3d 107, 112 (2d Cir. 1999) (holding that "gratuitous disclosure of an inmate's confidential medical information as humor or gossip" violates the Constitution); </w:t>
      </w:r>
      <w:bookmarkStart w:id="4926" w:name="Bookmark_I5D9HPWH2HM69C0040000400"/>
      <w:bookmarkEnd w:id="4926"/>
      <w:r>
        <w:rPr>
          <w:rFonts w:ascii="Arial" w:eastAsia="Arial" w:hAnsi="Arial" w:cs="Arial"/>
          <w:color w:val="000000"/>
          <w:sz w:val="18"/>
          <w:u w:val="single"/>
        </w:rPr>
        <w:t>Doe v. Delie</w:t>
      </w:r>
      <w:r>
        <w:rPr>
          <w:rFonts w:ascii="Arial" w:eastAsia="Arial" w:hAnsi="Arial" w:cs="Arial"/>
          <w:color w:val="000000"/>
          <w:sz w:val="18"/>
        </w:rPr>
        <w:t xml:space="preserve">, 257 F.3d 309, 317 (3d Cir. 2001) (following </w:t>
      </w:r>
      <w:r>
        <w:rPr>
          <w:rFonts w:ascii="Arial" w:eastAsia="Arial" w:hAnsi="Arial" w:cs="Arial"/>
          <w:color w:val="000000"/>
          <w:sz w:val="18"/>
          <w:u w:val="single"/>
        </w:rPr>
        <w:t>Powell</w:t>
      </w:r>
      <w:r>
        <w:rPr>
          <w:rFonts w:ascii="Arial" w:eastAsia="Arial" w:hAnsi="Arial" w:cs="Arial"/>
          <w:color w:val="000000"/>
          <w:sz w:val="18"/>
        </w:rPr>
        <w:t xml:space="preserve">); </w:t>
      </w:r>
      <w:bookmarkStart w:id="4927" w:name="Bookmark_I5D9HPWH2D6N0F0010000400"/>
      <w:bookmarkEnd w:id="4927"/>
      <w:r>
        <w:rPr>
          <w:rFonts w:ascii="Arial" w:eastAsia="Arial" w:hAnsi="Arial" w:cs="Arial"/>
          <w:color w:val="000000"/>
          <w:sz w:val="18"/>
          <w:u w:val="single"/>
        </w:rPr>
        <w:t>Moore v. Prevo</w:t>
      </w:r>
      <w:r>
        <w:rPr>
          <w:rFonts w:ascii="Arial" w:eastAsia="Arial" w:hAnsi="Arial" w:cs="Arial"/>
          <w:color w:val="000000"/>
          <w:sz w:val="18"/>
        </w:rPr>
        <w:t xml:space="preserve">, 379 F. App'x 425, 428 (6th Cir. 2010) (following </w:t>
      </w:r>
      <w:r>
        <w:rPr>
          <w:rFonts w:ascii="Arial" w:eastAsia="Arial" w:hAnsi="Arial" w:cs="Arial"/>
          <w:color w:val="000000"/>
          <w:sz w:val="18"/>
          <w:u w:val="single"/>
        </w:rPr>
        <w:t>Powell</w:t>
      </w:r>
      <w:r>
        <w:rPr>
          <w:rFonts w:ascii="Arial" w:eastAsia="Arial" w:hAnsi="Arial" w:cs="Arial"/>
          <w:color w:val="000000"/>
          <w:sz w:val="18"/>
        </w:rPr>
        <w:t xml:space="preserve"> and </w:t>
      </w:r>
      <w:r>
        <w:rPr>
          <w:rFonts w:ascii="Arial" w:eastAsia="Arial" w:hAnsi="Arial" w:cs="Arial"/>
          <w:color w:val="000000"/>
          <w:sz w:val="18"/>
          <w:u w:val="single"/>
        </w:rPr>
        <w:t>Delie</w:t>
      </w:r>
      <w:r>
        <w:rPr>
          <w:rFonts w:ascii="Arial" w:eastAsia="Arial" w:hAnsi="Arial" w:cs="Arial"/>
          <w:color w:val="000000"/>
          <w:sz w:val="18"/>
        </w:rPr>
        <w:t xml:space="preserve">). Both </w:t>
      </w:r>
      <w:r>
        <w:rPr>
          <w:rFonts w:ascii="Arial" w:eastAsia="Arial" w:hAnsi="Arial" w:cs="Arial"/>
          <w:color w:val="000000"/>
          <w:sz w:val="18"/>
          <w:u w:val="single"/>
        </w:rPr>
        <w:t>Delie</w:t>
      </w:r>
      <w:r>
        <w:rPr>
          <w:rFonts w:ascii="Arial" w:eastAsia="Arial" w:hAnsi="Arial" w:cs="Arial"/>
          <w:color w:val="000000"/>
          <w:sz w:val="18"/>
        </w:rPr>
        <w:t xml:space="preserve"> and </w:t>
      </w:r>
      <w:r>
        <w:rPr>
          <w:rFonts w:ascii="Arial" w:eastAsia="Arial" w:hAnsi="Arial" w:cs="Arial"/>
          <w:color w:val="000000"/>
          <w:sz w:val="18"/>
          <w:u w:val="single"/>
        </w:rPr>
        <w:t>Moore</w:t>
      </w:r>
      <w:r>
        <w:rPr>
          <w:rFonts w:ascii="Arial" w:eastAsia="Arial" w:hAnsi="Arial" w:cs="Arial"/>
          <w:color w:val="000000"/>
          <w:sz w:val="18"/>
        </w:rPr>
        <w:t xml:space="preserve"> were accompanied by dissents.</w:t>
      </w:r>
    </w:p>
  </w:footnote>
  <w:footnote w:id="183">
    <w:p w14:paraId="23158EE7" w14:textId="77777777" w:rsidR="002D0E71" w:rsidRDefault="00000000">
      <w:pPr>
        <w:pStyle w:val="Normal36"/>
        <w:widowControl w:val="0"/>
        <w:spacing w:before="200" w:line="240" w:lineRule="atLeast"/>
        <w:jc w:val="both"/>
      </w:pPr>
      <w:r>
        <w:rPr>
          <w:rFonts w:ascii="Arial" w:eastAsia="Arial" w:hAnsi="Arial" w:cs="Arial"/>
          <w:color w:val="000000"/>
          <w:sz w:val="18"/>
          <w:vertAlign w:val="superscript"/>
        </w:rPr>
        <w:t>6 </w:t>
      </w:r>
      <w:bookmarkStart w:id="4959" w:name="Bookmark_fnpara_7_10"/>
      <w:bookmarkEnd w:id="4959"/>
      <w:r>
        <w:rPr>
          <w:rFonts w:ascii="Arial" w:eastAsia="Arial" w:hAnsi="Arial" w:cs="Arial"/>
          <w:color w:val="000000"/>
          <w:sz w:val="18"/>
        </w:rPr>
        <w:t xml:space="preserve">The regulations under the relevant portion of the ADA refer to "reasonable modification," 28 C.F.R. § 35.130(b)(7), while the coordinating regulations under the Rehabilitation Act use the term "reasonable accommodation," 28 C.F.R. § 41.53, but there is no material difference between the terms. </w:t>
      </w:r>
      <w:r>
        <w:rPr>
          <w:rFonts w:ascii="Arial" w:eastAsia="Arial" w:hAnsi="Arial" w:cs="Arial"/>
          <w:color w:val="000000"/>
          <w:sz w:val="18"/>
          <w:u w:val="single"/>
        </w:rPr>
        <w:t xml:space="preserve">See </w:t>
      </w:r>
      <w:bookmarkStart w:id="4960" w:name="Bookmark_I5D9HPWH2D6N0K0010000400"/>
      <w:bookmarkEnd w:id="4960"/>
      <w:r>
        <w:rPr>
          <w:rFonts w:ascii="Arial" w:eastAsia="Arial" w:hAnsi="Arial" w:cs="Arial"/>
          <w:color w:val="000000"/>
          <w:sz w:val="18"/>
          <w:u w:val="single"/>
        </w:rPr>
        <w:t>Wong v. Regents of Univ. of California</w:t>
      </w:r>
      <w:r>
        <w:rPr>
          <w:rFonts w:ascii="Arial" w:eastAsia="Arial" w:hAnsi="Arial" w:cs="Arial"/>
          <w:color w:val="000000"/>
          <w:sz w:val="18"/>
        </w:rPr>
        <w:t>, 192 F.3d 807, 816 n.26 (9th Cir. 1999).</w:t>
      </w:r>
    </w:p>
  </w:footnote>
  <w:footnote w:id="184">
    <w:p w14:paraId="0D17EE97" w14:textId="77777777" w:rsidR="002D0E71" w:rsidRDefault="00000000">
      <w:pPr>
        <w:pStyle w:val="Normal36"/>
        <w:widowControl w:val="0"/>
        <w:spacing w:before="200" w:line="240" w:lineRule="atLeast"/>
        <w:jc w:val="both"/>
      </w:pPr>
      <w:r>
        <w:rPr>
          <w:rFonts w:ascii="Arial" w:eastAsia="Arial" w:hAnsi="Arial" w:cs="Arial"/>
          <w:color w:val="000000"/>
          <w:sz w:val="18"/>
          <w:vertAlign w:val="superscript"/>
        </w:rPr>
        <w:t>7 </w:t>
      </w:r>
      <w:bookmarkStart w:id="4963" w:name="Bookmark_fnpara_8_9"/>
      <w:bookmarkEnd w:id="4963"/>
      <w:r>
        <w:rPr>
          <w:rFonts w:ascii="Arial" w:eastAsia="Arial" w:hAnsi="Arial" w:cs="Arial"/>
          <w:color w:val="000000"/>
          <w:sz w:val="18"/>
        </w:rPr>
        <w:t>When a disabled person [**20]  is denied a reasonable accommodation, that person lacks opportunities possessed by similar non-disabled people on account of disability. Such denial can often be seen as creating a disparate impact, which under Title VII routinely involves the unjustified failure to avoid perpetuating a burden arising from history or tradition. Similarly, a denial of reasonable accommodation can resemble disparate treatment if some discriminatory animus is involved. For example, a height test may create an adverse impact on women in the same way that a mobility test may create an adverse impact on people with certain disabilities, absent accommodation.</w:t>
      </w:r>
    </w:p>
  </w:footnote>
  <w:footnote w:id="185">
    <w:p w14:paraId="6A28D2F2" w14:textId="77777777" w:rsidR="002D0E71" w:rsidRDefault="00000000">
      <w:pPr>
        <w:pStyle w:val="Normal36"/>
        <w:widowControl w:val="0"/>
        <w:spacing w:before="120" w:line="240" w:lineRule="atLeast"/>
        <w:jc w:val="both"/>
      </w:pPr>
      <w:r>
        <w:rPr>
          <w:rFonts w:ascii="Arial" w:eastAsia="Arial" w:hAnsi="Arial" w:cs="Arial"/>
          <w:color w:val="000000"/>
          <w:sz w:val="18"/>
          <w:vertAlign w:val="superscript"/>
        </w:rPr>
        <w:t>8 </w:t>
      </w:r>
      <w:bookmarkStart w:id="4974" w:name="Bookmark_fnpara_9_8"/>
      <w:bookmarkEnd w:id="4974"/>
      <w:r>
        <w:rPr>
          <w:rFonts w:ascii="Arial" w:eastAsia="Arial" w:hAnsi="Arial" w:cs="Arial"/>
          <w:color w:val="000000"/>
          <w:sz w:val="18"/>
        </w:rPr>
        <w:t>The plaintiffs' brief implies that Nunes was once disciplined for attempting to use the accommodation. [BB at 42.] Nunes's affidavit, however, makes clear that he was actually disciplined for missing a scheduled medical appointment, an entirely different matter. [App. at 2253-2257.]</w:t>
      </w:r>
    </w:p>
  </w:footnote>
  <w:footnote w:id="186">
    <w:p w14:paraId="3B3181AE" w14:textId="77777777" w:rsidR="002D0E71" w:rsidRDefault="00000000">
      <w:pPr>
        <w:pStyle w:val="Normal36"/>
        <w:widowControl w:val="0"/>
        <w:spacing w:before="200" w:line="240" w:lineRule="atLeast"/>
        <w:jc w:val="both"/>
      </w:pPr>
      <w:r>
        <w:rPr>
          <w:rFonts w:ascii="Arial" w:eastAsia="Arial" w:hAnsi="Arial" w:cs="Arial"/>
          <w:color w:val="000000"/>
          <w:sz w:val="18"/>
          <w:vertAlign w:val="superscript"/>
        </w:rPr>
        <w:t>9 </w:t>
      </w:r>
      <w:bookmarkStart w:id="4985" w:name="Bookmark_fnpara_10_5"/>
      <w:bookmarkEnd w:id="4985"/>
      <w:r>
        <w:rPr>
          <w:rFonts w:ascii="Arial" w:eastAsia="Arial" w:hAnsi="Arial" w:cs="Arial"/>
          <w:color w:val="000000"/>
          <w:sz w:val="18"/>
        </w:rPr>
        <w:t xml:space="preserve">Like many cases applying the employment prong of the ADA, </w:t>
      </w:r>
      <w:r>
        <w:rPr>
          <w:rFonts w:ascii="Arial" w:eastAsia="Arial" w:hAnsi="Arial" w:cs="Arial"/>
          <w:color w:val="000000"/>
          <w:sz w:val="18"/>
          <w:u w:val="single"/>
        </w:rPr>
        <w:t xml:space="preserve">see </w:t>
      </w:r>
      <w:bookmarkStart w:id="4986" w:name="Bookmark_I5D9HPWH2HM69K0010000400"/>
      <w:bookmarkEnd w:id="4986"/>
      <w:r>
        <w:rPr>
          <w:rFonts w:ascii="Arial" w:eastAsia="Arial" w:hAnsi="Arial" w:cs="Arial"/>
          <w:color w:val="000000"/>
          <w:sz w:val="18"/>
          <w:u w:val="single"/>
        </w:rPr>
        <w:t>Schmidt v. Methodist Hosp. of Indiana, Inc</w:t>
      </w:r>
      <w:r>
        <w:rPr>
          <w:rFonts w:ascii="Arial" w:eastAsia="Arial" w:hAnsi="Arial" w:cs="Arial"/>
          <w:color w:val="000000"/>
          <w:sz w:val="18"/>
        </w:rPr>
        <w:t xml:space="preserve">., 89 F.3d 342, 344-45 (7th Cir. 1996), </w:t>
      </w:r>
      <w:bookmarkStart w:id="4987" w:name="Bookmark_I5D9HPWH2HM69K0030000400"/>
      <w:bookmarkEnd w:id="4987"/>
      <w:r>
        <w:rPr>
          <w:rFonts w:ascii="Arial" w:eastAsia="Arial" w:hAnsi="Arial" w:cs="Arial"/>
          <w:color w:val="000000"/>
          <w:sz w:val="18"/>
          <w:u w:val="single"/>
        </w:rPr>
        <w:t>Corrigan</w:t>
      </w:r>
      <w:r>
        <w:rPr>
          <w:rFonts w:ascii="Arial" w:eastAsia="Arial" w:hAnsi="Arial" w:cs="Arial"/>
          <w:color w:val="000000"/>
          <w:sz w:val="18"/>
        </w:rPr>
        <w:t xml:space="preserve"> holds that </w:t>
      </w:r>
      <w:bookmarkStart w:id="4988" w:name="Bookmark_LNHNREFclscc10_25"/>
      <w:bookmarkEnd w:id="4988"/>
      <w:r>
        <w:rPr>
          <w:rFonts w:ascii="Arial" w:eastAsia="Arial" w:hAnsi="Arial" w:cs="Arial"/>
          <w:color w:val="000000"/>
          <w:sz w:val="18"/>
        </w:rPr>
        <w:t xml:space="preserve">under the Rehabilitation Act an employer need not provide the plaintiff's requested accommodation [**24]  so long as it provides some reasonable accommodation. The same logic applies here. </w:t>
      </w:r>
      <w:r>
        <w:rPr>
          <w:rFonts w:ascii="Arial" w:eastAsia="Arial" w:hAnsi="Arial" w:cs="Arial"/>
          <w:color w:val="000000"/>
          <w:sz w:val="18"/>
          <w:u w:val="single"/>
        </w:rPr>
        <w:t xml:space="preserve">Cf. </w:t>
      </w:r>
      <w:bookmarkStart w:id="4989" w:name="Bookmark_I5D9HPWH2HM69K0050000400"/>
      <w:bookmarkEnd w:id="4989"/>
      <w:r>
        <w:rPr>
          <w:rFonts w:ascii="Arial" w:eastAsia="Arial" w:hAnsi="Arial" w:cs="Arial"/>
          <w:color w:val="000000"/>
          <w:sz w:val="18"/>
          <w:u w:val="single"/>
        </w:rPr>
        <w:t>Ansonia Bd. of Educ. v. Philbrook</w:t>
      </w:r>
      <w:r>
        <w:rPr>
          <w:rFonts w:ascii="Arial" w:eastAsia="Arial" w:hAnsi="Arial" w:cs="Arial"/>
          <w:color w:val="000000"/>
          <w:sz w:val="18"/>
        </w:rPr>
        <w:t>, 479 U.S. 60, 68, 107 S. Ct. 367, 93 L. Ed. 2d 305 (1986) (reaching the same conclusion in analyzing employers' obligation to reasonably accommodate religious practices under Title VII).</w:t>
      </w:r>
    </w:p>
  </w:footnote>
  <w:footnote w:id="187">
    <w:p w14:paraId="7548BC09" w14:textId="77777777" w:rsidR="002D0E71" w:rsidRDefault="00000000">
      <w:pPr>
        <w:pStyle w:val="Normal37"/>
        <w:widowControl w:val="0"/>
        <w:spacing w:before="120" w:line="240" w:lineRule="atLeast"/>
        <w:jc w:val="both"/>
      </w:pPr>
      <w:r>
        <w:rPr>
          <w:rFonts w:ascii="Arial" w:eastAsia="Arial" w:hAnsi="Arial" w:cs="Arial"/>
          <w:color w:val="000000"/>
          <w:sz w:val="18"/>
          <w:vertAlign w:val="superscript"/>
        </w:rPr>
        <w:t>** </w:t>
      </w:r>
      <w:bookmarkStart w:id="5001" w:name="Bookmark_fnpara_1_32"/>
      <w:bookmarkEnd w:id="5001"/>
      <w:r>
        <w:rPr>
          <w:rFonts w:ascii="Arial" w:eastAsia="Arial" w:hAnsi="Arial" w:cs="Arial"/>
          <w:color w:val="000000"/>
          <w:sz w:val="18"/>
        </w:rPr>
        <w:t>This summary constitutes no part of the opinion of the court. It has been prepared by court staff for the convenience of the reader.</w:t>
      </w:r>
    </w:p>
  </w:footnote>
  <w:footnote w:id="188">
    <w:p w14:paraId="02629E95" w14:textId="77777777" w:rsidR="002D0E71" w:rsidRDefault="00000000">
      <w:pPr>
        <w:pStyle w:val="Normal37"/>
        <w:widowControl w:val="0"/>
        <w:spacing w:before="120" w:line="240" w:lineRule="atLeast"/>
        <w:jc w:val="both"/>
      </w:pPr>
      <w:r>
        <w:rPr>
          <w:rFonts w:ascii="Arial" w:eastAsia="Arial" w:hAnsi="Arial" w:cs="Arial"/>
          <w:color w:val="000000"/>
          <w:sz w:val="18"/>
          <w:vertAlign w:val="superscript"/>
        </w:rPr>
        <w:t>* </w:t>
      </w:r>
      <w:bookmarkStart w:id="5007" w:name="Bookmark_fnpara_2_28"/>
      <w:bookmarkEnd w:id="5007"/>
      <w:r>
        <w:rPr>
          <w:rFonts w:ascii="Arial" w:eastAsia="Arial" w:hAnsi="Arial" w:cs="Arial"/>
          <w:color w:val="000000"/>
          <w:sz w:val="18"/>
        </w:rPr>
        <w:t>The Honorable J. Frederick Motz, Senior District Judge for the U.S. District Court for the District of Maryland, sitting by designation.</w:t>
      </w:r>
    </w:p>
  </w:footnote>
  <w:footnote w:id="189">
    <w:p w14:paraId="1C6A709B" w14:textId="77777777" w:rsidR="002D0E71" w:rsidRDefault="00000000">
      <w:pPr>
        <w:pStyle w:val="Normal37"/>
        <w:widowControl w:val="0"/>
        <w:spacing w:before="120" w:line="240" w:lineRule="atLeast"/>
        <w:jc w:val="both"/>
      </w:pPr>
      <w:r>
        <w:rPr>
          <w:rFonts w:ascii="Arial" w:eastAsia="Arial" w:hAnsi="Arial" w:cs="Arial"/>
          <w:color w:val="000000"/>
          <w:sz w:val="18"/>
          <w:vertAlign w:val="superscript"/>
        </w:rPr>
        <w:t>1 </w:t>
      </w:r>
      <w:bookmarkStart w:id="5014" w:name="Bookmark_fnpara_3_22"/>
      <w:bookmarkEnd w:id="5014"/>
      <w:r>
        <w:rPr>
          <w:rFonts w:ascii="Arial" w:eastAsia="Arial" w:hAnsi="Arial" w:cs="Arial"/>
          <w:color w:val="000000"/>
          <w:sz w:val="18"/>
        </w:rPr>
        <w:t>Fortyune's complaint alleged that the City did not provide parallel or diagonal stall on-street parking. However, before the district court issued a ruling on the City's motion to dismiss, Fortyune voluntarily dismissed his claims with respect to parallel on-street parking. Consequently, the district court's order and this appeal concern only whether Fortyune has stated claims based on the City's failure to provide accessible diagonal stall on-street parking.</w:t>
      </w:r>
    </w:p>
  </w:footnote>
  <w:footnote w:id="190">
    <w:p w14:paraId="3A6E9FCF" w14:textId="77777777" w:rsidR="002D0E71" w:rsidRDefault="00000000">
      <w:pPr>
        <w:pStyle w:val="Normal37"/>
        <w:widowControl w:val="0"/>
        <w:spacing w:before="200" w:line="240" w:lineRule="atLeast"/>
        <w:jc w:val="both"/>
      </w:pPr>
      <w:r>
        <w:rPr>
          <w:rFonts w:ascii="Arial" w:eastAsia="Arial" w:hAnsi="Arial" w:cs="Arial"/>
          <w:color w:val="000000"/>
          <w:sz w:val="18"/>
          <w:vertAlign w:val="superscript"/>
        </w:rPr>
        <w:t>2 </w:t>
      </w:r>
      <w:bookmarkStart w:id="5018" w:name="Bookmark_fnpara_4_20"/>
      <w:bookmarkStart w:id="5019" w:name="Bookmark_I5D88D652N1RM40050000400"/>
      <w:bookmarkStart w:id="5020" w:name="Bookmark_I5D88D652D6N2G0020000400"/>
      <w:bookmarkStart w:id="5021" w:name="Bookmark_LNHNREFclscc4_30"/>
      <w:bookmarkEnd w:id="5018"/>
      <w:bookmarkEnd w:id="5019"/>
      <w:bookmarkEnd w:id="5020"/>
      <w:bookmarkEnd w:id="5021"/>
      <w:r>
        <w:rPr>
          <w:rFonts w:ascii="Arial" w:eastAsia="Arial" w:hAnsi="Arial" w:cs="Arial"/>
          <w:color w:val="000000"/>
          <w:sz w:val="18"/>
        </w:rPr>
        <w:t xml:space="preserve">"A non-final order may be certified for interlocutory appeal where it 'involves a controlling question of law as to which there is substantial ground for difference of opinion' and where 'an immediate appeal from the order may materially advance the ultimate termination of the litigation.'" </w:t>
      </w:r>
      <w:r>
        <w:rPr>
          <w:rFonts w:ascii="Arial" w:eastAsia="Arial" w:hAnsi="Arial" w:cs="Arial"/>
          <w:i/>
          <w:color w:val="000000"/>
          <w:sz w:val="18"/>
        </w:rPr>
        <w:t xml:space="preserve">See </w:t>
      </w:r>
      <w:bookmarkStart w:id="5022" w:name="Bookmark_I5D88D652N1RM40040000400"/>
      <w:bookmarkEnd w:id="5022"/>
      <w:r>
        <w:rPr>
          <w:rFonts w:ascii="Arial" w:eastAsia="Arial" w:hAnsi="Arial" w:cs="Arial"/>
          <w:i/>
          <w:color w:val="000000"/>
          <w:sz w:val="18"/>
        </w:rPr>
        <w:t>Reese v. BP Exploration (Alaska) Inc</w:t>
      </w:r>
      <w:r>
        <w:rPr>
          <w:rFonts w:ascii="Arial" w:eastAsia="Arial" w:hAnsi="Arial" w:cs="Arial"/>
          <w:color w:val="000000"/>
          <w:sz w:val="18"/>
        </w:rPr>
        <w:t xml:space="preserve">., 643 F.3d 681, 687-88 (9th Cir. 2011) (quoting 28 U.S.C. § 1292(b)). "A substantial ground for difference of opinion exists where reasonable jurists might disagree on an issue's resolution . . . ." [**5]  </w:t>
      </w:r>
      <w:bookmarkStart w:id="5023" w:name="Bookmark_I5D88D652D6N2G0010000400"/>
      <w:bookmarkEnd w:id="5023"/>
      <w:r>
        <w:rPr>
          <w:rFonts w:ascii="Arial" w:eastAsia="Arial" w:hAnsi="Arial" w:cs="Arial"/>
          <w:i/>
          <w:color w:val="000000"/>
          <w:sz w:val="18"/>
        </w:rPr>
        <w:t>Id</w:t>
      </w:r>
      <w:r>
        <w:rPr>
          <w:rFonts w:ascii="Arial" w:eastAsia="Arial" w:hAnsi="Arial" w:cs="Arial"/>
          <w:color w:val="000000"/>
          <w:sz w:val="18"/>
        </w:rPr>
        <w:t>. at 688. We are satisfied that the district court and the motions panel of this court correctly determined that certification was appropriate in this case.</w:t>
      </w:r>
    </w:p>
  </w:footnote>
  <w:footnote w:id="191">
    <w:p w14:paraId="40F5AD34" w14:textId="77777777" w:rsidR="002D0E71" w:rsidRDefault="00000000">
      <w:pPr>
        <w:pStyle w:val="Normal37"/>
        <w:widowControl w:val="0"/>
        <w:spacing w:before="200" w:line="240" w:lineRule="atLeast"/>
        <w:jc w:val="both"/>
      </w:pPr>
      <w:r>
        <w:rPr>
          <w:rFonts w:ascii="Arial" w:eastAsia="Arial" w:hAnsi="Arial" w:cs="Arial"/>
          <w:color w:val="000000"/>
          <w:sz w:val="18"/>
          <w:vertAlign w:val="superscript"/>
        </w:rPr>
        <w:t>3 </w:t>
      </w:r>
      <w:bookmarkStart w:id="5073" w:name="Bookmark_fnpara_5_15"/>
      <w:bookmarkStart w:id="5074" w:name="Bookmark_LNHNREFclscc8_28"/>
      <w:bookmarkEnd w:id="5073"/>
      <w:bookmarkEnd w:id="5074"/>
      <w:r>
        <w:rPr>
          <w:rFonts w:ascii="Arial" w:eastAsia="Arial" w:hAnsi="Arial" w:cs="Arial"/>
          <w:color w:val="000000"/>
          <w:sz w:val="18"/>
        </w:rPr>
        <w:t xml:space="preserve">The regulations define the term "facility" as "all or any portion of buildings, structures, sites, complexes, equipment, rolling stock or other conveyances, roads, walks, passageways, parking lots, or other real or personal property." 28 C.F.R. § 35.104. The United States Department of Justice ("DOJ"), in its amicus brief, argues that on-street parking areas are facilities because they constitute parking lots or portions of the road. We need not address these arguments because, if nothing else, on-street parking areas qualify as "other real . . . property." </w:t>
      </w:r>
      <w:r>
        <w:rPr>
          <w:rFonts w:ascii="Arial" w:eastAsia="Arial" w:hAnsi="Arial" w:cs="Arial"/>
          <w:i/>
          <w:color w:val="000000"/>
          <w:sz w:val="18"/>
        </w:rPr>
        <w:t>See</w:t>
      </w:r>
      <w:r>
        <w:rPr>
          <w:rFonts w:ascii="Arial" w:eastAsia="Arial" w:hAnsi="Arial" w:cs="Arial"/>
          <w:color w:val="000000"/>
          <w:sz w:val="18"/>
        </w:rPr>
        <w:t xml:space="preserve"> Black's Law Dictionary 1412 (10th ed. 2014) (defining "real property" as "[l]and and anything growing on, attached to, or erected on it, excluding [**9]  anything that may be severed without injury to the land").</w:t>
      </w:r>
    </w:p>
  </w:footnote>
  <w:footnote w:id="192">
    <w:p w14:paraId="2C027809" w14:textId="77777777" w:rsidR="002D0E71" w:rsidRDefault="00000000">
      <w:pPr>
        <w:pStyle w:val="Normal37"/>
        <w:widowControl w:val="0"/>
        <w:spacing w:before="120" w:line="240" w:lineRule="atLeast"/>
        <w:jc w:val="both"/>
      </w:pPr>
      <w:r>
        <w:rPr>
          <w:rFonts w:ascii="Arial" w:eastAsia="Arial" w:hAnsi="Arial" w:cs="Arial"/>
          <w:color w:val="000000"/>
          <w:sz w:val="18"/>
          <w:vertAlign w:val="superscript"/>
        </w:rPr>
        <w:t>4 </w:t>
      </w:r>
      <w:bookmarkStart w:id="5079" w:name="Bookmark_fnpara_6_12"/>
      <w:bookmarkEnd w:id="5079"/>
      <w:r>
        <w:rPr>
          <w:rFonts w:ascii="Arial" w:eastAsia="Arial" w:hAnsi="Arial" w:cs="Arial"/>
          <w:color w:val="000000"/>
          <w:sz w:val="18"/>
        </w:rPr>
        <w:t>The UFAS is available at http://www.access-board.gov/guidelinesand-standards/buildings-and-sites/about-the-aba-standards/ufas. The 1991 Standards are available at 28 C.F.R. § 36, App. D. The 2010 Standards are available at http://www.access-board.gov/attachments/article/983/ADAstandards.pdf. Which standard applies depends on the date of construction or alteration.</w:t>
      </w:r>
    </w:p>
  </w:footnote>
  <w:footnote w:id="193">
    <w:p w14:paraId="75C3CA6E" w14:textId="77777777" w:rsidR="002D0E71" w:rsidRDefault="00000000">
      <w:pPr>
        <w:pStyle w:val="Normal37"/>
        <w:widowControl w:val="0"/>
        <w:spacing w:before="200" w:line="240" w:lineRule="atLeast"/>
        <w:jc w:val="both"/>
      </w:pPr>
      <w:r>
        <w:rPr>
          <w:rFonts w:ascii="Arial" w:eastAsia="Arial" w:hAnsi="Arial" w:cs="Arial"/>
          <w:color w:val="000000"/>
          <w:sz w:val="18"/>
          <w:vertAlign w:val="superscript"/>
        </w:rPr>
        <w:t>5 </w:t>
      </w:r>
      <w:bookmarkStart w:id="5080" w:name="Bookmark_fnpara_7_11"/>
      <w:bookmarkEnd w:id="5080"/>
      <w:r>
        <w:rPr>
          <w:rFonts w:ascii="Arial" w:eastAsia="Arial" w:hAnsi="Arial" w:cs="Arial"/>
          <w:color w:val="000000"/>
          <w:sz w:val="18"/>
        </w:rPr>
        <w:t xml:space="preserve">They do contain specifications for parking lots and parking structures. </w:t>
      </w:r>
      <w:r>
        <w:rPr>
          <w:rFonts w:ascii="Arial" w:eastAsia="Arial" w:hAnsi="Arial" w:cs="Arial"/>
          <w:i/>
          <w:color w:val="000000"/>
          <w:sz w:val="18"/>
        </w:rPr>
        <w:t>See</w:t>
      </w:r>
      <w:r>
        <w:rPr>
          <w:rFonts w:ascii="Arial" w:eastAsia="Arial" w:hAnsi="Arial" w:cs="Arial"/>
          <w:color w:val="000000"/>
          <w:sz w:val="18"/>
        </w:rPr>
        <w:t xml:space="preserve"> UFAS §§ 4.1.1, 4.6; 1991 Standards §§ 4.1.2, 4.6; 2010 Standards §§ 208, 502.</w:t>
      </w:r>
    </w:p>
  </w:footnote>
  <w:footnote w:id="194">
    <w:p w14:paraId="7339E401" w14:textId="77777777" w:rsidR="002D0E71" w:rsidRDefault="00000000">
      <w:pPr>
        <w:pStyle w:val="Normal37"/>
        <w:widowControl w:val="0"/>
        <w:spacing w:before="120" w:line="240" w:lineRule="atLeast"/>
        <w:jc w:val="both"/>
      </w:pPr>
      <w:r>
        <w:rPr>
          <w:rFonts w:ascii="Arial" w:eastAsia="Arial" w:hAnsi="Arial" w:cs="Arial"/>
          <w:color w:val="000000"/>
          <w:sz w:val="18"/>
          <w:vertAlign w:val="superscript"/>
        </w:rPr>
        <w:t>6 </w:t>
      </w:r>
      <w:bookmarkStart w:id="5082" w:name="Bookmark_fnpara_8_10"/>
      <w:bookmarkEnd w:id="5082"/>
      <w:r>
        <w:rPr>
          <w:rFonts w:ascii="Arial" w:eastAsia="Arial" w:hAnsi="Arial" w:cs="Arial"/>
          <w:color w:val="000000"/>
          <w:sz w:val="18"/>
        </w:rPr>
        <w:t>The TA Manual for Title II of the ADA is available at http://www.ada.gov/taman2.html.</w:t>
      </w:r>
    </w:p>
  </w:footnote>
  <w:footnote w:id="195">
    <w:p w14:paraId="0EECF8EC" w14:textId="77777777" w:rsidR="002D0E71" w:rsidRDefault="00000000">
      <w:pPr>
        <w:pStyle w:val="Normal37"/>
        <w:widowControl w:val="0"/>
        <w:spacing w:before="200" w:line="240" w:lineRule="atLeast"/>
        <w:jc w:val="both"/>
      </w:pPr>
      <w:r>
        <w:rPr>
          <w:rFonts w:ascii="Arial" w:eastAsia="Arial" w:hAnsi="Arial" w:cs="Arial"/>
          <w:color w:val="000000"/>
          <w:sz w:val="18"/>
          <w:vertAlign w:val="superscript"/>
        </w:rPr>
        <w:t>7 </w:t>
      </w:r>
      <w:bookmarkStart w:id="5083" w:name="Bookmark_fnpara_9_9"/>
      <w:bookmarkEnd w:id="5083"/>
      <w:r>
        <w:rPr>
          <w:rFonts w:ascii="Arial" w:eastAsia="Arial" w:hAnsi="Arial" w:cs="Arial"/>
          <w:color w:val="000000"/>
          <w:sz w:val="18"/>
        </w:rPr>
        <w:t xml:space="preserve">The ADAAG contains the Architectural and Transportation Barriers Compliance Board's ("Access Board") proposed accessibility. By statute, the Access Board sets the floor for the DOJ's ADA regulations. 42 U.S.C. § 12134(c). The ADAAG itself, however, is not one of the technical specification standards listed in 28 C.F.R. § 35.151(c). The 1994 supplement to the TA Manual likely refers to the ADAAG because, even though as a general matter the ADAAG does not define the governing accessibility standards, the 1991 Standards adopted the ADAAG in full. </w:t>
      </w:r>
      <w:r>
        <w:rPr>
          <w:rFonts w:ascii="Arial" w:eastAsia="Arial" w:hAnsi="Arial" w:cs="Arial"/>
          <w:i/>
          <w:color w:val="000000"/>
          <w:sz w:val="18"/>
        </w:rPr>
        <w:t>See</w:t>
      </w:r>
      <w:r>
        <w:rPr>
          <w:rFonts w:ascii="Arial" w:eastAsia="Arial" w:hAnsi="Arial" w:cs="Arial"/>
          <w:color w:val="000000"/>
          <w:sz w:val="18"/>
        </w:rPr>
        <w:t xml:space="preserve"> 28 C.F.R. § 36, App. D.</w:t>
      </w:r>
    </w:p>
  </w:footnote>
  <w:footnote w:id="196">
    <w:p w14:paraId="34162145" w14:textId="77777777" w:rsidR="002D0E71" w:rsidRDefault="00000000">
      <w:pPr>
        <w:pStyle w:val="Normal37"/>
        <w:widowControl w:val="0"/>
        <w:spacing w:before="120" w:line="240" w:lineRule="atLeast"/>
        <w:jc w:val="both"/>
      </w:pPr>
      <w:r>
        <w:rPr>
          <w:rFonts w:ascii="Arial" w:eastAsia="Arial" w:hAnsi="Arial" w:cs="Arial"/>
          <w:color w:val="000000"/>
          <w:sz w:val="18"/>
          <w:vertAlign w:val="superscript"/>
        </w:rPr>
        <w:t>8 </w:t>
      </w:r>
      <w:bookmarkStart w:id="5086" w:name="Bookmark_fnpara_10_6"/>
      <w:bookmarkEnd w:id="5086"/>
      <w:r>
        <w:rPr>
          <w:rFonts w:ascii="Arial" w:eastAsia="Arial" w:hAnsi="Arial" w:cs="Arial"/>
          <w:color w:val="000000"/>
          <w:sz w:val="18"/>
        </w:rPr>
        <w:t>The 1994 supplement to the TA Manual is available at http://www.ada.gov/taman2up.html.</w:t>
      </w:r>
    </w:p>
  </w:footnote>
  <w:footnote w:id="197">
    <w:p w14:paraId="50071BFF" w14:textId="77777777" w:rsidR="002D0E71" w:rsidRDefault="00000000">
      <w:pPr>
        <w:pStyle w:val="Normal37"/>
        <w:widowControl w:val="0"/>
        <w:spacing w:before="120" w:line="240" w:lineRule="atLeast"/>
        <w:jc w:val="both"/>
      </w:pPr>
      <w:r>
        <w:rPr>
          <w:rFonts w:ascii="Arial" w:eastAsia="Arial" w:hAnsi="Arial" w:cs="Arial"/>
          <w:color w:val="000000"/>
          <w:sz w:val="18"/>
          <w:vertAlign w:val="superscript"/>
        </w:rPr>
        <w:t>9 </w:t>
      </w:r>
      <w:bookmarkStart w:id="5105" w:name="Bookmark_fnpara_11_3"/>
      <w:bookmarkEnd w:id="5105"/>
      <w:r>
        <w:rPr>
          <w:rFonts w:ascii="Arial" w:eastAsia="Arial" w:hAnsi="Arial" w:cs="Arial"/>
          <w:color w:val="000000"/>
          <w:sz w:val="18"/>
        </w:rPr>
        <w:t>The ADA Guide for Small Towns is available at http://www.ada.gov/smtown.htm#anchor12335.</w:t>
      </w:r>
    </w:p>
  </w:footnote>
  <w:footnote w:id="198">
    <w:p w14:paraId="3BC9EDDD" w14:textId="77777777" w:rsidR="002D0E71" w:rsidRDefault="00000000">
      <w:pPr>
        <w:pStyle w:val="Normal37"/>
        <w:widowControl w:val="0"/>
        <w:spacing w:before="120" w:line="240" w:lineRule="atLeast"/>
        <w:jc w:val="both"/>
      </w:pPr>
      <w:r>
        <w:rPr>
          <w:rFonts w:ascii="Arial" w:eastAsia="Arial" w:hAnsi="Arial" w:cs="Arial"/>
          <w:color w:val="000000"/>
          <w:sz w:val="18"/>
          <w:vertAlign w:val="superscript"/>
        </w:rPr>
        <w:t>10 </w:t>
      </w:r>
      <w:bookmarkStart w:id="5107" w:name="Bookmark_fnpara_12_1"/>
      <w:bookmarkEnd w:id="5107"/>
      <w:r>
        <w:rPr>
          <w:rFonts w:ascii="Arial" w:eastAsia="Arial" w:hAnsi="Arial" w:cs="Arial"/>
          <w:color w:val="000000"/>
          <w:sz w:val="18"/>
        </w:rPr>
        <w:t>At the time the parties submitted their briefs, "Using ADAAG" was available on the Access Board's website. Since then, this document has been removed from the website.</w:t>
      </w:r>
    </w:p>
  </w:footnote>
  <w:footnote w:id="199">
    <w:p w14:paraId="4CB70429" w14:textId="77777777" w:rsidR="002D0E71" w:rsidRDefault="00000000">
      <w:pPr>
        <w:pStyle w:val="Normal37"/>
        <w:widowControl w:val="0"/>
        <w:spacing w:before="200" w:line="240" w:lineRule="atLeast"/>
        <w:jc w:val="both"/>
      </w:pPr>
      <w:r>
        <w:rPr>
          <w:rFonts w:ascii="Arial" w:eastAsia="Arial" w:hAnsi="Arial" w:cs="Arial"/>
          <w:color w:val="000000"/>
          <w:sz w:val="18"/>
          <w:vertAlign w:val="superscript"/>
        </w:rPr>
        <w:t>11 </w:t>
      </w:r>
      <w:bookmarkStart w:id="5108" w:name="Bookmark_fnpara_13_1"/>
      <w:bookmarkEnd w:id="5108"/>
      <w:r>
        <w:rPr>
          <w:rFonts w:ascii="Arial" w:eastAsia="Arial" w:hAnsi="Arial" w:cs="Arial"/>
          <w:color w:val="000000"/>
          <w:sz w:val="18"/>
        </w:rPr>
        <w:t xml:space="preserve">The Department of Transportation is responsible for administering certain provisions of the ADA not at issue in this case. </w:t>
      </w:r>
      <w:r>
        <w:rPr>
          <w:rFonts w:ascii="Arial" w:eastAsia="Arial" w:hAnsi="Arial" w:cs="Arial"/>
          <w:i/>
          <w:color w:val="000000"/>
          <w:sz w:val="18"/>
        </w:rPr>
        <w:t>See, e.g</w:t>
      </w:r>
      <w:r>
        <w:rPr>
          <w:rFonts w:ascii="Arial" w:eastAsia="Arial" w:hAnsi="Arial" w:cs="Arial"/>
          <w:color w:val="000000"/>
          <w:sz w:val="18"/>
        </w:rPr>
        <w:t>., 42 U.S.C. §§ 12149, 12164.</w:t>
      </w:r>
    </w:p>
  </w:footnote>
  <w:footnote w:id="200">
    <w:p w14:paraId="242780AC" w14:textId="77777777" w:rsidR="002D0E71" w:rsidRDefault="00000000">
      <w:pPr>
        <w:pStyle w:val="Normal37"/>
        <w:widowControl w:val="0"/>
        <w:spacing w:before="200" w:line="240" w:lineRule="atLeast"/>
        <w:jc w:val="both"/>
      </w:pPr>
      <w:r>
        <w:rPr>
          <w:rFonts w:ascii="Arial" w:eastAsia="Arial" w:hAnsi="Arial" w:cs="Arial"/>
          <w:color w:val="000000"/>
          <w:sz w:val="18"/>
          <w:vertAlign w:val="superscript"/>
        </w:rPr>
        <w:t>12 </w:t>
      </w:r>
      <w:bookmarkStart w:id="5116" w:name="Bookmark_fnpara_14_0"/>
      <w:bookmarkEnd w:id="5116"/>
      <w:r>
        <w:rPr>
          <w:rFonts w:ascii="Arial" w:eastAsia="Arial" w:hAnsi="Arial" w:cs="Arial"/>
          <w:i/>
          <w:color w:val="000000"/>
          <w:sz w:val="18"/>
        </w:rPr>
        <w:t>See</w:t>
      </w:r>
      <w:r>
        <w:rPr>
          <w:rFonts w:ascii="Arial" w:eastAsia="Arial" w:hAnsi="Arial" w:cs="Arial"/>
          <w:color w:val="000000"/>
          <w:sz w:val="18"/>
        </w:rPr>
        <w:t xml:space="preserve"> Access Board, Proposed Accessibility Guidelines for Pedestrian Facilities in the Public Right-of-Way (July 26, 2011), http://www.access-board.gov/attachments/article/743/nprm.pdf.</w:t>
      </w:r>
    </w:p>
  </w:footnote>
  <w:footnote w:id="201">
    <w:p w14:paraId="1A800FEB" w14:textId="77777777" w:rsidR="002D0E71" w:rsidRDefault="00000000">
      <w:pPr>
        <w:pStyle w:val="Normal37"/>
        <w:widowControl w:val="0"/>
        <w:spacing w:before="200" w:line="240" w:lineRule="atLeast"/>
        <w:jc w:val="both"/>
      </w:pPr>
      <w:r>
        <w:rPr>
          <w:rFonts w:ascii="Arial" w:eastAsia="Arial" w:hAnsi="Arial" w:cs="Arial"/>
          <w:color w:val="000000"/>
          <w:sz w:val="18"/>
          <w:vertAlign w:val="superscript"/>
        </w:rPr>
        <w:t>13 </w:t>
      </w:r>
      <w:bookmarkStart w:id="5125" w:name="Bookmark_fnpara_15_0"/>
      <w:bookmarkStart w:id="5126" w:name="Bookmark_I5D88D662HM5TP0050000400"/>
      <w:bookmarkEnd w:id="5125"/>
      <w:bookmarkEnd w:id="5126"/>
      <w:r>
        <w:rPr>
          <w:rFonts w:ascii="Arial" w:eastAsia="Arial" w:hAnsi="Arial" w:cs="Arial"/>
          <w:color w:val="000000"/>
          <w:sz w:val="18"/>
        </w:rPr>
        <w:t xml:space="preserve">Any further consideration of the City's due process argument would be premature because due process constrains the remedies that may be imposed. </w:t>
      </w:r>
      <w:r>
        <w:rPr>
          <w:rFonts w:ascii="Arial" w:eastAsia="Arial" w:hAnsi="Arial" w:cs="Arial"/>
          <w:i/>
          <w:color w:val="000000"/>
          <w:sz w:val="18"/>
        </w:rPr>
        <w:t xml:space="preserve">See </w:t>
      </w:r>
      <w:bookmarkStart w:id="5127" w:name="Bookmark_I5D88D662HM5TP0040000400"/>
      <w:bookmarkEnd w:id="5127"/>
      <w:r>
        <w:rPr>
          <w:rFonts w:ascii="Arial" w:eastAsia="Arial" w:hAnsi="Arial" w:cs="Arial"/>
          <w:i/>
          <w:color w:val="000000"/>
          <w:sz w:val="18"/>
        </w:rPr>
        <w:t>AMC</w:t>
      </w:r>
      <w:r>
        <w:rPr>
          <w:rFonts w:ascii="Arial" w:eastAsia="Arial" w:hAnsi="Arial" w:cs="Arial"/>
          <w:color w:val="000000"/>
          <w:sz w:val="18"/>
        </w:rPr>
        <w:t xml:space="preserve">, 549 F.3d at 768-70. If Fortyune prevails, when crafting a remedy, the district court will have to consider carefully what level of accessibility the City should have known was legally required for diagonal stall on-street parking. </w:t>
      </w:r>
      <w:r>
        <w:rPr>
          <w:rFonts w:ascii="Arial" w:eastAsia="Arial" w:hAnsi="Arial" w:cs="Arial"/>
          <w:i/>
          <w:color w:val="000000"/>
          <w:sz w:val="18"/>
        </w:rPr>
        <w:t>See id</w:t>
      </w:r>
      <w:r>
        <w:rPr>
          <w:rFonts w:ascii="Arial" w:eastAsia="Arial" w:hAnsi="Arial" w:cs="Arial"/>
          <w:color w:val="000000"/>
          <w:sz w:val="18"/>
        </w:rPr>
        <w:t>.</w:t>
      </w:r>
    </w:p>
  </w:footnote>
  <w:footnote w:id="202">
    <w:p w14:paraId="3DEF5E26" w14:textId="77777777" w:rsidR="002D0E71" w:rsidRDefault="00000000">
      <w:pPr>
        <w:pStyle w:val="Normal37"/>
        <w:widowControl w:val="0"/>
        <w:spacing w:before="200" w:line="240" w:lineRule="atLeast"/>
        <w:jc w:val="both"/>
      </w:pPr>
      <w:r>
        <w:rPr>
          <w:rFonts w:ascii="Arial" w:eastAsia="Arial" w:hAnsi="Arial" w:cs="Arial"/>
          <w:color w:val="000000"/>
          <w:sz w:val="18"/>
          <w:vertAlign w:val="superscript"/>
        </w:rPr>
        <w:t>14 </w:t>
      </w:r>
      <w:bookmarkStart w:id="5130" w:name="Bookmark_fnpara_16_0"/>
      <w:bookmarkStart w:id="5131" w:name="Bookmark_LNHNREFclscc15_9"/>
      <w:bookmarkEnd w:id="5130"/>
      <w:bookmarkEnd w:id="5131"/>
      <w:r>
        <w:rPr>
          <w:rFonts w:ascii="Arial" w:eastAsia="Arial" w:hAnsi="Arial" w:cs="Arial"/>
          <w:color w:val="000000"/>
          <w:sz w:val="18"/>
        </w:rPr>
        <w:t xml:space="preserve">A violation of the ADA constitutes a violation of the CDPA. </w:t>
      </w:r>
      <w:bookmarkStart w:id="5132" w:name="Bookmark_I5D88D662N1RM50010000400"/>
      <w:bookmarkEnd w:id="5132"/>
      <w:r>
        <w:rPr>
          <w:rFonts w:ascii="Arial" w:eastAsia="Arial" w:hAnsi="Arial" w:cs="Arial"/>
          <w:i/>
          <w:color w:val="000000"/>
          <w:sz w:val="18"/>
        </w:rPr>
        <w:t>Cohen</w:t>
      </w:r>
      <w:r>
        <w:rPr>
          <w:rFonts w:ascii="Arial" w:eastAsia="Arial" w:hAnsi="Arial" w:cs="Arial"/>
          <w:color w:val="000000"/>
          <w:sz w:val="18"/>
        </w:rPr>
        <w:t xml:space="preserve">, 754 F.3d at 701; </w:t>
      </w:r>
      <w:bookmarkStart w:id="5133" w:name="Bookmark_I5D88D662N1RM50030000400"/>
      <w:bookmarkEnd w:id="5133"/>
      <w:r>
        <w:rPr>
          <w:rFonts w:ascii="Arial" w:eastAsia="Arial" w:hAnsi="Arial" w:cs="Arial"/>
          <w:i/>
          <w:color w:val="000000"/>
          <w:sz w:val="18"/>
        </w:rPr>
        <w:t>Hubbard v. SoBreck, LLC</w:t>
      </w:r>
      <w:r>
        <w:rPr>
          <w:rFonts w:ascii="Arial" w:eastAsia="Arial" w:hAnsi="Arial" w:cs="Arial"/>
          <w:color w:val="000000"/>
          <w:sz w:val="18"/>
        </w:rPr>
        <w:t>, 554 F.3d 742, 745 (9th Cir. 2008); Cal. Civ. Code § 54(c).</w:t>
      </w:r>
    </w:p>
  </w:footnote>
  <w:footnote w:id="203">
    <w:p w14:paraId="22FB9EFD" w14:textId="77777777" w:rsidR="002D0E71" w:rsidRDefault="00000000">
      <w:pPr>
        <w:pStyle w:val="Normal38"/>
        <w:widowControl w:val="0"/>
        <w:spacing w:before="120" w:line="240" w:lineRule="atLeast"/>
        <w:jc w:val="both"/>
      </w:pPr>
      <w:r>
        <w:rPr>
          <w:rFonts w:ascii="Arial" w:eastAsia="Arial" w:hAnsi="Arial" w:cs="Arial"/>
          <w:color w:val="000000"/>
          <w:sz w:val="18"/>
          <w:vertAlign w:val="superscript"/>
        </w:rPr>
        <w:t>1 </w:t>
      </w:r>
      <w:bookmarkStart w:id="5147" w:name="Bookmark_fnpara_1_33"/>
      <w:bookmarkEnd w:id="5147"/>
      <w:r>
        <w:rPr>
          <w:rFonts w:ascii="Arial" w:eastAsia="Arial" w:hAnsi="Arial" w:cs="Arial"/>
          <w:color w:val="000000"/>
          <w:sz w:val="18"/>
        </w:rPr>
        <w:t>Abercrombie &amp; Fitch Stores, Inc. and J.M. Hollister LLC are wholly owned subsidiaries of Abercrombie &amp; Fitch Co. For simplicity, this opinion refers to the defendant entities as "Abercrombie" and the public accommodation at issue as "Hollister stores" or "Hollister."</w:t>
      </w:r>
    </w:p>
  </w:footnote>
  <w:footnote w:id="204">
    <w:p w14:paraId="2A0F18D1"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2 </w:t>
      </w:r>
      <w:bookmarkStart w:id="5158" w:name="Bookmark_fnpara_2_29"/>
      <w:bookmarkEnd w:id="5158"/>
      <w:r>
        <w:rPr>
          <w:rFonts w:ascii="Arial" w:eastAsia="Arial" w:hAnsi="Arial" w:cs="Arial"/>
          <w:color w:val="000000"/>
          <w:sz w:val="18"/>
        </w:rPr>
        <w:t xml:space="preserve">Some Hollister [**6]  stores, including the one at Orchard Town Center, have closed since the start of this case. III Aplt. App. 782-83. For much of the time that this case was proceeding before the district court, porches were present at 249 Hollister stores in the United States. </w:t>
      </w:r>
      <w:r>
        <w:rPr>
          <w:rFonts w:ascii="Arial" w:eastAsia="Arial" w:hAnsi="Arial" w:cs="Arial"/>
          <w:color w:val="000000"/>
          <w:sz w:val="18"/>
          <w:u w:val="single"/>
        </w:rPr>
        <w:t>See</w:t>
      </w:r>
      <w:r>
        <w:rPr>
          <w:rFonts w:ascii="Arial" w:eastAsia="Arial" w:hAnsi="Arial" w:cs="Arial"/>
          <w:color w:val="000000"/>
          <w:sz w:val="18"/>
        </w:rPr>
        <w:t xml:space="preserve"> II Aplt. App. 688. When this appeal was briefed, that number was 231. </w:t>
      </w:r>
      <w:r>
        <w:rPr>
          <w:rFonts w:ascii="Arial" w:eastAsia="Arial" w:hAnsi="Arial" w:cs="Arial"/>
          <w:color w:val="000000"/>
          <w:sz w:val="18"/>
          <w:u w:val="single"/>
        </w:rPr>
        <w:t>See</w:t>
      </w:r>
      <w:r>
        <w:rPr>
          <w:rFonts w:ascii="Arial" w:eastAsia="Arial" w:hAnsi="Arial" w:cs="Arial"/>
          <w:color w:val="000000"/>
          <w:sz w:val="18"/>
        </w:rPr>
        <w:t xml:space="preserve"> Aplt. Br. 3. The case is moot as to these closed stores; therefore, we will focus on the Park Meadows Hollister, which remains open.</w:t>
      </w:r>
    </w:p>
  </w:footnote>
  <w:footnote w:id="205">
    <w:p w14:paraId="2037D9A7"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3 </w:t>
      </w:r>
      <w:bookmarkStart w:id="5217" w:name="Bookmark_fnpara_3_23"/>
      <w:bookmarkEnd w:id="5217"/>
      <w:r>
        <w:rPr>
          <w:rFonts w:ascii="Arial" w:eastAsia="Arial" w:hAnsi="Arial" w:cs="Arial"/>
          <w:color w:val="000000"/>
          <w:sz w:val="18"/>
        </w:rPr>
        <w:t xml:space="preserve">We held that one plaintiff lacked standing because he failed to file such an affidavit. </w:t>
      </w:r>
      <w:bookmarkStart w:id="5218" w:name="Bookmark_I5D7DCWX28T3VC0020000400"/>
      <w:bookmarkEnd w:id="5218"/>
      <w:r>
        <w:rPr>
          <w:rFonts w:ascii="Arial" w:eastAsia="Arial" w:hAnsi="Arial" w:cs="Arial"/>
          <w:color w:val="000000"/>
          <w:sz w:val="18"/>
          <w:u w:val="single"/>
        </w:rPr>
        <w:t>Tandy</w:t>
      </w:r>
      <w:r>
        <w:rPr>
          <w:rFonts w:ascii="Arial" w:eastAsia="Arial" w:hAnsi="Arial" w:cs="Arial"/>
          <w:color w:val="000000"/>
          <w:sz w:val="18"/>
        </w:rPr>
        <w:t>, 380 F.3d at 1288.</w:t>
      </w:r>
    </w:p>
  </w:footnote>
  <w:footnote w:id="206">
    <w:p w14:paraId="19A59956"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4 </w:t>
      </w:r>
      <w:bookmarkStart w:id="5239" w:name="Bookmark_fnpara_4_21"/>
      <w:bookmarkStart w:id="5240" w:name="Bookmark_I5D7DCXK2D6NW90010000400"/>
      <w:bookmarkEnd w:id="5239"/>
      <w:bookmarkEnd w:id="5240"/>
      <w:r>
        <w:rPr>
          <w:rFonts w:ascii="Arial" w:eastAsia="Arial" w:hAnsi="Arial" w:cs="Arial"/>
          <w:color w:val="000000"/>
          <w:sz w:val="18"/>
        </w:rPr>
        <w:t xml:space="preserve">In this case, the district court held that the "individual named Plaintiffs have standing to bring a claim requesting nationwide injunctive relief." </w:t>
      </w:r>
      <w:bookmarkStart w:id="5241" w:name="Bookmark_I5D7DCXC2HM6810050000400"/>
      <w:bookmarkEnd w:id="5241"/>
      <w:r>
        <w:rPr>
          <w:rFonts w:ascii="Arial" w:eastAsia="Arial" w:hAnsi="Arial" w:cs="Arial"/>
          <w:color w:val="000000"/>
          <w:sz w:val="18"/>
          <w:u w:val="single"/>
        </w:rPr>
        <w:t>Colo. Cross-Disability Coal. v. Abercrombie &amp; Fitch</w:t>
      </w:r>
      <w:r>
        <w:rPr>
          <w:rFonts w:ascii="Arial" w:eastAsia="Arial" w:hAnsi="Arial" w:cs="Arial"/>
          <w:color w:val="000000"/>
          <w:sz w:val="18"/>
        </w:rPr>
        <w:t xml:space="preserve">, No. 09-cv-02757, 2011 U.S. Dist. LEXIS 53111, 2011 WL 1930643, at *4 (D. Colo. 2011). This holding seems superfluous, however, given that the individual Plaintiffs did not request a nationwide injunction to remedy their own injuries but rather to remedy the injuries of a nationwide class they sought to represent. </w:t>
      </w:r>
      <w:r>
        <w:rPr>
          <w:rFonts w:ascii="Arial" w:eastAsia="Arial" w:hAnsi="Arial" w:cs="Arial"/>
          <w:color w:val="000000"/>
          <w:sz w:val="18"/>
          <w:u w:val="single"/>
        </w:rPr>
        <w:t>See</w:t>
      </w:r>
      <w:r>
        <w:rPr>
          <w:rFonts w:ascii="Arial" w:eastAsia="Arial" w:hAnsi="Arial" w:cs="Arial"/>
          <w:color w:val="000000"/>
          <w:sz w:val="18"/>
        </w:rPr>
        <w:t xml:space="preserve"> I Aplt. App. 203 ("In any event, if [the Plaintiffs'] claims are common with and typical of those of a nationwide class, they will be entitled to represent that class which will have standing to seek a nationwide injunction."); Aplee. Br. 1 (The Plaintiffs "do not argue that the two individual plaintiffs have standing to obtain a nationwide injunction."). The question whether nationwide injunctive relief [**15]  may issue was more appropriately answered by asking whether a class seeking that relief should be certified.</w:t>
      </w:r>
    </w:p>
  </w:footnote>
  <w:footnote w:id="207">
    <w:p w14:paraId="00F83E87"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5 </w:t>
      </w:r>
      <w:bookmarkStart w:id="5283" w:name="Bookmark_fnpara_5_16"/>
      <w:bookmarkStart w:id="5284" w:name="Bookmark_I5D7DCYK2N1RSW0050000400"/>
      <w:bookmarkEnd w:id="5283"/>
      <w:bookmarkEnd w:id="5284"/>
      <w:r>
        <w:rPr>
          <w:rFonts w:ascii="Arial" w:eastAsia="Arial" w:hAnsi="Arial" w:cs="Arial"/>
          <w:color w:val="000000"/>
          <w:sz w:val="18"/>
        </w:rPr>
        <w:t xml:space="preserve">Abercrombie's position could be framed as an argument that nationwide injunctive relief was inappropriate because there was no proof of nationwide injuries necessitating such relief. </w:t>
      </w:r>
      <w:bookmarkStart w:id="5285" w:name="Bookmark_I5D7DCYW28T4JN0020000400"/>
      <w:bookmarkEnd w:id="5285"/>
      <w:r>
        <w:rPr>
          <w:rFonts w:ascii="Arial" w:eastAsia="Arial" w:hAnsi="Arial" w:cs="Arial"/>
          <w:color w:val="000000"/>
          <w:sz w:val="18"/>
          <w:u w:val="single"/>
        </w:rPr>
        <w:t xml:space="preserve">See </w:t>
      </w:r>
      <w:bookmarkStart w:id="5286" w:name="Bookmark_I5D7DCYK2N1RSW0040000400"/>
      <w:bookmarkEnd w:id="5286"/>
      <w:r>
        <w:rPr>
          <w:rFonts w:ascii="Arial" w:eastAsia="Arial" w:hAnsi="Arial" w:cs="Arial"/>
          <w:color w:val="000000"/>
          <w:sz w:val="18"/>
          <w:u w:val="single"/>
        </w:rPr>
        <w:t>Lewis</w:t>
      </w:r>
      <w:r>
        <w:rPr>
          <w:rFonts w:ascii="Arial" w:eastAsia="Arial" w:hAnsi="Arial" w:cs="Arial"/>
          <w:color w:val="000000"/>
          <w:sz w:val="18"/>
        </w:rPr>
        <w:t xml:space="preserve">, 518 U.S. at 348-49. [**19]  In this case, however, we are faced with a nationwide design—"231 Hollister stores that have one elevated entry door with steps in addition to two adjacent, level, fully accessible entry doors." Aplt. Br. 3. </w:t>
      </w:r>
      <w:bookmarkStart w:id="5287" w:name="Bookmark_I5D7DCYW28T4JN0020000400_2"/>
      <w:bookmarkEnd w:id="5287"/>
      <w:r>
        <w:rPr>
          <w:rFonts w:ascii="Arial" w:eastAsia="Arial" w:hAnsi="Arial" w:cs="Arial"/>
          <w:color w:val="000000"/>
          <w:sz w:val="18"/>
        </w:rPr>
        <w:t xml:space="preserve">An injunction aimed at those and only those Hollister stores fits perfectly with the claim that those stores violate class members' rights under the ADA. Contra </w:t>
      </w:r>
      <w:bookmarkStart w:id="5288" w:name="Bookmark_I5D7DCYW28T4JN0010000400"/>
      <w:bookmarkEnd w:id="5288"/>
      <w:r>
        <w:rPr>
          <w:rFonts w:ascii="Arial" w:eastAsia="Arial" w:hAnsi="Arial" w:cs="Arial"/>
          <w:color w:val="000000"/>
          <w:sz w:val="18"/>
        </w:rPr>
        <w:t>Lewis, 518 U.S. at 360 (absent showing of systemwide constitutional violation, injunction with systemwide scope was inappropriate).</w:t>
      </w:r>
    </w:p>
  </w:footnote>
  <w:footnote w:id="208">
    <w:p w14:paraId="4E83830E"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6 </w:t>
      </w:r>
      <w:bookmarkStart w:id="5334" w:name="Bookmark_fnpara_6_13"/>
      <w:bookmarkEnd w:id="5334"/>
      <w:r>
        <w:rPr>
          <w:rFonts w:ascii="Arial" w:eastAsia="Arial" w:hAnsi="Arial" w:cs="Arial"/>
          <w:color w:val="000000"/>
          <w:sz w:val="18"/>
        </w:rPr>
        <w:t>Before the district court, Abercrombie argued that class certification was inappropriate because [**25]  Hollister stores utilize varying designs in their porch layout. II Aplt. App. 690, 692. On appeal, Abercrombie does not raise this issue, and we are satisfied that the porches are sufficiently similar as to pose a common question of law.</w:t>
      </w:r>
    </w:p>
  </w:footnote>
  <w:footnote w:id="209">
    <w:p w14:paraId="26478AE7"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7 </w:t>
      </w:r>
      <w:bookmarkStart w:id="5413" w:name="Bookmark_fnpara_7_12"/>
      <w:bookmarkStart w:id="5414" w:name="Bookmark_I5D7DD4P2N1RRF0040000400"/>
      <w:bookmarkEnd w:id="5413"/>
      <w:bookmarkEnd w:id="5414"/>
      <w:r>
        <w:rPr>
          <w:rFonts w:ascii="Arial" w:eastAsia="Arial" w:hAnsi="Arial" w:cs="Arial"/>
          <w:color w:val="000000"/>
          <w:sz w:val="18"/>
        </w:rPr>
        <w:t xml:space="preserve">It was also error for the district court to impose accessibility requirements on the porch as a "space" because it contained "more than one use." </w:t>
      </w:r>
      <w:r>
        <w:rPr>
          <w:rFonts w:ascii="Arial" w:eastAsia="Arial" w:hAnsi="Arial" w:cs="Arial"/>
          <w:color w:val="000000"/>
          <w:sz w:val="18"/>
          <w:u w:val="single"/>
        </w:rPr>
        <w:t xml:space="preserve">See </w:t>
      </w:r>
      <w:bookmarkStart w:id="5415" w:name="Bookmark_I5D7DD4P2N1RRF0030000400"/>
      <w:bookmarkEnd w:id="5415"/>
      <w:r>
        <w:rPr>
          <w:rFonts w:ascii="Arial" w:eastAsia="Arial" w:hAnsi="Arial" w:cs="Arial"/>
          <w:color w:val="000000"/>
          <w:sz w:val="18"/>
          <w:u w:val="single"/>
        </w:rPr>
        <w:t>Abercrombie &amp; Fitch Co</w:t>
      </w:r>
      <w:r>
        <w:rPr>
          <w:rFonts w:ascii="Arial" w:eastAsia="Arial" w:hAnsi="Arial" w:cs="Arial"/>
          <w:color w:val="000000"/>
          <w:sz w:val="18"/>
        </w:rPr>
        <w:t xml:space="preserve">., 957 F. Supp. 2d at 1281. The district court apparently thought the porch was used as an "accessible space" because Abercrombie [**41]  made it "available to individuals who do not require wheelchairs for mobility." </w:t>
      </w:r>
      <w:r>
        <w:rPr>
          <w:rFonts w:ascii="Arial" w:eastAsia="Arial" w:hAnsi="Arial" w:cs="Arial"/>
          <w:color w:val="000000"/>
          <w:sz w:val="18"/>
          <w:u w:val="single"/>
        </w:rPr>
        <w:t>Id</w:t>
      </w:r>
      <w:r>
        <w:rPr>
          <w:rFonts w:ascii="Arial" w:eastAsia="Arial" w:hAnsi="Arial" w:cs="Arial"/>
          <w:color w:val="000000"/>
          <w:sz w:val="18"/>
        </w:rPr>
        <w:t xml:space="preserve">. </w:t>
      </w:r>
      <w:bookmarkStart w:id="5416" w:name="Bookmark_LNHNREFclscc25_1"/>
      <w:bookmarkEnd w:id="5416"/>
      <w:r>
        <w:rPr>
          <w:rFonts w:ascii="Arial" w:eastAsia="Arial" w:hAnsi="Arial" w:cs="Arial"/>
          <w:color w:val="000000"/>
          <w:sz w:val="18"/>
        </w:rPr>
        <w:t xml:space="preserve">A space is not an "accessible space" because it can be accessed by nondisabled persons; rather, it is an "accessible space" only if it "complies with [the] guidelines" for </w:t>
      </w:r>
      <w:r>
        <w:rPr>
          <w:rFonts w:ascii="Arial" w:eastAsia="Arial" w:hAnsi="Arial" w:cs="Arial"/>
          <w:color w:val="000000"/>
          <w:sz w:val="18"/>
          <w:u w:val="single"/>
        </w:rPr>
        <w:t>disabled</w:t>
      </w:r>
      <w:r>
        <w:rPr>
          <w:rFonts w:ascii="Arial" w:eastAsia="Arial" w:hAnsi="Arial" w:cs="Arial"/>
          <w:color w:val="000000"/>
          <w:sz w:val="18"/>
        </w:rPr>
        <w:t xml:space="preserve"> access. 1991 Standard 3.5. The "use" envisioned by the standards refers to those "use[s] covered by a special application section," e.g., "restaurants and cafeterias, medical care facilities, business and mercantile, libraries, accessible transient lodging, and transportation facilities." 1991 Standard 4.1.1(2); </w:t>
      </w:r>
      <w:r>
        <w:rPr>
          <w:rFonts w:ascii="Arial" w:eastAsia="Arial" w:hAnsi="Arial" w:cs="Arial"/>
          <w:color w:val="000000"/>
          <w:sz w:val="18"/>
          <w:u w:val="single"/>
        </w:rPr>
        <w:t>see also</w:t>
      </w:r>
      <w:r>
        <w:rPr>
          <w:rFonts w:ascii="Arial" w:eastAsia="Arial" w:hAnsi="Arial" w:cs="Arial"/>
          <w:color w:val="000000"/>
          <w:sz w:val="18"/>
        </w:rPr>
        <w:t xml:space="preserve"> 2010 Standard 201.2 (requiring multi-use spaces to comply with "the applicable requirements" for each use). The district court made no finding that the porch contained any of these special uses.</w:t>
      </w:r>
    </w:p>
  </w:footnote>
  <w:footnote w:id="210">
    <w:p w14:paraId="21A8848E"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8 </w:t>
      </w:r>
      <w:bookmarkStart w:id="5433" w:name="Bookmark_fnpara_8_11"/>
      <w:bookmarkStart w:id="5434" w:name="Bookmark_I5D7DD5K2D6N530020000400"/>
      <w:bookmarkEnd w:id="5433"/>
      <w:bookmarkEnd w:id="5434"/>
      <w:r>
        <w:rPr>
          <w:rFonts w:ascii="Arial" w:eastAsia="Arial" w:hAnsi="Arial" w:cs="Arial"/>
          <w:color w:val="000000"/>
          <w:sz w:val="18"/>
        </w:rPr>
        <w:t xml:space="preserve">We need not decide whether the percentage is 50% or 60%, as Abercrombie meets either. We will not consider the Plaintiffs' argument to the contrary, Aplee. Br. 51 n.13, as it is raised for the first time on appeal, </w:t>
      </w:r>
      <w:r>
        <w:rPr>
          <w:rFonts w:ascii="Arial" w:eastAsia="Arial" w:hAnsi="Arial" w:cs="Arial"/>
          <w:color w:val="000000"/>
          <w:sz w:val="18"/>
          <w:u w:val="single"/>
        </w:rPr>
        <w:t xml:space="preserve">see </w:t>
      </w:r>
      <w:bookmarkStart w:id="5435" w:name="Bookmark_I5D7DD5K2D6N530010000400"/>
      <w:bookmarkEnd w:id="5435"/>
      <w:r>
        <w:rPr>
          <w:rFonts w:ascii="Arial" w:eastAsia="Arial" w:hAnsi="Arial" w:cs="Arial"/>
          <w:color w:val="000000"/>
          <w:sz w:val="18"/>
          <w:u w:val="single"/>
        </w:rPr>
        <w:t>Valdez v. Squier</w:t>
      </w:r>
      <w:r>
        <w:rPr>
          <w:rFonts w:ascii="Arial" w:eastAsia="Arial" w:hAnsi="Arial" w:cs="Arial"/>
          <w:color w:val="000000"/>
          <w:sz w:val="18"/>
        </w:rPr>
        <w:t xml:space="preserve">, 676 F.3d 935, 950 (10th Cir. 2012). In any event, their argument—that the porch actually constitutes two entrance "doors"—fails to take into account that the standards regulate the number of "entrances," </w:t>
      </w:r>
      <w:r>
        <w:rPr>
          <w:rFonts w:ascii="Arial" w:eastAsia="Arial" w:hAnsi="Arial" w:cs="Arial"/>
          <w:color w:val="000000"/>
          <w:sz w:val="18"/>
          <w:u w:val="single"/>
        </w:rPr>
        <w:t>see</w:t>
      </w:r>
      <w:r>
        <w:rPr>
          <w:rFonts w:ascii="Arial" w:eastAsia="Arial" w:hAnsi="Arial" w:cs="Arial"/>
          <w:color w:val="000000"/>
          <w:sz w:val="18"/>
        </w:rPr>
        <w:t xml:space="preserve"> 1991 Standard 4.1.3(8)(a)(i); 2010 Standard 206.4.1, and that one "entrance" may be made up of more than one "entry door(s)," </w:t>
      </w:r>
      <w:r>
        <w:rPr>
          <w:rFonts w:ascii="Arial" w:eastAsia="Arial" w:hAnsi="Arial" w:cs="Arial"/>
          <w:color w:val="000000"/>
          <w:sz w:val="18"/>
          <w:u w:val="single"/>
        </w:rPr>
        <w:t>see</w:t>
      </w:r>
      <w:r>
        <w:rPr>
          <w:rFonts w:ascii="Arial" w:eastAsia="Arial" w:hAnsi="Arial" w:cs="Arial"/>
          <w:color w:val="000000"/>
          <w:sz w:val="18"/>
        </w:rPr>
        <w:t xml:space="preserve"> 1991 Standard 3.5.</w:t>
      </w:r>
    </w:p>
  </w:footnote>
  <w:footnote w:id="211">
    <w:p w14:paraId="58F1FDBF"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9 </w:t>
      </w:r>
      <w:bookmarkStart w:id="5437" w:name="Bookmark_fnpara_9_10"/>
      <w:bookmarkEnd w:id="5437"/>
      <w:r>
        <w:rPr>
          <w:rFonts w:ascii="Arial" w:eastAsia="Arial" w:hAnsi="Arial" w:cs="Arial"/>
          <w:color w:val="000000"/>
          <w:sz w:val="18"/>
        </w:rPr>
        <w:t xml:space="preserve">The regulatory guidance does not mention the "majority of people" provision, </w:t>
      </w:r>
      <w:r>
        <w:rPr>
          <w:rFonts w:ascii="Arial" w:eastAsia="Arial" w:hAnsi="Arial" w:cs="Arial"/>
          <w:color w:val="000000"/>
          <w:sz w:val="18"/>
          <w:u w:val="single"/>
        </w:rPr>
        <w:t>see</w:t>
      </w:r>
      <w:r>
        <w:rPr>
          <w:rFonts w:ascii="Arial" w:eastAsia="Arial" w:hAnsi="Arial" w:cs="Arial"/>
          <w:color w:val="000000"/>
          <w:sz w:val="18"/>
        </w:rPr>
        <w:t xml:space="preserve"> 28 C.F.R. pt. 36, app. C, at 929 (guidance to 4.1.3(8)), nor does the analysis and commentary to the 2010 standards, </w:t>
      </w:r>
      <w:r>
        <w:rPr>
          <w:rFonts w:ascii="Arial" w:eastAsia="Arial" w:hAnsi="Arial" w:cs="Arial"/>
          <w:color w:val="000000"/>
          <w:sz w:val="18"/>
          <w:u w:val="single"/>
        </w:rPr>
        <w:t>see</w:t>
      </w:r>
      <w:r>
        <w:rPr>
          <w:rFonts w:ascii="Arial" w:eastAsia="Arial" w:hAnsi="Arial" w:cs="Arial"/>
          <w:color w:val="000000"/>
          <w:sz w:val="18"/>
        </w:rPr>
        <w:t xml:space="preserve"> 28 C.F.R. pt. 36 app. B, at 822-23 (analysis of "Public Entrances"). No published case has ever imposed ADA liability on a public accommodation for violating the "majority of people" component of 4.1.3(8)(a).</w:t>
      </w:r>
    </w:p>
  </w:footnote>
  <w:footnote w:id="212">
    <w:p w14:paraId="56A07123"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10 </w:t>
      </w:r>
      <w:bookmarkStart w:id="5438" w:name="Bookmark_fnpara_10_7"/>
      <w:bookmarkStart w:id="5439" w:name="Bookmark_I5D7DD5K2D6N530040000400"/>
      <w:bookmarkEnd w:id="5438"/>
      <w:bookmarkEnd w:id="5439"/>
      <w:r>
        <w:rPr>
          <w:rFonts w:ascii="Arial" w:eastAsia="Arial" w:hAnsi="Arial" w:cs="Arial"/>
          <w:color w:val="000000"/>
          <w:sz w:val="18"/>
        </w:rPr>
        <w:t xml:space="preserve">The dissent offers that the Plaintiffs presented "deposition testimony, declarations, photographic evidence, and architectural drawings that all support a reasonable inference that a majority of people use the porch entrance." Responding to a summary judgment motion, Plaintiffs had the burden of providing significantly probative evidence establishing an essential element of their case. </w:t>
      </w:r>
      <w:bookmarkStart w:id="5440" w:name="Bookmark_I5D7DD5K2D6N530030000400"/>
      <w:bookmarkEnd w:id="5440"/>
      <w:r>
        <w:rPr>
          <w:rFonts w:ascii="Arial" w:eastAsia="Arial" w:hAnsi="Arial" w:cs="Arial"/>
          <w:color w:val="000000"/>
          <w:sz w:val="18"/>
          <w:u w:val="single"/>
        </w:rPr>
        <w:t>Celotex Corp. v. Catrett</w:t>
      </w:r>
      <w:r>
        <w:rPr>
          <w:rFonts w:ascii="Arial" w:eastAsia="Arial" w:hAnsi="Arial" w:cs="Arial"/>
          <w:color w:val="000000"/>
          <w:sz w:val="18"/>
        </w:rPr>
        <w:t>, 477 U.S. 317, 322-23, 106 S. Ct. 2548, 91 L. Ed. 2d 265 (1986). The Plaintiffs' summary judgment evidence demonstrates [**47]  nothing more than the porch's existence positioned between two nearby doors. We simply do not know about utilization of the various entrances. Regardless, this question is now irrelevant, as we hold that the 2010 Standards effectively eliminated the additional majority-of-people requirement in the 1991 Standards.</w:t>
      </w:r>
    </w:p>
  </w:footnote>
  <w:footnote w:id="213">
    <w:p w14:paraId="64212301"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1 </w:t>
      </w:r>
      <w:bookmarkStart w:id="5500" w:name="Bookmark_fnpara_11_4"/>
      <w:bookmarkEnd w:id="5500"/>
      <w:r>
        <w:rPr>
          <w:rFonts w:ascii="Arial" w:eastAsia="Arial" w:hAnsi="Arial" w:cs="Arial"/>
          <w:color w:val="000000"/>
          <w:sz w:val="18"/>
        </w:rPr>
        <w:t xml:space="preserve">Although meeting the numerosity requirement as I interpret it requires some effort on the part of a proponent [**52]  of a class, CCDC has demonstrated in other litigation that as a general matter, it is capable of meeting this burden. </w:t>
      </w:r>
      <w:r>
        <w:rPr>
          <w:rFonts w:ascii="Arial" w:eastAsia="Arial" w:hAnsi="Arial" w:cs="Arial"/>
          <w:color w:val="000000"/>
          <w:sz w:val="18"/>
          <w:u w:val="single"/>
        </w:rPr>
        <w:t xml:space="preserve">See </w:t>
      </w:r>
      <w:bookmarkStart w:id="5501" w:name="Bookmark_I5D7DD9S2HM67P0010000400"/>
      <w:bookmarkEnd w:id="5501"/>
      <w:r>
        <w:rPr>
          <w:rFonts w:ascii="Arial" w:eastAsia="Arial" w:hAnsi="Arial" w:cs="Arial"/>
          <w:color w:val="000000"/>
          <w:sz w:val="18"/>
          <w:u w:val="single"/>
        </w:rPr>
        <w:t>Colo. Cross-Disability Coal. v. Taco Bell Corp</w:t>
      </w:r>
      <w:r>
        <w:rPr>
          <w:rFonts w:ascii="Arial" w:eastAsia="Arial" w:hAnsi="Arial" w:cs="Arial"/>
          <w:color w:val="000000"/>
          <w:sz w:val="18"/>
        </w:rPr>
        <w:t>., 184 F.R.D. 354, 358 (D. Colo. 1999) (finding a potential class that "may include more than 2,000 people" based on census data and survey results provided by CCDC demonstrating that 14.5% of the 200 people who responded fit the class definition).</w:t>
      </w:r>
    </w:p>
  </w:footnote>
  <w:footnote w:id="214">
    <w:p w14:paraId="6648CEA7"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2 </w:t>
      </w:r>
      <w:bookmarkStart w:id="5513" w:name="Bookmark_fnpara_12_2"/>
      <w:bookmarkStart w:id="5514" w:name="Bookmark_I48TWVXST6S0003XDXH002B5"/>
      <w:bookmarkStart w:id="5515" w:name="Bookmark_I48TWVXT09M0003XDXH002B6"/>
      <w:bookmarkStart w:id="5516" w:name="Bookmark_I48TWVXT5DG0003XDXH002B7"/>
      <w:bookmarkStart w:id="5517" w:name="Bookmark_I5D7DDBJ2SF8000050000400"/>
      <w:bookmarkStart w:id="5518" w:name="Bookmark_I48TWVXTBHB0003XDXH002B8"/>
      <w:bookmarkStart w:id="5519" w:name="Bookmark_I5D7DDBY2N1R210010000400"/>
      <w:bookmarkEnd w:id="5513"/>
      <w:bookmarkEnd w:id="5514"/>
      <w:bookmarkEnd w:id="5515"/>
      <w:bookmarkEnd w:id="5516"/>
      <w:bookmarkEnd w:id="5517"/>
      <w:bookmarkEnd w:id="5518"/>
      <w:bookmarkEnd w:id="5519"/>
      <w:r>
        <w:rPr>
          <w:rFonts w:ascii="Arial" w:eastAsia="Arial" w:hAnsi="Arial" w:cs="Arial"/>
          <w:color w:val="000000"/>
          <w:sz w:val="18"/>
        </w:rPr>
        <w:t xml:space="preserve">In </w:t>
      </w:r>
      <w:bookmarkStart w:id="5520" w:name="Bookmark_I5D7DDBJ2SF8000040000400"/>
      <w:bookmarkEnd w:id="5520"/>
      <w:r>
        <w:rPr>
          <w:rFonts w:ascii="Arial" w:eastAsia="Arial" w:hAnsi="Arial" w:cs="Arial"/>
          <w:color w:val="000000"/>
          <w:sz w:val="18"/>
          <w:u w:val="single"/>
        </w:rPr>
        <w:t>Horn v. Associated Wholesale Grocers, Inc</w:t>
      </w:r>
      <w:r>
        <w:rPr>
          <w:rFonts w:ascii="Arial" w:eastAsia="Arial" w:hAnsi="Arial" w:cs="Arial"/>
          <w:color w:val="000000"/>
          <w:sz w:val="18"/>
        </w:rPr>
        <w:t xml:space="preserve">., 555 F.2d 270 (10th Cir. 1977), we acknowledged that other courts have stated that "where the relief sought is injunctive and declaratory, even speculative and conclusory representations as to the size of the class are sufficient." </w:t>
      </w:r>
      <w:bookmarkStart w:id="5521" w:name="Bookmark_I5D7DDBR2N1PYD0010000400"/>
      <w:bookmarkEnd w:id="5521"/>
      <w:r>
        <w:rPr>
          <w:rFonts w:ascii="Arial" w:eastAsia="Arial" w:hAnsi="Arial" w:cs="Arial"/>
          <w:color w:val="000000"/>
          <w:sz w:val="18"/>
          <w:u w:val="single"/>
        </w:rPr>
        <w:t>Id</w:t>
      </w:r>
      <w:r>
        <w:rPr>
          <w:rFonts w:ascii="Arial" w:eastAsia="Arial" w:hAnsi="Arial" w:cs="Arial"/>
          <w:color w:val="000000"/>
          <w:sz w:val="18"/>
        </w:rPr>
        <w:t xml:space="preserve">. at 275-76 (citing </w:t>
      </w:r>
      <w:bookmarkStart w:id="5522" w:name="Bookmark_I5D7DDBR2N1PYD0030000400"/>
      <w:bookmarkEnd w:id="5522"/>
      <w:r>
        <w:rPr>
          <w:rFonts w:ascii="Arial" w:eastAsia="Arial" w:hAnsi="Arial" w:cs="Arial"/>
          <w:color w:val="000000"/>
          <w:sz w:val="18"/>
          <w:u w:val="single"/>
        </w:rPr>
        <w:t>Doe v. Flowers</w:t>
      </w:r>
      <w:r>
        <w:rPr>
          <w:rFonts w:ascii="Arial" w:eastAsia="Arial" w:hAnsi="Arial" w:cs="Arial"/>
          <w:color w:val="000000"/>
          <w:sz w:val="18"/>
        </w:rPr>
        <w:t xml:space="preserve">, 364 F. Supp. 953, 954 (N.D.W. Va. 1973) (three-judge panel) (per curiam), </w:t>
      </w:r>
      <w:r>
        <w:rPr>
          <w:rFonts w:ascii="Arial" w:eastAsia="Arial" w:hAnsi="Arial" w:cs="Arial"/>
          <w:color w:val="000000"/>
          <w:sz w:val="18"/>
          <w:u w:val="single"/>
        </w:rPr>
        <w:t>aff'd mem</w:t>
      </w:r>
      <w:r>
        <w:rPr>
          <w:rFonts w:ascii="Arial" w:eastAsia="Arial" w:hAnsi="Arial" w:cs="Arial"/>
          <w:color w:val="000000"/>
          <w:sz w:val="18"/>
        </w:rPr>
        <w:t xml:space="preserve">., 416 U.S. 922, 94 S. Ct. 1921, 40 L. Ed. 2d 279 (1974)). </w:t>
      </w:r>
      <w:bookmarkStart w:id="5523" w:name="Bookmark_I48TWVXTHM60003XDXH002B9"/>
      <w:bookmarkStart w:id="5524" w:name="Bookmark_I5D7DDBY2N1R210030000400"/>
      <w:bookmarkEnd w:id="5523"/>
      <w:bookmarkEnd w:id="5524"/>
      <w:r>
        <w:rPr>
          <w:rFonts w:ascii="Arial" w:eastAsia="Arial" w:hAnsi="Arial" w:cs="Arial"/>
          <w:color w:val="000000"/>
          <w:sz w:val="18"/>
        </w:rPr>
        <w:t xml:space="preserve">Although the Fourth Circuit has relied on this statement, it has not excused parties from first establishing the existence of the class. </w:t>
      </w:r>
      <w:r>
        <w:rPr>
          <w:rFonts w:ascii="Arial" w:eastAsia="Arial" w:hAnsi="Arial" w:cs="Arial"/>
          <w:color w:val="000000"/>
          <w:sz w:val="18"/>
          <w:u w:val="single"/>
        </w:rPr>
        <w:t xml:space="preserve">See </w:t>
      </w:r>
      <w:bookmarkStart w:id="5525" w:name="Bookmark_I5D7DDBR2N1PYD0050000400"/>
      <w:bookmarkEnd w:id="5525"/>
      <w:r>
        <w:rPr>
          <w:rFonts w:ascii="Arial" w:eastAsia="Arial" w:hAnsi="Arial" w:cs="Arial"/>
          <w:color w:val="000000"/>
          <w:sz w:val="18"/>
          <w:u w:val="single"/>
        </w:rPr>
        <w:t>Doe v. Charleston Area Med. Ctr., Inc</w:t>
      </w:r>
      <w:r>
        <w:rPr>
          <w:rFonts w:ascii="Arial" w:eastAsia="Arial" w:hAnsi="Arial" w:cs="Arial"/>
          <w:color w:val="000000"/>
          <w:sz w:val="18"/>
        </w:rPr>
        <w:t xml:space="preserve">., 529 F.2d 638, 645 (4th Cir. 1975). </w:t>
      </w:r>
      <w:bookmarkStart w:id="5526" w:name="Bookmark_I5D7DDBY2N1R210030000400_2"/>
      <w:bookmarkStart w:id="5527" w:name="Bookmark_I48TWVXV81M0003XDXH002BF"/>
      <w:bookmarkStart w:id="5528" w:name="Bookmark_I48TWVXTWTX0003XDXH002BC"/>
      <w:bookmarkStart w:id="5529" w:name="Bookmark_I48TWVXVM7B0003XDXH002BH"/>
      <w:bookmarkStart w:id="5530" w:name="Bookmark_I5D7DDBY2N1R210050000400"/>
      <w:bookmarkEnd w:id="5526"/>
      <w:bookmarkEnd w:id="5527"/>
      <w:bookmarkEnd w:id="5528"/>
      <w:bookmarkEnd w:id="5529"/>
      <w:bookmarkEnd w:id="5530"/>
      <w:r>
        <w:rPr>
          <w:rFonts w:ascii="Arial" w:eastAsia="Arial" w:hAnsi="Arial" w:cs="Arial"/>
          <w:color w:val="000000"/>
          <w:sz w:val="18"/>
        </w:rPr>
        <w:t xml:space="preserve">To the extent </w:t>
      </w:r>
      <w:r>
        <w:rPr>
          <w:rFonts w:ascii="Arial" w:eastAsia="Arial" w:hAnsi="Arial" w:cs="Arial"/>
          <w:color w:val="000000"/>
          <w:sz w:val="18"/>
          <w:u w:val="single"/>
        </w:rPr>
        <w:t>Horn</w:t>
      </w:r>
      <w:r>
        <w:rPr>
          <w:rFonts w:ascii="Arial" w:eastAsia="Arial" w:hAnsi="Arial" w:cs="Arial"/>
          <w:color w:val="000000"/>
          <w:sz w:val="18"/>
        </w:rPr>
        <w:t xml:space="preserve"> approved of the statement that speculative and conclusory representations are sufficient, it was not necessary to the holding in </w:t>
      </w:r>
      <w:r>
        <w:rPr>
          <w:rFonts w:ascii="Arial" w:eastAsia="Arial" w:hAnsi="Arial" w:cs="Arial"/>
          <w:color w:val="000000"/>
          <w:sz w:val="18"/>
          <w:u w:val="single"/>
        </w:rPr>
        <w:t>Horn</w:t>
      </w:r>
      <w:r>
        <w:rPr>
          <w:rFonts w:ascii="Arial" w:eastAsia="Arial" w:hAnsi="Arial" w:cs="Arial"/>
          <w:color w:val="000000"/>
          <w:sz w:val="18"/>
        </w:rPr>
        <w:t xml:space="preserve"> because that case involved a class of specified size. </w:t>
      </w:r>
      <w:r>
        <w:rPr>
          <w:rFonts w:ascii="Arial" w:eastAsia="Arial" w:hAnsi="Arial" w:cs="Arial"/>
          <w:color w:val="000000"/>
          <w:sz w:val="18"/>
          <w:u w:val="single"/>
        </w:rPr>
        <w:t>See</w:t>
      </w:r>
      <w:r>
        <w:rPr>
          <w:rFonts w:ascii="Arial" w:eastAsia="Arial" w:hAnsi="Arial" w:cs="Arial"/>
          <w:color w:val="000000"/>
          <w:sz w:val="18"/>
        </w:rPr>
        <w:t xml:space="preserve"> </w:t>
      </w:r>
      <w:bookmarkStart w:id="5531" w:name="Bookmark_I5D7DDBY2N1R210020000400"/>
      <w:bookmarkEnd w:id="5531"/>
      <w:r>
        <w:rPr>
          <w:rFonts w:ascii="Arial" w:eastAsia="Arial" w:hAnsi="Arial" w:cs="Arial"/>
          <w:color w:val="000000"/>
          <w:sz w:val="18"/>
        </w:rPr>
        <w:t xml:space="preserve">555 F.2d at 275-76 (concluding that the district court abused its discretion because it became "stymied by the concept of very large numbers" and ignored other factors relevant to impracticability). </w:t>
      </w:r>
      <w:bookmarkStart w:id="5532" w:name="Bookmark_I5D7DDBY2N1R210050000400_2"/>
      <w:bookmarkEnd w:id="5532"/>
      <w:r>
        <w:rPr>
          <w:rFonts w:ascii="Arial" w:eastAsia="Arial" w:hAnsi="Arial" w:cs="Arial"/>
          <w:color w:val="000000"/>
          <w:sz w:val="18"/>
        </w:rPr>
        <w:t xml:space="preserve">Furthermore, relying on speculative and conclusory representations is inconsistent with later Supreme Court and Tenth Circuit precedent. </w:t>
      </w:r>
      <w:r>
        <w:rPr>
          <w:rFonts w:ascii="Arial" w:eastAsia="Arial" w:hAnsi="Arial" w:cs="Arial"/>
          <w:color w:val="000000"/>
          <w:sz w:val="18"/>
          <w:u w:val="single"/>
        </w:rPr>
        <w:t xml:space="preserve">See </w:t>
      </w:r>
      <w:bookmarkStart w:id="5533" w:name="Bookmark_I5D7DDBY2N1R210040000400"/>
      <w:bookmarkEnd w:id="5533"/>
      <w:r>
        <w:rPr>
          <w:rFonts w:ascii="Arial" w:eastAsia="Arial" w:hAnsi="Arial" w:cs="Arial"/>
          <w:color w:val="000000"/>
          <w:sz w:val="18"/>
          <w:u w:val="single"/>
        </w:rPr>
        <w:t>Wal-Mart Stores, Inc. v. Dukes</w:t>
      </w:r>
      <w:r>
        <w:rPr>
          <w:rFonts w:ascii="Arial" w:eastAsia="Arial" w:hAnsi="Arial" w:cs="Arial"/>
          <w:color w:val="000000"/>
          <w:sz w:val="18"/>
        </w:rPr>
        <w:t xml:space="preserve">, </w:t>
      </w:r>
      <w:r>
        <w:rPr>
          <w:rFonts w:ascii="Arial" w:eastAsia="Arial" w:hAnsi="Arial" w:cs="Arial"/>
          <w:color w:val="000000"/>
          <w:sz w:val="18"/>
          <w:u w:val="single"/>
        </w:rPr>
        <w:t>   </w:t>
      </w:r>
      <w:r>
        <w:rPr>
          <w:rFonts w:ascii="Arial" w:eastAsia="Arial" w:hAnsi="Arial" w:cs="Arial"/>
          <w:color w:val="000000"/>
          <w:sz w:val="18"/>
        </w:rPr>
        <w:t xml:space="preserve"> U.S. </w:t>
      </w:r>
      <w:r>
        <w:rPr>
          <w:rFonts w:ascii="Arial" w:eastAsia="Arial" w:hAnsi="Arial" w:cs="Arial"/>
          <w:color w:val="000000"/>
          <w:sz w:val="18"/>
          <w:u w:val="single"/>
        </w:rPr>
        <w:t>   </w:t>
      </w:r>
      <w:r>
        <w:rPr>
          <w:rFonts w:ascii="Arial" w:eastAsia="Arial" w:hAnsi="Arial" w:cs="Arial"/>
          <w:color w:val="000000"/>
          <w:sz w:val="18"/>
        </w:rPr>
        <w:t xml:space="preserve">, 131 S. Ct. 2541, 2551, 180 L. Ed. 2d 374 (2011); </w:t>
      </w:r>
      <w:bookmarkStart w:id="5534" w:name="Bookmark_I5D7DDC72D6NF90010000400"/>
      <w:bookmarkEnd w:id="5534"/>
      <w:r>
        <w:rPr>
          <w:rFonts w:ascii="Arial" w:eastAsia="Arial" w:hAnsi="Arial" w:cs="Arial"/>
          <w:color w:val="000000"/>
          <w:sz w:val="18"/>
          <w:u w:val="single"/>
        </w:rPr>
        <w:t>DG ex rel. Stricklin v. Devaughn</w:t>
      </w:r>
      <w:r>
        <w:rPr>
          <w:rFonts w:ascii="Arial" w:eastAsia="Arial" w:hAnsi="Arial" w:cs="Arial"/>
          <w:color w:val="000000"/>
          <w:sz w:val="18"/>
        </w:rPr>
        <w:t xml:space="preserve">, 594 F.3d 1188, 1194 (10th Cir. 2010); </w:t>
      </w:r>
      <w:bookmarkStart w:id="5535" w:name="Bookmark_I5D7DDC72D6NF90030000400"/>
      <w:bookmarkEnd w:id="5535"/>
      <w:r>
        <w:rPr>
          <w:rFonts w:ascii="Arial" w:eastAsia="Arial" w:hAnsi="Arial" w:cs="Arial"/>
          <w:color w:val="000000"/>
          <w:sz w:val="18"/>
          <w:u w:val="single"/>
        </w:rPr>
        <w:t>Rex v. Owens ex rel. State of Okl</w:t>
      </w:r>
      <w:r>
        <w:rPr>
          <w:rFonts w:ascii="Arial" w:eastAsia="Arial" w:hAnsi="Arial" w:cs="Arial"/>
          <w:color w:val="000000"/>
          <w:sz w:val="18"/>
        </w:rPr>
        <w:t>., 585 F.2d 432, 436 (10th Cir. 1978).</w:t>
      </w:r>
    </w:p>
  </w:footnote>
  <w:footnote w:id="215">
    <w:p w14:paraId="122CCF16" w14:textId="77777777" w:rsidR="002D0E71" w:rsidRDefault="00000000">
      <w:pPr>
        <w:pStyle w:val="Normal38"/>
        <w:widowControl w:val="0"/>
        <w:spacing w:before="120" w:line="240" w:lineRule="atLeast"/>
        <w:jc w:val="both"/>
      </w:pPr>
      <w:r>
        <w:rPr>
          <w:rFonts w:ascii="Arial" w:eastAsia="Arial" w:hAnsi="Arial" w:cs="Arial"/>
          <w:color w:val="000000"/>
          <w:sz w:val="18"/>
          <w:vertAlign w:val="superscript"/>
        </w:rPr>
        <w:t>3 </w:t>
      </w:r>
      <w:bookmarkStart w:id="5537" w:name="Bookmark_fnpara_13_2"/>
      <w:bookmarkEnd w:id="5537"/>
      <w:r>
        <w:rPr>
          <w:rFonts w:ascii="Arial" w:eastAsia="Arial" w:hAnsi="Arial" w:cs="Arial"/>
          <w:color w:val="000000"/>
          <w:sz w:val="18"/>
        </w:rPr>
        <w:t>The Plaintiffs did not rely on the five declarations to establish numerosity below, nor have they done so on appeal.</w:t>
      </w:r>
    </w:p>
  </w:footnote>
  <w:footnote w:id="216">
    <w:p w14:paraId="5C11407A"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4 </w:t>
      </w:r>
      <w:bookmarkStart w:id="5542" w:name="Bookmark_fnpara_14_1"/>
      <w:bookmarkStart w:id="5543" w:name="Bookmark_I48TWVXW4860003XDXH002BK"/>
      <w:bookmarkStart w:id="5544" w:name="Bookmark_I5D7DDCY28T4H30030000400"/>
      <w:bookmarkEnd w:id="5542"/>
      <w:bookmarkEnd w:id="5543"/>
      <w:bookmarkEnd w:id="5544"/>
      <w:r>
        <w:rPr>
          <w:rFonts w:ascii="Arial" w:eastAsia="Arial" w:hAnsi="Arial" w:cs="Arial"/>
          <w:color w:val="000000"/>
          <w:sz w:val="18"/>
        </w:rPr>
        <w:t xml:space="preserve">Although no party has raised the issue, I am also troubled by the fact that the class seeking injunctive relief is defined solely [**57]  in terms of past injury. Such disjunction between the relief sought and the injuries alleged by the class does not present a problem of standing or class certification. </w:t>
      </w:r>
      <w:bookmarkStart w:id="5545" w:name="Bookmark_I48TWVXWCXG0003XDXH002BM"/>
      <w:bookmarkStart w:id="5546" w:name="Bookmark_I5D7DDCY28T4H30050000400"/>
      <w:bookmarkStart w:id="5547" w:name="Bookmark_I5D7DDCY28T4H30020000400"/>
      <w:bookmarkEnd w:id="5545"/>
      <w:bookmarkEnd w:id="5546"/>
      <w:bookmarkEnd w:id="5547"/>
      <w:r>
        <w:rPr>
          <w:rFonts w:ascii="Arial" w:eastAsia="Arial" w:hAnsi="Arial" w:cs="Arial"/>
          <w:color w:val="000000"/>
          <w:sz w:val="18"/>
          <w:u w:val="single"/>
        </w:rPr>
        <w:t>Devaughn</w:t>
      </w:r>
      <w:r>
        <w:rPr>
          <w:rFonts w:ascii="Arial" w:eastAsia="Arial" w:hAnsi="Arial" w:cs="Arial"/>
          <w:color w:val="000000"/>
          <w:sz w:val="18"/>
        </w:rPr>
        <w:t xml:space="preserve">, 594 F.3d at 1197-98. </w:t>
      </w:r>
      <w:bookmarkStart w:id="5548" w:name="Bookmark_I5D7DDCY28T4H30050000400_2"/>
      <w:bookmarkEnd w:id="5548"/>
      <w:r>
        <w:rPr>
          <w:rFonts w:ascii="Arial" w:eastAsia="Arial" w:hAnsi="Arial" w:cs="Arial"/>
          <w:color w:val="000000"/>
          <w:sz w:val="18"/>
        </w:rPr>
        <w:t xml:space="preserve">Rather, it presents a problem of whether the class is entitled to injunctive relief. </w:t>
      </w:r>
      <w:bookmarkStart w:id="5549" w:name="Bookmark_I5D7DDCY28T4H30040000400"/>
      <w:bookmarkEnd w:id="5549"/>
      <w:r>
        <w:rPr>
          <w:rFonts w:ascii="Arial" w:eastAsia="Arial" w:hAnsi="Arial" w:cs="Arial"/>
          <w:color w:val="000000"/>
          <w:sz w:val="18"/>
          <w:u w:val="single"/>
        </w:rPr>
        <w:t>Lewis v. Casey</w:t>
      </w:r>
      <w:r>
        <w:rPr>
          <w:rFonts w:ascii="Arial" w:eastAsia="Arial" w:hAnsi="Arial" w:cs="Arial"/>
          <w:color w:val="000000"/>
          <w:sz w:val="18"/>
        </w:rPr>
        <w:t>, 518 U.S. 343, 359-60, 116 S. Ct. 2174, 135 L. Ed. 2d 606 &amp; n.7 (1996).</w:t>
      </w:r>
    </w:p>
  </w:footnote>
  <w:footnote w:id="217">
    <w:p w14:paraId="1CE37F16" w14:textId="77777777" w:rsidR="002D0E71" w:rsidRDefault="00000000">
      <w:pPr>
        <w:pStyle w:val="Normal38"/>
        <w:widowControl w:val="0"/>
        <w:spacing w:before="120" w:line="240" w:lineRule="atLeast"/>
        <w:jc w:val="both"/>
      </w:pPr>
      <w:r>
        <w:rPr>
          <w:rFonts w:ascii="Arial" w:eastAsia="Arial" w:hAnsi="Arial" w:cs="Arial"/>
          <w:color w:val="000000"/>
          <w:sz w:val="18"/>
          <w:vertAlign w:val="superscript"/>
        </w:rPr>
        <w:t>5 </w:t>
      </w:r>
      <w:bookmarkStart w:id="5550" w:name="Bookmark_fnpara_15_1"/>
      <w:bookmarkEnd w:id="5550"/>
      <w:r>
        <w:rPr>
          <w:rFonts w:ascii="Arial" w:eastAsia="Arial" w:hAnsi="Arial" w:cs="Arial"/>
          <w:color w:val="000000"/>
          <w:sz w:val="18"/>
        </w:rPr>
        <w:t>It is not their status as testers that is problematic in extrapolating the size of the class based on these plaintiffs; rather, it is the fact that they may not have fallen within the definition of the class without having been recruited by CCDC for this litigation. This undermines the reasonableness of using such plaintiffs as statistically representative of the number of people who fall within the class definition in other states.</w:t>
      </w:r>
    </w:p>
  </w:footnote>
  <w:footnote w:id="218">
    <w:p w14:paraId="5E8F1EA5"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6 </w:t>
      </w:r>
      <w:bookmarkStart w:id="5595" w:name="Bookmark_fnpara_16_1"/>
      <w:bookmarkEnd w:id="5595"/>
      <w:r>
        <w:rPr>
          <w:rFonts w:ascii="Arial" w:eastAsia="Arial" w:hAnsi="Arial" w:cs="Arial"/>
          <w:color w:val="000000"/>
          <w:sz w:val="18"/>
        </w:rPr>
        <w:t xml:space="preserve">When the Standards say the areas must comply with the guidelines, that means the areas must be accessible. 1991 Standard 3.5 (Accessible means "a site, building, facility, or portion thereof that complies with these guidelines."). </w:t>
      </w:r>
      <w:r>
        <w:rPr>
          <w:rFonts w:ascii="Arial" w:eastAsia="Arial" w:hAnsi="Arial" w:cs="Arial"/>
          <w:color w:val="000000"/>
          <w:sz w:val="18"/>
          <w:u w:val="single"/>
        </w:rPr>
        <w:t>Compare</w:t>
      </w:r>
      <w:r>
        <w:rPr>
          <w:rFonts w:ascii="Arial" w:eastAsia="Arial" w:hAnsi="Arial" w:cs="Arial"/>
          <w:color w:val="000000"/>
          <w:sz w:val="18"/>
        </w:rPr>
        <w:t xml:space="preserve"> 4.1.3(19) (requiring assembly areas to comply with 4.33), </w:t>
      </w:r>
      <w:r>
        <w:rPr>
          <w:rFonts w:ascii="Arial" w:eastAsia="Arial" w:hAnsi="Arial" w:cs="Arial"/>
          <w:color w:val="000000"/>
          <w:sz w:val="18"/>
          <w:u w:val="single"/>
        </w:rPr>
        <w:t>with</w:t>
      </w:r>
      <w:r>
        <w:rPr>
          <w:rFonts w:ascii="Arial" w:eastAsia="Arial" w:hAnsi="Arial" w:cs="Arial"/>
          <w:color w:val="000000"/>
          <w:sz w:val="18"/>
        </w:rPr>
        <w:t xml:space="preserve"> 4.33.1 ("Assembly and associated areas required to be accessible by 4.1 shall comply with 4.33").</w:t>
      </w:r>
    </w:p>
  </w:footnote>
  <w:footnote w:id="219">
    <w:p w14:paraId="33978DDD"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7 </w:t>
      </w:r>
      <w:bookmarkStart w:id="5597" w:name="Bookmark_fnpara_17_0"/>
      <w:bookmarkEnd w:id="5597"/>
      <w:r>
        <w:rPr>
          <w:rFonts w:ascii="Arial" w:eastAsia="Arial" w:hAnsi="Arial" w:cs="Arial"/>
          <w:color w:val="000000"/>
          <w:sz w:val="18"/>
        </w:rPr>
        <w:t xml:space="preserve">The Department of Justice's Analysis and Commentary on the 2010 ADA Standards for Accessible Design discusses "selected substantive changes" between the 1991 Design Standards and the 2010 Design Standards. 28 C.F.R. Pt. 36, App. B at 829. The commentary does not address "[e]ditorial changes." </w:t>
      </w:r>
      <w:r>
        <w:rPr>
          <w:rFonts w:ascii="Arial" w:eastAsia="Arial" w:hAnsi="Arial" w:cs="Arial"/>
          <w:color w:val="000000"/>
          <w:sz w:val="18"/>
          <w:u w:val="single"/>
        </w:rPr>
        <w:t>Id</w:t>
      </w:r>
      <w:r>
        <w:rPr>
          <w:rFonts w:ascii="Arial" w:eastAsia="Arial" w:hAnsi="Arial" w:cs="Arial"/>
          <w:color w:val="000000"/>
          <w:sz w:val="18"/>
        </w:rPr>
        <w:t>. With respect to the amendment [**65]  reflected in standard 201.1, the commentary is silent.</w:t>
      </w:r>
    </w:p>
  </w:footnote>
  <w:footnote w:id="220">
    <w:p w14:paraId="582A1CAB" w14:textId="77777777" w:rsidR="002D0E71" w:rsidRDefault="00000000">
      <w:pPr>
        <w:pStyle w:val="Normal38"/>
        <w:widowControl w:val="0"/>
        <w:spacing w:before="120" w:line="240" w:lineRule="atLeast"/>
        <w:jc w:val="both"/>
      </w:pPr>
      <w:r>
        <w:rPr>
          <w:rFonts w:ascii="Arial" w:eastAsia="Arial" w:hAnsi="Arial" w:cs="Arial"/>
          <w:color w:val="000000"/>
          <w:sz w:val="18"/>
          <w:vertAlign w:val="superscript"/>
        </w:rPr>
        <w:t>8 </w:t>
      </w:r>
      <w:bookmarkStart w:id="5616" w:name="Bookmark_fnpara_18_0"/>
      <w:bookmarkEnd w:id="5616"/>
      <w:r>
        <w:rPr>
          <w:rFonts w:ascii="Arial" w:eastAsia="Arial" w:hAnsi="Arial" w:cs="Arial"/>
          <w:color w:val="000000"/>
          <w:sz w:val="18"/>
        </w:rPr>
        <w:t>Standard 4.1.1 also contains an exception for structural impracticability. 1991 Standard 4.1.1(5)(a). Abercrombie has not argued that the porch is exempt from compliance on this basis.</w:t>
      </w:r>
    </w:p>
  </w:footnote>
  <w:footnote w:id="221">
    <w:p w14:paraId="629AAD9A" w14:textId="77777777" w:rsidR="002D0E71" w:rsidRDefault="00000000">
      <w:pPr>
        <w:pStyle w:val="Normal38"/>
        <w:widowControl w:val="0"/>
        <w:spacing w:before="120" w:line="240" w:lineRule="atLeast"/>
        <w:jc w:val="both"/>
      </w:pPr>
      <w:r>
        <w:rPr>
          <w:rFonts w:ascii="Arial" w:eastAsia="Arial" w:hAnsi="Arial" w:cs="Arial"/>
          <w:color w:val="000000"/>
          <w:sz w:val="18"/>
          <w:vertAlign w:val="superscript"/>
        </w:rPr>
        <w:t>9 </w:t>
      </w:r>
      <w:bookmarkStart w:id="5621" w:name="Bookmark_fnpara_19_0"/>
      <w:bookmarkEnd w:id="5621"/>
      <w:r>
        <w:rPr>
          <w:rFonts w:ascii="Arial" w:eastAsia="Arial" w:hAnsi="Arial" w:cs="Arial"/>
          <w:color w:val="000000"/>
          <w:sz w:val="18"/>
        </w:rPr>
        <w:t>See photograph attached at the end of this decision as Attachment 1.</w:t>
      </w:r>
    </w:p>
  </w:footnote>
  <w:footnote w:id="222">
    <w:p w14:paraId="6302D2D9" w14:textId="77777777" w:rsidR="002D0E71" w:rsidRDefault="00000000">
      <w:pPr>
        <w:pStyle w:val="Normal38"/>
        <w:widowControl w:val="0"/>
        <w:spacing w:before="120" w:line="240" w:lineRule="atLeast"/>
        <w:jc w:val="both"/>
      </w:pPr>
      <w:r>
        <w:rPr>
          <w:rFonts w:ascii="Arial" w:eastAsia="Arial" w:hAnsi="Arial" w:cs="Arial"/>
          <w:color w:val="000000"/>
          <w:sz w:val="18"/>
          <w:vertAlign w:val="superscript"/>
        </w:rPr>
        <w:t>10 </w:t>
      </w:r>
      <w:bookmarkStart w:id="5622" w:name="Bookmark_fnpara_20_0"/>
      <w:bookmarkEnd w:id="5622"/>
      <w:r>
        <w:rPr>
          <w:rFonts w:ascii="Arial" w:eastAsia="Arial" w:hAnsi="Arial" w:cs="Arial"/>
          <w:color w:val="000000"/>
          <w:sz w:val="18"/>
        </w:rPr>
        <w:t>Although Abercrombie has challenged whether CCDC adequately proved the porch is the entrance used by the majority of customers, it has never suggested or offered any evidence that the porch, in fact, is not the main entrance to the store.</w:t>
      </w:r>
    </w:p>
  </w:footnote>
  <w:footnote w:id="223">
    <w:p w14:paraId="7E5FA9DE" w14:textId="77777777" w:rsidR="002D0E71" w:rsidRDefault="00000000">
      <w:pPr>
        <w:pStyle w:val="Normal38"/>
        <w:widowControl w:val="0"/>
        <w:spacing w:before="120" w:line="240" w:lineRule="atLeast"/>
        <w:jc w:val="both"/>
      </w:pPr>
      <w:r>
        <w:rPr>
          <w:rFonts w:ascii="Arial" w:eastAsia="Arial" w:hAnsi="Arial" w:cs="Arial"/>
          <w:color w:val="000000"/>
          <w:sz w:val="18"/>
          <w:vertAlign w:val="superscript"/>
        </w:rPr>
        <w:t>11 </w:t>
      </w:r>
      <w:bookmarkStart w:id="5632" w:name="Bookmark_fnpara_21_0"/>
      <w:bookmarkEnd w:id="5632"/>
      <w:r>
        <w:rPr>
          <w:rFonts w:ascii="Arial" w:eastAsia="Arial" w:hAnsi="Arial" w:cs="Arial"/>
          <w:color w:val="000000"/>
          <w:sz w:val="18"/>
        </w:rPr>
        <w:t>The 1991 Design Standards phrase the principle in terms specific to "special application sections." But the 2010 Design Standards clarify that the principle applies generally as well: "Where a site, building, facility, room, or space contains more than one use, each portion shall comply with the applicable requirements for that use." 2010 Standard 201.2.</w:t>
      </w:r>
    </w:p>
  </w:footnote>
  <w:footnote w:id="224">
    <w:p w14:paraId="37049E16"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12 </w:t>
      </w:r>
      <w:bookmarkStart w:id="5650" w:name="Bookmark_fnpara_22"/>
      <w:bookmarkEnd w:id="5650"/>
      <w:r>
        <w:rPr>
          <w:rFonts w:ascii="Arial" w:eastAsia="Arial" w:hAnsi="Arial" w:cs="Arial"/>
          <w:color w:val="000000"/>
          <w:sz w:val="18"/>
        </w:rPr>
        <w:t xml:space="preserve">"Use" of a facility may be relevant to determining which design standards apply. In this sense, it is not a defendant's use of a facility that is discriminatory; rather, the defendant's use may give rise to an obligation to design the facility in a certain way. But "use" of a facility may also be relevant in that a defendant's use may itself be discriminatory if the defendant's (in)actions violate the more general statutory or regulatory provisions of the ADA. </w:t>
      </w:r>
      <w:r>
        <w:rPr>
          <w:rFonts w:ascii="Arial" w:eastAsia="Arial" w:hAnsi="Arial" w:cs="Arial"/>
          <w:color w:val="000000"/>
          <w:sz w:val="18"/>
          <w:u w:val="single"/>
        </w:rPr>
        <w:t>See</w:t>
      </w:r>
      <w:r>
        <w:rPr>
          <w:rFonts w:ascii="Arial" w:eastAsia="Arial" w:hAnsi="Arial" w:cs="Arial"/>
          <w:color w:val="000000"/>
          <w:sz w:val="18"/>
        </w:rPr>
        <w:t xml:space="preserve"> 42 U.S.C. § 12182(b)(1).</w:t>
      </w:r>
    </w:p>
  </w:footnote>
  <w:footnote w:id="225">
    <w:p w14:paraId="47319652" w14:textId="77777777" w:rsidR="002D0E71" w:rsidRDefault="00000000">
      <w:pPr>
        <w:pStyle w:val="Normal38"/>
        <w:widowControl w:val="0"/>
        <w:spacing w:before="120" w:line="240" w:lineRule="atLeast"/>
        <w:jc w:val="both"/>
      </w:pPr>
      <w:r>
        <w:rPr>
          <w:rFonts w:ascii="Arial" w:eastAsia="Arial" w:hAnsi="Arial" w:cs="Arial"/>
          <w:color w:val="000000"/>
          <w:sz w:val="18"/>
          <w:vertAlign w:val="superscript"/>
        </w:rPr>
        <w:t>13 </w:t>
      </w:r>
      <w:bookmarkStart w:id="5652" w:name="Bookmark_fnpara_23"/>
      <w:bookmarkEnd w:id="5652"/>
      <w:r>
        <w:rPr>
          <w:rFonts w:ascii="Arial" w:eastAsia="Arial" w:hAnsi="Arial" w:cs="Arial"/>
          <w:color w:val="000000"/>
          <w:sz w:val="18"/>
        </w:rPr>
        <w:t>These provisions are limited to discrimination against "clients or customers." 42 U.S.C. § 12182(b)(1)(A)(iv). I would hold that the Plaintiffs have established at the summary judgment stage that Ms. Farrar is a customer.</w:t>
      </w:r>
    </w:p>
  </w:footnote>
  <w:footnote w:id="226">
    <w:p w14:paraId="5460A9F2"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14 </w:t>
      </w:r>
      <w:bookmarkStart w:id="5655" w:name="Bookmark_fnpara_24"/>
      <w:bookmarkEnd w:id="5655"/>
      <w:r>
        <w:rPr>
          <w:rFonts w:ascii="Arial" w:eastAsia="Arial" w:hAnsi="Arial" w:cs="Arial"/>
          <w:color w:val="000000"/>
          <w:sz w:val="18"/>
        </w:rPr>
        <w:t>Subsection 12182(b)(1)(A)(i) provides, "It shall be discriminatory to subject an individual or class of individuals on the basis of a disability or disabilities of such individual or class, directly, or through contractual, licensing, or other arrangements, to a denial [**84]  of the opportunity of the individual or class to participate in or benefit from the goods, services, facilities, privileges, advantages, or accommodations of an entity."</w:t>
      </w:r>
    </w:p>
  </w:footnote>
  <w:footnote w:id="227">
    <w:p w14:paraId="1B6480CF" w14:textId="77777777" w:rsidR="002D0E71" w:rsidRDefault="00000000">
      <w:pPr>
        <w:pStyle w:val="Normal38"/>
        <w:widowControl w:val="0"/>
        <w:spacing w:before="120" w:line="240" w:lineRule="atLeast"/>
        <w:jc w:val="both"/>
      </w:pPr>
      <w:r>
        <w:rPr>
          <w:rFonts w:ascii="Arial" w:eastAsia="Arial" w:hAnsi="Arial" w:cs="Arial"/>
          <w:color w:val="000000"/>
          <w:sz w:val="18"/>
          <w:vertAlign w:val="superscript"/>
        </w:rPr>
        <w:t>15 </w:t>
      </w:r>
      <w:bookmarkStart w:id="5656" w:name="Bookmark_fnpara_25"/>
      <w:bookmarkEnd w:id="5656"/>
      <w:r>
        <w:rPr>
          <w:rFonts w:ascii="Arial" w:eastAsia="Arial" w:hAnsi="Arial" w:cs="Arial"/>
          <w:color w:val="000000"/>
          <w:sz w:val="18"/>
        </w:rPr>
        <w:t>Subsection 12182(b)(1)(A)(ii) provides, "It shall be discriminatory to afford an individual or class of individuals, on the basis of a disability or disabilities of such individual or class, directly, or through contractual, licensing, or other arrangements with the opportunity to participate in or benefit from a good, service, facility, privilege, advantage, or accommodation that is not equal to that afforded to other individuals."</w:t>
      </w:r>
    </w:p>
  </w:footnote>
  <w:footnote w:id="228">
    <w:p w14:paraId="79AE3B25" w14:textId="77777777" w:rsidR="002D0E71" w:rsidRDefault="00000000">
      <w:pPr>
        <w:pStyle w:val="Normal38"/>
        <w:widowControl w:val="0"/>
        <w:spacing w:before="200" w:line="240" w:lineRule="atLeast"/>
        <w:jc w:val="both"/>
      </w:pPr>
      <w:r>
        <w:rPr>
          <w:rFonts w:ascii="Arial" w:eastAsia="Arial" w:hAnsi="Arial" w:cs="Arial"/>
          <w:color w:val="000000"/>
          <w:sz w:val="18"/>
          <w:vertAlign w:val="superscript"/>
        </w:rPr>
        <w:t>16 </w:t>
      </w:r>
      <w:bookmarkStart w:id="5657" w:name="Bookmark_fnpara_26"/>
      <w:bookmarkEnd w:id="5657"/>
      <w:r>
        <w:rPr>
          <w:rFonts w:ascii="Arial" w:eastAsia="Arial" w:hAnsi="Arial" w:cs="Arial"/>
          <w:color w:val="000000"/>
          <w:sz w:val="18"/>
        </w:rPr>
        <w:t>Subsection 12182(b)(1)(A)(iii) provides, "It shall be discriminatory to provide an individual or class of individuals, on the basis of a disability or disabilities of such individual or class, directly, or through contractual, licensing, or other arrangements with a good, service, facility, privilege, advantage, or accommodation that is different or separate from that provided to other individuals, unless such action is necessary to provide the individual or class of individuals with a good, service, facility, privilege, advantage, or accommodation, or other opportunity that is as effective [**85]  as that provided to others."</w:t>
      </w:r>
    </w:p>
  </w:footnote>
  <w:footnote w:id="229">
    <w:p w14:paraId="2C1FF241" w14:textId="77777777" w:rsidR="002D0E71" w:rsidRDefault="00000000">
      <w:pPr>
        <w:pStyle w:val="Normal38"/>
        <w:widowControl w:val="0"/>
        <w:spacing w:before="120" w:line="240" w:lineRule="atLeast"/>
        <w:jc w:val="both"/>
      </w:pPr>
      <w:r>
        <w:rPr>
          <w:rFonts w:ascii="Arial" w:eastAsia="Arial" w:hAnsi="Arial" w:cs="Arial"/>
          <w:color w:val="000000"/>
          <w:sz w:val="18"/>
          <w:vertAlign w:val="superscript"/>
        </w:rPr>
        <w:t>17 </w:t>
      </w:r>
      <w:bookmarkStart w:id="5658" w:name="Bookmark_fnpara_27"/>
      <w:bookmarkEnd w:id="5658"/>
      <w:r>
        <w:rPr>
          <w:rFonts w:ascii="Arial" w:eastAsia="Arial" w:hAnsi="Arial" w:cs="Arial"/>
          <w:color w:val="000000"/>
          <w:sz w:val="18"/>
        </w:rPr>
        <w:t>Subsection 12182(b)(1)(B) provides, "Goods, services, facilities, privileges, advantages, and accommodations shall be afforded to an individual with a disability in the most integrated setting appropriate to the needs of the individual."</w:t>
      </w:r>
    </w:p>
  </w:footnote>
  <w:footnote w:id="230">
    <w:p w14:paraId="609D6C2C" w14:textId="77777777" w:rsidR="002D0E71" w:rsidRDefault="00000000">
      <w:pPr>
        <w:pStyle w:val="Normal38"/>
        <w:widowControl w:val="0"/>
        <w:spacing w:before="120" w:line="240" w:lineRule="atLeast"/>
        <w:jc w:val="both"/>
      </w:pPr>
      <w:r>
        <w:rPr>
          <w:rFonts w:ascii="Arial" w:eastAsia="Arial" w:hAnsi="Arial" w:cs="Arial"/>
          <w:color w:val="000000"/>
          <w:sz w:val="18"/>
          <w:vertAlign w:val="superscript"/>
        </w:rPr>
        <w:t>18 </w:t>
      </w:r>
      <w:bookmarkStart w:id="5659" w:name="Bookmark_fnpara_28"/>
      <w:bookmarkEnd w:id="5659"/>
      <w:r>
        <w:rPr>
          <w:rFonts w:ascii="Arial" w:eastAsia="Arial" w:hAnsi="Arial" w:cs="Arial"/>
          <w:color w:val="000000"/>
          <w:sz w:val="18"/>
        </w:rPr>
        <w:t>Compliance with the design standards would not have been difficult. In fact, Abercrombie designed some of its stores with the same surf-shack motif, but in an inclusive fashion, by simply constructing the porch at ground level. A picture of a store with that design is attached to this decision as Attachment 2.</w:t>
      </w:r>
    </w:p>
  </w:footnote>
  <w:footnote w:id="231">
    <w:p w14:paraId="124BB58B" w14:textId="77777777" w:rsidR="002D0E71" w:rsidRDefault="00000000">
      <w:pPr>
        <w:pStyle w:val="Normal38"/>
        <w:widowControl w:val="0"/>
        <w:spacing w:before="120" w:line="240" w:lineRule="atLeast"/>
        <w:jc w:val="both"/>
      </w:pPr>
      <w:r>
        <w:rPr>
          <w:rFonts w:ascii="Arial" w:eastAsia="Arial" w:hAnsi="Arial" w:cs="Arial"/>
          <w:color w:val="000000"/>
          <w:sz w:val="18"/>
          <w:vertAlign w:val="superscript"/>
        </w:rPr>
        <w:t>19 </w:t>
      </w:r>
      <w:bookmarkStart w:id="5665" w:name="Bookmark_fnpara_29"/>
      <w:bookmarkEnd w:id="5665"/>
      <w:r>
        <w:rPr>
          <w:rFonts w:ascii="Arial" w:eastAsia="Arial" w:hAnsi="Arial" w:cs="Arial"/>
          <w:color w:val="000000"/>
          <w:sz w:val="18"/>
        </w:rPr>
        <w:t>Because I would hold that Abercrombie violated the ADA, I would also address an aspect of Abercrombie's appeal unnecessary to the majority's analysis: namely, whether the district court abused its discretion in fashioning the injunctive relief granted. I would hold that where the district court was required to issue an injunction and tailored that injunction to accommodate many of the concerns raised by Abercrombie, the district court did not abuse its discretion.</w:t>
      </w:r>
    </w:p>
  </w:footnote>
  <w:footnote w:id="232">
    <w:p w14:paraId="7D805C00" w14:textId="77777777" w:rsidR="002D0E71" w:rsidRDefault="00000000">
      <w:pPr>
        <w:pStyle w:val="Normal39"/>
        <w:widowControl w:val="0"/>
        <w:spacing w:before="120" w:line="240" w:lineRule="atLeast"/>
        <w:jc w:val="both"/>
      </w:pPr>
      <w:r>
        <w:rPr>
          <w:rFonts w:ascii="Arial" w:eastAsia="Arial" w:hAnsi="Arial" w:cs="Arial"/>
          <w:color w:val="000000"/>
          <w:sz w:val="18"/>
          <w:vertAlign w:val="superscript"/>
        </w:rPr>
        <w:t>1 </w:t>
      </w:r>
      <w:bookmarkStart w:id="5677" w:name="Bookmark_fnpara_1_34"/>
      <w:bookmarkEnd w:id="5677"/>
      <w:r>
        <w:rPr>
          <w:rFonts w:ascii="Arial" w:eastAsia="Arial" w:hAnsi="Arial" w:cs="Arial"/>
          <w:color w:val="000000"/>
          <w:sz w:val="18"/>
        </w:rPr>
        <w:t>Appellants brought other claims against the Appellees that were dismissed voluntarily.</w:t>
      </w:r>
    </w:p>
  </w:footnote>
  <w:footnote w:id="233">
    <w:p w14:paraId="40566948" w14:textId="77777777" w:rsidR="002D0E71" w:rsidRDefault="00000000">
      <w:pPr>
        <w:pStyle w:val="Normal39"/>
        <w:widowControl w:val="0"/>
        <w:spacing w:before="120" w:line="240" w:lineRule="atLeast"/>
        <w:jc w:val="both"/>
      </w:pPr>
      <w:r>
        <w:rPr>
          <w:rFonts w:ascii="Arial" w:eastAsia="Arial" w:hAnsi="Arial" w:cs="Arial"/>
          <w:color w:val="000000"/>
          <w:sz w:val="18"/>
          <w:vertAlign w:val="superscript"/>
        </w:rPr>
        <w:t>2 </w:t>
      </w:r>
      <w:bookmarkStart w:id="5678" w:name="Bookmark_fnpara_2_30"/>
      <w:bookmarkEnd w:id="5678"/>
      <w:r>
        <w:rPr>
          <w:rFonts w:ascii="Arial" w:eastAsia="Arial" w:hAnsi="Arial" w:cs="Arial"/>
          <w:color w:val="000000"/>
          <w:sz w:val="18"/>
        </w:rPr>
        <w:t>The Honorable Terry I. Alderman, United States Magistrate Judge for the Eastern District of Missouri, to whom the case was referred for final disposition by consent of the parties pursuant to 28 U.S.C. § 636(c).</w:t>
      </w:r>
    </w:p>
  </w:footnote>
  <w:footnote w:id="234">
    <w:p w14:paraId="4E11BD9B" w14:textId="77777777" w:rsidR="002D0E71" w:rsidRDefault="00000000">
      <w:pPr>
        <w:pStyle w:val="Normal39"/>
        <w:widowControl w:val="0"/>
        <w:spacing w:before="120" w:line="240" w:lineRule="atLeast"/>
        <w:jc w:val="both"/>
      </w:pPr>
      <w:r>
        <w:rPr>
          <w:rFonts w:ascii="Arial" w:eastAsia="Arial" w:hAnsi="Arial" w:cs="Arial"/>
          <w:color w:val="000000"/>
          <w:sz w:val="18"/>
          <w:vertAlign w:val="superscript"/>
        </w:rPr>
        <w:t>3 </w:t>
      </w:r>
      <w:bookmarkStart w:id="5681" w:name="Bookmark_fnpara_3_24"/>
      <w:bookmarkEnd w:id="5681"/>
      <w:r>
        <w:rPr>
          <w:rFonts w:ascii="Arial" w:eastAsia="Arial" w:hAnsi="Arial" w:cs="Arial"/>
          <w:color w:val="000000"/>
          <w:sz w:val="18"/>
        </w:rPr>
        <w:t>While the parties dispute whether De Boise's mother informed the officers that her son had tried to kill her, it is undisputed the officers were informed De Boise had terrified his mother and held his mother's head to the floor.</w:t>
      </w:r>
    </w:p>
  </w:footnote>
  <w:footnote w:id="235">
    <w:p w14:paraId="19A3C3F8" w14:textId="77777777" w:rsidR="002D0E71" w:rsidRDefault="00000000">
      <w:pPr>
        <w:pStyle w:val="Normal39"/>
        <w:widowControl w:val="0"/>
        <w:spacing w:before="120" w:line="240" w:lineRule="atLeast"/>
        <w:jc w:val="both"/>
      </w:pPr>
      <w:r>
        <w:rPr>
          <w:rFonts w:ascii="Arial" w:eastAsia="Arial" w:hAnsi="Arial" w:cs="Arial"/>
          <w:color w:val="000000"/>
          <w:sz w:val="18"/>
          <w:vertAlign w:val="superscript"/>
        </w:rPr>
        <w:t>4 </w:t>
      </w:r>
      <w:bookmarkStart w:id="5685" w:name="Bookmark_fnpara_4_22"/>
      <w:bookmarkEnd w:id="5685"/>
      <w:r>
        <w:rPr>
          <w:rFonts w:ascii="Arial" w:eastAsia="Arial" w:hAnsi="Arial" w:cs="Arial"/>
          <w:color w:val="000000"/>
          <w:sz w:val="18"/>
        </w:rPr>
        <w:t>Importantly, Appellants do not dispute the reasonableness of the initial two tasings.</w:t>
      </w:r>
    </w:p>
  </w:footnote>
  <w:footnote w:id="236">
    <w:p w14:paraId="3AA1C0B5" w14:textId="77777777" w:rsidR="002D0E71" w:rsidRDefault="00000000">
      <w:pPr>
        <w:pStyle w:val="Normal39"/>
        <w:widowControl w:val="0"/>
        <w:spacing w:before="120" w:line="240" w:lineRule="atLeast"/>
        <w:jc w:val="both"/>
      </w:pPr>
      <w:r>
        <w:rPr>
          <w:rFonts w:ascii="Arial" w:eastAsia="Arial" w:hAnsi="Arial" w:cs="Arial"/>
          <w:color w:val="000000"/>
          <w:sz w:val="18"/>
          <w:vertAlign w:val="superscript"/>
        </w:rPr>
        <w:t>5 </w:t>
      </w:r>
      <w:bookmarkStart w:id="5687" w:name="Bookmark_fnpara_5_17"/>
      <w:bookmarkEnd w:id="5687"/>
      <w:r>
        <w:rPr>
          <w:rFonts w:ascii="Arial" w:eastAsia="Arial" w:hAnsi="Arial" w:cs="Arial"/>
          <w:color w:val="000000"/>
          <w:sz w:val="18"/>
        </w:rPr>
        <w:t>Deploying the taser in drive stun mode means that an officer removes the cartridge from the taser and applies the taser so as to make direct contact with the subject's body. When the taser is in drive stun mode, it only causes discomfort and does not incapacitate the subject.</w:t>
      </w:r>
    </w:p>
  </w:footnote>
  <w:footnote w:id="237">
    <w:p w14:paraId="6A6AC1C2" w14:textId="77777777" w:rsidR="002D0E71" w:rsidRDefault="00000000">
      <w:pPr>
        <w:pStyle w:val="Normal39"/>
        <w:widowControl w:val="0"/>
        <w:spacing w:before="200" w:line="240" w:lineRule="atLeast"/>
        <w:jc w:val="both"/>
      </w:pPr>
      <w:r>
        <w:rPr>
          <w:rFonts w:ascii="Arial" w:eastAsia="Arial" w:hAnsi="Arial" w:cs="Arial"/>
          <w:color w:val="000000"/>
          <w:sz w:val="18"/>
          <w:vertAlign w:val="superscript"/>
        </w:rPr>
        <w:t>6 </w:t>
      </w:r>
      <w:bookmarkStart w:id="5750" w:name="Bookmark_fnpara_6_14"/>
      <w:bookmarkStart w:id="5751" w:name="Bookmark_I34V71DKY6K000G4WGW005KP"/>
      <w:bookmarkStart w:id="5752" w:name="Bookmark_I5D0FTWX28T5160030000400"/>
      <w:bookmarkEnd w:id="5750"/>
      <w:bookmarkEnd w:id="5751"/>
      <w:bookmarkEnd w:id="5752"/>
      <w:r>
        <w:rPr>
          <w:rFonts w:ascii="Arial" w:eastAsia="Arial" w:hAnsi="Arial" w:cs="Arial"/>
          <w:color w:val="000000"/>
          <w:sz w:val="18"/>
        </w:rPr>
        <w:t xml:space="preserve">The dissent cites </w:t>
      </w:r>
      <w:bookmarkStart w:id="5753" w:name="Bookmark_I5D0FTWX28T5160020000400"/>
      <w:bookmarkEnd w:id="5753"/>
      <w:r>
        <w:rPr>
          <w:rFonts w:ascii="Arial" w:eastAsia="Arial" w:hAnsi="Arial" w:cs="Arial"/>
          <w:color w:val="000000"/>
          <w:sz w:val="18"/>
          <w:u w:val="single"/>
        </w:rPr>
        <w:t>Hickey v. Reeder</w:t>
      </w:r>
      <w:r>
        <w:rPr>
          <w:rFonts w:ascii="Arial" w:eastAsia="Arial" w:hAnsi="Arial" w:cs="Arial"/>
          <w:color w:val="000000"/>
          <w:sz w:val="18"/>
        </w:rPr>
        <w:t xml:space="preserve">, 12 F.3d 754 (8th Cir. 1993) to support its contention that it was unreasonable for the officers, in July 2008, to have believed  [**13] their actions were unlawful. </w:t>
      </w:r>
      <w:bookmarkStart w:id="5754" w:name="Bookmark_I5D0FTWX28T5160050000400"/>
      <w:bookmarkEnd w:id="5754"/>
      <w:r>
        <w:rPr>
          <w:rFonts w:ascii="Arial" w:eastAsia="Arial" w:hAnsi="Arial" w:cs="Arial"/>
          <w:color w:val="000000"/>
          <w:sz w:val="18"/>
        </w:rPr>
        <w:t xml:space="preserve">We find this case and the dissent's application of it unpersuasive for three reasons. First, the question before us is whether the application of multiple tasings on a subject actively resisting arrest in the circumstances faced by the officers amounts to a clear violation of his constitutional rights, not whether the </w:t>
      </w:r>
      <w:r>
        <w:rPr>
          <w:rFonts w:ascii="Arial" w:eastAsia="Arial" w:hAnsi="Arial" w:cs="Arial"/>
          <w:i/>
          <w:color w:val="000000"/>
          <w:sz w:val="18"/>
        </w:rPr>
        <w:t>initial</w:t>
      </w:r>
      <w:r>
        <w:rPr>
          <w:rFonts w:ascii="Arial" w:eastAsia="Arial" w:hAnsi="Arial" w:cs="Arial"/>
          <w:color w:val="000000"/>
          <w:sz w:val="18"/>
        </w:rPr>
        <w:t xml:space="preserve"> use of a taser/stun gun on a nonviolent inmate to enforce a housekeeping order is unconstitutional. </w:t>
      </w:r>
      <w:bookmarkStart w:id="5755" w:name="Bookmark_I5D0FTWX28T5160050000400_2"/>
      <w:bookmarkEnd w:id="5755"/>
      <w:r>
        <w:rPr>
          <w:rFonts w:ascii="Arial" w:eastAsia="Arial" w:hAnsi="Arial" w:cs="Arial"/>
          <w:color w:val="000000"/>
          <w:sz w:val="18"/>
          <w:u w:val="single"/>
        </w:rPr>
        <w:t xml:space="preserve">See </w:t>
      </w:r>
      <w:bookmarkStart w:id="5756" w:name="Bookmark_I5D0FTWX28T5160040000400"/>
      <w:bookmarkEnd w:id="5756"/>
      <w:r>
        <w:rPr>
          <w:rFonts w:ascii="Arial" w:eastAsia="Arial" w:hAnsi="Arial" w:cs="Arial"/>
          <w:color w:val="000000"/>
          <w:sz w:val="18"/>
          <w:u w:val="single"/>
        </w:rPr>
        <w:t>Hickey</w:t>
      </w:r>
      <w:r>
        <w:rPr>
          <w:rFonts w:ascii="Arial" w:eastAsia="Arial" w:hAnsi="Arial" w:cs="Arial"/>
          <w:color w:val="000000"/>
          <w:sz w:val="18"/>
        </w:rPr>
        <w:t xml:space="preserve">, 12 F.3d at 758-59 (determining whether the type of force used was an unnecessary and wanton infliction of pain in violation of the Eighth Amendment). </w:t>
      </w:r>
      <w:bookmarkStart w:id="5757" w:name="Bookmark_I5D0FTX62HM6750020000400"/>
      <w:bookmarkEnd w:id="5757"/>
      <w:r>
        <w:rPr>
          <w:rFonts w:ascii="Arial" w:eastAsia="Arial" w:hAnsi="Arial" w:cs="Arial"/>
          <w:color w:val="000000"/>
          <w:sz w:val="18"/>
        </w:rPr>
        <w:t xml:space="preserve">Here, the Appellants do not dispute the initial taser application but take issue with the subsequent taser shocks administered to De Boise. Appellants' Br. 21-22. </w:t>
      </w:r>
      <w:bookmarkStart w:id="5758" w:name="Bookmark_I5D0FTX62HM6750040000400"/>
      <w:bookmarkEnd w:id="5758"/>
      <w:r>
        <w:rPr>
          <w:rFonts w:ascii="Arial" w:eastAsia="Arial" w:hAnsi="Arial" w:cs="Arial"/>
          <w:color w:val="000000"/>
          <w:sz w:val="18"/>
        </w:rPr>
        <w:t xml:space="preserve">Second, in </w:t>
      </w:r>
      <w:r>
        <w:rPr>
          <w:rFonts w:ascii="Arial" w:eastAsia="Arial" w:hAnsi="Arial" w:cs="Arial"/>
          <w:color w:val="000000"/>
          <w:sz w:val="18"/>
          <w:u w:val="single"/>
        </w:rPr>
        <w:t>Hickey</w:t>
      </w:r>
      <w:r>
        <w:rPr>
          <w:rFonts w:ascii="Arial" w:eastAsia="Arial" w:hAnsi="Arial" w:cs="Arial"/>
          <w:color w:val="000000"/>
          <w:sz w:val="18"/>
        </w:rPr>
        <w:t xml:space="preserve">, we gave significant weight to the fact that the inmate was nonviolent and tased due to his failure to comply with a housekeeping order to sweep his cell. </w:t>
      </w:r>
      <w:bookmarkStart w:id="5759" w:name="Bookmark_I5D0FTX62HM6750010000400"/>
      <w:bookmarkEnd w:id="5759"/>
      <w:r>
        <w:rPr>
          <w:rFonts w:ascii="Arial" w:eastAsia="Arial" w:hAnsi="Arial" w:cs="Arial"/>
          <w:color w:val="000000"/>
          <w:sz w:val="18"/>
          <w:u w:val="single"/>
        </w:rPr>
        <w:t>Hickey</w:t>
      </w:r>
      <w:r>
        <w:rPr>
          <w:rFonts w:ascii="Arial" w:eastAsia="Arial" w:hAnsi="Arial" w:cs="Arial"/>
          <w:color w:val="000000"/>
          <w:sz w:val="18"/>
        </w:rPr>
        <w:t xml:space="preserve">, 12 F.3d at 758-59. </w:t>
      </w:r>
      <w:bookmarkStart w:id="5760" w:name="Bookmark_I5D0FTX62HM6750040000400_2"/>
      <w:bookmarkEnd w:id="5760"/>
      <w:r>
        <w:rPr>
          <w:rFonts w:ascii="Arial" w:eastAsia="Arial" w:hAnsi="Arial" w:cs="Arial"/>
          <w:color w:val="000000"/>
          <w:sz w:val="18"/>
        </w:rPr>
        <w:t xml:space="preserve">Here, officers observed De Boise's irrational behavior and repeated acts of aggression towards the officers, actions absent from the circumstances in </w:t>
      </w:r>
      <w:r>
        <w:rPr>
          <w:rFonts w:ascii="Arial" w:eastAsia="Arial" w:hAnsi="Arial" w:cs="Arial"/>
          <w:color w:val="000000"/>
          <w:sz w:val="18"/>
          <w:u w:val="single"/>
        </w:rPr>
        <w:t>Hickey</w:t>
      </w:r>
      <w:r>
        <w:rPr>
          <w:rFonts w:ascii="Arial" w:eastAsia="Arial" w:hAnsi="Arial" w:cs="Arial"/>
          <w:color w:val="000000"/>
          <w:sz w:val="18"/>
        </w:rPr>
        <w:t xml:space="preserve">. </w:t>
      </w:r>
      <w:bookmarkStart w:id="5761" w:name="Bookmark_I5D0FTX62D6N820010000400"/>
      <w:bookmarkEnd w:id="5761"/>
      <w:r>
        <w:rPr>
          <w:rFonts w:ascii="Arial" w:eastAsia="Arial" w:hAnsi="Arial" w:cs="Arial"/>
          <w:color w:val="000000"/>
          <w:sz w:val="18"/>
        </w:rPr>
        <w:t xml:space="preserve">Finally, in </w:t>
      </w:r>
      <w:r>
        <w:rPr>
          <w:rFonts w:ascii="Arial" w:eastAsia="Arial" w:hAnsi="Arial" w:cs="Arial"/>
          <w:color w:val="000000"/>
          <w:sz w:val="18"/>
          <w:u w:val="single"/>
        </w:rPr>
        <w:t>Hickey</w:t>
      </w:r>
      <w:r>
        <w:rPr>
          <w:rFonts w:ascii="Arial" w:eastAsia="Arial" w:hAnsi="Arial" w:cs="Arial"/>
          <w:color w:val="000000"/>
          <w:sz w:val="18"/>
        </w:rPr>
        <w:t xml:space="preserve">, the fact that the officers failed to "take  [**14] advantage of [the inmate's] incapacitation to neutralize any perceived threat to their safety" was relevant to the officer's subjective state of mind in using the stun gun. </w:t>
      </w:r>
      <w:bookmarkStart w:id="5762" w:name="Bookmark_I5D0FTX62HM6750030000400"/>
      <w:bookmarkEnd w:id="5762"/>
      <w:r>
        <w:rPr>
          <w:rFonts w:ascii="Arial" w:eastAsia="Arial" w:hAnsi="Arial" w:cs="Arial"/>
          <w:color w:val="000000"/>
          <w:sz w:val="18"/>
          <w:u w:val="single"/>
        </w:rPr>
        <w:t>Id</w:t>
      </w:r>
      <w:r>
        <w:rPr>
          <w:rFonts w:ascii="Arial" w:eastAsia="Arial" w:hAnsi="Arial" w:cs="Arial"/>
          <w:color w:val="000000"/>
          <w:sz w:val="18"/>
        </w:rPr>
        <w:t xml:space="preserve">. at 757. </w:t>
      </w:r>
      <w:bookmarkStart w:id="5763" w:name="Bookmark_I5D0FTX62D6N820010000400_2"/>
      <w:bookmarkEnd w:id="5763"/>
      <w:r>
        <w:rPr>
          <w:rFonts w:ascii="Arial" w:eastAsia="Arial" w:hAnsi="Arial" w:cs="Arial"/>
          <w:color w:val="000000"/>
          <w:sz w:val="18"/>
        </w:rPr>
        <w:t xml:space="preserve">That is, we noted that the lack of any attempt to "remove, isolate, or restrain" the inmate demonstrated that the motive in using the stun gun was not based on any fear for the safety of the officers. </w:t>
      </w:r>
      <w:bookmarkStart w:id="5764" w:name="Bookmark_I5D0FTX62D6N820030000400"/>
      <w:bookmarkStart w:id="5765" w:name="Bookmark_I5D0FTX62HM6750050000400"/>
      <w:bookmarkEnd w:id="5764"/>
      <w:bookmarkEnd w:id="5765"/>
      <w:r>
        <w:rPr>
          <w:rFonts w:ascii="Arial" w:eastAsia="Arial" w:hAnsi="Arial" w:cs="Arial"/>
          <w:color w:val="000000"/>
          <w:sz w:val="18"/>
          <w:u w:val="single"/>
        </w:rPr>
        <w:t>Id</w:t>
      </w:r>
      <w:r>
        <w:rPr>
          <w:rFonts w:ascii="Arial" w:eastAsia="Arial" w:hAnsi="Arial" w:cs="Arial"/>
          <w:color w:val="000000"/>
          <w:sz w:val="18"/>
        </w:rPr>
        <w:t xml:space="preserve">. at 757-58. </w:t>
      </w:r>
      <w:bookmarkStart w:id="5766" w:name="Bookmark_I5D0FTX62D6N820030000400_2"/>
      <w:bookmarkStart w:id="5767" w:name="Bookmark_I5D0FTX62D6N820050000400"/>
      <w:bookmarkEnd w:id="5766"/>
      <w:bookmarkEnd w:id="5767"/>
      <w:r>
        <w:rPr>
          <w:rFonts w:ascii="Arial" w:eastAsia="Arial" w:hAnsi="Arial" w:cs="Arial"/>
          <w:color w:val="000000"/>
          <w:sz w:val="18"/>
        </w:rPr>
        <w:t xml:space="preserve">Here, the motive for using the taser is not at issue. </w:t>
      </w:r>
      <w:r>
        <w:rPr>
          <w:rFonts w:ascii="Arial" w:eastAsia="Arial" w:hAnsi="Arial" w:cs="Arial"/>
          <w:color w:val="000000"/>
          <w:sz w:val="18"/>
          <w:u w:val="single"/>
        </w:rPr>
        <w:t xml:space="preserve">See </w:t>
      </w:r>
      <w:bookmarkStart w:id="5768" w:name="Bookmark_I5D0FTX62D6N820020000400"/>
      <w:bookmarkEnd w:id="5768"/>
      <w:r>
        <w:rPr>
          <w:rFonts w:ascii="Arial" w:eastAsia="Arial" w:hAnsi="Arial" w:cs="Arial"/>
          <w:color w:val="000000"/>
          <w:sz w:val="18"/>
          <w:u w:val="single"/>
        </w:rPr>
        <w:t>Graham v. Connor</w:t>
      </w:r>
      <w:r>
        <w:rPr>
          <w:rFonts w:ascii="Arial" w:eastAsia="Arial" w:hAnsi="Arial" w:cs="Arial"/>
          <w:color w:val="000000"/>
          <w:sz w:val="18"/>
        </w:rPr>
        <w:t>, 490 U.S. 386, 397-98, 109 S. Ct. 1865, 104 L. Ed. 2d 443 (1989) (</w:t>
      </w:r>
      <w:bookmarkStart w:id="5769" w:name="Bookmark_LNHNREFclscc8_30"/>
      <w:bookmarkEnd w:id="5769"/>
      <w:r>
        <w:rPr>
          <w:rFonts w:ascii="Arial" w:eastAsia="Arial" w:hAnsi="Arial" w:cs="Arial"/>
          <w:color w:val="000000"/>
          <w:sz w:val="18"/>
        </w:rPr>
        <w:t xml:space="preserve">acknowledging the absence of a subjective state of mind inquiry under Fourth Amendment claims). </w:t>
      </w:r>
      <w:bookmarkStart w:id="5770" w:name="Bookmark_I5D0FTX62D6N820050000400_2"/>
      <w:bookmarkEnd w:id="5770"/>
      <w:r>
        <w:rPr>
          <w:rFonts w:ascii="Arial" w:eastAsia="Arial" w:hAnsi="Arial" w:cs="Arial"/>
          <w:color w:val="000000"/>
          <w:sz w:val="18"/>
        </w:rPr>
        <w:t xml:space="preserve">Moreover the officers, after having made a few attempts, did successfully subdue De Boise when it was safe to do so, though we recognize that </w:t>
      </w:r>
      <w:bookmarkStart w:id="5771" w:name="Bookmark_LNHNREFclscc9_28"/>
      <w:bookmarkEnd w:id="5771"/>
      <w:r>
        <w:rPr>
          <w:rFonts w:ascii="Arial" w:eastAsia="Arial" w:hAnsi="Arial" w:cs="Arial"/>
          <w:color w:val="000000"/>
          <w:sz w:val="18"/>
        </w:rPr>
        <w:t xml:space="preserve">officers may not always have the opportunity to subdue a subject hands-on, particularly when such action poses a risk to the safety of the officers on the scene and when split-second decisions must be made. </w:t>
      </w:r>
      <w:r>
        <w:rPr>
          <w:rFonts w:ascii="Arial" w:eastAsia="Arial" w:hAnsi="Arial" w:cs="Arial"/>
          <w:color w:val="000000"/>
          <w:sz w:val="18"/>
          <w:u w:val="single"/>
        </w:rPr>
        <w:t xml:space="preserve">See </w:t>
      </w:r>
      <w:bookmarkStart w:id="5772" w:name="Bookmark_I5D0FTX62D6N820040000400"/>
      <w:bookmarkEnd w:id="5772"/>
      <w:r>
        <w:rPr>
          <w:rFonts w:ascii="Arial" w:eastAsia="Arial" w:hAnsi="Arial" w:cs="Arial"/>
          <w:color w:val="000000"/>
          <w:sz w:val="18"/>
          <w:u w:val="single"/>
        </w:rPr>
        <w:t>McKenney v. Harrison</w:t>
      </w:r>
      <w:r>
        <w:rPr>
          <w:rFonts w:ascii="Arial" w:eastAsia="Arial" w:hAnsi="Arial" w:cs="Arial"/>
          <w:color w:val="000000"/>
          <w:sz w:val="18"/>
        </w:rPr>
        <w:t xml:space="preserve">, 635 F.3d 354, 360 (8th Cir. 2011); </w:t>
      </w:r>
      <w:r>
        <w:rPr>
          <w:rFonts w:ascii="Arial" w:eastAsia="Arial" w:hAnsi="Arial" w:cs="Arial"/>
          <w:color w:val="000000"/>
          <w:sz w:val="18"/>
          <w:u w:val="single"/>
        </w:rPr>
        <w:t xml:space="preserve">see also </w:t>
      </w:r>
      <w:bookmarkStart w:id="5773" w:name="Bookmark_I5D0FTX628T51X0010000400"/>
      <w:bookmarkEnd w:id="5773"/>
      <w:r>
        <w:rPr>
          <w:rFonts w:ascii="Arial" w:eastAsia="Arial" w:hAnsi="Arial" w:cs="Arial"/>
          <w:color w:val="000000"/>
          <w:sz w:val="18"/>
          <w:u w:val="single"/>
        </w:rPr>
        <w:t>Johnson v. Carroll</w:t>
      </w:r>
      <w:r>
        <w:rPr>
          <w:rFonts w:ascii="Arial" w:eastAsia="Arial" w:hAnsi="Arial" w:cs="Arial"/>
          <w:color w:val="000000"/>
          <w:sz w:val="18"/>
        </w:rPr>
        <w:t>, 658 F.3d 819, 826 (8th Cir. 2011) ("[P]olice officers are often forced to make split-second judgments about the amount of force that is necessary in a particular  [**15] situation.").</w:t>
      </w:r>
    </w:p>
  </w:footnote>
  <w:footnote w:id="238">
    <w:p w14:paraId="1C981FCC" w14:textId="77777777" w:rsidR="002D0E71" w:rsidRDefault="00000000">
      <w:pPr>
        <w:pStyle w:val="Normal40"/>
        <w:widowControl w:val="0"/>
        <w:spacing w:before="120" w:line="240" w:lineRule="atLeast"/>
        <w:jc w:val="both"/>
      </w:pPr>
      <w:r>
        <w:rPr>
          <w:rFonts w:ascii="Arial" w:eastAsia="Arial" w:hAnsi="Arial" w:cs="Arial"/>
          <w:color w:val="000000"/>
          <w:sz w:val="18"/>
          <w:vertAlign w:val="superscript"/>
        </w:rPr>
        <w:t>* </w:t>
      </w:r>
      <w:bookmarkStart w:id="5836" w:name="Bookmark_fnpara_1_35"/>
      <w:bookmarkEnd w:id="5836"/>
      <w:r>
        <w:rPr>
          <w:rFonts w:ascii="Arial" w:eastAsia="Arial" w:hAnsi="Arial" w:cs="Arial"/>
          <w:color w:val="000000"/>
          <w:sz w:val="18"/>
        </w:rPr>
        <w:t>This summary constitutes no part of the opinion of the court. It has been prepared by court staff for the convenience of the reader.</w:t>
      </w:r>
    </w:p>
  </w:footnote>
  <w:footnote w:id="239">
    <w:p w14:paraId="1308934E" w14:textId="77777777" w:rsidR="002D0E71" w:rsidRDefault="00000000">
      <w:pPr>
        <w:pStyle w:val="Normal40"/>
        <w:widowControl w:val="0"/>
        <w:spacing w:before="120" w:line="240" w:lineRule="atLeast"/>
        <w:jc w:val="both"/>
      </w:pPr>
      <w:r>
        <w:rPr>
          <w:rFonts w:ascii="Arial" w:eastAsia="Arial" w:hAnsi="Arial" w:cs="Arial"/>
          <w:color w:val="000000"/>
          <w:sz w:val="18"/>
          <w:vertAlign w:val="superscript"/>
        </w:rPr>
        <w:t>1 </w:t>
      </w:r>
      <w:bookmarkStart w:id="5850" w:name="Bookmark_fnpara_2_31"/>
      <w:bookmarkEnd w:id="5850"/>
      <w:r>
        <w:rPr>
          <w:rFonts w:ascii="Arial" w:eastAsia="Arial" w:hAnsi="Arial" w:cs="Arial"/>
          <w:color w:val="000000"/>
          <w:sz w:val="18"/>
        </w:rPr>
        <w:t>We address Cohen's claims against the ECCC under the DPA and the Unruh Act in an unpublished memorandum disposition accompanying this opinion.</w:t>
      </w:r>
    </w:p>
  </w:footnote>
  <w:footnote w:id="240">
    <w:p w14:paraId="4B07C1AC" w14:textId="77777777" w:rsidR="002D0E71" w:rsidRDefault="00000000">
      <w:pPr>
        <w:pStyle w:val="Normal40"/>
        <w:widowControl w:val="0"/>
        <w:spacing w:before="120" w:line="240" w:lineRule="atLeast"/>
        <w:jc w:val="both"/>
      </w:pPr>
      <w:r>
        <w:rPr>
          <w:rFonts w:ascii="Arial" w:eastAsia="Arial" w:hAnsi="Arial" w:cs="Arial"/>
          <w:color w:val="000000"/>
          <w:sz w:val="18"/>
          <w:vertAlign w:val="superscript"/>
        </w:rPr>
        <w:t>2 </w:t>
      </w:r>
      <w:bookmarkStart w:id="5855" w:name="Bookmark_fnpara_3_25"/>
      <w:bookmarkEnd w:id="5855"/>
      <w:r>
        <w:rPr>
          <w:rFonts w:ascii="Arial" w:eastAsia="Arial" w:hAnsi="Arial" w:cs="Arial"/>
          <w:color w:val="000000"/>
          <w:sz w:val="18"/>
        </w:rPr>
        <w:t>Cohen named three other private defendants in addition to the City and the ECCC, but he subsequently dismissed them. The district court denied Cohen leave to amend his complaint to assert a claim against the ECCC under Title III of the ADA, which governs public accommodations.</w:t>
      </w:r>
    </w:p>
  </w:footnote>
  <w:footnote w:id="241">
    <w:p w14:paraId="039DAF04" w14:textId="77777777" w:rsidR="002D0E71" w:rsidRDefault="00000000">
      <w:pPr>
        <w:pStyle w:val="Normal40"/>
        <w:widowControl w:val="0"/>
        <w:spacing w:before="120" w:line="240" w:lineRule="atLeast"/>
        <w:jc w:val="both"/>
      </w:pPr>
      <w:r>
        <w:rPr>
          <w:rFonts w:ascii="Arial" w:eastAsia="Arial" w:hAnsi="Arial" w:cs="Arial"/>
          <w:color w:val="000000"/>
          <w:sz w:val="18"/>
          <w:vertAlign w:val="superscript"/>
        </w:rPr>
        <w:t>3 </w:t>
      </w:r>
      <w:bookmarkStart w:id="5856" w:name="Bookmark_fnpara_4_23"/>
      <w:bookmarkEnd w:id="5856"/>
      <w:r>
        <w:rPr>
          <w:rFonts w:ascii="Arial" w:eastAsia="Arial" w:hAnsi="Arial" w:cs="Arial"/>
          <w:color w:val="000000"/>
          <w:sz w:val="18"/>
        </w:rPr>
        <w:t>Cohen does not appeal the grant of summary judgment for both defendants on his claims under California Government Code sections 830 and 835. Nor does he challenge the district court's ruling that the ECCC cannot be liable under Title II of the ADA because it is not a public entity or an instrumentality thereof.</w:t>
      </w:r>
    </w:p>
  </w:footnote>
  <w:footnote w:id="242">
    <w:p w14:paraId="534FE386" w14:textId="77777777" w:rsidR="002D0E71" w:rsidRDefault="00000000">
      <w:pPr>
        <w:pStyle w:val="Normal40"/>
        <w:widowControl w:val="0"/>
        <w:spacing w:before="200" w:line="240" w:lineRule="atLeast"/>
        <w:jc w:val="both"/>
      </w:pPr>
      <w:r>
        <w:rPr>
          <w:rFonts w:ascii="Arial" w:eastAsia="Arial" w:hAnsi="Arial" w:cs="Arial"/>
          <w:color w:val="000000"/>
          <w:sz w:val="18"/>
          <w:vertAlign w:val="superscript"/>
        </w:rPr>
        <w:t>4 </w:t>
      </w:r>
      <w:bookmarkStart w:id="5878" w:name="Bookmark_fnpara_5_18"/>
      <w:bookmarkEnd w:id="5878"/>
      <w:r>
        <w:rPr>
          <w:rFonts w:ascii="Arial" w:eastAsia="Arial" w:hAnsi="Arial" w:cs="Arial"/>
          <w:color w:val="000000"/>
          <w:sz w:val="18"/>
        </w:rPr>
        <w:t xml:space="preserve">In contrast, Title III of the ADA, which governs places of public accommodation, imposes more stringent requirements aimed at ensuring that every </w:t>
      </w:r>
      <w:r>
        <w:rPr>
          <w:rFonts w:ascii="Arial" w:eastAsia="Arial" w:hAnsi="Arial" w:cs="Arial"/>
          <w:i/>
          <w:color w:val="000000"/>
          <w:sz w:val="18"/>
        </w:rPr>
        <w:t>facility</w:t>
      </w:r>
      <w:r>
        <w:rPr>
          <w:rFonts w:ascii="Arial" w:eastAsia="Arial" w:hAnsi="Arial" w:cs="Arial"/>
          <w:color w:val="000000"/>
          <w:sz w:val="18"/>
        </w:rPr>
        <w:t xml:space="preserve"> is equally accessible to disabled persons. </w:t>
      </w:r>
      <w:r>
        <w:rPr>
          <w:rFonts w:ascii="Arial" w:eastAsia="Arial" w:hAnsi="Arial" w:cs="Arial"/>
          <w:i/>
          <w:color w:val="000000"/>
          <w:sz w:val="18"/>
        </w:rPr>
        <w:t xml:space="preserve">See </w:t>
      </w:r>
      <w:bookmarkStart w:id="5879" w:name="Bookmark_I5CHK2GN2SF7VV0030000400"/>
      <w:bookmarkEnd w:id="5879"/>
      <w:r>
        <w:rPr>
          <w:rFonts w:ascii="Arial" w:eastAsia="Arial" w:hAnsi="Arial" w:cs="Arial"/>
          <w:i/>
          <w:color w:val="000000"/>
          <w:sz w:val="18"/>
        </w:rPr>
        <w:t>Disabled Rights Action Comm. v. Las Vegas Events, Inc</w:t>
      </w:r>
      <w:r>
        <w:rPr>
          <w:rFonts w:ascii="Arial" w:eastAsia="Arial" w:hAnsi="Arial" w:cs="Arial"/>
          <w:color w:val="000000"/>
          <w:sz w:val="18"/>
        </w:rPr>
        <w:t>., 375 F.3d 861, 882 (9th Cir. 2004).</w:t>
      </w:r>
    </w:p>
  </w:footnote>
  <w:footnote w:id="243">
    <w:p w14:paraId="3AD878ED" w14:textId="77777777" w:rsidR="002D0E71" w:rsidRDefault="00000000">
      <w:pPr>
        <w:pStyle w:val="Normal40"/>
        <w:widowControl w:val="0"/>
        <w:spacing w:before="120" w:line="240" w:lineRule="atLeast"/>
        <w:jc w:val="both"/>
      </w:pPr>
      <w:r>
        <w:rPr>
          <w:rFonts w:ascii="Arial" w:eastAsia="Arial" w:hAnsi="Arial" w:cs="Arial"/>
          <w:color w:val="000000"/>
          <w:sz w:val="18"/>
          <w:vertAlign w:val="superscript"/>
        </w:rPr>
        <w:t>5 </w:t>
      </w:r>
      <w:bookmarkStart w:id="5894" w:name="Bookmark_fnpara_6_15"/>
      <w:bookmarkEnd w:id="5894"/>
      <w:r>
        <w:rPr>
          <w:rFonts w:ascii="Arial" w:eastAsia="Arial" w:hAnsi="Arial" w:cs="Arial"/>
          <w:color w:val="000000"/>
          <w:sz w:val="18"/>
        </w:rPr>
        <w:t>We do not address whether the car show held on city streets also falls within the meaning of the phrase "service, program, or activity" of the City.</w:t>
      </w:r>
    </w:p>
  </w:footnote>
  <w:footnote w:id="244">
    <w:p w14:paraId="1DA3EF7F" w14:textId="77777777" w:rsidR="002D0E71" w:rsidRDefault="00000000">
      <w:pPr>
        <w:pStyle w:val="Normal40"/>
        <w:widowControl w:val="0"/>
        <w:spacing w:before="200" w:line="240" w:lineRule="atLeast"/>
        <w:jc w:val="both"/>
      </w:pPr>
      <w:r>
        <w:rPr>
          <w:rFonts w:ascii="Arial" w:eastAsia="Arial" w:hAnsi="Arial" w:cs="Arial"/>
          <w:color w:val="000000"/>
          <w:sz w:val="18"/>
          <w:vertAlign w:val="superscript"/>
        </w:rPr>
        <w:t>6 </w:t>
      </w:r>
      <w:bookmarkStart w:id="5902" w:name="Bookmark_fnpara_7_13"/>
      <w:bookmarkStart w:id="5903" w:name="Bookmark_I5CHK2GN28T49W0010000400"/>
      <w:bookmarkStart w:id="5904" w:name="Bookmark_LNHNREFclscc10_29"/>
      <w:bookmarkEnd w:id="5902"/>
      <w:bookmarkEnd w:id="5903"/>
      <w:bookmarkEnd w:id="5904"/>
      <w:r>
        <w:rPr>
          <w:rFonts w:ascii="Arial" w:eastAsia="Arial" w:hAnsi="Arial" w:cs="Arial"/>
          <w:color w:val="000000"/>
          <w:sz w:val="18"/>
        </w:rPr>
        <w:t xml:space="preserve">Recovery of damages under Title II requires a showing of intentional discrimination. </w:t>
      </w:r>
      <w:bookmarkStart w:id="5905" w:name="Bookmark_I5CHK2GN28T49W0030000400"/>
      <w:bookmarkEnd w:id="5905"/>
      <w:r>
        <w:rPr>
          <w:rFonts w:ascii="Arial" w:eastAsia="Arial" w:hAnsi="Arial" w:cs="Arial"/>
          <w:i/>
          <w:color w:val="000000"/>
          <w:sz w:val="18"/>
        </w:rPr>
        <w:t xml:space="preserve">See </w:t>
      </w:r>
      <w:bookmarkStart w:id="5906" w:name="Bookmark_I5CHK2GN2N1R900050000400"/>
      <w:bookmarkEnd w:id="5906"/>
      <w:r>
        <w:rPr>
          <w:rFonts w:ascii="Arial" w:eastAsia="Arial" w:hAnsi="Arial" w:cs="Arial"/>
          <w:i/>
          <w:color w:val="000000"/>
          <w:sz w:val="18"/>
        </w:rPr>
        <w:t>Duvall v. Cnty. of Kitsap</w:t>
      </w:r>
      <w:r>
        <w:rPr>
          <w:rFonts w:ascii="Arial" w:eastAsia="Arial" w:hAnsi="Arial" w:cs="Arial"/>
          <w:color w:val="000000"/>
          <w:sz w:val="18"/>
        </w:rPr>
        <w:t xml:space="preserve">, 260 F.3d 1124, 1138 (9th Cir. 2001). The plaintiff must prove that the defendant public entity acted with "deliberate indifference," meaning that it knew that harm to a federally  [**11] protected right was substantially likely and failed to act upon that knowledge. </w:t>
      </w:r>
      <w:bookmarkStart w:id="5907" w:name="Bookmark_I5CHK2GN28T49W0030000400_2"/>
      <w:bookmarkStart w:id="5908" w:name="Bookmark_I5CHK2GN28T49W0050000400"/>
      <w:bookmarkStart w:id="5909" w:name="Bookmark_I5CHK2GN28T49W0020000400"/>
      <w:bookmarkEnd w:id="5907"/>
      <w:bookmarkEnd w:id="5908"/>
      <w:bookmarkEnd w:id="5909"/>
      <w:r>
        <w:rPr>
          <w:rFonts w:ascii="Arial" w:eastAsia="Arial" w:hAnsi="Arial" w:cs="Arial"/>
          <w:i/>
          <w:color w:val="000000"/>
          <w:sz w:val="18"/>
        </w:rPr>
        <w:t>Id</w:t>
      </w:r>
      <w:r>
        <w:rPr>
          <w:rFonts w:ascii="Arial" w:eastAsia="Arial" w:hAnsi="Arial" w:cs="Arial"/>
          <w:color w:val="000000"/>
          <w:sz w:val="18"/>
        </w:rPr>
        <w:t xml:space="preserve">. at 1139. </w:t>
      </w:r>
      <w:bookmarkStart w:id="5910" w:name="Bookmark_I5CHK2GN28T49W0050000400_2"/>
      <w:bookmarkEnd w:id="5910"/>
      <w:r>
        <w:rPr>
          <w:rFonts w:ascii="Arial" w:eastAsia="Arial" w:hAnsi="Arial" w:cs="Arial"/>
          <w:color w:val="000000"/>
          <w:sz w:val="18"/>
        </w:rPr>
        <w:t xml:space="preserve">However, Cohen may recover damages for an ADA violation under the California statutes he invokes </w:t>
      </w:r>
      <w:r>
        <w:rPr>
          <w:rFonts w:ascii="Arial" w:eastAsia="Arial" w:hAnsi="Arial" w:cs="Arial"/>
          <w:i/>
          <w:color w:val="000000"/>
          <w:sz w:val="18"/>
        </w:rPr>
        <w:t>without</w:t>
      </w:r>
      <w:r>
        <w:rPr>
          <w:rFonts w:ascii="Arial" w:eastAsia="Arial" w:hAnsi="Arial" w:cs="Arial"/>
          <w:color w:val="000000"/>
          <w:sz w:val="18"/>
        </w:rPr>
        <w:t xml:space="preserve"> a showing of intentional discrimination. </w:t>
      </w:r>
      <w:r>
        <w:rPr>
          <w:rFonts w:ascii="Arial" w:eastAsia="Arial" w:hAnsi="Arial" w:cs="Arial"/>
          <w:i/>
          <w:color w:val="000000"/>
          <w:sz w:val="18"/>
        </w:rPr>
        <w:t xml:space="preserve">See </w:t>
      </w:r>
      <w:bookmarkStart w:id="5911" w:name="Bookmark_I5CHK2GN28T49W0040000400"/>
      <w:bookmarkEnd w:id="5911"/>
      <w:r>
        <w:rPr>
          <w:rFonts w:ascii="Arial" w:eastAsia="Arial" w:hAnsi="Arial" w:cs="Arial"/>
          <w:i/>
          <w:color w:val="000000"/>
          <w:sz w:val="18"/>
        </w:rPr>
        <w:t>Munson v. Del Taco, Inc</w:t>
      </w:r>
      <w:r>
        <w:rPr>
          <w:rFonts w:ascii="Arial" w:eastAsia="Arial" w:hAnsi="Arial" w:cs="Arial"/>
          <w:color w:val="000000"/>
          <w:sz w:val="18"/>
        </w:rPr>
        <w:t>., 46 Cal. 4th 661, 94 Cal. Rptr. 3d 685, 208 P.3d 623, 625 (Cal. 2009) (holding that a plaintiff need not prove intentional discrimination to recover for an ADA violation under the Unruh Act). Accordingly, we do not decide whether Cohen has demonstrated that the City acted with deliberate indifference or whether he may be able to do so at trial.</w:t>
      </w:r>
    </w:p>
  </w:footnote>
  <w:footnote w:id="245">
    <w:p w14:paraId="352794FB" w14:textId="77777777" w:rsidR="002D0E71" w:rsidRDefault="00000000">
      <w:pPr>
        <w:pStyle w:val="Normal40"/>
        <w:widowControl w:val="0"/>
        <w:spacing w:before="200" w:line="240" w:lineRule="atLeast"/>
        <w:jc w:val="both"/>
      </w:pPr>
      <w:r>
        <w:rPr>
          <w:rFonts w:ascii="Arial" w:eastAsia="Arial" w:hAnsi="Arial" w:cs="Arial"/>
          <w:color w:val="000000"/>
          <w:sz w:val="18"/>
          <w:vertAlign w:val="superscript"/>
        </w:rPr>
        <w:t>7 </w:t>
      </w:r>
      <w:bookmarkStart w:id="5950" w:name="Bookmark_fnpara_8_12"/>
      <w:bookmarkEnd w:id="5950"/>
      <w:r>
        <w:rPr>
          <w:rFonts w:ascii="Arial" w:eastAsia="Arial" w:hAnsi="Arial" w:cs="Arial"/>
          <w:i/>
          <w:color w:val="000000"/>
          <w:sz w:val="18"/>
        </w:rPr>
        <w:t>Schonfeld</w:t>
      </w:r>
      <w:r>
        <w:rPr>
          <w:rFonts w:ascii="Arial" w:eastAsia="Arial" w:hAnsi="Arial" w:cs="Arial"/>
          <w:color w:val="000000"/>
          <w:sz w:val="18"/>
        </w:rPr>
        <w:t xml:space="preserve"> was decided before we held that the sidewalk is a "service, program, or activity" under Title II. </w:t>
      </w:r>
      <w:bookmarkStart w:id="5951" w:name="Bookmark_I5CHK2GN2N1R910040000400"/>
      <w:bookmarkEnd w:id="5951"/>
      <w:r>
        <w:rPr>
          <w:rFonts w:ascii="Arial" w:eastAsia="Arial" w:hAnsi="Arial" w:cs="Arial"/>
          <w:i/>
          <w:color w:val="000000"/>
          <w:sz w:val="18"/>
        </w:rPr>
        <w:t>Barden v. City of Sacramento</w:t>
      </w:r>
      <w:r>
        <w:rPr>
          <w:rFonts w:ascii="Arial" w:eastAsia="Arial" w:hAnsi="Arial" w:cs="Arial"/>
          <w:color w:val="000000"/>
          <w:sz w:val="18"/>
        </w:rPr>
        <w:t>, 292 F.3d 1073, 1076 (9th Cir. 2002).</w:t>
      </w:r>
    </w:p>
  </w:footnote>
  <w:footnote w:id="246">
    <w:p w14:paraId="4A8B43B7" w14:textId="77777777" w:rsidR="002D0E71" w:rsidRDefault="00000000">
      <w:pPr>
        <w:pStyle w:val="Normal40"/>
        <w:widowControl w:val="0"/>
        <w:spacing w:before="200" w:line="240" w:lineRule="atLeast"/>
        <w:jc w:val="both"/>
      </w:pPr>
      <w:r>
        <w:rPr>
          <w:rFonts w:ascii="Arial" w:eastAsia="Arial" w:hAnsi="Arial" w:cs="Arial"/>
          <w:color w:val="000000"/>
          <w:sz w:val="18"/>
          <w:vertAlign w:val="superscript"/>
        </w:rPr>
        <w:t>8 </w:t>
      </w:r>
      <w:bookmarkStart w:id="5997" w:name="Bookmark_fnpara_9_11"/>
      <w:bookmarkStart w:id="5998" w:name="Bookmark_I5CHK2GN2N1R920040000400"/>
      <w:bookmarkEnd w:id="5997"/>
      <w:bookmarkEnd w:id="5998"/>
      <w:r>
        <w:rPr>
          <w:rFonts w:ascii="Arial" w:eastAsia="Arial" w:hAnsi="Arial" w:cs="Arial"/>
          <w:color w:val="000000"/>
          <w:sz w:val="18"/>
        </w:rPr>
        <w:t xml:space="preserve">The Seventh Circuit requires that a plaintiff show more than an "isolated instance[] of employee negligence" to prove a violation of a Department of Transportation regulation implementing Title II that is substantially identical to 28 C.F.R. § 35.133(a). </w:t>
      </w:r>
      <w:bookmarkStart w:id="5999" w:name="Bookmark_I5CHK2GN2N1R920030000400"/>
      <w:bookmarkEnd w:id="5999"/>
      <w:r>
        <w:rPr>
          <w:rFonts w:ascii="Arial" w:eastAsia="Arial" w:hAnsi="Arial" w:cs="Arial"/>
          <w:i/>
          <w:color w:val="000000"/>
          <w:sz w:val="18"/>
        </w:rPr>
        <w:t>Foley v. City of Lafayette</w:t>
      </w:r>
      <w:r>
        <w:rPr>
          <w:rFonts w:ascii="Arial" w:eastAsia="Arial" w:hAnsi="Arial" w:cs="Arial"/>
          <w:color w:val="000000"/>
          <w:sz w:val="18"/>
        </w:rPr>
        <w:t>, 359 F.3d 925, 930 (7th Cir. 2004). We are not necessarily convinced that this requirement is warranted by the text of the regulation, which contains no mens rea standard and simply commands public entities to maintain disabled access features in operable condition. Nonetheless, we need not decide whether to adopt the Seventh Circuit's gloss on what otherwise appears to be a strict liability statute  [**26] because the City would not be entitled to judgment as a matter of law even under that heightened standard.</w:t>
      </w:r>
    </w:p>
    <w:p w14:paraId="5BB197D9" w14:textId="77777777" w:rsidR="002D0E71" w:rsidRDefault="00000000">
      <w:pPr>
        <w:pStyle w:val="Normal40"/>
        <w:widowControl w:val="0"/>
        <w:spacing w:before="200" w:line="240" w:lineRule="atLeast"/>
        <w:jc w:val="both"/>
      </w:pPr>
      <w:bookmarkStart w:id="6000" w:name="Bookmark_fnpara_10_8"/>
      <w:bookmarkStart w:id="6001" w:name="Bookmark_I5CHK2GN2N1R930010000400"/>
      <w:bookmarkEnd w:id="6000"/>
      <w:bookmarkEnd w:id="6001"/>
      <w:r>
        <w:rPr>
          <w:rFonts w:ascii="Arial" w:eastAsia="Arial" w:hAnsi="Arial" w:cs="Arial"/>
          <w:color w:val="000000"/>
          <w:sz w:val="18"/>
        </w:rPr>
        <w:t xml:space="preserve">The City introduced evidence that it never approved the specific layout or placement of the vendors' booths at the car show. Cohen introduced evidence that the City entered into a license agreement with the ECCC that authorized the ECCC to hold the car show but contained no nondiscrimination provision and made no reference to disabled access. A jury could reasonably infer from the evidence in the record that the City had failed to give </w:t>
      </w:r>
      <w:r>
        <w:rPr>
          <w:rFonts w:ascii="Arial" w:eastAsia="Arial" w:hAnsi="Arial" w:cs="Arial"/>
          <w:i/>
          <w:color w:val="000000"/>
          <w:sz w:val="18"/>
        </w:rPr>
        <w:t>any</w:t>
      </w:r>
      <w:r>
        <w:rPr>
          <w:rFonts w:ascii="Arial" w:eastAsia="Arial" w:hAnsi="Arial" w:cs="Arial"/>
          <w:color w:val="000000"/>
          <w:sz w:val="18"/>
        </w:rPr>
        <w:t xml:space="preserve"> consideration to whether the car show would interfere with its obligations under the ADA. A jury could therefore conclude that the obstruction of the curb ramp was the result of a "systemic problem with the policies of the City" rather than isolated employee negligence. </w:t>
      </w:r>
      <w:bookmarkStart w:id="6002" w:name="Bookmark_I5CHK2GN2N1R920050000400"/>
      <w:bookmarkEnd w:id="6002"/>
      <w:r>
        <w:rPr>
          <w:rFonts w:ascii="Arial" w:eastAsia="Arial" w:hAnsi="Arial" w:cs="Arial"/>
          <w:i/>
          <w:color w:val="000000"/>
          <w:sz w:val="18"/>
        </w:rPr>
        <w:t>Foley</w:t>
      </w:r>
      <w:r>
        <w:rPr>
          <w:rFonts w:ascii="Arial" w:eastAsia="Arial" w:hAnsi="Arial" w:cs="Arial"/>
          <w:color w:val="000000"/>
          <w:sz w:val="18"/>
        </w:rPr>
        <w:t>, 359 F.3d at 930.</w:t>
      </w:r>
    </w:p>
  </w:footnote>
  <w:footnote w:id="247">
    <w:p w14:paraId="471B4DE7" w14:textId="77777777" w:rsidR="002D0E71" w:rsidRDefault="00000000">
      <w:pPr>
        <w:pStyle w:val="Normal41"/>
        <w:widowControl w:val="0"/>
        <w:spacing w:before="120" w:line="240" w:lineRule="atLeast"/>
        <w:jc w:val="both"/>
      </w:pPr>
      <w:r>
        <w:rPr>
          <w:rFonts w:ascii="Arial" w:eastAsia="Arial" w:hAnsi="Arial" w:cs="Arial"/>
          <w:color w:val="000000"/>
          <w:sz w:val="18"/>
          <w:vertAlign w:val="superscript"/>
        </w:rPr>
        <w:t>** </w:t>
      </w:r>
      <w:bookmarkStart w:id="6083" w:name="Bookmark_fnpara_1_36"/>
      <w:bookmarkEnd w:id="6083"/>
      <w:r>
        <w:rPr>
          <w:rFonts w:ascii="Arial" w:eastAsia="Arial" w:hAnsi="Arial" w:cs="Arial"/>
          <w:color w:val="000000"/>
          <w:sz w:val="18"/>
        </w:rPr>
        <w:t>This summary constitutes no part of the opinion of the court. It has been prepared by court staff for the convenience of the reader.</w:t>
      </w:r>
    </w:p>
  </w:footnote>
  <w:footnote w:id="248">
    <w:p w14:paraId="7D886A3C" w14:textId="77777777" w:rsidR="002D0E71" w:rsidRDefault="00000000">
      <w:pPr>
        <w:pStyle w:val="Normal41"/>
        <w:widowControl w:val="0"/>
        <w:spacing w:before="120" w:line="240" w:lineRule="atLeast"/>
        <w:jc w:val="both"/>
      </w:pPr>
      <w:r>
        <w:rPr>
          <w:rFonts w:ascii="Arial" w:eastAsia="Arial" w:hAnsi="Arial" w:cs="Arial"/>
          <w:color w:val="000000"/>
          <w:sz w:val="18"/>
          <w:vertAlign w:val="superscript"/>
        </w:rPr>
        <w:t>* </w:t>
      </w:r>
      <w:bookmarkStart w:id="6090" w:name="Bookmark_fnpara_2_32"/>
      <w:bookmarkEnd w:id="6090"/>
      <w:r>
        <w:rPr>
          <w:rFonts w:ascii="Arial" w:eastAsia="Arial" w:hAnsi="Arial" w:cs="Arial"/>
          <w:color w:val="000000"/>
          <w:sz w:val="18"/>
        </w:rPr>
        <w:t>The Honorable Lynn S. Adelman, District Judge for the U.S. District Court for the Eastern District of Wisconsin, sitting by designation.</w:t>
      </w:r>
    </w:p>
  </w:footnote>
  <w:footnote w:id="249">
    <w:p w14:paraId="75607F66" w14:textId="77777777" w:rsidR="002D0E71" w:rsidRDefault="00000000">
      <w:pPr>
        <w:pStyle w:val="Normal41"/>
        <w:widowControl w:val="0"/>
        <w:spacing w:before="120" w:line="240" w:lineRule="atLeast"/>
        <w:jc w:val="both"/>
      </w:pPr>
      <w:r>
        <w:rPr>
          <w:rFonts w:ascii="Arial" w:eastAsia="Arial" w:hAnsi="Arial" w:cs="Arial"/>
          <w:color w:val="000000"/>
          <w:sz w:val="18"/>
          <w:vertAlign w:val="superscript"/>
        </w:rPr>
        <w:t>1 </w:t>
      </w:r>
      <w:bookmarkStart w:id="6099" w:name="Bookmark_fnpara_3_26"/>
      <w:bookmarkEnd w:id="6099"/>
      <w:r>
        <w:rPr>
          <w:rFonts w:ascii="Arial" w:eastAsia="Arial" w:hAnsi="Arial" w:cs="Arial"/>
          <w:color w:val="000000"/>
          <w:sz w:val="18"/>
        </w:rPr>
        <w:t>Mr. Ervine sued Georges Tannoury, M.D., an individual, as well as Georges Tannoury, M.D., a domestic corporation. We refer to both, collectively, as "Dr. Tannoury." He also sued Specialty Medical Center and Kerry Malin, its employee. Both have been dismissed and neither is a party to this appeal.</w:t>
      </w:r>
    </w:p>
  </w:footnote>
  <w:footnote w:id="250">
    <w:p w14:paraId="120452C9" w14:textId="77777777" w:rsidR="002D0E71" w:rsidRDefault="00000000">
      <w:pPr>
        <w:pStyle w:val="Normal41"/>
        <w:widowControl w:val="0"/>
        <w:spacing w:before="120" w:line="240" w:lineRule="atLeast"/>
        <w:jc w:val="both"/>
      </w:pPr>
      <w:r>
        <w:rPr>
          <w:rFonts w:ascii="Arial" w:eastAsia="Arial" w:hAnsi="Arial" w:cs="Arial"/>
          <w:color w:val="000000"/>
          <w:sz w:val="18"/>
          <w:vertAlign w:val="superscript"/>
        </w:rPr>
        <w:t>2 </w:t>
      </w:r>
      <w:bookmarkStart w:id="6169" w:name="Bookmark_fnpara_4_24"/>
      <w:bookmarkEnd w:id="6169"/>
      <w:r>
        <w:rPr>
          <w:rFonts w:ascii="Arial" w:eastAsia="Arial" w:hAnsi="Arial" w:cs="Arial"/>
          <w:color w:val="000000"/>
          <w:sz w:val="18"/>
        </w:rPr>
        <w:t>Because we conclude that Mr. Ervine lacks standing to bring his ADA claim, we need not consider Dr. Tannoury's argument that, having sold his medical practice, he is not susceptible to such claim.</w:t>
      </w:r>
    </w:p>
  </w:footnote>
  <w:footnote w:id="251">
    <w:p w14:paraId="4AE89DB2" w14:textId="77777777" w:rsidR="002D0E71" w:rsidRDefault="00000000">
      <w:pPr>
        <w:pStyle w:val="Normal41"/>
        <w:widowControl w:val="0"/>
        <w:spacing w:before="200" w:line="240" w:lineRule="atLeast"/>
        <w:jc w:val="both"/>
      </w:pPr>
      <w:r>
        <w:rPr>
          <w:rFonts w:ascii="Arial" w:eastAsia="Arial" w:hAnsi="Arial" w:cs="Arial"/>
          <w:color w:val="000000"/>
          <w:sz w:val="18"/>
          <w:vertAlign w:val="superscript"/>
        </w:rPr>
        <w:t>3 </w:t>
      </w:r>
      <w:bookmarkStart w:id="6181" w:name="Bookmark_fnpara_5_19"/>
      <w:bookmarkEnd w:id="6181"/>
      <w:r>
        <w:rPr>
          <w:rFonts w:ascii="Arial" w:eastAsia="Arial" w:hAnsi="Arial" w:cs="Arial"/>
          <w:color w:val="000000"/>
          <w:sz w:val="18"/>
        </w:rPr>
        <w:t xml:space="preserve">Mr. Ervine filed an amended complaint on September 14, 2010, which the district court described as the date he "filed a complaint." At present, it does not matter whether he sued on  [**15] September 1 or September 14, 2010. Thus, we assume for the purposes of this opinion that the amended complaint relates back to the date of the original complaint. </w:t>
      </w:r>
      <w:r>
        <w:rPr>
          <w:rFonts w:ascii="Arial" w:eastAsia="Arial" w:hAnsi="Arial" w:cs="Arial"/>
          <w:i/>
          <w:color w:val="000000"/>
          <w:sz w:val="18"/>
        </w:rPr>
        <w:t>See</w:t>
      </w:r>
      <w:r>
        <w:rPr>
          <w:rFonts w:ascii="Arial" w:eastAsia="Arial" w:hAnsi="Arial" w:cs="Arial"/>
          <w:color w:val="000000"/>
          <w:sz w:val="18"/>
        </w:rPr>
        <w:t xml:space="preserve"> Fed. R. Civ. P. 15(c).</w:t>
      </w:r>
    </w:p>
  </w:footnote>
  <w:footnote w:id="252">
    <w:p w14:paraId="58F683BD" w14:textId="77777777" w:rsidR="002D0E71" w:rsidRDefault="00000000">
      <w:pPr>
        <w:pStyle w:val="Normal41"/>
        <w:widowControl w:val="0"/>
        <w:spacing w:before="200" w:line="240" w:lineRule="atLeast"/>
        <w:jc w:val="both"/>
      </w:pPr>
      <w:r>
        <w:rPr>
          <w:rFonts w:ascii="Arial" w:eastAsia="Arial" w:hAnsi="Arial" w:cs="Arial"/>
          <w:color w:val="000000"/>
          <w:sz w:val="18"/>
          <w:vertAlign w:val="superscript"/>
        </w:rPr>
        <w:t>4 </w:t>
      </w:r>
      <w:bookmarkStart w:id="6231" w:name="Bookmark_fnpara_6_16"/>
      <w:bookmarkEnd w:id="6231"/>
      <w:r>
        <w:rPr>
          <w:rFonts w:ascii="Arial" w:eastAsia="Arial" w:hAnsi="Arial" w:cs="Arial"/>
          <w:color w:val="000000"/>
          <w:sz w:val="18"/>
        </w:rPr>
        <w:t xml:space="preserve">The parties dispute on appeal whether the logbooks are admissible evidence. We assume, </w:t>
      </w:r>
      <w:r>
        <w:rPr>
          <w:rFonts w:ascii="Arial" w:eastAsia="Arial" w:hAnsi="Arial" w:cs="Arial"/>
          <w:i/>
          <w:color w:val="000000"/>
          <w:sz w:val="18"/>
        </w:rPr>
        <w:t>arguendo</w:t>
      </w:r>
      <w:r>
        <w:rPr>
          <w:rFonts w:ascii="Arial" w:eastAsia="Arial" w:hAnsi="Arial" w:cs="Arial"/>
          <w:color w:val="000000"/>
          <w:sz w:val="18"/>
        </w:rPr>
        <w:t>, that they are.</w:t>
      </w:r>
    </w:p>
  </w:footnote>
  <w:footnote w:id="253">
    <w:p w14:paraId="0428CDD8" w14:textId="77777777" w:rsidR="002D0E71" w:rsidRDefault="00000000">
      <w:pPr>
        <w:pStyle w:val="Normal41"/>
        <w:widowControl w:val="0"/>
        <w:spacing w:before="120" w:line="240" w:lineRule="atLeast"/>
        <w:jc w:val="both"/>
      </w:pPr>
      <w:r>
        <w:rPr>
          <w:rFonts w:ascii="Arial" w:eastAsia="Arial" w:hAnsi="Arial" w:cs="Arial"/>
          <w:color w:val="000000"/>
          <w:sz w:val="18"/>
          <w:vertAlign w:val="superscript"/>
        </w:rPr>
        <w:t>5 </w:t>
      </w:r>
      <w:bookmarkStart w:id="6232" w:name="Bookmark_fnpara_7_14"/>
      <w:bookmarkEnd w:id="6232"/>
      <w:r>
        <w:rPr>
          <w:rFonts w:ascii="Arial" w:eastAsia="Arial" w:hAnsi="Arial" w:cs="Arial"/>
          <w:color w:val="000000"/>
          <w:sz w:val="18"/>
        </w:rPr>
        <w:t>Whether this or any other alleged violation is actually meritorious and timely is not properly before us. We leave it to the district court to answer such question in the first instance, using the legal standard we announce here. Similarly, we leave for the district court to consider the evidentiary sufficiency of the claims against Desert View.</w:t>
      </w:r>
    </w:p>
  </w:footnote>
  <w:footnote w:id="254">
    <w:p w14:paraId="2C6D8554" w14:textId="77777777" w:rsidR="002D0E71" w:rsidRDefault="00000000">
      <w:pPr>
        <w:pStyle w:val="Normal41"/>
        <w:widowControl w:val="0"/>
        <w:spacing w:before="200" w:line="240" w:lineRule="atLeast"/>
        <w:jc w:val="both"/>
      </w:pPr>
      <w:r>
        <w:rPr>
          <w:rFonts w:ascii="Arial" w:eastAsia="Arial" w:hAnsi="Arial" w:cs="Arial"/>
          <w:color w:val="000000"/>
          <w:sz w:val="18"/>
          <w:vertAlign w:val="superscript"/>
        </w:rPr>
        <w:t>6 </w:t>
      </w:r>
      <w:bookmarkStart w:id="6240" w:name="Bookmark_fnpara_8_13"/>
      <w:bookmarkEnd w:id="6240"/>
      <w:r>
        <w:rPr>
          <w:rFonts w:ascii="Arial" w:eastAsia="Arial" w:hAnsi="Arial" w:cs="Arial"/>
          <w:i/>
          <w:color w:val="000000"/>
          <w:sz w:val="18"/>
        </w:rPr>
        <w:t>See supra</w:t>
      </w:r>
      <w:r>
        <w:rPr>
          <w:rFonts w:ascii="Arial" w:eastAsia="Arial" w:hAnsi="Arial" w:cs="Arial"/>
          <w:color w:val="000000"/>
          <w:sz w:val="18"/>
        </w:rPr>
        <w:t xml:space="preserve"> note 3.</w:t>
      </w:r>
    </w:p>
  </w:footnote>
  <w:footnote w:id="255">
    <w:p w14:paraId="00A0A14A" w14:textId="77777777" w:rsidR="002D0E71" w:rsidRDefault="00000000">
      <w:pPr>
        <w:pStyle w:val="Normal42"/>
        <w:widowControl w:val="0"/>
        <w:spacing w:before="120" w:line="240" w:lineRule="atLeast"/>
        <w:jc w:val="both"/>
      </w:pPr>
      <w:r>
        <w:rPr>
          <w:rFonts w:ascii="Arial" w:eastAsia="Arial" w:hAnsi="Arial" w:cs="Arial"/>
          <w:color w:val="000000"/>
          <w:sz w:val="18"/>
          <w:vertAlign w:val="superscript"/>
        </w:rPr>
        <w:t>1 </w:t>
      </w:r>
      <w:bookmarkStart w:id="6261" w:name="Bookmark_fnpara_1_37"/>
      <w:bookmarkEnd w:id="6261"/>
      <w:r>
        <w:rPr>
          <w:rFonts w:ascii="Arial" w:eastAsia="Arial" w:hAnsi="Arial" w:cs="Arial"/>
          <w:color w:val="000000"/>
          <w:sz w:val="18"/>
        </w:rPr>
        <w:t>At oral argument, BOE confirmed that the facts are undisputed. Oral Argument at 2:54:27-2:55:17. Rather, defendants contest the inferences and conclusions the district court drew from these facts.</w:t>
      </w:r>
    </w:p>
  </w:footnote>
  <w:footnote w:id="256">
    <w:p w14:paraId="2D584915" w14:textId="77777777" w:rsidR="002D0E71" w:rsidRDefault="00000000">
      <w:pPr>
        <w:pStyle w:val="Normal42"/>
        <w:widowControl w:val="0"/>
        <w:spacing w:before="120" w:line="240" w:lineRule="atLeast"/>
        <w:jc w:val="both"/>
      </w:pPr>
      <w:r>
        <w:rPr>
          <w:rFonts w:ascii="Arial" w:eastAsia="Arial" w:hAnsi="Arial" w:cs="Arial"/>
          <w:color w:val="000000"/>
          <w:sz w:val="18"/>
          <w:vertAlign w:val="superscript"/>
        </w:rPr>
        <w:t>2 </w:t>
      </w:r>
      <w:bookmarkStart w:id="6270" w:name="Bookmark_fnpara_2_33"/>
      <w:bookmarkEnd w:id="6270"/>
      <w:r>
        <w:rPr>
          <w:rFonts w:ascii="Arial" w:eastAsia="Arial" w:hAnsi="Arial" w:cs="Arial"/>
          <w:color w:val="000000"/>
          <w:sz w:val="18"/>
        </w:rPr>
        <w:t>Specifically, in 2008, 54 of the 65 poll sites surveyed, or 83%, contained at least one barrier to access; in 2009, 43 of the 51 polling sites surveyed, or 84%, contained at least one barrier to access; in 2010, 42 of the 53 inspected sites, or 79%, contained at least one barrier to access; and 46 of the 55 polling places inspected in 2011, or 84%, contained at least one barrier to access.</w:t>
      </w:r>
    </w:p>
  </w:footnote>
  <w:footnote w:id="257">
    <w:p w14:paraId="2EF8831F" w14:textId="77777777" w:rsidR="002D0E71" w:rsidRDefault="00000000">
      <w:pPr>
        <w:pStyle w:val="Normal42"/>
        <w:widowControl w:val="0"/>
        <w:spacing w:before="120" w:line="240" w:lineRule="atLeast"/>
        <w:jc w:val="both"/>
      </w:pPr>
      <w:r>
        <w:rPr>
          <w:rFonts w:ascii="Arial" w:eastAsia="Arial" w:hAnsi="Arial" w:cs="Arial"/>
          <w:color w:val="000000"/>
          <w:sz w:val="18"/>
          <w:vertAlign w:val="superscript"/>
        </w:rPr>
        <w:t>3 </w:t>
      </w:r>
      <w:bookmarkStart w:id="6293" w:name="Bookmark_fnpara_3_27"/>
      <w:bookmarkEnd w:id="6293"/>
      <w:r>
        <w:rPr>
          <w:rFonts w:ascii="Arial" w:eastAsia="Arial" w:hAnsi="Arial" w:cs="Arial"/>
          <w:color w:val="000000"/>
          <w:sz w:val="18"/>
        </w:rPr>
        <w:t xml:space="preserve">28 U.S.C. § 517 provides that </w:t>
      </w:r>
      <w:bookmarkStart w:id="6294" w:name="Bookmark_LNHNREFclscc3_35"/>
      <w:bookmarkEnd w:id="6294"/>
      <w:r>
        <w:rPr>
          <w:rFonts w:ascii="Arial" w:eastAsia="Arial" w:hAnsi="Arial" w:cs="Arial"/>
          <w:color w:val="000000"/>
          <w:sz w:val="18"/>
        </w:rPr>
        <w:t>"any officer of the Department of Justice, may be sent by the Attorney General to any State or district in the United States to attend to the interests of the United States in a suit pending in a court of the United States, . . . or to attend to any other interest of the United States."</w:t>
      </w:r>
    </w:p>
  </w:footnote>
  <w:footnote w:id="258">
    <w:p w14:paraId="0ECB0F19" w14:textId="77777777" w:rsidR="002D0E71" w:rsidRDefault="00000000">
      <w:pPr>
        <w:pStyle w:val="Normal42"/>
        <w:widowControl w:val="0"/>
        <w:spacing w:before="120" w:line="240" w:lineRule="atLeast"/>
        <w:jc w:val="both"/>
      </w:pPr>
      <w:r>
        <w:rPr>
          <w:rFonts w:ascii="Arial" w:eastAsia="Arial" w:hAnsi="Arial" w:cs="Arial"/>
          <w:color w:val="000000"/>
          <w:sz w:val="18"/>
          <w:vertAlign w:val="superscript"/>
        </w:rPr>
        <w:t>4 </w:t>
      </w:r>
      <w:bookmarkStart w:id="6301" w:name="Bookmark_fnpara_4_25"/>
      <w:bookmarkEnd w:id="6301"/>
      <w:r>
        <w:rPr>
          <w:rFonts w:ascii="Arial" w:eastAsia="Arial" w:hAnsi="Arial" w:cs="Arial"/>
          <w:color w:val="000000"/>
          <w:sz w:val="18"/>
        </w:rPr>
        <w:t>On January 28, 2013, after noting that the parties were unable to agree on an expert and considering both parties' recommendations, Magistrate Judge Pitman issued an order designating Evan Terry Associates, P.C. as the Third Party Expert.</w:t>
      </w:r>
    </w:p>
  </w:footnote>
  <w:footnote w:id="259">
    <w:p w14:paraId="1F0EF136" w14:textId="77777777" w:rsidR="002D0E71" w:rsidRDefault="00000000">
      <w:pPr>
        <w:pStyle w:val="Normal42"/>
        <w:widowControl w:val="0"/>
        <w:spacing w:before="120" w:line="240" w:lineRule="atLeast"/>
        <w:jc w:val="both"/>
      </w:pPr>
      <w:r>
        <w:rPr>
          <w:rFonts w:ascii="Arial" w:eastAsia="Arial" w:hAnsi="Arial" w:cs="Arial"/>
          <w:color w:val="000000"/>
          <w:sz w:val="18"/>
          <w:vertAlign w:val="superscript"/>
        </w:rPr>
        <w:t>5 </w:t>
      </w:r>
      <w:bookmarkStart w:id="6304" w:name="Bookmark_fnpara_5_20"/>
      <w:bookmarkEnd w:id="6304"/>
      <w:r>
        <w:rPr>
          <w:rFonts w:ascii="Arial" w:eastAsia="Arial" w:hAnsi="Arial" w:cs="Arial"/>
          <w:color w:val="000000"/>
          <w:sz w:val="18"/>
        </w:rPr>
        <w:t>In fact, at one point BOE did raise a substantive concern. The remedial order was modified on May 13, 2012, after this appeal was filed, to address this concern. The parties' briefs on appeal address the original order entered on October 18, 2012.</w:t>
      </w:r>
    </w:p>
  </w:footnote>
  <w:footnote w:id="260">
    <w:p w14:paraId="1B486C83" w14:textId="77777777" w:rsidR="002D0E71" w:rsidRDefault="00000000">
      <w:pPr>
        <w:pStyle w:val="Normal42"/>
        <w:widowControl w:val="0"/>
        <w:spacing w:before="200" w:line="240" w:lineRule="atLeast"/>
        <w:jc w:val="both"/>
      </w:pPr>
      <w:r>
        <w:rPr>
          <w:rFonts w:ascii="Arial" w:eastAsia="Arial" w:hAnsi="Arial" w:cs="Arial"/>
          <w:color w:val="000000"/>
          <w:sz w:val="18"/>
          <w:vertAlign w:val="superscript"/>
        </w:rPr>
        <w:t>6 </w:t>
      </w:r>
      <w:bookmarkStart w:id="6323" w:name="Bookmark_fnpara_6_17"/>
      <w:bookmarkStart w:id="6324" w:name="Bookmark_LNHNREFclscc8_32"/>
      <w:bookmarkEnd w:id="6323"/>
      <w:bookmarkEnd w:id="6324"/>
      <w:r>
        <w:rPr>
          <w:rFonts w:ascii="Arial" w:eastAsia="Arial" w:hAnsi="Arial" w:cs="Arial"/>
          <w:color w:val="000000"/>
          <w:sz w:val="18"/>
        </w:rPr>
        <w:t>Individuals with a disability  [**18] are "qualified" if "with or without reasonable modifications to rules, policies, or practices, the removal of architectural . . . barriers, or the provision of auxiliary aids and services," they "meet[ ] the essential eligibility requirements for" participation in public programs or activities. 42 U.S.C. § 12131.</w:t>
      </w:r>
    </w:p>
  </w:footnote>
  <w:footnote w:id="261">
    <w:p w14:paraId="4477AF26" w14:textId="77777777" w:rsidR="002D0E71" w:rsidRDefault="00000000">
      <w:pPr>
        <w:pStyle w:val="Normal42"/>
        <w:widowControl w:val="0"/>
        <w:spacing w:before="200" w:line="240" w:lineRule="atLeast"/>
        <w:jc w:val="both"/>
      </w:pPr>
      <w:r>
        <w:rPr>
          <w:rFonts w:ascii="Arial" w:eastAsia="Arial" w:hAnsi="Arial" w:cs="Arial"/>
          <w:color w:val="000000"/>
          <w:sz w:val="18"/>
          <w:vertAlign w:val="superscript"/>
        </w:rPr>
        <w:t>7 </w:t>
      </w:r>
      <w:bookmarkStart w:id="6338" w:name="Bookmark_fnpara_7_15"/>
      <w:bookmarkEnd w:id="6338"/>
      <w:r>
        <w:rPr>
          <w:rFonts w:ascii="Arial" w:eastAsia="Arial" w:hAnsi="Arial" w:cs="Arial"/>
          <w:i/>
          <w:color w:val="000000"/>
          <w:sz w:val="18"/>
        </w:rPr>
        <w:t>See</w:t>
      </w:r>
      <w:r>
        <w:rPr>
          <w:rFonts w:ascii="Arial" w:eastAsia="Arial" w:hAnsi="Arial" w:cs="Arial"/>
          <w:color w:val="000000"/>
          <w:sz w:val="18"/>
        </w:rPr>
        <w:t xml:space="preserve"> 42 U.S.C. § 12101(a)(5) </w:t>
      </w:r>
      <w:bookmarkStart w:id="6339" w:name="Bookmark_LNHNREFclscc11_23"/>
      <w:bookmarkEnd w:id="6339"/>
      <w:r>
        <w:rPr>
          <w:rFonts w:ascii="Arial" w:eastAsia="Arial" w:hAnsi="Arial" w:cs="Arial"/>
          <w:color w:val="000000"/>
          <w:sz w:val="18"/>
        </w:rPr>
        <w:t>("[I]ndividuals with disabilities continually encounter various forms of discrimination, including outright intentional exclusion, the discriminatory effects of architectural . . . barriers, . . . failure to make modifications to existing facilities and practices, exclusionary qualification standards and criteria, segregation, and relegation to lesser services, programs, activities, benefits, jobs, or other opportunities.").</w:t>
      </w:r>
    </w:p>
  </w:footnote>
  <w:footnote w:id="262">
    <w:p w14:paraId="3E8726EC" w14:textId="77777777" w:rsidR="002D0E71" w:rsidRDefault="00000000">
      <w:pPr>
        <w:pStyle w:val="Normal42"/>
        <w:widowControl w:val="0"/>
        <w:spacing w:before="200" w:line="240" w:lineRule="atLeast"/>
        <w:jc w:val="both"/>
      </w:pPr>
      <w:r>
        <w:rPr>
          <w:rFonts w:ascii="Arial" w:eastAsia="Arial" w:hAnsi="Arial" w:cs="Arial"/>
          <w:color w:val="000000"/>
          <w:sz w:val="18"/>
          <w:vertAlign w:val="superscript"/>
        </w:rPr>
        <w:t>8 </w:t>
      </w:r>
      <w:bookmarkStart w:id="6343" w:name="Bookmark_fnpara_8_14"/>
      <w:bookmarkEnd w:id="6343"/>
      <w:r>
        <w:rPr>
          <w:rFonts w:ascii="Arial" w:eastAsia="Arial" w:hAnsi="Arial" w:cs="Arial"/>
          <w:color w:val="000000"/>
          <w:sz w:val="18"/>
        </w:rPr>
        <w:t xml:space="preserve">"In interpreting the statutory terms we look to the views of the Justice Department, which was charged by Congress with issuing regulations implementing both the ADA and Section 504." </w:t>
      </w:r>
      <w:bookmarkStart w:id="6344" w:name="Bookmark_I5CBNK7K28T5370020000400"/>
      <w:bookmarkEnd w:id="6344"/>
      <w:r>
        <w:rPr>
          <w:rFonts w:ascii="Arial" w:eastAsia="Arial" w:hAnsi="Arial" w:cs="Arial"/>
          <w:i/>
          <w:color w:val="000000"/>
          <w:sz w:val="18"/>
        </w:rPr>
        <w:t>Henrietta D</w:t>
      </w:r>
      <w:r>
        <w:rPr>
          <w:rFonts w:ascii="Arial" w:eastAsia="Arial" w:hAnsi="Arial" w:cs="Arial"/>
          <w:color w:val="000000"/>
          <w:sz w:val="18"/>
        </w:rPr>
        <w:t>., 331 F.3d at 273-74.</w:t>
      </w:r>
    </w:p>
  </w:footnote>
  <w:footnote w:id="263">
    <w:p w14:paraId="61ED1349" w14:textId="77777777" w:rsidR="002D0E71" w:rsidRDefault="00000000">
      <w:pPr>
        <w:pStyle w:val="Normal42"/>
        <w:widowControl w:val="0"/>
        <w:spacing w:before="200" w:line="240" w:lineRule="atLeast"/>
        <w:jc w:val="both"/>
      </w:pPr>
      <w:r>
        <w:rPr>
          <w:rFonts w:ascii="Arial" w:eastAsia="Arial" w:hAnsi="Arial" w:cs="Arial"/>
          <w:color w:val="000000"/>
          <w:sz w:val="18"/>
          <w:vertAlign w:val="superscript"/>
        </w:rPr>
        <w:t>9 </w:t>
      </w:r>
      <w:bookmarkStart w:id="6387" w:name="Bookmark_fnpara_9_12"/>
      <w:bookmarkEnd w:id="6387"/>
      <w:r>
        <w:rPr>
          <w:rFonts w:ascii="Arial" w:eastAsia="Arial" w:hAnsi="Arial" w:cs="Arial"/>
          <w:i/>
          <w:color w:val="000000"/>
          <w:sz w:val="18"/>
        </w:rPr>
        <w:t xml:space="preserve">See </w:t>
      </w:r>
      <w:bookmarkStart w:id="6388" w:name="Bookmark_I5CBNK7K28T5380030000400"/>
      <w:bookmarkEnd w:id="6388"/>
      <w:r>
        <w:rPr>
          <w:rFonts w:ascii="Arial" w:eastAsia="Arial" w:hAnsi="Arial" w:cs="Arial"/>
          <w:i/>
          <w:color w:val="000000"/>
          <w:sz w:val="18"/>
        </w:rPr>
        <w:t>Lane</w:t>
      </w:r>
      <w:r>
        <w:rPr>
          <w:rFonts w:ascii="Arial" w:eastAsia="Arial" w:hAnsi="Arial" w:cs="Arial"/>
          <w:color w:val="000000"/>
          <w:sz w:val="18"/>
        </w:rPr>
        <w:t xml:space="preserve">, 541 U.S. at 514 (successful Title II plaintiff alleged he was able to attend court proceedings only by crawling up two flights of stairs or allowing officers to carry him); </w:t>
      </w:r>
      <w:r>
        <w:rPr>
          <w:rFonts w:ascii="Arial" w:eastAsia="Arial" w:hAnsi="Arial" w:cs="Arial"/>
          <w:i/>
          <w:color w:val="000000"/>
          <w:sz w:val="18"/>
        </w:rPr>
        <w:t xml:space="preserve">see also </w:t>
      </w:r>
      <w:bookmarkStart w:id="6389" w:name="Bookmark_I5CBNK7K28T5380050000400"/>
      <w:bookmarkEnd w:id="6389"/>
      <w:r>
        <w:rPr>
          <w:rFonts w:ascii="Arial" w:eastAsia="Arial" w:hAnsi="Arial" w:cs="Arial"/>
          <w:i/>
          <w:color w:val="000000"/>
          <w:sz w:val="18"/>
        </w:rPr>
        <w:t>Am. Council of the Blind v. Paulson</w:t>
      </w:r>
      <w:r>
        <w:rPr>
          <w:rFonts w:ascii="Arial" w:eastAsia="Arial" w:hAnsi="Arial" w:cs="Arial"/>
          <w:color w:val="000000"/>
          <w:sz w:val="18"/>
        </w:rPr>
        <w:t xml:space="preserve">, 463 F. Supp. 2d 51, 59 (D.D.C. 2006), </w:t>
      </w:r>
      <w:r>
        <w:rPr>
          <w:rFonts w:ascii="Arial" w:eastAsia="Arial" w:hAnsi="Arial" w:cs="Arial"/>
          <w:i/>
          <w:color w:val="000000"/>
          <w:sz w:val="18"/>
        </w:rPr>
        <w:t>aff'd and remanded</w:t>
      </w:r>
      <w:r>
        <w:rPr>
          <w:rFonts w:ascii="Arial" w:eastAsia="Arial" w:hAnsi="Arial" w:cs="Arial"/>
          <w:color w:val="000000"/>
          <w:sz w:val="18"/>
        </w:rPr>
        <w:t>, 525 F.3d 1256, 381 U.S. App. D.C. 162 (D.C. Cir. 2008) ("[P]laintiffs do not need to prove 'no access' to prevail" on a Section 504 claim.).</w:t>
      </w:r>
    </w:p>
  </w:footnote>
  <w:footnote w:id="264">
    <w:p w14:paraId="5F09B268" w14:textId="77777777" w:rsidR="002D0E71" w:rsidRDefault="00000000">
      <w:pPr>
        <w:pStyle w:val="Normal42"/>
        <w:widowControl w:val="0"/>
        <w:spacing w:before="200" w:line="240" w:lineRule="atLeast"/>
        <w:jc w:val="both"/>
      </w:pPr>
      <w:r>
        <w:rPr>
          <w:rFonts w:ascii="Arial" w:eastAsia="Arial" w:hAnsi="Arial" w:cs="Arial"/>
          <w:color w:val="000000"/>
          <w:sz w:val="18"/>
          <w:vertAlign w:val="superscript"/>
        </w:rPr>
        <w:t>10 </w:t>
      </w:r>
      <w:bookmarkStart w:id="6399" w:name="Bookmark_fnpara_10_9"/>
      <w:bookmarkEnd w:id="6399"/>
      <w:r>
        <w:rPr>
          <w:rFonts w:ascii="Arial" w:eastAsia="Arial" w:hAnsi="Arial" w:cs="Arial"/>
          <w:color w:val="000000"/>
          <w:sz w:val="18"/>
        </w:rPr>
        <w:t xml:space="preserve">BOE claims that the surveys plaintiffs submitted are unreliable. We reject this argument. First, BOE conceded at oral argument that there were no disputed facts on which the district court's August 8, 2012 order granting summary judgment was based. Oral Argument at 2:54:27-2:55:17. Second, the record does not indicate that  [**26] BOE argued this point before the district court. Finally, BOE's arguments are purely conclusory and it has presented no evidence -- such as contrary survey results or specific errors or problems in the surveys submitted by plaintiffs -- to call the validity of plaintiffs' surveys into question. Although BOE contends that the individuals and groups completing the relevant surveys are less experienced than BOE surveyors, nothing in the record supports this claim. In fact, CIDNY is the same entity that trains the surveyors BOE employs. </w:t>
      </w:r>
      <w:bookmarkStart w:id="6400" w:name="Bookmark_I5CBNK7M2D6NXX0020000400"/>
      <w:bookmarkEnd w:id="6400"/>
      <w:r>
        <w:rPr>
          <w:rFonts w:ascii="Arial" w:eastAsia="Arial" w:hAnsi="Arial" w:cs="Arial"/>
          <w:color w:val="000000"/>
          <w:sz w:val="18"/>
        </w:rPr>
        <w:t xml:space="preserve">Even assuming that the individuals and groups unaffiliated with BOE are less experienced than BOE surveyors, this fact alone does not support the unreliability of the surveys. Moreover, we note that many courts have relied on surveys conducted by similar surveyors to find poll sites inaccessible. </w:t>
      </w:r>
      <w:r>
        <w:rPr>
          <w:rFonts w:ascii="Arial" w:eastAsia="Arial" w:hAnsi="Arial" w:cs="Arial"/>
          <w:i/>
          <w:color w:val="000000"/>
          <w:sz w:val="18"/>
        </w:rPr>
        <w:t xml:space="preserve">See </w:t>
      </w:r>
      <w:bookmarkStart w:id="6401" w:name="Bookmark_I5CBNK7M2D6NXX0010000400"/>
      <w:bookmarkEnd w:id="6401"/>
      <w:r>
        <w:rPr>
          <w:rFonts w:ascii="Arial" w:eastAsia="Arial" w:hAnsi="Arial" w:cs="Arial"/>
          <w:i/>
          <w:color w:val="000000"/>
          <w:sz w:val="18"/>
        </w:rPr>
        <w:t>Westchester Disabled on the Move, Inc. v. Cnty. of Westchester</w:t>
      </w:r>
      <w:r>
        <w:rPr>
          <w:rFonts w:ascii="Arial" w:eastAsia="Arial" w:hAnsi="Arial" w:cs="Arial"/>
          <w:color w:val="000000"/>
          <w:sz w:val="18"/>
        </w:rPr>
        <w:t xml:space="preserve">, 346 F. Supp. 2d 473, 476-77 (S.D.N.Y. 2004) (relying on poll site accessibility surveys aligned with ADA guidelines to grant preliminary injunction against defendant based on violations of ADA); </w:t>
      </w:r>
      <w:bookmarkStart w:id="6402" w:name="Bookmark_I5CBNK7M2D6NXX0030000400"/>
      <w:bookmarkEnd w:id="6402"/>
      <w:r>
        <w:rPr>
          <w:rFonts w:ascii="Arial" w:eastAsia="Arial" w:hAnsi="Arial" w:cs="Arial"/>
          <w:i/>
          <w:color w:val="000000"/>
          <w:sz w:val="18"/>
        </w:rPr>
        <w:t>New York v. Cnty. of Delaware</w:t>
      </w:r>
      <w:r>
        <w:rPr>
          <w:rFonts w:ascii="Arial" w:eastAsia="Arial" w:hAnsi="Arial" w:cs="Arial"/>
          <w:color w:val="000000"/>
          <w:sz w:val="18"/>
        </w:rPr>
        <w:t xml:space="preserve">, 82 F. Supp. 2d 12, 14-18 (N.D.N.Y. 2000) (same); </w:t>
      </w:r>
      <w:bookmarkStart w:id="6403" w:name="Bookmark_I5CBNK7M2D6NXX0050000400"/>
      <w:bookmarkEnd w:id="6403"/>
      <w:r>
        <w:rPr>
          <w:rFonts w:ascii="Arial" w:eastAsia="Arial" w:hAnsi="Arial" w:cs="Arial"/>
          <w:i/>
          <w:color w:val="000000"/>
          <w:sz w:val="18"/>
        </w:rPr>
        <w:t>New York ex rel. Spitzer v. Cnty. of Schoharie</w:t>
      </w:r>
      <w:r>
        <w:rPr>
          <w:rFonts w:ascii="Arial" w:eastAsia="Arial" w:hAnsi="Arial" w:cs="Arial"/>
          <w:color w:val="000000"/>
          <w:sz w:val="18"/>
        </w:rPr>
        <w:t>, 82 F. Supp. 2d 19, 21-25 (N.D.N.Y. 2000)  [**27] (same).</w:t>
      </w:r>
    </w:p>
  </w:footnote>
  <w:footnote w:id="265">
    <w:p w14:paraId="120E2649" w14:textId="77777777" w:rsidR="002D0E71" w:rsidRDefault="00000000">
      <w:pPr>
        <w:pStyle w:val="Normal42"/>
        <w:widowControl w:val="0"/>
        <w:spacing w:before="120" w:line="240" w:lineRule="atLeast"/>
        <w:jc w:val="both"/>
      </w:pPr>
      <w:r>
        <w:rPr>
          <w:rFonts w:ascii="Arial" w:eastAsia="Arial" w:hAnsi="Arial" w:cs="Arial"/>
          <w:color w:val="000000"/>
          <w:sz w:val="18"/>
          <w:vertAlign w:val="superscript"/>
        </w:rPr>
        <w:t>11 </w:t>
      </w:r>
      <w:bookmarkStart w:id="6416" w:name="Bookmark_fnpara_11_5"/>
      <w:bookmarkEnd w:id="6416"/>
      <w:r>
        <w:rPr>
          <w:rFonts w:ascii="Arial" w:eastAsia="Arial" w:hAnsi="Arial" w:cs="Arial"/>
          <w:color w:val="000000"/>
          <w:sz w:val="18"/>
        </w:rPr>
        <w:t xml:space="preserve">We recognize that </w:t>
      </w:r>
      <w:bookmarkStart w:id="6417" w:name="Bookmark_LNHNREFclscc18_9"/>
      <w:bookmarkEnd w:id="6417"/>
      <w:r>
        <w:rPr>
          <w:rFonts w:ascii="Arial" w:eastAsia="Arial" w:hAnsi="Arial" w:cs="Arial"/>
          <w:color w:val="000000"/>
          <w:sz w:val="18"/>
        </w:rPr>
        <w:t>Title II does not require a public entity to "make structural changes in existing facilities where other methods are effective in achieving compliance" with its statutory obligations. 28 C.F.R. § 35.150(b)(1). This provision is particularly relevant to an entity like BOE that does not own or operate any of the facilities that it designates as poll sites, but instead uses facilities operated by others. Indeed, 30% of the facilities BOE designates as poll sites are not compliant with the ADA prior to election days.</w:t>
      </w:r>
    </w:p>
  </w:footnote>
  <w:footnote w:id="266">
    <w:p w14:paraId="43DF8494" w14:textId="77777777" w:rsidR="002D0E71" w:rsidRDefault="00000000">
      <w:pPr>
        <w:pStyle w:val="Normal42"/>
        <w:widowControl w:val="0"/>
        <w:spacing w:before="200" w:line="240" w:lineRule="atLeast"/>
        <w:jc w:val="both"/>
      </w:pPr>
      <w:r>
        <w:rPr>
          <w:rFonts w:ascii="Arial" w:eastAsia="Arial" w:hAnsi="Arial" w:cs="Arial"/>
          <w:color w:val="000000"/>
          <w:sz w:val="18"/>
          <w:vertAlign w:val="superscript"/>
        </w:rPr>
        <w:t>12 </w:t>
      </w:r>
      <w:bookmarkStart w:id="6421" w:name="Bookmark_fnpara_12_3"/>
      <w:bookmarkEnd w:id="6421"/>
      <w:r>
        <w:rPr>
          <w:rFonts w:ascii="Arial" w:eastAsia="Arial" w:hAnsi="Arial" w:cs="Arial"/>
          <w:color w:val="000000"/>
          <w:sz w:val="18"/>
        </w:rPr>
        <w:t>For similar reasons, we reject BOE's argument that "plaintiffs have the burden of production to demonstrate the existence of alternative, available facilities to serve as replacement poll sites." Appellant's Br. at 35. Plaintiffs, like BOE, are certainly not required to identify facilities that are accessible prior to election days. We note that, in any event, plaintiffs did suggest alternative facilities to BOE to serve  [**32] as poll sites.</w:t>
      </w:r>
    </w:p>
  </w:footnote>
  <w:footnote w:id="267">
    <w:p w14:paraId="70EDF53C" w14:textId="77777777" w:rsidR="002D0E71" w:rsidRDefault="00000000">
      <w:pPr>
        <w:pStyle w:val="Normal42"/>
        <w:widowControl w:val="0"/>
        <w:spacing w:before="200" w:line="240" w:lineRule="atLeast"/>
        <w:jc w:val="both"/>
      </w:pPr>
      <w:r>
        <w:rPr>
          <w:rFonts w:ascii="Arial" w:eastAsia="Arial" w:hAnsi="Arial" w:cs="Arial"/>
          <w:color w:val="000000"/>
          <w:sz w:val="18"/>
          <w:vertAlign w:val="superscript"/>
        </w:rPr>
        <w:t>13 </w:t>
      </w:r>
      <w:bookmarkStart w:id="6423" w:name="Bookmark_fnpara_13_3"/>
      <w:bookmarkEnd w:id="6423"/>
      <w:r>
        <w:rPr>
          <w:rFonts w:ascii="Arial" w:eastAsia="Arial" w:hAnsi="Arial" w:cs="Arial"/>
          <w:color w:val="000000"/>
          <w:sz w:val="18"/>
        </w:rPr>
        <w:t>In particular, BOE offers no evidence that it has transferred voters from inaccessible to accessible sites or otherwise notified individuals of the possibility of such a transfer. This lack of evidence is problematic. First, it is unclear how BOE, let alone an individual voter, would know ten days prior to an election that a particular poll site is inaccessible. Indeed, BOE concedes that several sites do not meet  [**33] accessibility standards, but it has only officially identified two inaccessible polling places. Further, most of the barriers that plaintiffs report are impossible for voters to perceive until they appear at polling sites on an election day. Second, plaintiffs' undisputed evidence demonstrates that 80% or more of the poll sites surveyed on election days have one or more significant barriers to access. As a practical matter, then, it would seem nearly impossible that this accommodation would provide meaningful access for many individuals with disabilities. Accordingly, while the policy of reassigning voters to accessible polling sites could theoretically constitute a reasonable accommodation, there is nothing in the record to support that it provides meaningful access to individuals with disabilities.</w:t>
      </w:r>
    </w:p>
  </w:footnote>
  <w:footnote w:id="268">
    <w:p w14:paraId="73E5E5F8" w14:textId="77777777" w:rsidR="002D0E71" w:rsidRDefault="00000000">
      <w:pPr>
        <w:pStyle w:val="Normal42"/>
        <w:widowControl w:val="0"/>
        <w:spacing w:before="120" w:line="240" w:lineRule="atLeast"/>
        <w:jc w:val="both"/>
      </w:pPr>
      <w:r>
        <w:rPr>
          <w:rFonts w:ascii="Arial" w:eastAsia="Arial" w:hAnsi="Arial" w:cs="Arial"/>
          <w:color w:val="000000"/>
          <w:sz w:val="18"/>
          <w:vertAlign w:val="superscript"/>
        </w:rPr>
        <w:t>14 </w:t>
      </w:r>
      <w:bookmarkStart w:id="6427" w:name="Bookmark_fnpara_14_2"/>
      <w:bookmarkEnd w:id="6427"/>
      <w:r>
        <w:rPr>
          <w:rFonts w:ascii="Arial" w:eastAsia="Arial" w:hAnsi="Arial" w:cs="Arial"/>
          <w:color w:val="000000"/>
          <w:sz w:val="18"/>
        </w:rPr>
        <w:t>We need not decide whether plaintiffs or defendants bear the initial burden regarding reasonable accommodation because, even if we accept defendants' argument that plaintiffs bear the initial burden, there is no question that plaintiffs have met that burden here.</w:t>
      </w:r>
    </w:p>
  </w:footnote>
  <w:footnote w:id="269">
    <w:p w14:paraId="55B45FF1" w14:textId="77777777" w:rsidR="002D0E71" w:rsidRDefault="00000000">
      <w:pPr>
        <w:pStyle w:val="Normal42"/>
        <w:widowControl w:val="0"/>
        <w:spacing w:before="200" w:line="240" w:lineRule="atLeast"/>
        <w:jc w:val="both"/>
      </w:pPr>
      <w:r>
        <w:rPr>
          <w:rFonts w:ascii="Arial" w:eastAsia="Arial" w:hAnsi="Arial" w:cs="Arial"/>
          <w:color w:val="000000"/>
          <w:sz w:val="18"/>
          <w:vertAlign w:val="superscript"/>
        </w:rPr>
        <w:t>15 </w:t>
      </w:r>
      <w:bookmarkStart w:id="6439" w:name="Bookmark_fnpara_15_2"/>
      <w:bookmarkEnd w:id="6439"/>
      <w:r>
        <w:rPr>
          <w:rFonts w:ascii="Arial" w:eastAsia="Arial" w:hAnsi="Arial" w:cs="Arial"/>
          <w:i/>
          <w:color w:val="000000"/>
          <w:sz w:val="18"/>
        </w:rPr>
        <w:t xml:space="preserve">See also </w:t>
      </w:r>
      <w:bookmarkStart w:id="6440" w:name="Bookmark_I5CBNK7M2SF7TJ0040000400"/>
      <w:bookmarkEnd w:id="6440"/>
      <w:r>
        <w:rPr>
          <w:rFonts w:ascii="Arial" w:eastAsia="Arial" w:hAnsi="Arial" w:cs="Arial"/>
          <w:i/>
          <w:color w:val="000000"/>
          <w:sz w:val="18"/>
        </w:rPr>
        <w:t>Olmstead v. L.C. ex rel. Zimring</w:t>
      </w:r>
      <w:r>
        <w:rPr>
          <w:rFonts w:ascii="Arial" w:eastAsia="Arial" w:hAnsi="Arial" w:cs="Arial"/>
          <w:color w:val="000000"/>
          <w:sz w:val="18"/>
        </w:rPr>
        <w:t xml:space="preserve">, 527 U.S. 581, 603-04, 119 S. Ct. 2176, 144 L. Ed. 2d 540 (1999)  [**35] (Ginsburg, </w:t>
      </w:r>
      <w:r>
        <w:rPr>
          <w:rFonts w:ascii="Arial" w:eastAsia="Arial" w:hAnsi="Arial" w:cs="Arial"/>
          <w:i/>
          <w:color w:val="000000"/>
          <w:sz w:val="18"/>
        </w:rPr>
        <w:t>J</w:t>
      </w:r>
      <w:r>
        <w:rPr>
          <w:rFonts w:ascii="Arial" w:eastAsia="Arial" w:hAnsi="Arial" w:cs="Arial"/>
          <w:color w:val="000000"/>
          <w:sz w:val="18"/>
        </w:rPr>
        <w:t xml:space="preserve">., plurality opinion) (discussing the reasonable modification regulation as the State's "fundamental-alteration defense"); </w:t>
      </w:r>
      <w:bookmarkStart w:id="6441" w:name="Bookmark_I5CBNK7M2SF7TK0010000400"/>
      <w:bookmarkEnd w:id="6441"/>
      <w:r>
        <w:rPr>
          <w:rFonts w:ascii="Arial" w:eastAsia="Arial" w:hAnsi="Arial" w:cs="Arial"/>
          <w:i/>
          <w:color w:val="000000"/>
          <w:sz w:val="18"/>
        </w:rPr>
        <w:t>id</w:t>
      </w:r>
      <w:r>
        <w:rPr>
          <w:rFonts w:ascii="Arial" w:eastAsia="Arial" w:hAnsi="Arial" w:cs="Arial"/>
          <w:color w:val="000000"/>
          <w:sz w:val="18"/>
        </w:rPr>
        <w:t xml:space="preserve">. at 607 (Stevens, </w:t>
      </w:r>
      <w:r>
        <w:rPr>
          <w:rFonts w:ascii="Arial" w:eastAsia="Arial" w:hAnsi="Arial" w:cs="Arial"/>
          <w:i/>
          <w:color w:val="000000"/>
          <w:sz w:val="18"/>
        </w:rPr>
        <w:t>J</w:t>
      </w:r>
      <w:r>
        <w:rPr>
          <w:rFonts w:ascii="Arial" w:eastAsia="Arial" w:hAnsi="Arial" w:cs="Arial"/>
          <w:color w:val="000000"/>
          <w:sz w:val="18"/>
        </w:rPr>
        <w:t>., concurring) (explaining that a "state may assert, as an affirmative defense, that the requested modification would cause a fundamental alteration of a State's services and programs").</w:t>
      </w:r>
    </w:p>
  </w:footnote>
  <w:footnote w:id="270">
    <w:p w14:paraId="03D17C58" w14:textId="77777777" w:rsidR="002D0E71" w:rsidRDefault="00000000">
      <w:pPr>
        <w:pStyle w:val="Normal42"/>
        <w:widowControl w:val="0"/>
        <w:spacing w:before="120" w:line="240" w:lineRule="atLeast"/>
        <w:jc w:val="both"/>
      </w:pPr>
      <w:r>
        <w:rPr>
          <w:rFonts w:ascii="Arial" w:eastAsia="Arial" w:hAnsi="Arial" w:cs="Arial"/>
          <w:color w:val="000000"/>
          <w:sz w:val="18"/>
          <w:vertAlign w:val="superscript"/>
        </w:rPr>
        <w:t>16 </w:t>
      </w:r>
      <w:bookmarkStart w:id="6458" w:name="Bookmark_fnpara_16_2"/>
      <w:bookmarkEnd w:id="6458"/>
      <w:r>
        <w:rPr>
          <w:rFonts w:ascii="Arial" w:eastAsia="Arial" w:hAnsi="Arial" w:cs="Arial"/>
          <w:color w:val="000000"/>
          <w:sz w:val="18"/>
        </w:rPr>
        <w:t>By way of example, while BOE maintains that it has attempted to survey poll sites over the past several years, it presented no evidence of these surveys. Indeed, the fact that it has only labeled two of 1,300 sites inaccessible, but also concedes that prior to election days 30% of facilities it uses for poll sites are inaccessible, suggests that BOE has much work to do.</w:t>
      </w:r>
    </w:p>
  </w:footnote>
  <w:footnote w:id="271">
    <w:p w14:paraId="169BDCA4" w14:textId="77777777" w:rsidR="002D0E71" w:rsidRDefault="00000000">
      <w:pPr>
        <w:pStyle w:val="Normal42"/>
        <w:widowControl w:val="0"/>
        <w:spacing w:before="200" w:line="240" w:lineRule="atLeast"/>
        <w:jc w:val="both"/>
      </w:pPr>
      <w:r>
        <w:rPr>
          <w:rFonts w:ascii="Arial" w:eastAsia="Arial" w:hAnsi="Arial" w:cs="Arial"/>
          <w:color w:val="000000"/>
          <w:sz w:val="18"/>
          <w:vertAlign w:val="superscript"/>
        </w:rPr>
        <w:t>17 </w:t>
      </w:r>
      <w:bookmarkStart w:id="6483" w:name="Bookmark_fnpara_17_1"/>
      <w:bookmarkEnd w:id="6483"/>
      <w:r>
        <w:rPr>
          <w:rFonts w:ascii="Arial" w:eastAsia="Arial" w:hAnsi="Arial" w:cs="Arial"/>
          <w:i/>
          <w:color w:val="000000"/>
          <w:sz w:val="18"/>
        </w:rPr>
        <w:t>See</w:t>
      </w:r>
      <w:r>
        <w:rPr>
          <w:rFonts w:ascii="Arial" w:eastAsia="Arial" w:hAnsi="Arial" w:cs="Arial"/>
          <w:color w:val="000000"/>
          <w:sz w:val="18"/>
        </w:rPr>
        <w:t xml:space="preserve"> Order, Aug. 15, 2012, ECF No. 107, at 1 (parties required to "meet, at least once, and develop potential remedies as a basis for the . . . hearing before the Court"); Tr. of Hearing on Aug. 27, 2012, 14:10-11, 45:22-25, 46:1-4, Oct. 19, 2012, ECF No. 120 (noting that BOE "has not had an opportunity to reduce [its suggestions] to writing" and giving parties additional time "to get together and talk and work out things that are helpful, with open minds . . . so that when you appear before me [at the next hearing], I will be in a better position to know whether or not some more formal relationship imposed by the Court is the only alternative.");  [**44] Tr. of Hearing on Oct. 15, 2012, 2:20-24, 3:1-19 (noting submissions from parties, including a status report from BOE, but no proposed plan from BOE).</w:t>
      </w:r>
    </w:p>
  </w:footnote>
  <w:footnote w:id="272">
    <w:p w14:paraId="746C3A8B" w14:textId="77777777" w:rsidR="002D0E71" w:rsidRDefault="00000000">
      <w:pPr>
        <w:pStyle w:val="Normal42"/>
        <w:widowControl w:val="0"/>
        <w:spacing w:before="200" w:line="240" w:lineRule="atLeast"/>
        <w:jc w:val="both"/>
      </w:pPr>
      <w:r>
        <w:rPr>
          <w:rFonts w:ascii="Arial" w:eastAsia="Arial" w:hAnsi="Arial" w:cs="Arial"/>
          <w:color w:val="000000"/>
          <w:sz w:val="18"/>
          <w:vertAlign w:val="superscript"/>
        </w:rPr>
        <w:t>18 </w:t>
      </w:r>
      <w:bookmarkStart w:id="6484" w:name="Bookmark_fnpara_18_1"/>
      <w:bookmarkEnd w:id="6484"/>
      <w:r>
        <w:rPr>
          <w:rFonts w:ascii="Arial" w:eastAsia="Arial" w:hAnsi="Arial" w:cs="Arial"/>
          <w:i/>
          <w:color w:val="000000"/>
          <w:sz w:val="18"/>
        </w:rPr>
        <w:t xml:space="preserve">See, e.g., </w:t>
      </w:r>
      <w:bookmarkStart w:id="6485" w:name="Bookmark_I5CBNK7M2D6NY30050000400"/>
      <w:bookmarkEnd w:id="6485"/>
      <w:r>
        <w:rPr>
          <w:rFonts w:ascii="Arial" w:eastAsia="Arial" w:hAnsi="Arial" w:cs="Arial"/>
          <w:i/>
          <w:color w:val="000000"/>
          <w:sz w:val="18"/>
        </w:rPr>
        <w:t>Bell v. Wolfish</w:t>
      </w:r>
      <w:r>
        <w:rPr>
          <w:rFonts w:ascii="Arial" w:eastAsia="Arial" w:hAnsi="Arial" w:cs="Arial"/>
          <w:color w:val="000000"/>
          <w:sz w:val="18"/>
        </w:rPr>
        <w:t xml:space="preserve">, 441 U.S. 520, 547-48, 99 S. Ct. 1861, 60 L. Ed. 2d 447 (1979); </w:t>
      </w:r>
      <w:bookmarkStart w:id="6486" w:name="Bookmark_I5CBNK7M2N1R470020000400"/>
      <w:bookmarkEnd w:id="6486"/>
      <w:r>
        <w:rPr>
          <w:rFonts w:ascii="Arial" w:eastAsia="Arial" w:hAnsi="Arial" w:cs="Arial"/>
          <w:i/>
          <w:color w:val="000000"/>
          <w:sz w:val="18"/>
        </w:rPr>
        <w:t>Dean</w:t>
      </w:r>
      <w:r>
        <w:rPr>
          <w:rFonts w:ascii="Arial" w:eastAsia="Arial" w:hAnsi="Arial" w:cs="Arial"/>
          <w:color w:val="000000"/>
          <w:sz w:val="18"/>
        </w:rPr>
        <w:t>, 804 F.2d at 213-14.</w:t>
      </w:r>
    </w:p>
  </w:footnote>
  <w:footnote w:id="273">
    <w:p w14:paraId="770EE4D2" w14:textId="77777777" w:rsidR="002D0E71" w:rsidRDefault="00000000">
      <w:pPr>
        <w:pStyle w:val="Normal42"/>
        <w:widowControl w:val="0"/>
        <w:spacing w:before="120" w:line="240" w:lineRule="atLeast"/>
        <w:jc w:val="both"/>
      </w:pPr>
      <w:r>
        <w:rPr>
          <w:rFonts w:ascii="Arial" w:eastAsia="Arial" w:hAnsi="Arial" w:cs="Arial"/>
          <w:color w:val="000000"/>
          <w:sz w:val="18"/>
          <w:vertAlign w:val="superscript"/>
        </w:rPr>
        <w:t>19 </w:t>
      </w:r>
      <w:bookmarkStart w:id="6489" w:name="Bookmark_fnpara_19_1"/>
      <w:bookmarkEnd w:id="6489"/>
      <w:r>
        <w:rPr>
          <w:rFonts w:ascii="Arial" w:eastAsia="Arial" w:hAnsi="Arial" w:cs="Arial"/>
          <w:color w:val="000000"/>
          <w:sz w:val="18"/>
        </w:rPr>
        <w:t>Order, Oct. 18, 2012, ECF No. 119, at 3 ("This paragraph does not require the BOE to hire any additional staff at its poll sites.").</w:t>
      </w:r>
    </w:p>
  </w:footnote>
  <w:footnote w:id="274">
    <w:p w14:paraId="116D5616" w14:textId="77777777" w:rsidR="002D0E71" w:rsidRDefault="00000000">
      <w:pPr>
        <w:pStyle w:val="Normal42"/>
        <w:widowControl w:val="0"/>
        <w:spacing w:before="200" w:line="240" w:lineRule="atLeast"/>
        <w:jc w:val="both"/>
      </w:pPr>
      <w:r>
        <w:rPr>
          <w:rFonts w:ascii="Arial" w:eastAsia="Arial" w:hAnsi="Arial" w:cs="Arial"/>
          <w:color w:val="000000"/>
          <w:sz w:val="18"/>
          <w:vertAlign w:val="superscript"/>
        </w:rPr>
        <w:t>20 </w:t>
      </w:r>
      <w:bookmarkStart w:id="6490" w:name="Bookmark_fnpara_20_1"/>
      <w:bookmarkEnd w:id="6490"/>
      <w:r>
        <w:rPr>
          <w:rFonts w:ascii="Arial" w:eastAsia="Arial" w:hAnsi="Arial" w:cs="Arial"/>
          <w:i/>
          <w:color w:val="000000"/>
          <w:sz w:val="18"/>
        </w:rPr>
        <w:t>Id</w:t>
      </w:r>
      <w:r>
        <w:rPr>
          <w:rFonts w:ascii="Arial" w:eastAsia="Arial" w:hAnsi="Arial" w:cs="Arial"/>
          <w:color w:val="000000"/>
          <w:sz w:val="18"/>
        </w:rPr>
        <w:t>. at 2-3 (providing after the November 6, 2012 General Election "BOE may contract with a third-party, mutually agreed upon by the parties, to develop training").</w:t>
      </w:r>
    </w:p>
  </w:footnote>
  <w:footnote w:id="275">
    <w:p w14:paraId="2A8C3EF8" w14:textId="77777777" w:rsidR="002D0E71" w:rsidRDefault="00000000">
      <w:pPr>
        <w:pStyle w:val="Normal43"/>
        <w:widowControl w:val="0"/>
        <w:spacing w:before="120" w:line="240" w:lineRule="atLeast"/>
        <w:jc w:val="both"/>
      </w:pPr>
      <w:r>
        <w:rPr>
          <w:rFonts w:ascii="Arial" w:eastAsia="Arial" w:hAnsi="Arial" w:cs="Arial"/>
          <w:color w:val="000000"/>
          <w:sz w:val="18"/>
          <w:vertAlign w:val="superscript"/>
        </w:rPr>
        <w:t>1 </w:t>
      </w:r>
      <w:bookmarkStart w:id="6542" w:name="Bookmark_fnpara_1_38"/>
      <w:bookmarkEnd w:id="6542"/>
      <w:r>
        <w:rPr>
          <w:rFonts w:ascii="Arial" w:eastAsia="Arial" w:hAnsi="Arial" w:cs="Arial"/>
          <w:color w:val="000000"/>
          <w:sz w:val="18"/>
        </w:rPr>
        <w:t>To the extent that Marks also argues that the failure to post ADA notices in the courthouses contributed to the other injuries that he alleges, it is not plausible that the public presence of the notices would have changed how Marks's requests were handled. No evidence shows that the local coordinator and the judge were not aware of the policy as they were implementing it—indeed, the local coordinator's job description is to enforce the policy. Regardless, as discussed below, the local coordinator and the trial judge fully complied with the policy and reasonably accommodated Marks's disability.</w:t>
      </w:r>
    </w:p>
  </w:footnote>
  <w:footnote w:id="276">
    <w:p w14:paraId="615873AD" w14:textId="77777777" w:rsidR="002D0E71" w:rsidRDefault="00000000">
      <w:pPr>
        <w:pStyle w:val="Normal43"/>
        <w:widowControl w:val="0"/>
        <w:spacing w:before="200" w:line="240" w:lineRule="atLeast"/>
        <w:jc w:val="both"/>
      </w:pPr>
      <w:r>
        <w:rPr>
          <w:rFonts w:ascii="Arial" w:eastAsia="Arial" w:hAnsi="Arial" w:cs="Arial"/>
          <w:color w:val="000000"/>
          <w:sz w:val="18"/>
          <w:vertAlign w:val="superscript"/>
        </w:rPr>
        <w:t>2 </w:t>
      </w:r>
      <w:bookmarkStart w:id="6555" w:name="Bookmark_fnpara_2_34"/>
      <w:bookmarkEnd w:id="6555"/>
      <w:r>
        <w:rPr>
          <w:rFonts w:ascii="Arial" w:eastAsia="Arial" w:hAnsi="Arial" w:cs="Arial"/>
          <w:color w:val="000000"/>
          <w:sz w:val="18"/>
        </w:rPr>
        <w:t xml:space="preserve">Unlike the district court, we do not rely on absolute judicial immunity, because Marks only seeks relief against the State and an agency of the State, such that any award of damages would come only from public funds. The judicial immunity doctrine does not appear to apply, because </w:t>
      </w:r>
      <w:bookmarkStart w:id="6556" w:name="Bookmark_LNHNREFclscc3_36"/>
      <w:bookmarkEnd w:id="6556"/>
      <w:r>
        <w:rPr>
          <w:rFonts w:ascii="Arial" w:eastAsia="Arial" w:hAnsi="Arial" w:cs="Arial"/>
          <w:color w:val="000000"/>
          <w:sz w:val="18"/>
        </w:rPr>
        <w:t xml:space="preserve">that doctrine typically only forbids damages suits against judges, </w:t>
      </w:r>
      <w:bookmarkStart w:id="6557" w:name="Bookmark_I5C30TGJ2HM6RN0020000400"/>
      <w:bookmarkEnd w:id="6557"/>
      <w:r>
        <w:rPr>
          <w:rFonts w:ascii="Arial" w:eastAsia="Arial" w:hAnsi="Arial" w:cs="Arial"/>
          <w:i/>
          <w:color w:val="000000"/>
          <w:sz w:val="18"/>
        </w:rPr>
        <w:t>Cameron v. Seitz</w:t>
      </w:r>
      <w:r>
        <w:rPr>
          <w:rFonts w:ascii="Arial" w:eastAsia="Arial" w:hAnsi="Arial" w:cs="Arial"/>
          <w:color w:val="000000"/>
          <w:sz w:val="18"/>
        </w:rPr>
        <w:t xml:space="preserve">, 38 F.3d 264, 271 (6th Cir. 1994), or officials exercising judicial functions, who are sued in their individual capacity, </w:t>
      </w:r>
      <w:bookmarkStart w:id="6558" w:name="Bookmark_I5C30TGJ2HM6RN0040000400"/>
      <w:bookmarkEnd w:id="6558"/>
      <w:r>
        <w:rPr>
          <w:rFonts w:ascii="Arial" w:eastAsia="Arial" w:hAnsi="Arial" w:cs="Arial"/>
          <w:i/>
          <w:color w:val="000000"/>
          <w:sz w:val="18"/>
        </w:rPr>
        <w:t>Antoine v. Byers &amp; Anderson, Inc.</w:t>
      </w:r>
      <w:r>
        <w:rPr>
          <w:rFonts w:ascii="Arial" w:eastAsia="Arial" w:hAnsi="Arial" w:cs="Arial"/>
          <w:color w:val="000000"/>
          <w:sz w:val="18"/>
        </w:rPr>
        <w:t>, 508 U.S. 429, 435-36, 113 S. Ct. 2167, 124 L. Ed. 2d 391 (1993).</w:t>
      </w:r>
    </w:p>
  </w:footnote>
  <w:footnote w:id="277">
    <w:p w14:paraId="195AADE9" w14:textId="77777777" w:rsidR="002D0E71" w:rsidRDefault="00000000">
      <w:pPr>
        <w:pStyle w:val="Normal44"/>
        <w:widowControl w:val="0"/>
        <w:spacing w:before="200" w:line="240" w:lineRule="atLeast"/>
        <w:jc w:val="both"/>
      </w:pPr>
      <w:r>
        <w:rPr>
          <w:rFonts w:ascii="Arial" w:eastAsia="Arial" w:hAnsi="Arial" w:cs="Arial"/>
          <w:color w:val="000000"/>
          <w:sz w:val="18"/>
          <w:vertAlign w:val="superscript"/>
        </w:rPr>
        <w:t>* </w:t>
      </w:r>
      <w:bookmarkStart w:id="6589" w:name="Bookmark_fnpara_1_39"/>
      <w:bookmarkEnd w:id="6589"/>
      <w:r>
        <w:rPr>
          <w:rFonts w:ascii="Arial" w:eastAsia="Arial" w:hAnsi="Arial" w:cs="Arial"/>
          <w:color w:val="000000"/>
          <w:sz w:val="18"/>
        </w:rPr>
        <w:t xml:space="preserve">After examining the briefs and appellate record, this panel has determined unanimously that oral argument would not materially assist the determination  [**2] of this appeal. </w:t>
      </w:r>
      <w:r>
        <w:rPr>
          <w:rFonts w:ascii="Arial" w:eastAsia="Arial" w:hAnsi="Arial" w:cs="Arial"/>
          <w:color w:val="000000"/>
          <w:sz w:val="18"/>
          <w:u w:val="single"/>
        </w:rPr>
        <w:t>See</w:t>
      </w:r>
      <w:r>
        <w:rPr>
          <w:rFonts w:ascii="Arial" w:eastAsia="Arial" w:hAnsi="Arial" w:cs="Arial"/>
          <w:color w:val="000000"/>
          <w:sz w:val="18"/>
        </w:rPr>
        <w:t xml:space="preserve"> Fed. R. App. P. 34(a)(2); 10th Cir. R. 34.1(G). The case is therefore ordered submitted without oral argument. This order and judgment is not binding precedent, except under the doctrines of law of the case, res judicata, and collateral estoppel. It may be cited, however, for its persuasive value consistent with Fed. R. App. P. 32.1 and 10th Cir. R. 32.1.</w:t>
      </w:r>
    </w:p>
  </w:footnote>
  <w:footnote w:id="278">
    <w:p w14:paraId="46CE7300" w14:textId="77777777" w:rsidR="002D0E71" w:rsidRDefault="00000000">
      <w:pPr>
        <w:pStyle w:val="Normal44"/>
        <w:widowControl w:val="0"/>
        <w:spacing w:before="120" w:line="240" w:lineRule="atLeast"/>
        <w:jc w:val="both"/>
      </w:pPr>
      <w:r>
        <w:rPr>
          <w:rFonts w:ascii="Arial" w:eastAsia="Arial" w:hAnsi="Arial" w:cs="Arial"/>
          <w:color w:val="000000"/>
          <w:sz w:val="18"/>
          <w:vertAlign w:val="superscript"/>
        </w:rPr>
        <w:t>1 </w:t>
      </w:r>
      <w:bookmarkStart w:id="6593" w:name="Bookmark_fnpara_2_35"/>
      <w:bookmarkEnd w:id="6593"/>
      <w:r>
        <w:rPr>
          <w:rFonts w:ascii="Arial" w:eastAsia="Arial" w:hAnsi="Arial" w:cs="Arial"/>
          <w:color w:val="000000"/>
          <w:sz w:val="18"/>
        </w:rPr>
        <w:t>The issues on appeal concern only Turner's claims against the individual defendants in their official capacities. Turner does not dispute the district court's dismissal of his claims against these defendants in their individual capacities.</w:t>
      </w:r>
    </w:p>
  </w:footnote>
  <w:footnote w:id="279">
    <w:p w14:paraId="791E990B" w14:textId="77777777" w:rsidR="002D0E71" w:rsidRDefault="00000000">
      <w:pPr>
        <w:pStyle w:val="Normal44"/>
        <w:widowControl w:val="0"/>
        <w:spacing w:before="200" w:line="240" w:lineRule="atLeast"/>
        <w:jc w:val="both"/>
      </w:pPr>
      <w:r>
        <w:rPr>
          <w:rFonts w:ascii="Arial" w:eastAsia="Arial" w:hAnsi="Arial" w:cs="Arial"/>
          <w:color w:val="000000"/>
          <w:sz w:val="18"/>
          <w:vertAlign w:val="superscript"/>
        </w:rPr>
        <w:t>2 </w:t>
      </w:r>
      <w:bookmarkStart w:id="6594" w:name="Bookmark_fnpara_3_28"/>
      <w:bookmarkStart w:id="6595" w:name="Bookmark_I5C1PV5W2HM6WW0010000400"/>
      <w:bookmarkEnd w:id="6594"/>
      <w:bookmarkEnd w:id="6595"/>
      <w:r>
        <w:rPr>
          <w:rFonts w:ascii="Arial" w:eastAsia="Arial" w:hAnsi="Arial" w:cs="Arial"/>
          <w:color w:val="000000"/>
          <w:sz w:val="18"/>
          <w:u w:val="single"/>
        </w:rPr>
        <w:t>209 U.S. 123, 28 S. Ct. 441, 52 L. Ed. 714 (</w:t>
      </w:r>
      <w:r>
        <w:rPr>
          <w:rFonts w:ascii="Arial" w:eastAsia="Arial" w:hAnsi="Arial" w:cs="Arial"/>
          <w:color w:val="000000"/>
          <w:sz w:val="18"/>
        </w:rPr>
        <w:t>1908).</w:t>
      </w:r>
    </w:p>
  </w:footnote>
  <w:footnote w:id="280">
    <w:p w14:paraId="25E2373B" w14:textId="77777777" w:rsidR="002D0E71" w:rsidRDefault="00000000">
      <w:pPr>
        <w:pStyle w:val="Normal44"/>
        <w:widowControl w:val="0"/>
        <w:spacing w:before="200" w:line="240" w:lineRule="atLeast"/>
        <w:jc w:val="both"/>
      </w:pPr>
      <w:r>
        <w:rPr>
          <w:rFonts w:ascii="Arial" w:eastAsia="Arial" w:hAnsi="Arial" w:cs="Arial"/>
          <w:color w:val="000000"/>
          <w:sz w:val="18"/>
          <w:vertAlign w:val="superscript"/>
        </w:rPr>
        <w:t>3 </w:t>
      </w:r>
      <w:bookmarkStart w:id="6741" w:name="Bookmark_fnpara_4_26"/>
      <w:bookmarkStart w:id="6742" w:name="Bookmark_I5C1PV5X2HM6X00040000400"/>
      <w:bookmarkEnd w:id="6741"/>
      <w:bookmarkEnd w:id="6742"/>
      <w:r>
        <w:rPr>
          <w:rFonts w:ascii="Arial" w:eastAsia="Arial" w:hAnsi="Arial" w:cs="Arial"/>
          <w:color w:val="000000"/>
          <w:sz w:val="18"/>
        </w:rPr>
        <w:t xml:space="preserve">Turner contends that because the Council submitted affidavits and other materials outside the complaint in support of its motion, the district court erred in not converting the Council's motion to one for summary judgment. But the district court did not rely on any of those materials in disposing of Turner's claims, making conversion unnecessary. </w:t>
      </w:r>
      <w:r>
        <w:rPr>
          <w:rFonts w:ascii="Arial" w:eastAsia="Arial" w:hAnsi="Arial" w:cs="Arial"/>
          <w:color w:val="000000"/>
          <w:sz w:val="18"/>
          <w:u w:val="single"/>
        </w:rPr>
        <w:t xml:space="preserve">See </w:t>
      </w:r>
      <w:bookmarkStart w:id="6743" w:name="Bookmark_I5C1PV5X2HM6X00030000400"/>
      <w:bookmarkEnd w:id="6743"/>
      <w:r>
        <w:rPr>
          <w:rFonts w:ascii="Arial" w:eastAsia="Arial" w:hAnsi="Arial" w:cs="Arial"/>
          <w:color w:val="000000"/>
          <w:sz w:val="18"/>
          <w:u w:val="single"/>
        </w:rPr>
        <w:t>Alexander v. Oklahoma</w:t>
      </w:r>
      <w:r>
        <w:rPr>
          <w:rFonts w:ascii="Arial" w:eastAsia="Arial" w:hAnsi="Arial" w:cs="Arial"/>
          <w:color w:val="000000"/>
          <w:sz w:val="18"/>
        </w:rPr>
        <w:t xml:space="preserve">, 382 F.3d 1206, 1214 (10th Cir. 2004) (if materials outside complaint were submitted to district court and court did not expressly exclude them, appellate court "must find that the District Court relied on this material in rendering its decision" in order to convert motion to dismiss into motion for summary judgment); </w:t>
      </w:r>
      <w:r>
        <w:rPr>
          <w:rFonts w:ascii="Arial" w:eastAsia="Arial" w:hAnsi="Arial" w:cs="Arial"/>
          <w:color w:val="000000"/>
          <w:sz w:val="18"/>
          <w:u w:val="single"/>
        </w:rPr>
        <w:t xml:space="preserve">cf. </w:t>
      </w:r>
      <w:bookmarkStart w:id="6744" w:name="Bookmark_I5C1PV5X2HM6X00050000400"/>
      <w:bookmarkEnd w:id="6744"/>
      <w:r>
        <w:rPr>
          <w:rFonts w:ascii="Arial" w:eastAsia="Arial" w:hAnsi="Arial" w:cs="Arial"/>
          <w:color w:val="000000"/>
          <w:sz w:val="18"/>
          <w:u w:val="single"/>
        </w:rPr>
        <w:t>Gee</w:t>
      </w:r>
      <w:r>
        <w:rPr>
          <w:rFonts w:ascii="Arial" w:eastAsia="Arial" w:hAnsi="Arial" w:cs="Arial"/>
          <w:color w:val="000000"/>
          <w:sz w:val="18"/>
        </w:rPr>
        <w:t>, 627 F.3d at 1187 (district court's failure to exclude materials outside complaint "is [not] reversible error [if] the dismissal can be justified without considering the  [**23] outside materials" (alterations in original) (quotation omitted)).</w:t>
      </w:r>
    </w:p>
  </w:footnote>
  <w:footnote w:id="281">
    <w:p w14:paraId="726D8C33" w14:textId="77777777" w:rsidR="002D0E71" w:rsidRDefault="00000000">
      <w:pPr>
        <w:pStyle w:val="Normal44"/>
        <w:widowControl w:val="0"/>
        <w:spacing w:before="200" w:line="240" w:lineRule="atLeast"/>
        <w:jc w:val="both"/>
      </w:pPr>
      <w:r>
        <w:rPr>
          <w:rFonts w:ascii="Arial" w:eastAsia="Arial" w:hAnsi="Arial" w:cs="Arial"/>
          <w:color w:val="000000"/>
          <w:sz w:val="18"/>
          <w:vertAlign w:val="superscript"/>
        </w:rPr>
        <w:t>4 </w:t>
      </w:r>
      <w:bookmarkStart w:id="6760" w:name="Bookmark_fnpara_5_21"/>
      <w:bookmarkStart w:id="6761" w:name="Bookmark_I5C1PV5X28T4SM0040000400"/>
      <w:bookmarkEnd w:id="6760"/>
      <w:bookmarkEnd w:id="6761"/>
      <w:r>
        <w:rPr>
          <w:rFonts w:ascii="Arial" w:eastAsia="Arial" w:hAnsi="Arial" w:cs="Arial"/>
          <w:color w:val="000000"/>
          <w:sz w:val="18"/>
        </w:rPr>
        <w:t xml:space="preserve">In his reply brief, Turner also contends that an appeal would have given him an opportunity to complain to the Council about the CAT format. We do not consider arguments raised for the first time in a reply brief. </w:t>
      </w:r>
      <w:bookmarkStart w:id="6762" w:name="Bookmark_I5C1PV5X28T4SM0030000400"/>
      <w:bookmarkEnd w:id="6762"/>
      <w:r>
        <w:rPr>
          <w:rFonts w:ascii="Arial" w:eastAsia="Arial" w:hAnsi="Arial" w:cs="Arial"/>
          <w:color w:val="000000"/>
          <w:sz w:val="18"/>
          <w:u w:val="single"/>
        </w:rPr>
        <w:t>Mays v. Colvin</w:t>
      </w:r>
      <w:r>
        <w:rPr>
          <w:rFonts w:ascii="Arial" w:eastAsia="Arial" w:hAnsi="Arial" w:cs="Arial"/>
          <w:color w:val="000000"/>
          <w:sz w:val="18"/>
        </w:rPr>
        <w:t>, 739 F.3d 569, 576 n.3 (10th Cir. 2014). In any event, the Council's failure to give Turner an appeal would not be actionable under the ADA because he does not allege that he failed the exam as a result of any flaws in the CAT format that were related to his dyslexia.</w:t>
      </w:r>
    </w:p>
  </w:footnote>
  <w:footnote w:id="282">
    <w:p w14:paraId="6FA88273" w14:textId="77777777" w:rsidR="002D0E71" w:rsidRDefault="00000000">
      <w:pPr>
        <w:pStyle w:val="Normal45"/>
        <w:widowControl w:val="0"/>
        <w:spacing w:before="120" w:line="240" w:lineRule="atLeast"/>
        <w:jc w:val="both"/>
      </w:pPr>
      <w:r>
        <w:rPr>
          <w:rFonts w:ascii="Arial" w:eastAsia="Arial" w:hAnsi="Arial" w:cs="Arial"/>
          <w:color w:val="000000"/>
          <w:sz w:val="18"/>
          <w:vertAlign w:val="superscript"/>
        </w:rPr>
        <w:t>* </w:t>
      </w:r>
      <w:bookmarkStart w:id="6776" w:name="Bookmark_fnpara_1_40"/>
      <w:bookmarkEnd w:id="6776"/>
      <w:r>
        <w:rPr>
          <w:rFonts w:ascii="Arial" w:eastAsia="Arial" w:hAnsi="Arial" w:cs="Arial"/>
          <w:color w:val="000000"/>
          <w:sz w:val="18"/>
        </w:rPr>
        <w:t>This summary constitutes no part of the opinion of the court. It has been prepared by court staff for the convenience of the reader.</w:t>
      </w:r>
    </w:p>
  </w:footnote>
  <w:footnote w:id="283">
    <w:p w14:paraId="2EA174C8" w14:textId="77777777" w:rsidR="002D0E71" w:rsidRDefault="00000000">
      <w:pPr>
        <w:pStyle w:val="Normal45"/>
        <w:widowControl w:val="0"/>
        <w:spacing w:before="120" w:line="240" w:lineRule="atLeast"/>
        <w:jc w:val="both"/>
      </w:pPr>
      <w:r>
        <w:rPr>
          <w:rFonts w:ascii="Arial" w:eastAsia="Arial" w:hAnsi="Arial" w:cs="Arial"/>
          <w:color w:val="000000"/>
          <w:sz w:val="18"/>
          <w:vertAlign w:val="superscript"/>
        </w:rPr>
        <w:t>1 </w:t>
      </w:r>
      <w:bookmarkStart w:id="6813" w:name="Bookmark_fnpara_2_36"/>
      <w:bookmarkEnd w:id="6813"/>
      <w:r>
        <w:rPr>
          <w:rFonts w:ascii="Arial" w:eastAsia="Arial" w:hAnsi="Arial" w:cs="Arial"/>
          <w:color w:val="000000"/>
          <w:sz w:val="18"/>
        </w:rPr>
        <w:t>Whether Hodge told the officers that no one else was in the building appears to be disputed, but for purposes of evaluating the defendants' motion for summary judgment we view the evidence in the light most favorable to Sheehan, the nonmoving party.</w:t>
      </w:r>
    </w:p>
  </w:footnote>
  <w:footnote w:id="284">
    <w:p w14:paraId="0309F201" w14:textId="77777777" w:rsidR="002D0E71" w:rsidRDefault="00000000">
      <w:pPr>
        <w:pStyle w:val="Normal45"/>
        <w:widowControl w:val="0"/>
        <w:spacing w:before="200" w:line="240" w:lineRule="atLeast"/>
        <w:jc w:val="both"/>
      </w:pPr>
      <w:r>
        <w:rPr>
          <w:rFonts w:ascii="Arial" w:eastAsia="Arial" w:hAnsi="Arial" w:cs="Arial"/>
          <w:color w:val="000000"/>
          <w:sz w:val="18"/>
          <w:vertAlign w:val="superscript"/>
        </w:rPr>
        <w:t>2 </w:t>
      </w:r>
      <w:bookmarkStart w:id="6819" w:name="Bookmark_fnpara_3_29"/>
      <w:bookmarkEnd w:id="6819"/>
      <w:r>
        <w:rPr>
          <w:rFonts w:ascii="Arial" w:eastAsia="Arial" w:hAnsi="Arial" w:cs="Arial"/>
          <w:color w:val="000000"/>
          <w:sz w:val="18"/>
        </w:rPr>
        <w:t>Sheehan's appellate briefs acknowledge that her deposition testimony was conflicting and inconsistent. Her briefs state that "there were obvious gaping inconsistencies in her testimony," and that her "testimony also smacks of irrationality that begs the question  [**15] whether any of it is credible." They say that "the inherent inconsistencies in her testimony cast suspicion over all of it." With respect to some events, in fact, Sheehan's briefs adopt the officers' version of events rather than Sheehan's own.</w:t>
      </w:r>
    </w:p>
  </w:footnote>
  <w:footnote w:id="285">
    <w:p w14:paraId="2F95BF92" w14:textId="77777777" w:rsidR="002D0E71" w:rsidRDefault="00000000">
      <w:pPr>
        <w:pStyle w:val="Normal45"/>
        <w:widowControl w:val="0"/>
        <w:spacing w:before="120" w:line="240" w:lineRule="atLeast"/>
        <w:jc w:val="both"/>
      </w:pPr>
      <w:r>
        <w:rPr>
          <w:rFonts w:ascii="Arial" w:eastAsia="Arial" w:hAnsi="Arial" w:cs="Arial"/>
          <w:color w:val="000000"/>
          <w:sz w:val="18"/>
          <w:vertAlign w:val="superscript"/>
        </w:rPr>
        <w:t>3 </w:t>
      </w:r>
      <w:bookmarkStart w:id="6822" w:name="Bookmark_fnpara_4_27"/>
      <w:bookmarkEnd w:id="6822"/>
      <w:r>
        <w:rPr>
          <w:rFonts w:ascii="Arial" w:eastAsia="Arial" w:hAnsi="Arial" w:cs="Arial"/>
          <w:color w:val="000000"/>
          <w:sz w:val="18"/>
        </w:rPr>
        <w:t>The officers used considerable force in gaining entry. Sergeant Reynolds first tried to get the door open, presumably by kicking and shouldering it, without success. When she could not force it open, Officer Holder took over. She unsuccessfully tried to kick it open. She then resorted to using her shoulder. After four to six such attempts, the door finally budged. The officers also had their firearms drawn, itself a significant use of force.</w:t>
      </w:r>
    </w:p>
  </w:footnote>
  <w:footnote w:id="286">
    <w:p w14:paraId="1EE30827" w14:textId="77777777" w:rsidR="002D0E71" w:rsidRDefault="00000000">
      <w:pPr>
        <w:pStyle w:val="Normal45"/>
        <w:widowControl w:val="0"/>
        <w:spacing w:before="200" w:line="240" w:lineRule="atLeast"/>
        <w:jc w:val="both"/>
      </w:pPr>
      <w:r>
        <w:rPr>
          <w:rFonts w:ascii="Arial" w:eastAsia="Arial" w:hAnsi="Arial" w:cs="Arial"/>
          <w:color w:val="000000"/>
          <w:sz w:val="18"/>
          <w:vertAlign w:val="superscript"/>
        </w:rPr>
        <w:t>4 </w:t>
      </w:r>
      <w:bookmarkStart w:id="6882" w:name="Bookmark_fnpara_5_22"/>
      <w:bookmarkStart w:id="6883" w:name="Bookmark_I5BRCY9628T4P40010000400"/>
      <w:bookmarkEnd w:id="6882"/>
      <w:bookmarkEnd w:id="6883"/>
      <w:r>
        <w:rPr>
          <w:rFonts w:ascii="Arial" w:eastAsia="Arial" w:hAnsi="Arial" w:cs="Arial"/>
          <w:color w:val="000000"/>
          <w:sz w:val="18"/>
        </w:rPr>
        <w:t xml:space="preserve">It also immaterial whether we characterize the officers' entry as a search or a seizure. Regardless, they were required to use reasonable force. </w:t>
      </w:r>
      <w:r>
        <w:rPr>
          <w:rFonts w:ascii="Arial" w:eastAsia="Arial" w:hAnsi="Arial" w:cs="Arial"/>
          <w:i/>
          <w:color w:val="000000"/>
          <w:sz w:val="18"/>
        </w:rPr>
        <w:t xml:space="preserve">See </w:t>
      </w:r>
      <w:bookmarkStart w:id="6884" w:name="Bookmark_I5BRCY8V2N1RJR0050000400"/>
      <w:bookmarkEnd w:id="6884"/>
      <w:r>
        <w:rPr>
          <w:rFonts w:ascii="Arial" w:eastAsia="Arial" w:hAnsi="Arial" w:cs="Arial"/>
          <w:i/>
          <w:color w:val="000000"/>
          <w:sz w:val="18"/>
        </w:rPr>
        <w:t>Hopkins</w:t>
      </w:r>
      <w:r>
        <w:rPr>
          <w:rFonts w:ascii="Arial" w:eastAsia="Arial" w:hAnsi="Arial" w:cs="Arial"/>
          <w:color w:val="000000"/>
          <w:sz w:val="18"/>
        </w:rPr>
        <w:t>, 573 F.3d at 776 (</w:t>
      </w:r>
      <w:bookmarkStart w:id="6885" w:name="Bookmark_LNHNREFclscc17_11"/>
      <w:bookmarkEnd w:id="6885"/>
      <w:r>
        <w:rPr>
          <w:rFonts w:ascii="Arial" w:eastAsia="Arial" w:hAnsi="Arial" w:cs="Arial"/>
          <w:color w:val="000000"/>
          <w:sz w:val="18"/>
        </w:rPr>
        <w:t xml:space="preserve">"It is clearly established that the use of excessive force in effecting a seizure violates the Fourth Amendment."); </w:t>
      </w:r>
      <w:bookmarkStart w:id="6886" w:name="Bookmark_I5BRCY9628T4P40020000400"/>
      <w:bookmarkEnd w:id="6886"/>
      <w:r>
        <w:rPr>
          <w:rFonts w:ascii="Arial" w:eastAsia="Arial" w:hAnsi="Arial" w:cs="Arial"/>
          <w:i/>
          <w:color w:val="000000"/>
          <w:sz w:val="18"/>
        </w:rPr>
        <w:t>Boyd v. Benton Cnty</w:t>
      </w:r>
      <w:r>
        <w:rPr>
          <w:rFonts w:ascii="Arial" w:eastAsia="Arial" w:hAnsi="Arial" w:cs="Arial"/>
          <w:color w:val="000000"/>
          <w:sz w:val="18"/>
        </w:rPr>
        <w:t>., 374 F.3d 773, 780 (9th Cir. 2004) ("This Circuit has clearly recognized that the use of excessive force during a search makes that search unreasonable under the Fourth Amendment.").</w:t>
      </w:r>
    </w:p>
  </w:footnote>
  <w:footnote w:id="287">
    <w:p w14:paraId="06BC8EEC" w14:textId="77777777" w:rsidR="002D0E71" w:rsidRDefault="00000000">
      <w:pPr>
        <w:pStyle w:val="Normal45"/>
        <w:widowControl w:val="0"/>
        <w:spacing w:before="200" w:line="240" w:lineRule="atLeast"/>
        <w:jc w:val="both"/>
      </w:pPr>
      <w:r>
        <w:rPr>
          <w:rFonts w:ascii="Arial" w:eastAsia="Arial" w:hAnsi="Arial" w:cs="Arial"/>
          <w:color w:val="000000"/>
          <w:sz w:val="18"/>
          <w:vertAlign w:val="superscript"/>
        </w:rPr>
        <w:t>5 </w:t>
      </w:r>
      <w:bookmarkStart w:id="6909" w:name="Bookmark_fnpara_6_18"/>
      <w:bookmarkStart w:id="6910" w:name="Bookmark_I5BRCYB52D6N1B0050000400"/>
      <w:bookmarkEnd w:id="6909"/>
      <w:bookmarkEnd w:id="6910"/>
      <w:r>
        <w:rPr>
          <w:rFonts w:ascii="Arial" w:eastAsia="Arial" w:hAnsi="Arial" w:cs="Arial"/>
          <w:color w:val="000000"/>
          <w:sz w:val="18"/>
        </w:rPr>
        <w:t xml:space="preserve">Because we hold that the initial entry falls under the emergency aid exception, we need not decide whether the exigent circumstances exception would also apply. Nor need we address whether the officers' warrantless entry may have been covered by a "special need" exception to the warrant requirement. </w:t>
      </w:r>
      <w:bookmarkStart w:id="6911" w:name="Bookmark_I5BRCYBD2N1RG60020000400"/>
      <w:bookmarkEnd w:id="6911"/>
      <w:r>
        <w:rPr>
          <w:rFonts w:ascii="Arial" w:eastAsia="Arial" w:hAnsi="Arial" w:cs="Arial"/>
          <w:color w:val="000000"/>
          <w:sz w:val="18"/>
        </w:rPr>
        <w:t> [**28] </w:t>
      </w:r>
      <w:r>
        <w:rPr>
          <w:rFonts w:ascii="Arial" w:eastAsia="Arial" w:hAnsi="Arial" w:cs="Arial"/>
          <w:i/>
          <w:color w:val="000000"/>
          <w:sz w:val="18"/>
        </w:rPr>
        <w:t xml:space="preserve">See </w:t>
      </w:r>
      <w:bookmarkStart w:id="6912" w:name="Bookmark_I5BRCYB52D6N1B0040000400"/>
      <w:bookmarkEnd w:id="6912"/>
      <w:r>
        <w:rPr>
          <w:rFonts w:ascii="Arial" w:eastAsia="Arial" w:hAnsi="Arial" w:cs="Arial"/>
          <w:i/>
          <w:color w:val="000000"/>
          <w:sz w:val="18"/>
        </w:rPr>
        <w:t>Griffin v. Wisconsin</w:t>
      </w:r>
      <w:r>
        <w:rPr>
          <w:rFonts w:ascii="Arial" w:eastAsia="Arial" w:hAnsi="Arial" w:cs="Arial"/>
          <w:color w:val="000000"/>
          <w:sz w:val="18"/>
        </w:rPr>
        <w:t xml:space="preserve">, 483 U.S. 868, 873, 107 S. Ct. 3164, 97 L. Ed. 2d 709 (1987). </w:t>
      </w:r>
      <w:bookmarkStart w:id="6913" w:name="Bookmark_I5BRCYBD2N1RG60020000400_2"/>
      <w:bookmarkEnd w:id="6913"/>
      <w:r>
        <w:rPr>
          <w:rFonts w:ascii="Arial" w:eastAsia="Arial" w:hAnsi="Arial" w:cs="Arial"/>
          <w:color w:val="000000"/>
          <w:sz w:val="18"/>
        </w:rPr>
        <w:t xml:space="preserve">The First and Third Circuits have held that a special need exception applies when police officers enter a subject's home to take her into custody pursuant to a state law authorizing emergency hospitalization of a person suffering from mental illness. </w:t>
      </w:r>
      <w:r>
        <w:rPr>
          <w:rFonts w:ascii="Arial" w:eastAsia="Arial" w:hAnsi="Arial" w:cs="Arial"/>
          <w:i/>
          <w:color w:val="000000"/>
          <w:sz w:val="18"/>
        </w:rPr>
        <w:t xml:space="preserve">See </w:t>
      </w:r>
      <w:bookmarkStart w:id="6914" w:name="Bookmark_I5BRCYBD2N1RG60010000400"/>
      <w:bookmarkEnd w:id="6914"/>
      <w:r>
        <w:rPr>
          <w:rFonts w:ascii="Arial" w:eastAsia="Arial" w:hAnsi="Arial" w:cs="Arial"/>
          <w:i/>
          <w:color w:val="000000"/>
          <w:sz w:val="18"/>
        </w:rPr>
        <w:t>Doby v. DeCrescenzo</w:t>
      </w:r>
      <w:r>
        <w:rPr>
          <w:rFonts w:ascii="Arial" w:eastAsia="Arial" w:hAnsi="Arial" w:cs="Arial"/>
          <w:color w:val="000000"/>
          <w:sz w:val="18"/>
        </w:rPr>
        <w:t xml:space="preserve">, 171 F.3d 858, 872 (3d Cir. 1999); </w:t>
      </w:r>
      <w:bookmarkStart w:id="6915" w:name="Bookmark_I5BRCYBD2N1RG60030000400"/>
      <w:bookmarkEnd w:id="6915"/>
      <w:r>
        <w:rPr>
          <w:rFonts w:ascii="Arial" w:eastAsia="Arial" w:hAnsi="Arial" w:cs="Arial"/>
          <w:i/>
          <w:color w:val="000000"/>
          <w:sz w:val="18"/>
        </w:rPr>
        <w:t>McCabe v. Life-Line Ambulance Serv., Inc</w:t>
      </w:r>
      <w:r>
        <w:rPr>
          <w:rFonts w:ascii="Arial" w:eastAsia="Arial" w:hAnsi="Arial" w:cs="Arial"/>
          <w:color w:val="000000"/>
          <w:sz w:val="18"/>
        </w:rPr>
        <w:t>., 77 F.3d 540, 553 (1st Cir. 1996). The parties have not raised that issue here, however.</w:t>
      </w:r>
    </w:p>
  </w:footnote>
  <w:footnote w:id="288">
    <w:p w14:paraId="0AC3A38B" w14:textId="77777777" w:rsidR="002D0E71" w:rsidRDefault="00000000">
      <w:pPr>
        <w:pStyle w:val="Normal45"/>
        <w:widowControl w:val="0"/>
        <w:spacing w:before="200" w:line="240" w:lineRule="atLeast"/>
        <w:jc w:val="both"/>
      </w:pPr>
      <w:r>
        <w:rPr>
          <w:rFonts w:ascii="Arial" w:eastAsia="Arial" w:hAnsi="Arial" w:cs="Arial"/>
          <w:color w:val="000000"/>
          <w:sz w:val="18"/>
          <w:vertAlign w:val="superscript"/>
        </w:rPr>
        <w:t>6 </w:t>
      </w:r>
      <w:bookmarkStart w:id="6920" w:name="Bookmark_fnpara_7_16"/>
      <w:bookmarkStart w:id="6921" w:name="Bookmark_LNHNREFclscc22_6"/>
      <w:bookmarkEnd w:id="6920"/>
      <w:bookmarkEnd w:id="6921"/>
      <w:r>
        <w:rPr>
          <w:rFonts w:ascii="Arial" w:eastAsia="Arial" w:hAnsi="Arial" w:cs="Arial"/>
          <w:color w:val="000000"/>
          <w:sz w:val="18"/>
        </w:rPr>
        <w:t xml:space="preserve">The two prongs of the emergency aid exception address distinct Fourth Amendment requirements. The first prong — whether law enforcement had an objectively reasonable basis for concluding that there was an immediate need to protect others or themselves from serious harm — addresses whether the officers proceeded lawfully by acting without a warrant. </w:t>
      </w:r>
      <w:bookmarkStart w:id="6922" w:name="Bookmark_I5BRCYCN28T4T70010000400"/>
      <w:bookmarkEnd w:id="6922"/>
      <w:r>
        <w:rPr>
          <w:rFonts w:ascii="Arial" w:eastAsia="Arial" w:hAnsi="Arial" w:cs="Arial"/>
          <w:color w:val="000000"/>
          <w:sz w:val="18"/>
        </w:rPr>
        <w:t xml:space="preserve">The second prong — whether the search's scope and manner were reasonable to meet the need — addresses whether, even if a warrant was not required, the officers carried out the search or seizure in an unreasonable manner. A search or seizure comports with the Fourth Amendment only if both prongs are satisfied. </w:t>
      </w:r>
      <w:r>
        <w:rPr>
          <w:rFonts w:ascii="Arial" w:eastAsia="Arial" w:hAnsi="Arial" w:cs="Arial"/>
          <w:i/>
          <w:color w:val="000000"/>
          <w:sz w:val="18"/>
        </w:rPr>
        <w:t xml:space="preserve">Cf. </w:t>
      </w:r>
      <w:bookmarkStart w:id="6923" w:name="Bookmark_I5BRCYC92D6NJT0050000400"/>
      <w:bookmarkEnd w:id="6923"/>
      <w:r>
        <w:rPr>
          <w:rFonts w:ascii="Arial" w:eastAsia="Arial" w:hAnsi="Arial" w:cs="Arial"/>
          <w:i/>
          <w:color w:val="000000"/>
          <w:sz w:val="18"/>
        </w:rPr>
        <w:t>Fisher</w:t>
      </w:r>
      <w:r>
        <w:rPr>
          <w:rFonts w:ascii="Arial" w:eastAsia="Arial" w:hAnsi="Arial" w:cs="Arial"/>
          <w:color w:val="000000"/>
          <w:sz w:val="18"/>
        </w:rPr>
        <w:t>, 558 F.3d at 1080, 1084 (holding that the Fourth Amendment's warrant requirement was satisfied under the exigent circumstances exception but that the officers still could be liable for carrying out the seizure in an unreasonable manner). The first prong is satisfied here, justifying the officers for acting without a warrant. But there are triable issues as to whether the second  [**31] prong is satisfied.</w:t>
      </w:r>
    </w:p>
  </w:footnote>
  <w:footnote w:id="289">
    <w:p w14:paraId="0E65BAA1" w14:textId="77777777" w:rsidR="002D0E71" w:rsidRDefault="00000000">
      <w:pPr>
        <w:pStyle w:val="Normal45"/>
        <w:widowControl w:val="0"/>
        <w:spacing w:before="200" w:line="240" w:lineRule="atLeast"/>
        <w:jc w:val="both"/>
      </w:pPr>
      <w:r>
        <w:rPr>
          <w:rFonts w:ascii="Arial" w:eastAsia="Arial" w:hAnsi="Arial" w:cs="Arial"/>
          <w:color w:val="000000"/>
          <w:sz w:val="18"/>
          <w:vertAlign w:val="superscript"/>
        </w:rPr>
        <w:t>7 </w:t>
      </w:r>
      <w:bookmarkStart w:id="6930" w:name="Bookmark_fnpara_8_15"/>
      <w:bookmarkStart w:id="6931" w:name="Bookmark_I5BRCYCN28T4T70030000400"/>
      <w:bookmarkEnd w:id="6930"/>
      <w:bookmarkEnd w:id="6931"/>
      <w:r>
        <w:rPr>
          <w:rFonts w:ascii="Arial" w:eastAsia="Arial" w:hAnsi="Arial" w:cs="Arial"/>
          <w:color w:val="000000"/>
          <w:sz w:val="18"/>
        </w:rPr>
        <w:t xml:space="preserve">Although the continuous search doctrine applies here, </w:t>
      </w:r>
      <w:bookmarkStart w:id="6932" w:name="Bookmark_LNHNREFclscc23_5"/>
      <w:bookmarkEnd w:id="6932"/>
      <w:r>
        <w:rPr>
          <w:rFonts w:ascii="Arial" w:eastAsia="Arial" w:hAnsi="Arial" w:cs="Arial"/>
          <w:color w:val="000000"/>
          <w:sz w:val="18"/>
        </w:rPr>
        <w:t xml:space="preserve">that doctrine speaks only to the warrant requirement, not to the separate requirement that officers carry out a search or seizure in a reasonable manner. </w:t>
      </w:r>
      <w:r>
        <w:rPr>
          <w:rFonts w:ascii="Arial" w:eastAsia="Arial" w:hAnsi="Arial" w:cs="Arial"/>
          <w:i/>
          <w:color w:val="000000"/>
          <w:sz w:val="18"/>
        </w:rPr>
        <w:t xml:space="preserve">See </w:t>
      </w:r>
      <w:bookmarkStart w:id="6933" w:name="Bookmark_I5BRCYCN28T4T70020000400"/>
      <w:bookmarkEnd w:id="6933"/>
      <w:r>
        <w:rPr>
          <w:rFonts w:ascii="Arial" w:eastAsia="Arial" w:hAnsi="Arial" w:cs="Arial"/>
          <w:i/>
          <w:color w:val="000000"/>
          <w:sz w:val="18"/>
        </w:rPr>
        <w:t>Fisher</w:t>
      </w:r>
      <w:r>
        <w:rPr>
          <w:rFonts w:ascii="Arial" w:eastAsia="Arial" w:hAnsi="Arial" w:cs="Arial"/>
          <w:color w:val="000000"/>
          <w:sz w:val="18"/>
        </w:rPr>
        <w:t xml:space="preserve">, 558 F.3d at 1084. Thus, although the officers were not required to reassess the existence of an emergency or the need for a warrant periodically, they were required </w:t>
      </w:r>
      <w:r>
        <w:rPr>
          <w:rFonts w:ascii="Arial" w:eastAsia="Arial" w:hAnsi="Arial" w:cs="Arial"/>
          <w:i/>
          <w:color w:val="000000"/>
          <w:sz w:val="18"/>
        </w:rPr>
        <w:t>at all times</w:t>
      </w:r>
      <w:r>
        <w:rPr>
          <w:rFonts w:ascii="Arial" w:eastAsia="Arial" w:hAnsi="Arial" w:cs="Arial"/>
          <w:color w:val="000000"/>
          <w:sz w:val="18"/>
        </w:rPr>
        <w:t xml:space="preserve"> to conduct the search or seizure in a reasonable manner.</w:t>
      </w:r>
    </w:p>
  </w:footnote>
  <w:footnote w:id="290">
    <w:p w14:paraId="6FB56FA1" w14:textId="77777777" w:rsidR="002D0E71" w:rsidRDefault="00000000">
      <w:pPr>
        <w:pStyle w:val="Normal45"/>
        <w:widowControl w:val="0"/>
        <w:spacing w:before="200" w:line="240" w:lineRule="atLeast"/>
        <w:jc w:val="both"/>
      </w:pPr>
      <w:r>
        <w:rPr>
          <w:rFonts w:ascii="Arial" w:eastAsia="Arial" w:hAnsi="Arial" w:cs="Arial"/>
          <w:color w:val="000000"/>
          <w:sz w:val="18"/>
          <w:vertAlign w:val="superscript"/>
        </w:rPr>
        <w:t>8 </w:t>
      </w:r>
      <w:bookmarkStart w:id="6934" w:name="Bookmark_fnpara_9_13"/>
      <w:bookmarkEnd w:id="6934"/>
      <w:r>
        <w:rPr>
          <w:rFonts w:ascii="Arial" w:eastAsia="Arial" w:hAnsi="Arial" w:cs="Arial"/>
          <w:color w:val="000000"/>
          <w:sz w:val="18"/>
        </w:rPr>
        <w:t xml:space="preserve">Because we hold that the absence of a warrant was justified under both the emergency aid exception and the continuous search doctrine, we need not address whether the exigent circumstances exception applies to the second entry. </w:t>
      </w:r>
      <w:bookmarkStart w:id="6935" w:name="Bookmark_I5BRCYCN28T4T70050000400"/>
      <w:bookmarkEnd w:id="6935"/>
      <w:r>
        <w:rPr>
          <w:rFonts w:ascii="Arial" w:eastAsia="Arial" w:hAnsi="Arial" w:cs="Arial"/>
          <w:color w:val="000000"/>
          <w:sz w:val="18"/>
        </w:rPr>
        <w:t xml:space="preserve">Whether as a matter of law it would apply is at least questionable. By the time of the second entry, the officers had probable cause to believe Sheehan had committed a crime by threatening the officers. Arguably, the officers could have avoided harm to themselves by retreating a safe distance from the door; the knife was not in imminent danger of destruction; there was no "hot pursuit" given that Sheehan "was already inside the [room] when the police officers arrived," </w:t>
      </w:r>
      <w:bookmarkStart w:id="6936" w:name="Bookmark_I5BRCYCN28T4T70040000400"/>
      <w:bookmarkEnd w:id="6936"/>
      <w:r>
        <w:rPr>
          <w:rFonts w:ascii="Arial" w:eastAsia="Arial" w:hAnsi="Arial" w:cs="Arial"/>
          <w:i/>
          <w:color w:val="000000"/>
          <w:sz w:val="18"/>
        </w:rPr>
        <w:t>Struckman</w:t>
      </w:r>
      <w:r>
        <w:rPr>
          <w:rFonts w:ascii="Arial" w:eastAsia="Arial" w:hAnsi="Arial" w:cs="Arial"/>
          <w:color w:val="000000"/>
          <w:sz w:val="18"/>
        </w:rPr>
        <w:t>, 603 F.3d at 744;  [**32] and given that Hodge had informed them that the only way out of the room was an inaccessible second story window, and Sheehan had shown no interest in leaving her room, there was no reason to fear Sheehan's escape.</w:t>
      </w:r>
    </w:p>
  </w:footnote>
  <w:footnote w:id="291">
    <w:p w14:paraId="1E8855B9" w14:textId="77777777" w:rsidR="002D0E71" w:rsidRDefault="00000000">
      <w:pPr>
        <w:pStyle w:val="Normal45"/>
        <w:widowControl w:val="0"/>
        <w:spacing w:before="200" w:line="240" w:lineRule="atLeast"/>
        <w:jc w:val="both"/>
      </w:pPr>
      <w:r>
        <w:rPr>
          <w:rFonts w:ascii="Arial" w:eastAsia="Arial" w:hAnsi="Arial" w:cs="Arial"/>
          <w:color w:val="000000"/>
          <w:sz w:val="18"/>
          <w:vertAlign w:val="superscript"/>
        </w:rPr>
        <w:t>9 </w:t>
      </w:r>
      <w:bookmarkStart w:id="6942" w:name="Bookmark_fnpara_10_10"/>
      <w:bookmarkStart w:id="6943" w:name="Bookmark_I5BRCYD62SF7RF0010000400"/>
      <w:bookmarkEnd w:id="6942"/>
      <w:bookmarkEnd w:id="6943"/>
      <w:r>
        <w:rPr>
          <w:rFonts w:ascii="Arial" w:eastAsia="Arial" w:hAnsi="Arial" w:cs="Arial"/>
          <w:color w:val="000000"/>
          <w:sz w:val="18"/>
        </w:rPr>
        <w:t xml:space="preserve">In examining whether the officers conducted the search or seizure in a reasonable manner at the point of the second entry,  [**33] we do not focus on the amount of force they employed to force open the door (considerable) and that they did so with their firearms drawn (itself a significant use of force). </w:t>
      </w:r>
      <w:r>
        <w:rPr>
          <w:rFonts w:ascii="Arial" w:eastAsia="Arial" w:hAnsi="Arial" w:cs="Arial"/>
          <w:i/>
          <w:color w:val="000000"/>
          <w:sz w:val="18"/>
        </w:rPr>
        <w:t>See</w:t>
      </w:r>
      <w:r>
        <w:rPr>
          <w:rFonts w:ascii="Arial" w:eastAsia="Arial" w:hAnsi="Arial" w:cs="Arial"/>
          <w:color w:val="000000"/>
          <w:sz w:val="18"/>
        </w:rPr>
        <w:t xml:space="preserve"> footnote 3, </w:t>
      </w:r>
      <w:r>
        <w:rPr>
          <w:rFonts w:ascii="Arial" w:eastAsia="Arial" w:hAnsi="Arial" w:cs="Arial"/>
          <w:i/>
          <w:color w:val="000000"/>
          <w:sz w:val="18"/>
        </w:rPr>
        <w:t>supra</w:t>
      </w:r>
      <w:r>
        <w:rPr>
          <w:rFonts w:ascii="Arial" w:eastAsia="Arial" w:hAnsi="Arial" w:cs="Arial"/>
          <w:color w:val="000000"/>
          <w:sz w:val="18"/>
        </w:rPr>
        <w:t xml:space="preserve">. Rather, we focus on their critical decision to enter at all. </w:t>
      </w:r>
      <w:r>
        <w:rPr>
          <w:rFonts w:ascii="Arial" w:eastAsia="Arial" w:hAnsi="Arial" w:cs="Arial"/>
          <w:i/>
          <w:color w:val="000000"/>
          <w:sz w:val="18"/>
        </w:rPr>
        <w:t xml:space="preserve">See </w:t>
      </w:r>
      <w:bookmarkStart w:id="6944" w:name="Bookmark_I5BRCYCS28T4W90050000400"/>
      <w:bookmarkEnd w:id="6944"/>
      <w:r>
        <w:rPr>
          <w:rFonts w:ascii="Arial" w:eastAsia="Arial" w:hAnsi="Arial" w:cs="Arial"/>
          <w:i/>
          <w:color w:val="000000"/>
          <w:sz w:val="18"/>
        </w:rPr>
        <w:t>Alexander v. City &amp; Cnty. of San Francisco</w:t>
      </w:r>
      <w:r>
        <w:rPr>
          <w:rFonts w:ascii="Arial" w:eastAsia="Arial" w:hAnsi="Arial" w:cs="Arial"/>
          <w:color w:val="000000"/>
          <w:sz w:val="18"/>
        </w:rPr>
        <w:t>, 29 F.3d 1355, 1366-67 (9th Cir. 1994) (holding that there were triable issues as to whether officers used excessive force by storming the house of a mentally ill recluse who had threatened to shoot anybody who entered).</w:t>
      </w:r>
    </w:p>
  </w:footnote>
  <w:footnote w:id="292">
    <w:p w14:paraId="6F4D52C6" w14:textId="77777777" w:rsidR="002D0E71" w:rsidRDefault="00000000">
      <w:pPr>
        <w:pStyle w:val="Normal45"/>
        <w:widowControl w:val="0"/>
        <w:spacing w:before="200" w:line="240" w:lineRule="atLeast"/>
        <w:jc w:val="both"/>
      </w:pPr>
      <w:r>
        <w:rPr>
          <w:rFonts w:ascii="Arial" w:eastAsia="Arial" w:hAnsi="Arial" w:cs="Arial"/>
          <w:color w:val="000000"/>
          <w:sz w:val="18"/>
          <w:vertAlign w:val="superscript"/>
        </w:rPr>
        <w:t>10 </w:t>
      </w:r>
      <w:bookmarkStart w:id="6991" w:name="Bookmark_fnpara_11_6"/>
      <w:bookmarkEnd w:id="6991"/>
      <w:r>
        <w:rPr>
          <w:rFonts w:ascii="Arial" w:eastAsia="Arial" w:hAnsi="Arial" w:cs="Arial"/>
          <w:color w:val="000000"/>
          <w:sz w:val="18"/>
        </w:rPr>
        <w:t xml:space="preserve">In contrast to </w:t>
      </w:r>
      <w:r>
        <w:rPr>
          <w:rFonts w:ascii="Arial" w:eastAsia="Arial" w:hAnsi="Arial" w:cs="Arial"/>
          <w:i/>
          <w:color w:val="000000"/>
          <w:sz w:val="18"/>
        </w:rPr>
        <w:t>Deorle</w:t>
      </w:r>
      <w:r>
        <w:rPr>
          <w:rFonts w:ascii="Arial" w:eastAsia="Arial" w:hAnsi="Arial" w:cs="Arial"/>
          <w:color w:val="000000"/>
          <w:sz w:val="18"/>
        </w:rPr>
        <w:t>, Sheehan was armed. But she was also contained (or so a reasonable jury could find), so</w:t>
      </w:r>
      <w:bookmarkStart w:id="6992" w:name="Bookmark_I5BRCYGW28T48B0040000400"/>
      <w:bookmarkEnd w:id="6992"/>
      <w:r>
        <w:rPr>
          <w:rFonts w:ascii="Arial" w:eastAsia="Arial" w:hAnsi="Arial" w:cs="Arial"/>
          <w:color w:val="000000"/>
          <w:sz w:val="18"/>
        </w:rPr>
        <w:t xml:space="preserve"> </w:t>
      </w:r>
      <w:r>
        <w:rPr>
          <w:rFonts w:ascii="Arial" w:eastAsia="Arial" w:hAnsi="Arial" w:cs="Arial"/>
          <w:i/>
          <w:color w:val="000000"/>
          <w:sz w:val="18"/>
        </w:rPr>
        <w:t>Deorle</w:t>
      </w:r>
      <w:r>
        <w:rPr>
          <w:rFonts w:ascii="Arial" w:eastAsia="Arial" w:hAnsi="Arial" w:cs="Arial"/>
          <w:color w:val="000000"/>
          <w:sz w:val="18"/>
        </w:rPr>
        <w:t xml:space="preserve"> remains relevant.</w:t>
      </w:r>
    </w:p>
  </w:footnote>
  <w:footnote w:id="293">
    <w:p w14:paraId="046D7B75" w14:textId="77777777" w:rsidR="002D0E71" w:rsidRDefault="00000000">
      <w:pPr>
        <w:pStyle w:val="Normal45"/>
        <w:widowControl w:val="0"/>
        <w:spacing w:before="200" w:line="240" w:lineRule="atLeast"/>
        <w:jc w:val="both"/>
      </w:pPr>
      <w:r>
        <w:rPr>
          <w:rFonts w:ascii="Arial" w:eastAsia="Arial" w:hAnsi="Arial" w:cs="Arial"/>
          <w:color w:val="000000"/>
          <w:sz w:val="18"/>
          <w:vertAlign w:val="superscript"/>
        </w:rPr>
        <w:t>11 </w:t>
      </w:r>
      <w:bookmarkStart w:id="7032" w:name="Bookmark_fnpara_12_4"/>
      <w:bookmarkStart w:id="7033" w:name="Bookmark_I4GW5YDK4RS000RKF9T000R7"/>
      <w:bookmarkStart w:id="7034" w:name="Bookmark_I4GW5YDK8JX000RKF9T000R8"/>
      <w:bookmarkStart w:id="7035" w:name="Bookmark_I5BRCYJD2D6MXS0030000400"/>
      <w:bookmarkEnd w:id="7032"/>
      <w:bookmarkEnd w:id="7033"/>
      <w:bookmarkEnd w:id="7034"/>
      <w:bookmarkEnd w:id="7035"/>
      <w:r>
        <w:rPr>
          <w:rFonts w:ascii="Arial" w:eastAsia="Arial" w:hAnsi="Arial" w:cs="Arial"/>
          <w:color w:val="000000"/>
          <w:sz w:val="18"/>
        </w:rPr>
        <w:t xml:space="preserve">We acknowledge that </w:t>
      </w:r>
      <w:r>
        <w:rPr>
          <w:rFonts w:ascii="Arial" w:eastAsia="Arial" w:hAnsi="Arial" w:cs="Arial"/>
          <w:i/>
          <w:color w:val="000000"/>
          <w:sz w:val="18"/>
        </w:rPr>
        <w:t>Alexander</w:t>
      </w:r>
      <w:r>
        <w:rPr>
          <w:rFonts w:ascii="Arial" w:eastAsia="Arial" w:hAnsi="Arial" w:cs="Arial"/>
          <w:color w:val="000000"/>
          <w:sz w:val="18"/>
        </w:rPr>
        <w:t xml:space="preserve"> has been limited by subsequent circuit precedent to the extent it informs our provocation doctrine — the principle discussed in part I.C of this opinion that an officer may be liable for an otherwise reasonable use of  [**45] deadly force when the officer has intentionally or recklessly provoked the deadly confrontation. </w:t>
      </w:r>
      <w:r>
        <w:rPr>
          <w:rFonts w:ascii="Arial" w:eastAsia="Arial" w:hAnsi="Arial" w:cs="Arial"/>
          <w:i/>
          <w:color w:val="000000"/>
          <w:sz w:val="18"/>
        </w:rPr>
        <w:t xml:space="preserve">See </w:t>
      </w:r>
      <w:bookmarkStart w:id="7036" w:name="Bookmark_I5BRCYJD2D6MXS0020000400"/>
      <w:bookmarkEnd w:id="7036"/>
      <w:r>
        <w:rPr>
          <w:rFonts w:ascii="Arial" w:eastAsia="Arial" w:hAnsi="Arial" w:cs="Arial"/>
          <w:i/>
          <w:color w:val="000000"/>
          <w:sz w:val="18"/>
        </w:rPr>
        <w:t>George v. Morris</w:t>
      </w:r>
      <w:r>
        <w:rPr>
          <w:rFonts w:ascii="Arial" w:eastAsia="Arial" w:hAnsi="Arial" w:cs="Arial"/>
          <w:color w:val="000000"/>
          <w:sz w:val="18"/>
        </w:rPr>
        <w:t xml:space="preserve">, 736 F.3d 829, 839 n.14 (9th Cir. 2013); </w:t>
      </w:r>
      <w:bookmarkStart w:id="7037" w:name="Bookmark_I5BRCYJD2D6MXS0040000400"/>
      <w:bookmarkEnd w:id="7037"/>
      <w:r>
        <w:rPr>
          <w:rFonts w:ascii="Arial" w:eastAsia="Arial" w:hAnsi="Arial" w:cs="Arial"/>
          <w:i/>
          <w:color w:val="000000"/>
          <w:sz w:val="18"/>
        </w:rPr>
        <w:t>Billington</w:t>
      </w:r>
      <w:r>
        <w:rPr>
          <w:rFonts w:ascii="Arial" w:eastAsia="Arial" w:hAnsi="Arial" w:cs="Arial"/>
          <w:color w:val="000000"/>
          <w:sz w:val="18"/>
        </w:rPr>
        <w:t xml:space="preserve">, 292 F.3d at 1188-91. Those cases are inapplicable here, however, where the issue at this point is not whether </w:t>
      </w:r>
      <w:r>
        <w:rPr>
          <w:rFonts w:ascii="Arial" w:eastAsia="Arial" w:hAnsi="Arial" w:cs="Arial"/>
          <w:i/>
          <w:color w:val="000000"/>
          <w:sz w:val="18"/>
        </w:rPr>
        <w:t>the shooting</w:t>
      </w:r>
      <w:r>
        <w:rPr>
          <w:rFonts w:ascii="Arial" w:eastAsia="Arial" w:hAnsi="Arial" w:cs="Arial"/>
          <w:color w:val="000000"/>
          <w:sz w:val="18"/>
        </w:rPr>
        <w:t xml:space="preserve"> violated the Fourth Amendment (on a provocation theory) but rather whether the officers' antecedent </w:t>
      </w:r>
      <w:r>
        <w:rPr>
          <w:rFonts w:ascii="Arial" w:eastAsia="Arial" w:hAnsi="Arial" w:cs="Arial"/>
          <w:i/>
          <w:color w:val="000000"/>
          <w:sz w:val="18"/>
        </w:rPr>
        <w:t>forcible entry</w:t>
      </w:r>
      <w:r>
        <w:rPr>
          <w:rFonts w:ascii="Arial" w:eastAsia="Arial" w:hAnsi="Arial" w:cs="Arial"/>
          <w:color w:val="000000"/>
          <w:sz w:val="18"/>
        </w:rPr>
        <w:t xml:space="preserve"> did.</w:t>
      </w:r>
    </w:p>
  </w:footnote>
  <w:footnote w:id="294">
    <w:p w14:paraId="7725DEFD" w14:textId="77777777" w:rsidR="002D0E71" w:rsidRDefault="00000000">
      <w:pPr>
        <w:pStyle w:val="Normal45"/>
        <w:widowControl w:val="0"/>
        <w:spacing w:before="200" w:line="240" w:lineRule="atLeast"/>
        <w:jc w:val="both"/>
      </w:pPr>
      <w:r>
        <w:rPr>
          <w:rFonts w:ascii="Arial" w:eastAsia="Arial" w:hAnsi="Arial" w:cs="Arial"/>
          <w:color w:val="000000"/>
          <w:sz w:val="18"/>
          <w:vertAlign w:val="superscript"/>
        </w:rPr>
        <w:t>12 </w:t>
      </w:r>
      <w:bookmarkStart w:id="7043" w:name="Bookmark_fnpara_13_4"/>
      <w:bookmarkEnd w:id="7043"/>
      <w:r>
        <w:rPr>
          <w:rFonts w:ascii="Arial" w:eastAsia="Arial" w:hAnsi="Arial" w:cs="Arial"/>
          <w:color w:val="000000"/>
          <w:sz w:val="18"/>
        </w:rPr>
        <w:t xml:space="preserve">If Sheehan is able to establish that the second entry violated the Fourth Amendment (and the officers are not entitled to qualified immunity), then she can recover damages proximately caused by the violation. </w:t>
      </w:r>
      <w:r>
        <w:rPr>
          <w:rFonts w:ascii="Arial" w:eastAsia="Arial" w:hAnsi="Arial" w:cs="Arial"/>
          <w:i/>
          <w:color w:val="000000"/>
          <w:sz w:val="18"/>
        </w:rPr>
        <w:t xml:space="preserve">See </w:t>
      </w:r>
      <w:bookmarkStart w:id="7044" w:name="Bookmark_I5BRCYJX2D6N6P0050000400"/>
      <w:bookmarkEnd w:id="7044"/>
      <w:r>
        <w:rPr>
          <w:rFonts w:ascii="Arial" w:eastAsia="Arial" w:hAnsi="Arial" w:cs="Arial"/>
          <w:i/>
          <w:color w:val="000000"/>
          <w:sz w:val="18"/>
        </w:rPr>
        <w:t>Jackson v. Gates</w:t>
      </w:r>
      <w:r>
        <w:rPr>
          <w:rFonts w:ascii="Arial" w:eastAsia="Arial" w:hAnsi="Arial" w:cs="Arial"/>
          <w:color w:val="000000"/>
          <w:sz w:val="18"/>
        </w:rPr>
        <w:t>, 975 F.2d 648, 655 (9th Cir. 1992) ("Under § 1983 Jackson was entitled to sue for all consequential damages resulting from the violation of his Fourth Amendment rights.").</w:t>
      </w:r>
    </w:p>
  </w:footnote>
  <w:footnote w:id="295">
    <w:p w14:paraId="02E8858D" w14:textId="77777777" w:rsidR="002D0E71" w:rsidRDefault="00000000">
      <w:pPr>
        <w:pStyle w:val="Normal46"/>
        <w:widowControl w:val="0"/>
        <w:spacing w:before="200" w:line="240" w:lineRule="atLeast"/>
        <w:jc w:val="both"/>
      </w:pPr>
      <w:r>
        <w:rPr>
          <w:rFonts w:ascii="Arial" w:eastAsia="Arial" w:hAnsi="Arial" w:cs="Arial"/>
          <w:color w:val="000000"/>
          <w:sz w:val="18"/>
          <w:vertAlign w:val="superscript"/>
        </w:rPr>
        <w:t>* </w:t>
      </w:r>
      <w:bookmarkStart w:id="7239" w:name="Bookmark_fnpara_1_41"/>
      <w:bookmarkEnd w:id="7239"/>
      <w:r>
        <w:rPr>
          <w:rFonts w:ascii="Arial" w:eastAsia="Arial" w:hAnsi="Arial" w:cs="Arial"/>
          <w:color w:val="000000"/>
          <w:sz w:val="18"/>
        </w:rPr>
        <w:t xml:space="preserve">After examining the briefs and appellate record, this panel has determined unanimously that oral argument would not materially assist the determination of this appeal. </w:t>
      </w:r>
      <w:r>
        <w:rPr>
          <w:rFonts w:ascii="Arial" w:eastAsia="Arial" w:hAnsi="Arial" w:cs="Arial"/>
          <w:i/>
          <w:color w:val="000000"/>
          <w:sz w:val="18"/>
        </w:rPr>
        <w:t>See</w:t>
      </w:r>
      <w:r>
        <w:rPr>
          <w:rFonts w:ascii="Arial" w:eastAsia="Arial" w:hAnsi="Arial" w:cs="Arial"/>
          <w:color w:val="000000"/>
          <w:sz w:val="18"/>
        </w:rPr>
        <w:t xml:space="preserve"> Fed. R. App. P. 34(a)(2); 10th Cir. R. 34.1(G). The case is therefore ordered submitted without oral argument. This order and judgment is not binding precedent, except under the doctrines of law of the case, res judicata, and collateral estoppel. It may be cited, however, for its persuasive value consistent with Fed. R. App. P. 32.1 and 10th Cir. R. 32.1.</w:t>
      </w:r>
    </w:p>
  </w:footnote>
  <w:footnote w:id="296">
    <w:p w14:paraId="2D582C98" w14:textId="77777777" w:rsidR="002D0E71" w:rsidRDefault="00000000">
      <w:pPr>
        <w:pStyle w:val="Normal46"/>
        <w:widowControl w:val="0"/>
        <w:spacing w:before="120" w:line="240" w:lineRule="atLeast"/>
        <w:jc w:val="both"/>
      </w:pPr>
      <w:r>
        <w:rPr>
          <w:rFonts w:ascii="Arial" w:eastAsia="Arial" w:hAnsi="Arial" w:cs="Arial"/>
          <w:color w:val="000000"/>
          <w:sz w:val="18"/>
          <w:vertAlign w:val="superscript"/>
        </w:rPr>
        <w:t>1 </w:t>
      </w:r>
      <w:bookmarkStart w:id="7241" w:name="Bookmark_fnpara_2_37"/>
      <w:bookmarkEnd w:id="7241"/>
      <w:r>
        <w:rPr>
          <w:rFonts w:ascii="Arial" w:eastAsia="Arial" w:hAnsi="Arial" w:cs="Arial"/>
          <w:color w:val="000000"/>
          <w:sz w:val="18"/>
        </w:rPr>
        <w:t>Mr. Rhodes' OADA claims are co-extensive with his RA claims. Thus, all references to his RA claims necessarily encompass his OADA claims and as such, only the RA will be referenced in this order for the sake of simplicity.</w:t>
      </w:r>
    </w:p>
  </w:footnote>
  <w:footnote w:id="297">
    <w:p w14:paraId="2AB389CE" w14:textId="77777777" w:rsidR="002D0E71" w:rsidRDefault="00000000">
      <w:pPr>
        <w:pStyle w:val="Normal46"/>
        <w:widowControl w:val="0"/>
        <w:spacing w:before="120" w:line="240" w:lineRule="atLeast"/>
        <w:jc w:val="both"/>
      </w:pPr>
      <w:r>
        <w:rPr>
          <w:rFonts w:ascii="Arial" w:eastAsia="Arial" w:hAnsi="Arial" w:cs="Arial"/>
          <w:color w:val="000000"/>
          <w:sz w:val="18"/>
          <w:vertAlign w:val="superscript"/>
        </w:rPr>
        <w:t>2 </w:t>
      </w:r>
      <w:bookmarkStart w:id="7252" w:name="Bookmark_fnpara_3_30"/>
      <w:bookmarkEnd w:id="7252"/>
      <w:r>
        <w:rPr>
          <w:rFonts w:ascii="Arial" w:eastAsia="Arial" w:hAnsi="Arial" w:cs="Arial"/>
          <w:color w:val="000000"/>
          <w:sz w:val="18"/>
        </w:rPr>
        <w:t>For the same reason, the court determined that Mr. Rhodes' claim for equitable relief under the RA was also moot.</w:t>
      </w:r>
    </w:p>
  </w:footnote>
  <w:footnote w:id="298">
    <w:p w14:paraId="44BA725C" w14:textId="77777777" w:rsidR="002D0E71" w:rsidRDefault="00000000">
      <w:pPr>
        <w:pStyle w:val="Normal47"/>
        <w:widowControl w:val="0"/>
        <w:spacing w:before="120" w:line="240" w:lineRule="atLeast"/>
        <w:jc w:val="both"/>
      </w:pPr>
      <w:r>
        <w:rPr>
          <w:rFonts w:ascii="Arial" w:eastAsia="Arial" w:hAnsi="Arial" w:cs="Arial"/>
          <w:color w:val="000000"/>
          <w:sz w:val="18"/>
          <w:vertAlign w:val="superscript"/>
        </w:rPr>
        <w:t>** </w:t>
      </w:r>
      <w:bookmarkStart w:id="7312" w:name="Bookmark_fnpara_1_42"/>
      <w:bookmarkEnd w:id="7312"/>
      <w:r>
        <w:rPr>
          <w:rFonts w:ascii="Arial" w:eastAsia="Arial" w:hAnsi="Arial" w:cs="Arial"/>
          <w:color w:val="000000"/>
          <w:sz w:val="18"/>
        </w:rPr>
        <w:t>The panel unanimously concludes this case is suitable for decision without oral argument. See Fed. R. App. P. 34(a)(2). Accordingly, Fernandez's request for oral argument is denied.</w:t>
      </w:r>
    </w:p>
  </w:footnote>
  <w:footnote w:id="299">
    <w:p w14:paraId="3FC21B0C" w14:textId="77777777" w:rsidR="002D0E71" w:rsidRDefault="00000000">
      <w:pPr>
        <w:pStyle w:val="Normal47"/>
        <w:widowControl w:val="0"/>
        <w:spacing w:before="120" w:line="240" w:lineRule="atLeast"/>
        <w:jc w:val="both"/>
      </w:pPr>
      <w:r>
        <w:rPr>
          <w:rFonts w:ascii="Arial" w:eastAsia="Arial" w:hAnsi="Arial" w:cs="Arial"/>
          <w:color w:val="000000"/>
          <w:sz w:val="18"/>
          <w:vertAlign w:val="superscript"/>
        </w:rPr>
        <w:t>* </w:t>
      </w:r>
      <w:bookmarkStart w:id="7324" w:name="Bookmark_fnpara_2_38"/>
      <w:bookmarkEnd w:id="7324"/>
      <w:r>
        <w:rPr>
          <w:rFonts w:ascii="Arial" w:eastAsia="Arial" w:hAnsi="Arial" w:cs="Arial"/>
          <w:color w:val="000000"/>
          <w:sz w:val="18"/>
        </w:rPr>
        <w:t>This disposition is not appropriate for publication and is not precedent except as provided by 9th Cir. R. 36-3.</w:t>
      </w:r>
    </w:p>
  </w:footnote>
  <w:footnote w:id="300">
    <w:p w14:paraId="14947D38" w14:textId="77777777" w:rsidR="002D0E71" w:rsidRDefault="00000000">
      <w:pPr>
        <w:pStyle w:val="Normal48"/>
        <w:widowControl w:val="0"/>
        <w:spacing w:before="120" w:line="240" w:lineRule="atLeast"/>
        <w:jc w:val="both"/>
      </w:pPr>
      <w:r>
        <w:rPr>
          <w:rFonts w:ascii="Arial" w:eastAsia="Arial" w:hAnsi="Arial" w:cs="Arial"/>
          <w:color w:val="000000"/>
          <w:sz w:val="18"/>
          <w:vertAlign w:val="superscript"/>
        </w:rPr>
        <w:t>* </w:t>
      </w:r>
      <w:bookmarkStart w:id="7355" w:name="Bookmark_fnpara_1_43"/>
      <w:bookmarkEnd w:id="7355"/>
      <w:r>
        <w:rPr>
          <w:rFonts w:ascii="Arial" w:eastAsia="Arial" w:hAnsi="Arial" w:cs="Arial"/>
          <w:color w:val="000000"/>
          <w:sz w:val="18"/>
        </w:rPr>
        <w:t>This summary constitutes no part of the opinion of the court. It has been prepared by court staff for the convenience of the reader.</w:t>
      </w:r>
    </w:p>
  </w:footnote>
  <w:footnote w:id="301">
    <w:p w14:paraId="1F94895D" w14:textId="77777777" w:rsidR="002D0E71" w:rsidRDefault="00000000">
      <w:pPr>
        <w:pStyle w:val="Normal48"/>
        <w:widowControl w:val="0"/>
        <w:spacing w:before="120" w:line="240" w:lineRule="atLeast"/>
        <w:jc w:val="both"/>
      </w:pPr>
      <w:r>
        <w:rPr>
          <w:rFonts w:ascii="Arial" w:eastAsia="Arial" w:hAnsi="Arial" w:cs="Arial"/>
          <w:color w:val="000000"/>
          <w:sz w:val="18"/>
          <w:vertAlign w:val="superscript"/>
        </w:rPr>
        <w:t>1 </w:t>
      </w:r>
      <w:bookmarkStart w:id="7362" w:name="Bookmark_fnpara_2_39"/>
      <w:bookmarkEnd w:id="7362"/>
      <w:r>
        <w:rPr>
          <w:rFonts w:ascii="Arial" w:eastAsia="Arial" w:hAnsi="Arial" w:cs="Arial"/>
          <w:color w:val="000000"/>
          <w:sz w:val="18"/>
        </w:rPr>
        <w:t>Castle was released from prison on April 22, 2013.</w:t>
      </w:r>
    </w:p>
  </w:footnote>
  <w:footnote w:id="302">
    <w:p w14:paraId="20667B38" w14:textId="77777777" w:rsidR="002D0E71" w:rsidRDefault="00000000">
      <w:pPr>
        <w:pStyle w:val="Normal48"/>
        <w:widowControl w:val="0"/>
        <w:spacing w:before="120" w:line="240" w:lineRule="atLeast"/>
        <w:jc w:val="both"/>
      </w:pPr>
      <w:r>
        <w:rPr>
          <w:rFonts w:ascii="Arial" w:eastAsia="Arial" w:hAnsi="Arial" w:cs="Arial"/>
          <w:color w:val="000000"/>
          <w:sz w:val="18"/>
          <w:vertAlign w:val="superscript"/>
        </w:rPr>
        <w:t>2 </w:t>
      </w:r>
      <w:bookmarkStart w:id="7363" w:name="Bookmark_fnpara_3_31"/>
      <w:bookmarkEnd w:id="7363"/>
      <w:r>
        <w:rPr>
          <w:rFonts w:ascii="Arial" w:eastAsia="Arial" w:hAnsi="Arial" w:cs="Arial"/>
          <w:color w:val="000000"/>
          <w:sz w:val="18"/>
        </w:rPr>
        <w:t>Throughout this opinion we refer collectively to the State, the ADC, and the individual defendants as the State Defendants.</w:t>
      </w:r>
    </w:p>
  </w:footnote>
  <w:footnote w:id="303">
    <w:p w14:paraId="1691E34C" w14:textId="77777777" w:rsidR="002D0E71" w:rsidRDefault="00000000">
      <w:pPr>
        <w:pStyle w:val="Normal48"/>
        <w:widowControl w:val="0"/>
        <w:spacing w:before="200" w:line="240" w:lineRule="atLeast"/>
        <w:jc w:val="both"/>
      </w:pPr>
      <w:r>
        <w:rPr>
          <w:rFonts w:ascii="Arial" w:eastAsia="Arial" w:hAnsi="Arial" w:cs="Arial"/>
          <w:color w:val="000000"/>
          <w:sz w:val="18"/>
          <w:vertAlign w:val="superscript"/>
        </w:rPr>
        <w:t>3 </w:t>
      </w:r>
      <w:bookmarkStart w:id="7367" w:name="Bookmark_fnpara_4_28"/>
      <w:bookmarkEnd w:id="7367"/>
      <w:r>
        <w:rPr>
          <w:rFonts w:ascii="Arial" w:eastAsia="Arial" w:hAnsi="Arial" w:cs="Arial"/>
          <w:color w:val="000000"/>
          <w:sz w:val="18"/>
        </w:rPr>
        <w:t xml:space="preserve">ACI is a statutorily created entity that operates under the "organizational auspices of the ADC," but is funded solely "through its own operations." </w:t>
      </w:r>
      <w:r>
        <w:rPr>
          <w:rFonts w:ascii="Arial" w:eastAsia="Arial" w:hAnsi="Arial" w:cs="Arial"/>
          <w:i/>
          <w:color w:val="000000"/>
          <w:sz w:val="18"/>
        </w:rPr>
        <w:t>See</w:t>
      </w:r>
      <w:r>
        <w:rPr>
          <w:rFonts w:ascii="Arial" w:eastAsia="Arial" w:hAnsi="Arial" w:cs="Arial"/>
          <w:color w:val="000000"/>
          <w:sz w:val="18"/>
        </w:rPr>
        <w:t xml:space="preserve"> Ariz. Rev. Stat. § 41-1624. ACI describes its mission as creating "opportunities for offenders to develop marketable job skills and good work habits through enterprises that produce quality products and services for [ACI's] customers." Those customers have included firms that produce "clothing, fabricated steel, livestock, dairy products, and hotel reservations for Best Western motels." </w:t>
      </w:r>
      <w:bookmarkStart w:id="7368" w:name="Bookmark_I59K6CFK2HM6720010000400"/>
      <w:bookmarkEnd w:id="7368"/>
      <w:r>
        <w:rPr>
          <w:rFonts w:ascii="Arial" w:eastAsia="Arial" w:hAnsi="Arial" w:cs="Arial"/>
          <w:i/>
          <w:color w:val="000000"/>
          <w:sz w:val="18"/>
        </w:rPr>
        <w:t>Hale v. State of Arizona</w:t>
      </w:r>
      <w:r>
        <w:rPr>
          <w:rFonts w:ascii="Arial" w:eastAsia="Arial" w:hAnsi="Arial" w:cs="Arial"/>
          <w:color w:val="000000"/>
          <w:sz w:val="18"/>
        </w:rPr>
        <w:t>, 993 F.2d 1387, 1390 (9th Cir. 1993) (en banc).</w:t>
      </w:r>
    </w:p>
  </w:footnote>
  <w:footnote w:id="304">
    <w:p w14:paraId="75C986D0" w14:textId="77777777" w:rsidR="002D0E71" w:rsidRDefault="00000000">
      <w:pPr>
        <w:pStyle w:val="Normal48"/>
        <w:widowControl w:val="0"/>
        <w:spacing w:before="120" w:line="240" w:lineRule="atLeast"/>
        <w:jc w:val="both"/>
      </w:pPr>
      <w:r>
        <w:rPr>
          <w:rFonts w:ascii="Arial" w:eastAsia="Arial" w:hAnsi="Arial" w:cs="Arial"/>
          <w:color w:val="000000"/>
          <w:sz w:val="18"/>
          <w:vertAlign w:val="superscript"/>
        </w:rPr>
        <w:t>4 </w:t>
      </w:r>
      <w:bookmarkStart w:id="7370" w:name="Bookmark_fnpara_5_23"/>
      <w:bookmarkEnd w:id="7370"/>
      <w:r>
        <w:rPr>
          <w:rFonts w:ascii="Arial" w:eastAsia="Arial" w:hAnsi="Arial" w:cs="Arial"/>
          <w:color w:val="000000"/>
          <w:sz w:val="18"/>
        </w:rPr>
        <w:t>The Department of Veterans Affairs has assigned Castle a 20 percent service-connected disability rating as a result of the accident.</w:t>
      </w:r>
    </w:p>
  </w:footnote>
  <w:footnote w:id="305">
    <w:p w14:paraId="4F45E035" w14:textId="77777777" w:rsidR="002D0E71" w:rsidRDefault="00000000">
      <w:pPr>
        <w:pStyle w:val="Normal48"/>
        <w:widowControl w:val="0"/>
        <w:spacing w:before="200" w:line="240" w:lineRule="atLeast"/>
        <w:jc w:val="both"/>
      </w:pPr>
      <w:r>
        <w:rPr>
          <w:rFonts w:ascii="Arial" w:eastAsia="Arial" w:hAnsi="Arial" w:cs="Arial"/>
          <w:color w:val="000000"/>
          <w:sz w:val="18"/>
          <w:vertAlign w:val="superscript"/>
        </w:rPr>
        <w:t>5 </w:t>
      </w:r>
      <w:bookmarkStart w:id="7373" w:name="Bookmark_fnpara_6_19"/>
      <w:bookmarkEnd w:id="7373"/>
      <w:r>
        <w:rPr>
          <w:rFonts w:ascii="Arial" w:eastAsia="Arial" w:hAnsi="Arial" w:cs="Arial"/>
          <w:color w:val="000000"/>
          <w:sz w:val="18"/>
        </w:rPr>
        <w:t>Defendants claim that Castle could not be reassigned to another job, such as a job in the pack house, because civilian workers were employed in those  [**8] positions, and "the inmate-to-security personnel ratio was not adequate" to have inmates work alongside non-convict laborers. Castle disputes this claim, and contends that inmates regularly worked among Eurofresh's civilian employees in the pack house and elsewhere.</w:t>
      </w:r>
    </w:p>
  </w:footnote>
  <w:footnote w:id="306">
    <w:p w14:paraId="46B73AD4" w14:textId="77777777" w:rsidR="002D0E71" w:rsidRDefault="00000000">
      <w:pPr>
        <w:pStyle w:val="Normal48"/>
        <w:widowControl w:val="0"/>
        <w:spacing w:before="120" w:line="240" w:lineRule="atLeast"/>
        <w:jc w:val="both"/>
      </w:pPr>
      <w:r>
        <w:rPr>
          <w:rFonts w:ascii="Arial" w:eastAsia="Arial" w:hAnsi="Arial" w:cs="Arial"/>
          <w:color w:val="000000"/>
          <w:sz w:val="18"/>
          <w:vertAlign w:val="superscript"/>
        </w:rPr>
        <w:t>6 </w:t>
      </w:r>
      <w:bookmarkStart w:id="7374" w:name="Bookmark_fnpara_7_17"/>
      <w:bookmarkEnd w:id="7374"/>
      <w:r>
        <w:rPr>
          <w:rFonts w:ascii="Arial" w:eastAsia="Arial" w:hAnsi="Arial" w:cs="Arial"/>
          <w:color w:val="000000"/>
          <w:sz w:val="18"/>
        </w:rPr>
        <w:t>Defendants acknowledge that the de-leafer position also requires walking and standing, but claim the job is less physically taxing than picking tomatoes because the carts used for the de-leafing job are lighter than those used by the tomato pickers.</w:t>
      </w:r>
    </w:p>
  </w:footnote>
  <w:footnote w:id="307">
    <w:p w14:paraId="7E58AE3B" w14:textId="77777777" w:rsidR="002D0E71" w:rsidRDefault="00000000">
      <w:pPr>
        <w:pStyle w:val="Normal48"/>
        <w:widowControl w:val="0"/>
        <w:spacing w:before="120" w:line="240" w:lineRule="atLeast"/>
        <w:jc w:val="both"/>
      </w:pPr>
      <w:r>
        <w:rPr>
          <w:rFonts w:ascii="Arial" w:eastAsia="Arial" w:hAnsi="Arial" w:cs="Arial"/>
          <w:color w:val="000000"/>
          <w:sz w:val="18"/>
          <w:vertAlign w:val="superscript"/>
        </w:rPr>
        <w:t>7 </w:t>
      </w:r>
      <w:bookmarkStart w:id="7377" w:name="Bookmark_fnpara_8_16"/>
      <w:bookmarkEnd w:id="7377"/>
      <w:r>
        <w:rPr>
          <w:rFonts w:ascii="Arial" w:eastAsia="Arial" w:hAnsi="Arial" w:cs="Arial"/>
          <w:color w:val="000000"/>
          <w:sz w:val="18"/>
        </w:rPr>
        <w:t>Castle only appeals the district court's determinations regarding his ADA and RA claims.</w:t>
      </w:r>
    </w:p>
  </w:footnote>
  <w:footnote w:id="308">
    <w:p w14:paraId="2B20F7C2" w14:textId="77777777" w:rsidR="002D0E71" w:rsidRDefault="00000000">
      <w:pPr>
        <w:pStyle w:val="Normal48"/>
        <w:widowControl w:val="0"/>
        <w:spacing w:before="200" w:line="240" w:lineRule="atLeast"/>
        <w:jc w:val="both"/>
      </w:pPr>
      <w:r>
        <w:rPr>
          <w:rFonts w:ascii="Arial" w:eastAsia="Arial" w:hAnsi="Arial" w:cs="Arial"/>
          <w:color w:val="000000"/>
          <w:sz w:val="18"/>
          <w:vertAlign w:val="superscript"/>
        </w:rPr>
        <w:t>8 </w:t>
      </w:r>
      <w:bookmarkStart w:id="7409" w:name="Bookmark_fnpara_9_14"/>
      <w:bookmarkEnd w:id="7409"/>
      <w:r>
        <w:rPr>
          <w:rFonts w:ascii="Arial" w:eastAsia="Arial" w:hAnsi="Arial" w:cs="Arial"/>
          <w:i/>
          <w:color w:val="000000"/>
          <w:sz w:val="18"/>
        </w:rPr>
        <w:t>See</w:t>
      </w:r>
      <w:r>
        <w:rPr>
          <w:rFonts w:ascii="Arial" w:eastAsia="Arial" w:hAnsi="Arial" w:cs="Arial"/>
          <w:color w:val="000000"/>
          <w:sz w:val="18"/>
        </w:rPr>
        <w:t xml:space="preserve"> 42 U.S.C. § 12111(5)(A).</w:t>
      </w:r>
    </w:p>
  </w:footnote>
  <w:footnote w:id="309">
    <w:p w14:paraId="2ACD9DBA" w14:textId="77777777" w:rsidR="002D0E71" w:rsidRDefault="00000000">
      <w:pPr>
        <w:pStyle w:val="Normal48"/>
        <w:widowControl w:val="0"/>
        <w:spacing w:before="200" w:line="240" w:lineRule="atLeast"/>
        <w:jc w:val="both"/>
      </w:pPr>
      <w:r>
        <w:rPr>
          <w:rFonts w:ascii="Arial" w:eastAsia="Arial" w:hAnsi="Arial" w:cs="Arial"/>
          <w:color w:val="000000"/>
          <w:sz w:val="18"/>
          <w:vertAlign w:val="superscript"/>
        </w:rPr>
        <w:t>9 </w:t>
      </w:r>
      <w:bookmarkStart w:id="7410" w:name="Bookmark_fnpara_10_11"/>
      <w:bookmarkEnd w:id="7410"/>
      <w:r>
        <w:rPr>
          <w:rFonts w:ascii="Arial" w:eastAsia="Arial" w:hAnsi="Arial" w:cs="Arial"/>
          <w:i/>
          <w:color w:val="000000"/>
          <w:sz w:val="18"/>
        </w:rPr>
        <w:t xml:space="preserve">See, e.g., </w:t>
      </w:r>
      <w:bookmarkStart w:id="7411" w:name="Bookmark_I59K6CFM2HM6790020000400"/>
      <w:bookmarkEnd w:id="7411"/>
      <w:r>
        <w:rPr>
          <w:rFonts w:ascii="Arial" w:eastAsia="Arial" w:hAnsi="Arial" w:cs="Arial"/>
          <w:i/>
          <w:color w:val="000000"/>
          <w:sz w:val="18"/>
        </w:rPr>
        <w:t>Hale</w:t>
      </w:r>
      <w:r>
        <w:rPr>
          <w:rFonts w:ascii="Arial" w:eastAsia="Arial" w:hAnsi="Arial" w:cs="Arial"/>
          <w:color w:val="000000"/>
          <w:sz w:val="18"/>
        </w:rPr>
        <w:t xml:space="preserve">, 993 F.2d at 1395 (prisoner is not an employee under  [**13] the Fair Labor Standards Act (FLSA)); </w:t>
      </w:r>
      <w:bookmarkStart w:id="7412" w:name="Bookmark_I59K6CFM2HM6790040000400"/>
      <w:bookmarkEnd w:id="7412"/>
      <w:r>
        <w:rPr>
          <w:rFonts w:ascii="Arial" w:eastAsia="Arial" w:hAnsi="Arial" w:cs="Arial"/>
          <w:i/>
          <w:color w:val="000000"/>
          <w:sz w:val="18"/>
        </w:rPr>
        <w:t>Morgan v. MacDonald</w:t>
      </w:r>
      <w:r>
        <w:rPr>
          <w:rFonts w:ascii="Arial" w:eastAsia="Arial" w:hAnsi="Arial" w:cs="Arial"/>
          <w:color w:val="000000"/>
          <w:sz w:val="18"/>
        </w:rPr>
        <w:t xml:space="preserve">, 41 F.3d 1291, 1293 (9th Cir. 1994) (same); </w:t>
      </w:r>
      <w:bookmarkStart w:id="7413" w:name="Bookmark_I59K6CFM2SF7N50010000400"/>
      <w:bookmarkEnd w:id="7413"/>
      <w:r>
        <w:rPr>
          <w:rFonts w:ascii="Arial" w:eastAsia="Arial" w:hAnsi="Arial" w:cs="Arial"/>
          <w:i/>
          <w:color w:val="000000"/>
          <w:sz w:val="18"/>
        </w:rPr>
        <w:t>Alexander v. Sara, Inc</w:t>
      </w:r>
      <w:r>
        <w:rPr>
          <w:rFonts w:ascii="Arial" w:eastAsia="Arial" w:hAnsi="Arial" w:cs="Arial"/>
          <w:color w:val="000000"/>
          <w:sz w:val="18"/>
        </w:rPr>
        <w:t xml:space="preserve">., 721 F.2d 149, 150 (5th Cir. 1983) (per curiam) (same); </w:t>
      </w:r>
      <w:bookmarkStart w:id="7414" w:name="Bookmark_I59K6CFM2SF7N50030000400"/>
      <w:bookmarkEnd w:id="7414"/>
      <w:r>
        <w:rPr>
          <w:rFonts w:ascii="Arial" w:eastAsia="Arial" w:hAnsi="Arial" w:cs="Arial"/>
          <w:i/>
          <w:color w:val="000000"/>
          <w:sz w:val="18"/>
        </w:rPr>
        <w:t>Coupar v. Dep't of Labor</w:t>
      </w:r>
      <w:r>
        <w:rPr>
          <w:rFonts w:ascii="Arial" w:eastAsia="Arial" w:hAnsi="Arial" w:cs="Arial"/>
          <w:color w:val="000000"/>
          <w:sz w:val="18"/>
        </w:rPr>
        <w:t xml:space="preserve">, 105 F.3d 1263, 1267 (9th Cir. 1997) (prisoner not an employee within the meaning of the whistleblower provisions of the Clean Air Act and the Toxic Substances Control Act); </w:t>
      </w:r>
      <w:bookmarkStart w:id="7415" w:name="Bookmark_I59K6CFM2SF7N50050000400"/>
      <w:bookmarkEnd w:id="7415"/>
      <w:r>
        <w:rPr>
          <w:rFonts w:ascii="Arial" w:eastAsia="Arial" w:hAnsi="Arial" w:cs="Arial"/>
          <w:i/>
          <w:color w:val="000000"/>
          <w:sz w:val="18"/>
        </w:rPr>
        <w:t>Williams v. Meese</w:t>
      </w:r>
      <w:r>
        <w:rPr>
          <w:rFonts w:ascii="Arial" w:eastAsia="Arial" w:hAnsi="Arial" w:cs="Arial"/>
          <w:color w:val="000000"/>
          <w:sz w:val="18"/>
        </w:rPr>
        <w:t xml:space="preserve">, 926 F.2d 994, 997 (10th Cir. 1991) (prisoner not an employee under Title VII or the Age Discrimination in Employment Act). </w:t>
      </w:r>
      <w:r>
        <w:rPr>
          <w:rFonts w:ascii="Arial" w:eastAsia="Arial" w:hAnsi="Arial" w:cs="Arial"/>
          <w:i/>
          <w:color w:val="000000"/>
          <w:sz w:val="18"/>
        </w:rPr>
        <w:t xml:space="preserve">But see </w:t>
      </w:r>
      <w:bookmarkStart w:id="7416" w:name="Bookmark_I59K6CFM2SF7N60020000400"/>
      <w:bookmarkEnd w:id="7416"/>
      <w:r>
        <w:rPr>
          <w:rFonts w:ascii="Arial" w:eastAsia="Arial" w:hAnsi="Arial" w:cs="Arial"/>
          <w:i/>
          <w:color w:val="000000"/>
          <w:sz w:val="18"/>
        </w:rPr>
        <w:t>Baker v. McNeil Island Corr. Ctr</w:t>
      </w:r>
      <w:r>
        <w:rPr>
          <w:rFonts w:ascii="Arial" w:eastAsia="Arial" w:hAnsi="Arial" w:cs="Arial"/>
          <w:color w:val="000000"/>
          <w:sz w:val="18"/>
        </w:rPr>
        <w:t xml:space="preserve">., 859 F.2d 124, 128 (9th Cir. 1988) (prisoner potentially an employee under Title VII); </w:t>
      </w:r>
      <w:bookmarkStart w:id="7417" w:name="Bookmark_I59K6CFM2SF7N60040000400"/>
      <w:bookmarkEnd w:id="7417"/>
      <w:r>
        <w:rPr>
          <w:rFonts w:ascii="Arial" w:eastAsia="Arial" w:hAnsi="Arial" w:cs="Arial"/>
          <w:i/>
          <w:color w:val="000000"/>
          <w:sz w:val="18"/>
        </w:rPr>
        <w:t>Carter v. Dutchess Comm. Coll</w:t>
      </w:r>
      <w:r>
        <w:rPr>
          <w:rFonts w:ascii="Arial" w:eastAsia="Arial" w:hAnsi="Arial" w:cs="Arial"/>
          <w:color w:val="000000"/>
          <w:sz w:val="18"/>
        </w:rPr>
        <w:t>., 735 F.2d 8, 14 (2d Cir. 1984) (prisoner may be an employee under FLSA).</w:t>
      </w:r>
    </w:p>
  </w:footnote>
  <w:footnote w:id="310">
    <w:p w14:paraId="2D28B0A7" w14:textId="77777777" w:rsidR="002D0E71" w:rsidRDefault="00000000">
      <w:pPr>
        <w:pStyle w:val="Normal48"/>
        <w:widowControl w:val="0"/>
        <w:spacing w:before="200" w:line="240" w:lineRule="atLeast"/>
        <w:jc w:val="both"/>
      </w:pPr>
      <w:r>
        <w:rPr>
          <w:rFonts w:ascii="Arial" w:eastAsia="Arial" w:hAnsi="Arial" w:cs="Arial"/>
          <w:color w:val="000000"/>
          <w:sz w:val="18"/>
          <w:vertAlign w:val="superscript"/>
        </w:rPr>
        <w:t>10 </w:t>
      </w:r>
      <w:bookmarkStart w:id="7425" w:name="Bookmark_fnpara_11_7"/>
      <w:bookmarkEnd w:id="7425"/>
      <w:r>
        <w:rPr>
          <w:rFonts w:ascii="Arial" w:eastAsia="Arial" w:hAnsi="Arial" w:cs="Arial"/>
          <w:color w:val="000000"/>
          <w:sz w:val="18"/>
        </w:rPr>
        <w:t xml:space="preserve">The appellants in </w:t>
      </w:r>
      <w:r>
        <w:rPr>
          <w:rFonts w:ascii="Arial" w:eastAsia="Arial" w:hAnsi="Arial" w:cs="Arial"/>
          <w:i/>
          <w:color w:val="000000"/>
          <w:sz w:val="18"/>
        </w:rPr>
        <w:t>Hale</w:t>
      </w:r>
      <w:r>
        <w:rPr>
          <w:rFonts w:ascii="Arial" w:eastAsia="Arial" w:hAnsi="Arial" w:cs="Arial"/>
          <w:color w:val="000000"/>
          <w:sz w:val="18"/>
        </w:rPr>
        <w:t xml:space="preserve"> worked for ARCOR Enterprises, ACI's predecessor entity. </w:t>
      </w:r>
      <w:r>
        <w:rPr>
          <w:rFonts w:ascii="Arial" w:eastAsia="Arial" w:hAnsi="Arial" w:cs="Arial"/>
          <w:i/>
          <w:color w:val="000000"/>
          <w:sz w:val="18"/>
        </w:rPr>
        <w:t xml:space="preserve">See </w:t>
      </w:r>
      <w:bookmarkStart w:id="7426" w:name="Bookmark_I59K6CFM2HM67C0020000400"/>
      <w:bookmarkEnd w:id="7426"/>
      <w:r>
        <w:rPr>
          <w:rFonts w:ascii="Arial" w:eastAsia="Arial" w:hAnsi="Arial" w:cs="Arial"/>
          <w:i/>
          <w:color w:val="000000"/>
          <w:sz w:val="18"/>
        </w:rPr>
        <w:t>Hale</w:t>
      </w:r>
      <w:r>
        <w:rPr>
          <w:rFonts w:ascii="Arial" w:eastAsia="Arial" w:hAnsi="Arial" w:cs="Arial"/>
          <w:color w:val="000000"/>
          <w:sz w:val="18"/>
        </w:rPr>
        <w:t>, 993 F.2d at 1389.</w:t>
      </w:r>
    </w:p>
  </w:footnote>
  <w:footnote w:id="311">
    <w:p w14:paraId="0D0DC678" w14:textId="77777777" w:rsidR="002D0E71" w:rsidRDefault="00000000">
      <w:pPr>
        <w:pStyle w:val="Normal48"/>
        <w:widowControl w:val="0"/>
        <w:spacing w:before="200" w:line="240" w:lineRule="atLeast"/>
        <w:jc w:val="both"/>
      </w:pPr>
      <w:r>
        <w:rPr>
          <w:rFonts w:ascii="Arial" w:eastAsia="Arial" w:hAnsi="Arial" w:cs="Arial"/>
          <w:color w:val="000000"/>
          <w:sz w:val="18"/>
          <w:vertAlign w:val="superscript"/>
        </w:rPr>
        <w:t>11 </w:t>
      </w:r>
      <w:bookmarkStart w:id="7436" w:name="Bookmark_fnpara_12_5"/>
      <w:bookmarkStart w:id="7437" w:name="Bookmark_LNHNREFclscc8_36"/>
      <w:bookmarkEnd w:id="7436"/>
      <w:bookmarkEnd w:id="7437"/>
      <w:r>
        <w:rPr>
          <w:rFonts w:ascii="Arial" w:eastAsia="Arial" w:hAnsi="Arial" w:cs="Arial"/>
          <w:color w:val="000000"/>
          <w:sz w:val="18"/>
        </w:rPr>
        <w:t xml:space="preserve">Those factors include "whether the alleged employer has the power to hire and fire the employees, supervises and controls employee work schedules or conditions of employment, determines the rate and method of payment, and maintains employment records." </w:t>
      </w:r>
      <w:bookmarkStart w:id="7438" w:name="Bookmark_I59K6CFN2HM67D0010000400"/>
      <w:bookmarkEnd w:id="7438"/>
      <w:r>
        <w:rPr>
          <w:rFonts w:ascii="Arial" w:eastAsia="Arial" w:hAnsi="Arial" w:cs="Arial"/>
          <w:i/>
          <w:color w:val="000000"/>
          <w:sz w:val="18"/>
        </w:rPr>
        <w:t>Hale</w:t>
      </w:r>
      <w:r>
        <w:rPr>
          <w:rFonts w:ascii="Arial" w:eastAsia="Arial" w:hAnsi="Arial" w:cs="Arial"/>
          <w:color w:val="000000"/>
          <w:sz w:val="18"/>
        </w:rPr>
        <w:t>, 993 F.2d at 1394 (</w:t>
      </w:r>
      <w:r>
        <w:rPr>
          <w:rFonts w:ascii="Arial" w:eastAsia="Arial" w:hAnsi="Arial" w:cs="Arial"/>
          <w:i/>
          <w:color w:val="000000"/>
          <w:sz w:val="18"/>
        </w:rPr>
        <w:t xml:space="preserve">citing </w:t>
      </w:r>
      <w:bookmarkStart w:id="7439" w:name="Bookmark_I59K6CFN2HM67D0030000400"/>
      <w:bookmarkEnd w:id="7439"/>
      <w:r>
        <w:rPr>
          <w:rFonts w:ascii="Arial" w:eastAsia="Arial" w:hAnsi="Arial" w:cs="Arial"/>
          <w:i/>
          <w:color w:val="000000"/>
          <w:sz w:val="18"/>
        </w:rPr>
        <w:t>Bonnette</w:t>
      </w:r>
      <w:r>
        <w:rPr>
          <w:rFonts w:ascii="Arial" w:eastAsia="Arial" w:hAnsi="Arial" w:cs="Arial"/>
          <w:color w:val="000000"/>
          <w:sz w:val="18"/>
        </w:rPr>
        <w:t>, 704 F.2d at 1470).</w:t>
      </w:r>
    </w:p>
  </w:footnote>
  <w:footnote w:id="312">
    <w:p w14:paraId="6483AE3A" w14:textId="77777777" w:rsidR="002D0E71" w:rsidRDefault="00000000">
      <w:pPr>
        <w:pStyle w:val="Normal48"/>
        <w:widowControl w:val="0"/>
        <w:spacing w:before="120" w:line="240" w:lineRule="atLeast"/>
        <w:jc w:val="both"/>
      </w:pPr>
      <w:r>
        <w:rPr>
          <w:rFonts w:ascii="Arial" w:eastAsia="Arial" w:hAnsi="Arial" w:cs="Arial"/>
          <w:color w:val="000000"/>
          <w:sz w:val="18"/>
          <w:vertAlign w:val="superscript"/>
        </w:rPr>
        <w:t>12 </w:t>
      </w:r>
      <w:bookmarkStart w:id="7450" w:name="Bookmark_fnpara_13_5"/>
      <w:bookmarkEnd w:id="7450"/>
      <w:r>
        <w:rPr>
          <w:rFonts w:ascii="Arial" w:eastAsia="Arial" w:hAnsi="Arial" w:cs="Arial"/>
          <w:color w:val="000000"/>
          <w:sz w:val="18"/>
        </w:rPr>
        <w:t>Those provisions state that "[n]o employer may discharge any employee or otherwise discriminate against any employee with respect to . . . compensation, terms, conditions, or privileges of employment" because the employee engages in protected activities related to the enforcement of the Acts. 15 U.S.C. § 2622(a) (Toxic Substances Control Act); 42 U.S.C. § 7622(a) (Clean Air Act).</w:t>
      </w:r>
    </w:p>
  </w:footnote>
  <w:footnote w:id="313">
    <w:p w14:paraId="2ABFCF99" w14:textId="77777777" w:rsidR="002D0E71" w:rsidRDefault="00000000">
      <w:pPr>
        <w:pStyle w:val="Normal48"/>
        <w:widowControl w:val="0"/>
        <w:spacing w:before="200" w:line="240" w:lineRule="atLeast"/>
        <w:jc w:val="both"/>
      </w:pPr>
      <w:r>
        <w:rPr>
          <w:rFonts w:ascii="Arial" w:eastAsia="Arial" w:hAnsi="Arial" w:cs="Arial"/>
          <w:color w:val="000000"/>
          <w:sz w:val="18"/>
          <w:vertAlign w:val="superscript"/>
        </w:rPr>
        <w:t>13 </w:t>
      </w:r>
      <w:bookmarkStart w:id="7474" w:name="Bookmark_fnpara_14_3"/>
      <w:bookmarkEnd w:id="7474"/>
      <w:r>
        <w:rPr>
          <w:rFonts w:ascii="Arial" w:eastAsia="Arial" w:hAnsi="Arial" w:cs="Arial"/>
          <w:color w:val="000000"/>
          <w:sz w:val="18"/>
        </w:rPr>
        <w:t xml:space="preserve">Castle argues that he did not "work for a prison-structured program because he had to," and notes that he had a choice whether or not to work for Eurofresh. This argument misses the mark. While Castle did not have to work for Eurofresh specifically, he was nevertheless obligated to work for some prison-structured labor program. </w:t>
      </w:r>
      <w:bookmarkStart w:id="7475" w:name="Bookmark_I4GVG0TF85M000M62HT0021B"/>
      <w:bookmarkStart w:id="7476" w:name="Bookmark_I59K6CFN2SF7N80010000400"/>
      <w:bookmarkEnd w:id="7475"/>
      <w:bookmarkEnd w:id="7476"/>
      <w:r>
        <w:rPr>
          <w:rFonts w:ascii="Arial" w:eastAsia="Arial" w:hAnsi="Arial" w:cs="Arial"/>
          <w:i/>
          <w:color w:val="000000"/>
          <w:sz w:val="18"/>
        </w:rPr>
        <w:t>See</w:t>
      </w:r>
      <w:r>
        <w:rPr>
          <w:rFonts w:ascii="Arial" w:eastAsia="Arial" w:hAnsi="Arial" w:cs="Arial"/>
          <w:color w:val="000000"/>
          <w:sz w:val="18"/>
        </w:rPr>
        <w:t xml:space="preserve"> Ariz. Rev. Stat. § 31-251(A). In any event, we rejected the  [**18] same argument in </w:t>
      </w:r>
      <w:r>
        <w:rPr>
          <w:rFonts w:ascii="Arial" w:eastAsia="Arial" w:hAnsi="Arial" w:cs="Arial"/>
          <w:i/>
          <w:color w:val="000000"/>
          <w:sz w:val="18"/>
        </w:rPr>
        <w:t xml:space="preserve">Coupar. See </w:t>
      </w:r>
      <w:bookmarkStart w:id="7477" w:name="Bookmark_I59K6CFN2D6NXK0050000400"/>
      <w:bookmarkEnd w:id="7477"/>
      <w:r>
        <w:rPr>
          <w:rFonts w:ascii="Arial" w:eastAsia="Arial" w:hAnsi="Arial" w:cs="Arial"/>
          <w:i/>
          <w:color w:val="000000"/>
          <w:sz w:val="18"/>
        </w:rPr>
        <w:t>Coupar</w:t>
      </w:r>
      <w:r>
        <w:rPr>
          <w:rFonts w:ascii="Arial" w:eastAsia="Arial" w:hAnsi="Arial" w:cs="Arial"/>
          <w:color w:val="000000"/>
          <w:sz w:val="18"/>
        </w:rPr>
        <w:t>, 105 F.3d at 1265. ("Although Coupar did not have to work for FPI in particular, as an inmate he was obligated to work at some job pursuant to a prison work program.").</w:t>
      </w:r>
    </w:p>
  </w:footnote>
  <w:footnote w:id="314">
    <w:p w14:paraId="1B8BE2F9" w14:textId="77777777" w:rsidR="002D0E71" w:rsidRDefault="00000000">
      <w:pPr>
        <w:pStyle w:val="Normal48"/>
        <w:widowControl w:val="0"/>
        <w:spacing w:before="200" w:line="240" w:lineRule="atLeast"/>
        <w:jc w:val="both"/>
      </w:pPr>
      <w:r>
        <w:rPr>
          <w:rFonts w:ascii="Arial" w:eastAsia="Arial" w:hAnsi="Arial" w:cs="Arial"/>
          <w:color w:val="000000"/>
          <w:sz w:val="18"/>
          <w:vertAlign w:val="superscript"/>
        </w:rPr>
        <w:t>14 </w:t>
      </w:r>
      <w:bookmarkStart w:id="7488" w:name="Bookmark_fnpara_15_3"/>
      <w:bookmarkEnd w:id="7488"/>
      <w:r>
        <w:rPr>
          <w:rFonts w:ascii="Arial" w:eastAsia="Arial" w:hAnsi="Arial" w:cs="Arial"/>
          <w:color w:val="000000"/>
          <w:sz w:val="18"/>
        </w:rPr>
        <w:t>In  [**19] </w:t>
      </w:r>
      <w:r>
        <w:rPr>
          <w:rFonts w:ascii="Arial" w:eastAsia="Arial" w:hAnsi="Arial" w:cs="Arial"/>
          <w:i/>
          <w:color w:val="000000"/>
          <w:sz w:val="18"/>
        </w:rPr>
        <w:t>Hale</w:t>
      </w:r>
      <w:r>
        <w:rPr>
          <w:rFonts w:ascii="Arial" w:eastAsia="Arial" w:hAnsi="Arial" w:cs="Arial"/>
          <w:color w:val="000000"/>
          <w:sz w:val="18"/>
        </w:rPr>
        <w:t xml:space="preserve">, we noted that the primary concern of the FLSA—ensuring laborers' minimum standards of living—"does not apply to prisoners, for whom clothing, shelter, and food are provided by the prison." </w:t>
      </w:r>
      <w:bookmarkStart w:id="7489" w:name="Bookmark_I59K6CFN2N1RHV0020000400"/>
      <w:bookmarkEnd w:id="7489"/>
      <w:r>
        <w:rPr>
          <w:rFonts w:ascii="Arial" w:eastAsia="Arial" w:hAnsi="Arial" w:cs="Arial"/>
          <w:i/>
          <w:color w:val="000000"/>
          <w:sz w:val="18"/>
        </w:rPr>
        <w:t>Hale</w:t>
      </w:r>
      <w:r>
        <w:rPr>
          <w:rFonts w:ascii="Arial" w:eastAsia="Arial" w:hAnsi="Arial" w:cs="Arial"/>
          <w:color w:val="000000"/>
          <w:sz w:val="18"/>
        </w:rPr>
        <w:t>, 993 F.2d at 1396.</w:t>
      </w:r>
    </w:p>
  </w:footnote>
  <w:footnote w:id="315">
    <w:p w14:paraId="608F1B62" w14:textId="77777777" w:rsidR="002D0E71" w:rsidRDefault="00000000">
      <w:pPr>
        <w:pStyle w:val="Normal48"/>
        <w:widowControl w:val="0"/>
        <w:spacing w:before="200" w:line="240" w:lineRule="atLeast"/>
        <w:jc w:val="both"/>
      </w:pPr>
      <w:r>
        <w:rPr>
          <w:rFonts w:ascii="Arial" w:eastAsia="Arial" w:hAnsi="Arial" w:cs="Arial"/>
          <w:color w:val="000000"/>
          <w:sz w:val="18"/>
          <w:vertAlign w:val="superscript"/>
        </w:rPr>
        <w:t>15 </w:t>
      </w:r>
      <w:bookmarkStart w:id="7544" w:name="Bookmark_fnpara_16_3"/>
      <w:bookmarkEnd w:id="7544"/>
      <w:r>
        <w:rPr>
          <w:rFonts w:ascii="Arial" w:eastAsia="Arial" w:hAnsi="Arial" w:cs="Arial"/>
          <w:color w:val="000000"/>
          <w:sz w:val="18"/>
        </w:rPr>
        <w:t>We note with interest that while State Defendants disclaim this obligation on appeal, ACI's contract with Eurofresh explicitly requires Eurofresh to comply with all federal and state employment laws, including the ADA. In district court, Castle alleged that Eurofresh breached its contract for failing to comply with such statutes. The court dismissed this claim, reasoning  [**26] that Castle had not alleged elements necessary to establish himself as a third-party beneficiary. Castle does not object to that dismissal on appeal and we express no opinion on the matter.</w:t>
      </w:r>
    </w:p>
  </w:footnote>
  <w:footnote w:id="316">
    <w:p w14:paraId="6D1A6FE4" w14:textId="77777777" w:rsidR="002D0E71" w:rsidRDefault="00000000">
      <w:pPr>
        <w:pStyle w:val="Normal49"/>
        <w:widowControl w:val="0"/>
        <w:spacing w:before="200" w:line="240" w:lineRule="atLeast"/>
        <w:jc w:val="both"/>
      </w:pPr>
      <w:r>
        <w:rPr>
          <w:rFonts w:ascii="Arial" w:eastAsia="Arial" w:hAnsi="Arial" w:cs="Arial"/>
          <w:color w:val="000000"/>
          <w:sz w:val="18"/>
          <w:vertAlign w:val="superscript"/>
        </w:rPr>
        <w:t>* </w:t>
      </w:r>
      <w:bookmarkStart w:id="7647" w:name="Bookmark_fnpara_1_44"/>
      <w:bookmarkEnd w:id="7647"/>
      <w:r>
        <w:rPr>
          <w:rFonts w:ascii="Arial" w:eastAsia="Arial" w:hAnsi="Arial" w:cs="Arial"/>
          <w:color w:val="000000"/>
          <w:sz w:val="18"/>
        </w:rPr>
        <w:t xml:space="preserve">Pursuant to </w:t>
      </w:r>
      <w:r>
        <w:rPr>
          <w:rFonts w:ascii="Arial" w:eastAsia="Arial" w:hAnsi="Arial" w:cs="Arial"/>
          <w:smallCaps/>
          <w:color w:val="000000"/>
          <w:sz w:val="18"/>
        </w:rPr>
        <w:t>5th Cir. R.</w:t>
      </w:r>
      <w:r>
        <w:rPr>
          <w:rFonts w:ascii="Arial" w:eastAsia="Arial" w:hAnsi="Arial" w:cs="Arial"/>
          <w:color w:val="000000"/>
          <w:sz w:val="18"/>
        </w:rPr>
        <w:t xml:space="preserve"> 47.5, the court has determined that this opinion should not be published and is not precedent except under the limited circumstances set forth in </w:t>
      </w:r>
      <w:r>
        <w:rPr>
          <w:rFonts w:ascii="Arial" w:eastAsia="Arial" w:hAnsi="Arial" w:cs="Arial"/>
          <w:smallCaps/>
          <w:color w:val="000000"/>
          <w:sz w:val="18"/>
        </w:rPr>
        <w:t>5th Cir. R.</w:t>
      </w:r>
      <w:r>
        <w:rPr>
          <w:rFonts w:ascii="Arial" w:eastAsia="Arial" w:hAnsi="Arial" w:cs="Arial"/>
          <w:color w:val="000000"/>
          <w:sz w:val="18"/>
        </w:rPr>
        <w:t xml:space="preserve"> 47.5.4.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1C25B" w14:textId="77777777" w:rsidR="002D0E71" w:rsidRDefault="002D0E71">
    <w:pPr>
      <w:pStyle w:val="Norm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543A6AA3" w14:textId="77777777">
      <w:trPr>
        <w:jc w:val="center"/>
      </w:trPr>
      <w:tc>
        <w:tcPr>
          <w:tcW w:w="10080" w:type="dxa"/>
          <w:vAlign w:val="center"/>
        </w:tcPr>
        <w:p w14:paraId="599C1765" w14:textId="77777777" w:rsidR="002D0E71" w:rsidRDefault="002D0E71">
          <w:pPr>
            <w:pStyle w:val="Normal0"/>
          </w:pPr>
        </w:p>
      </w:tc>
    </w:tr>
    <w:tr w:rsidR="002D0E71" w14:paraId="58DE28C6" w14:textId="77777777">
      <w:trPr>
        <w:jc w:val="center"/>
      </w:trPr>
      <w:tc>
        <w:tcPr>
          <w:tcW w:w="10080" w:type="dxa"/>
        </w:tcPr>
        <w:p w14:paraId="6019CD19" w14:textId="77777777" w:rsidR="002D0E71" w:rsidRDefault="00000000">
          <w:pPr>
            <w:pStyle w:val="Normal0"/>
            <w:spacing w:before="60" w:after="200"/>
            <w:jc w:val="center"/>
          </w:pPr>
          <w:r>
            <w:rPr>
              <w:rFonts w:ascii="Arial" w:eastAsia="Arial" w:hAnsi="Arial" w:cs="Arial"/>
              <w:sz w:val="20"/>
            </w:rPr>
            <w:t>Thomas v. Salvation Army S. Terr., 841 F.3d 632</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A14D1" w14:textId="77777777" w:rsidR="002D0E71" w:rsidRDefault="002D0E71">
    <w:pPr>
      <w:pStyle w:val="Normal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DD4F8" w14:textId="77777777" w:rsidR="002D0E71" w:rsidRDefault="002D0E71">
    <w:pPr>
      <w:pStyle w:val="Normal1"/>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2C901A4A" w14:textId="77777777">
      <w:trPr>
        <w:jc w:val="center"/>
      </w:trPr>
      <w:tc>
        <w:tcPr>
          <w:tcW w:w="10080" w:type="dxa"/>
          <w:vAlign w:val="center"/>
        </w:tcPr>
        <w:p w14:paraId="00ADF4AC" w14:textId="77777777" w:rsidR="002D0E71" w:rsidRDefault="002D0E71">
          <w:pPr>
            <w:pStyle w:val="Normal1"/>
          </w:pPr>
        </w:p>
      </w:tc>
    </w:tr>
    <w:tr w:rsidR="002D0E71" w14:paraId="462A77E2" w14:textId="77777777">
      <w:trPr>
        <w:jc w:val="center"/>
      </w:trPr>
      <w:tc>
        <w:tcPr>
          <w:tcW w:w="10080" w:type="dxa"/>
        </w:tcPr>
        <w:p w14:paraId="2F4D5E61" w14:textId="77777777" w:rsidR="002D0E71" w:rsidRDefault="00000000">
          <w:pPr>
            <w:pStyle w:val="Normal1"/>
            <w:spacing w:before="60" w:after="200"/>
            <w:jc w:val="center"/>
          </w:pPr>
          <w:r>
            <w:rPr>
              <w:rFonts w:ascii="Arial" w:eastAsia="Arial" w:hAnsi="Arial" w:cs="Arial"/>
              <w:sz w:val="20"/>
            </w:rPr>
            <w:t>Baxter v. Pa. Dep't of Corr., 661 Fed. Appx. 754</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F2ACC" w14:textId="77777777" w:rsidR="002D0E71" w:rsidRDefault="002D0E71">
    <w:pPr>
      <w:pStyle w:val="Normal1"/>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C0988" w14:textId="77777777" w:rsidR="002D0E71" w:rsidRDefault="002D0E71">
    <w:pPr>
      <w:pStyle w:val="Normal2"/>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4136E8EE" w14:textId="77777777">
      <w:trPr>
        <w:jc w:val="center"/>
      </w:trPr>
      <w:tc>
        <w:tcPr>
          <w:tcW w:w="10080" w:type="dxa"/>
          <w:vAlign w:val="center"/>
        </w:tcPr>
        <w:p w14:paraId="43021044" w14:textId="77777777" w:rsidR="002D0E71" w:rsidRDefault="002D0E71">
          <w:pPr>
            <w:pStyle w:val="Normal2"/>
          </w:pPr>
        </w:p>
      </w:tc>
    </w:tr>
    <w:tr w:rsidR="002D0E71" w14:paraId="02C32E06" w14:textId="77777777">
      <w:trPr>
        <w:jc w:val="center"/>
      </w:trPr>
      <w:tc>
        <w:tcPr>
          <w:tcW w:w="10080" w:type="dxa"/>
        </w:tcPr>
        <w:p w14:paraId="7292BF56" w14:textId="77777777" w:rsidR="002D0E71" w:rsidRDefault="00000000">
          <w:pPr>
            <w:pStyle w:val="Normal2"/>
            <w:spacing w:before="60" w:after="200"/>
            <w:jc w:val="center"/>
          </w:pPr>
          <w:r>
            <w:rPr>
              <w:rFonts w:ascii="Arial" w:eastAsia="Arial" w:hAnsi="Arial" w:cs="Arial"/>
              <w:sz w:val="20"/>
            </w:rPr>
            <w:t>Sykes v. Cook Cnty. Circuit Court Probate Div., 837 F.3d 736</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A5C93" w14:textId="77777777" w:rsidR="002D0E71" w:rsidRDefault="002D0E71">
    <w:pPr>
      <w:pStyle w:val="Normal2"/>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47848" w14:textId="77777777" w:rsidR="002D0E71" w:rsidRDefault="002D0E71">
    <w:pPr>
      <w:pStyle w:val="Normal3"/>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1C4ACAAD" w14:textId="77777777">
      <w:trPr>
        <w:jc w:val="center"/>
      </w:trPr>
      <w:tc>
        <w:tcPr>
          <w:tcW w:w="10080" w:type="dxa"/>
          <w:vAlign w:val="center"/>
        </w:tcPr>
        <w:p w14:paraId="3E82001A" w14:textId="77777777" w:rsidR="002D0E71" w:rsidRDefault="002D0E71">
          <w:pPr>
            <w:pStyle w:val="Normal3"/>
          </w:pPr>
        </w:p>
      </w:tc>
    </w:tr>
    <w:tr w:rsidR="002D0E71" w14:paraId="5A038192" w14:textId="77777777">
      <w:trPr>
        <w:jc w:val="center"/>
      </w:trPr>
      <w:tc>
        <w:tcPr>
          <w:tcW w:w="10080" w:type="dxa"/>
        </w:tcPr>
        <w:p w14:paraId="7C4E1188" w14:textId="77777777" w:rsidR="002D0E71" w:rsidRDefault="00000000">
          <w:pPr>
            <w:pStyle w:val="Normal3"/>
            <w:spacing w:before="60" w:after="200"/>
            <w:jc w:val="center"/>
          </w:pPr>
          <w:r>
            <w:rPr>
              <w:rFonts w:ascii="Arial" w:eastAsia="Arial" w:hAnsi="Arial" w:cs="Arial"/>
              <w:sz w:val="20"/>
            </w:rPr>
            <w:t>Miller v. Town of Wenham, 833 F.3d 46</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381ED" w14:textId="77777777" w:rsidR="002D0E71" w:rsidRDefault="002D0E71">
    <w:pPr>
      <w:pStyle w:val="Normal3"/>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C0513" w14:textId="77777777" w:rsidR="002D0E71" w:rsidRDefault="002D0E71">
    <w:pPr>
      <w:pStyle w:val="Normal4"/>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5C846750" w14:textId="77777777">
      <w:trPr>
        <w:jc w:val="center"/>
      </w:trPr>
      <w:tc>
        <w:tcPr>
          <w:tcW w:w="10080" w:type="dxa"/>
          <w:vAlign w:val="center"/>
        </w:tcPr>
        <w:p w14:paraId="4A027D0E" w14:textId="77777777" w:rsidR="002D0E71" w:rsidRDefault="002D0E71">
          <w:pPr>
            <w:pStyle w:val="Normal4"/>
          </w:pPr>
        </w:p>
      </w:tc>
    </w:tr>
    <w:tr w:rsidR="002D0E71" w14:paraId="62409256" w14:textId="77777777">
      <w:trPr>
        <w:jc w:val="center"/>
      </w:trPr>
      <w:tc>
        <w:tcPr>
          <w:tcW w:w="10080" w:type="dxa"/>
        </w:tcPr>
        <w:p w14:paraId="5E7C511C" w14:textId="77777777" w:rsidR="002D0E71" w:rsidRDefault="00000000">
          <w:pPr>
            <w:pStyle w:val="Normal4"/>
            <w:spacing w:before="60" w:after="200"/>
            <w:jc w:val="center"/>
          </w:pPr>
          <w:r>
            <w:rPr>
              <w:rFonts w:ascii="Arial" w:eastAsia="Arial" w:hAnsi="Arial" w:cs="Arial"/>
              <w:sz w:val="20"/>
            </w:rPr>
            <w:t>Wright v. N.Y. State Dep't of Corr. &amp; Cmty. Supervision, 831 F.3d 64</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82BD4" w14:textId="77777777" w:rsidR="002D0E71" w:rsidRDefault="002D0E71">
    <w:pPr>
      <w:pStyle w:val="Normal4"/>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3EA22" w14:textId="77777777" w:rsidR="002D0E71" w:rsidRDefault="002D0E71">
    <w:pPr>
      <w:pStyle w:val="Normal5"/>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07431BF8" w14:textId="77777777">
      <w:trPr>
        <w:jc w:val="center"/>
      </w:trPr>
      <w:tc>
        <w:tcPr>
          <w:tcW w:w="10080" w:type="dxa"/>
          <w:vAlign w:val="center"/>
        </w:tcPr>
        <w:p w14:paraId="626CE968" w14:textId="77777777" w:rsidR="002D0E71" w:rsidRDefault="002D0E71">
          <w:pPr>
            <w:pStyle w:val="Normal5"/>
          </w:pPr>
        </w:p>
      </w:tc>
    </w:tr>
    <w:tr w:rsidR="002D0E71" w14:paraId="444EAA00" w14:textId="77777777">
      <w:trPr>
        <w:jc w:val="center"/>
      </w:trPr>
      <w:tc>
        <w:tcPr>
          <w:tcW w:w="10080" w:type="dxa"/>
        </w:tcPr>
        <w:p w14:paraId="34949CC3" w14:textId="77777777" w:rsidR="002D0E71" w:rsidRDefault="00000000">
          <w:pPr>
            <w:pStyle w:val="Normal5"/>
            <w:spacing w:before="60" w:after="200"/>
            <w:jc w:val="center"/>
          </w:pPr>
          <w:r>
            <w:rPr>
              <w:rFonts w:ascii="Arial" w:eastAsia="Arial" w:hAnsi="Arial" w:cs="Arial"/>
              <w:sz w:val="20"/>
            </w:rPr>
            <w:t>Binno v. ABA, 826 F.3d 338</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B23CC" w14:textId="77777777" w:rsidR="002D0E71" w:rsidRDefault="002D0E71">
    <w:pPr>
      <w:pStyle w:val="Normal5"/>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C0CBD" w14:textId="77777777" w:rsidR="002D0E71" w:rsidRDefault="002D0E71">
    <w:pPr>
      <w:pStyle w:val="Normal6"/>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1E988865" w14:textId="77777777">
      <w:trPr>
        <w:jc w:val="center"/>
      </w:trPr>
      <w:tc>
        <w:tcPr>
          <w:tcW w:w="10080" w:type="dxa"/>
          <w:vAlign w:val="center"/>
        </w:tcPr>
        <w:p w14:paraId="29362E3C" w14:textId="77777777" w:rsidR="002D0E71" w:rsidRDefault="002D0E71">
          <w:pPr>
            <w:pStyle w:val="Normal6"/>
          </w:pPr>
        </w:p>
      </w:tc>
    </w:tr>
    <w:tr w:rsidR="002D0E71" w14:paraId="33FB9CCE" w14:textId="77777777">
      <w:trPr>
        <w:jc w:val="center"/>
      </w:trPr>
      <w:tc>
        <w:tcPr>
          <w:tcW w:w="10080" w:type="dxa"/>
        </w:tcPr>
        <w:p w14:paraId="5CB557F1" w14:textId="77777777" w:rsidR="002D0E71" w:rsidRDefault="00000000">
          <w:pPr>
            <w:pStyle w:val="Normal6"/>
            <w:spacing w:before="60" w:after="200"/>
            <w:jc w:val="center"/>
          </w:pPr>
          <w:r>
            <w:rPr>
              <w:rFonts w:ascii="Arial" w:eastAsia="Arial" w:hAnsi="Arial" w:cs="Arial"/>
              <w:sz w:val="20"/>
            </w:rPr>
            <w:t>Steimel v. Wernert, 823 F.3d 902</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0E261" w14:textId="77777777" w:rsidR="002D0E71" w:rsidRDefault="002D0E71">
    <w:pPr>
      <w:pStyle w:val="Normal6"/>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C7FAF" w14:textId="77777777" w:rsidR="002D0E71" w:rsidRDefault="002D0E71">
    <w:pPr>
      <w:pStyle w:val="Normal7"/>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6647997F" w14:textId="77777777">
      <w:trPr>
        <w:jc w:val="center"/>
      </w:trPr>
      <w:tc>
        <w:tcPr>
          <w:tcW w:w="10080" w:type="dxa"/>
          <w:vAlign w:val="center"/>
        </w:tcPr>
        <w:p w14:paraId="033A1516" w14:textId="77777777" w:rsidR="002D0E71" w:rsidRDefault="002D0E71">
          <w:pPr>
            <w:pStyle w:val="Normal7"/>
          </w:pPr>
        </w:p>
      </w:tc>
    </w:tr>
    <w:tr w:rsidR="002D0E71" w14:paraId="077DC245" w14:textId="77777777">
      <w:trPr>
        <w:jc w:val="center"/>
      </w:trPr>
      <w:tc>
        <w:tcPr>
          <w:tcW w:w="10080" w:type="dxa"/>
        </w:tcPr>
        <w:p w14:paraId="63D8994B" w14:textId="77777777" w:rsidR="002D0E71" w:rsidRDefault="00000000">
          <w:pPr>
            <w:pStyle w:val="Normal7"/>
            <w:spacing w:before="60" w:after="200"/>
            <w:jc w:val="center"/>
          </w:pPr>
          <w:r>
            <w:rPr>
              <w:rFonts w:ascii="Arial" w:eastAsia="Arial" w:hAnsi="Arial" w:cs="Arial"/>
              <w:sz w:val="20"/>
            </w:rPr>
            <w:t>J.A.M. v. Nova Southeastern Univ., Inc., 646 Fed. Appx. 921</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3984B" w14:textId="77777777" w:rsidR="002D0E71" w:rsidRDefault="002D0E71">
    <w:pPr>
      <w:pStyle w:val="Normal7"/>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3C0C8" w14:textId="77777777" w:rsidR="002D0E71" w:rsidRDefault="002D0E71">
    <w:pPr>
      <w:pStyle w:val="Normal8"/>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216BF503" w14:textId="77777777">
      <w:trPr>
        <w:jc w:val="center"/>
      </w:trPr>
      <w:tc>
        <w:tcPr>
          <w:tcW w:w="10080" w:type="dxa"/>
          <w:vAlign w:val="center"/>
        </w:tcPr>
        <w:p w14:paraId="19F6857E" w14:textId="77777777" w:rsidR="002D0E71" w:rsidRDefault="002D0E71">
          <w:pPr>
            <w:pStyle w:val="Normal8"/>
          </w:pPr>
        </w:p>
      </w:tc>
    </w:tr>
    <w:tr w:rsidR="002D0E71" w14:paraId="22791196" w14:textId="77777777">
      <w:trPr>
        <w:jc w:val="center"/>
      </w:trPr>
      <w:tc>
        <w:tcPr>
          <w:tcW w:w="10080" w:type="dxa"/>
        </w:tcPr>
        <w:p w14:paraId="45A33D72" w14:textId="77777777" w:rsidR="002D0E71" w:rsidRDefault="00000000">
          <w:pPr>
            <w:pStyle w:val="Normal8"/>
            <w:spacing w:before="60" w:after="200"/>
            <w:jc w:val="center"/>
          </w:pPr>
          <w:r>
            <w:rPr>
              <w:rFonts w:ascii="Arial" w:eastAsia="Arial" w:hAnsi="Arial" w:cs="Arial"/>
              <w:sz w:val="20"/>
            </w:rPr>
            <w:t>Hummel v. St. Joseph Cnty. Bd. of Comm'rs, 817 F.3d 1010</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B3D9C" w14:textId="77777777" w:rsidR="002D0E71" w:rsidRDefault="002D0E71">
    <w:pPr>
      <w:pStyle w:val="Normal8"/>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602A3" w14:textId="77777777" w:rsidR="002D0E71" w:rsidRDefault="002D0E71">
    <w:pPr>
      <w:pStyle w:val="Normal9"/>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0367C82E" w14:textId="77777777">
      <w:trPr>
        <w:jc w:val="center"/>
      </w:trPr>
      <w:tc>
        <w:tcPr>
          <w:tcW w:w="10080" w:type="dxa"/>
          <w:vAlign w:val="center"/>
        </w:tcPr>
        <w:p w14:paraId="0E6CEA5E" w14:textId="77777777" w:rsidR="002D0E71" w:rsidRDefault="002D0E71">
          <w:pPr>
            <w:pStyle w:val="Normal9"/>
          </w:pPr>
        </w:p>
      </w:tc>
    </w:tr>
    <w:tr w:rsidR="002D0E71" w14:paraId="5F618687" w14:textId="77777777">
      <w:trPr>
        <w:jc w:val="center"/>
      </w:trPr>
      <w:tc>
        <w:tcPr>
          <w:tcW w:w="10080" w:type="dxa"/>
        </w:tcPr>
        <w:p w14:paraId="3F7750BF" w14:textId="77777777" w:rsidR="002D0E71" w:rsidRDefault="00000000">
          <w:pPr>
            <w:pStyle w:val="Normal9"/>
            <w:spacing w:before="60" w:after="200"/>
            <w:jc w:val="center"/>
          </w:pPr>
          <w:r>
            <w:rPr>
              <w:rFonts w:ascii="Arial" w:eastAsia="Arial" w:hAnsi="Arial" w:cs="Arial"/>
              <w:sz w:val="20"/>
            </w:rPr>
            <w:t>A.G. v. Paradise Valley Unified Sch. Dist. No. 69, 815 F.3d 1195</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1E130" w14:textId="77777777" w:rsidR="002D0E71" w:rsidRDefault="002D0E71">
    <w:pPr>
      <w:pStyle w:val="Normal9"/>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4A4C" w14:textId="77777777" w:rsidR="002D0E71" w:rsidRDefault="002D0E71">
    <w:pPr>
      <w:pStyle w:val="Normal1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33E7A091" w14:textId="77777777">
      <w:trPr>
        <w:jc w:val="center"/>
      </w:trPr>
      <w:tc>
        <w:tcPr>
          <w:tcW w:w="10080" w:type="dxa"/>
          <w:vAlign w:val="center"/>
        </w:tcPr>
        <w:p w14:paraId="7B562C1F" w14:textId="77777777" w:rsidR="002D0E71" w:rsidRDefault="002D0E71">
          <w:pPr>
            <w:pStyle w:val="Normal10"/>
          </w:pPr>
        </w:p>
      </w:tc>
    </w:tr>
    <w:tr w:rsidR="002D0E71" w14:paraId="3866177E" w14:textId="77777777">
      <w:trPr>
        <w:jc w:val="center"/>
      </w:trPr>
      <w:tc>
        <w:tcPr>
          <w:tcW w:w="10080" w:type="dxa"/>
        </w:tcPr>
        <w:p w14:paraId="5807A587" w14:textId="77777777" w:rsidR="002D0E71" w:rsidRDefault="00000000">
          <w:pPr>
            <w:pStyle w:val="Normal10"/>
            <w:spacing w:before="60" w:after="200"/>
            <w:jc w:val="center"/>
          </w:pPr>
          <w:r>
            <w:rPr>
              <w:rFonts w:ascii="Arial" w:eastAsia="Arial" w:hAnsi="Arial" w:cs="Arial"/>
              <w:sz w:val="20"/>
            </w:rPr>
            <w:t>Hunt v. Aimco Props., L.P., 814 F.3d 1213</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E5AA7" w14:textId="77777777" w:rsidR="002D0E71" w:rsidRDefault="002D0E71">
    <w:pPr>
      <w:pStyle w:val="Normal1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9BF7C" w14:textId="77777777" w:rsidR="002D0E71" w:rsidRDefault="002D0E71">
    <w:pPr>
      <w:pStyle w:val="Normal11"/>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74D33E9C" w14:textId="77777777">
      <w:trPr>
        <w:jc w:val="center"/>
      </w:trPr>
      <w:tc>
        <w:tcPr>
          <w:tcW w:w="10080" w:type="dxa"/>
          <w:vAlign w:val="center"/>
        </w:tcPr>
        <w:p w14:paraId="632A9CEE" w14:textId="77777777" w:rsidR="002D0E71" w:rsidRDefault="002D0E71">
          <w:pPr>
            <w:pStyle w:val="Normal11"/>
          </w:pPr>
        </w:p>
      </w:tc>
    </w:tr>
    <w:tr w:rsidR="002D0E71" w14:paraId="4B4A5386" w14:textId="77777777">
      <w:trPr>
        <w:jc w:val="center"/>
      </w:trPr>
      <w:tc>
        <w:tcPr>
          <w:tcW w:w="10080" w:type="dxa"/>
        </w:tcPr>
        <w:p w14:paraId="6715D2F1" w14:textId="77777777" w:rsidR="002D0E71" w:rsidRDefault="00000000">
          <w:pPr>
            <w:pStyle w:val="Normal11"/>
            <w:spacing w:before="60" w:after="200"/>
            <w:jc w:val="center"/>
          </w:pPr>
          <w:r>
            <w:rPr>
              <w:rFonts w:ascii="Arial" w:eastAsia="Arial" w:hAnsi="Arial" w:cs="Arial"/>
              <w:sz w:val="20"/>
            </w:rPr>
            <w:t>Choi v. Univ. of Tex. Health Sci. Ctr. at San Antonio, 633 Fed. Appx. 214</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7FDEA" w14:textId="77777777" w:rsidR="002D0E71" w:rsidRDefault="002D0E71">
    <w:pPr>
      <w:pStyle w:val="Normal11"/>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6A789" w14:textId="77777777" w:rsidR="002D0E71" w:rsidRDefault="002D0E71">
    <w:pPr>
      <w:pStyle w:val="Normal12"/>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6FD03FD7" w14:textId="77777777">
      <w:trPr>
        <w:jc w:val="center"/>
      </w:trPr>
      <w:tc>
        <w:tcPr>
          <w:tcW w:w="10080" w:type="dxa"/>
          <w:vAlign w:val="center"/>
        </w:tcPr>
        <w:p w14:paraId="7EE69ADE" w14:textId="77777777" w:rsidR="002D0E71" w:rsidRDefault="002D0E71">
          <w:pPr>
            <w:pStyle w:val="Normal12"/>
          </w:pPr>
        </w:p>
      </w:tc>
    </w:tr>
    <w:tr w:rsidR="002D0E71" w14:paraId="387912DD" w14:textId="77777777">
      <w:trPr>
        <w:jc w:val="center"/>
      </w:trPr>
      <w:tc>
        <w:tcPr>
          <w:tcW w:w="10080" w:type="dxa"/>
        </w:tcPr>
        <w:p w14:paraId="232E0B6D" w14:textId="77777777" w:rsidR="002D0E71" w:rsidRDefault="00000000">
          <w:pPr>
            <w:pStyle w:val="Normal12"/>
            <w:spacing w:before="60" w:after="200"/>
            <w:jc w:val="center"/>
          </w:pPr>
          <w:r>
            <w:rPr>
              <w:rFonts w:ascii="Arial" w:eastAsia="Arial" w:hAnsi="Arial" w:cs="Arial"/>
              <w:sz w:val="20"/>
            </w:rPr>
            <w:t>J.H. v. Bernalillo Cnty., 806 F.3d 1255</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F32D1" w14:textId="77777777" w:rsidR="002D0E71" w:rsidRDefault="002D0E71">
    <w:pPr>
      <w:pStyle w:val="Normal12"/>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BD6D1" w14:textId="77777777" w:rsidR="002D0E71" w:rsidRDefault="002D0E71">
    <w:pPr>
      <w:pStyle w:val="Normal13"/>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4771072B" w14:textId="77777777">
      <w:trPr>
        <w:jc w:val="center"/>
      </w:trPr>
      <w:tc>
        <w:tcPr>
          <w:tcW w:w="10080" w:type="dxa"/>
          <w:vAlign w:val="center"/>
        </w:tcPr>
        <w:p w14:paraId="63802DFC" w14:textId="77777777" w:rsidR="002D0E71" w:rsidRDefault="002D0E71">
          <w:pPr>
            <w:pStyle w:val="Normal13"/>
          </w:pPr>
        </w:p>
      </w:tc>
    </w:tr>
    <w:tr w:rsidR="002D0E71" w14:paraId="13E6BF1E" w14:textId="77777777">
      <w:trPr>
        <w:jc w:val="center"/>
      </w:trPr>
      <w:tc>
        <w:tcPr>
          <w:tcW w:w="10080" w:type="dxa"/>
        </w:tcPr>
        <w:p w14:paraId="562CE8AB" w14:textId="77777777" w:rsidR="002D0E71" w:rsidRDefault="00000000">
          <w:pPr>
            <w:pStyle w:val="Normal13"/>
            <w:spacing w:before="60" w:after="200"/>
            <w:jc w:val="center"/>
          </w:pPr>
          <w:r>
            <w:rPr>
              <w:rFonts w:ascii="Arial" w:eastAsia="Arial" w:hAnsi="Arial" w:cs="Arial"/>
              <w:sz w:val="20"/>
            </w:rPr>
            <w:t>T.B. v. San Diego Unified Sch. Dist., 806 F.3d 451</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3459E" w14:textId="77777777" w:rsidR="002D0E71" w:rsidRDefault="002D0E71">
    <w:pPr>
      <w:pStyle w:val="Normal13"/>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317DE" w14:textId="77777777" w:rsidR="002D0E71" w:rsidRDefault="002D0E71">
    <w:pPr>
      <w:pStyle w:val="Normal14"/>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10544DA2" w14:textId="77777777">
      <w:trPr>
        <w:jc w:val="center"/>
      </w:trPr>
      <w:tc>
        <w:tcPr>
          <w:tcW w:w="10080" w:type="dxa"/>
          <w:vAlign w:val="center"/>
        </w:tcPr>
        <w:p w14:paraId="32C37B0C" w14:textId="77777777" w:rsidR="002D0E71" w:rsidRDefault="002D0E71">
          <w:pPr>
            <w:pStyle w:val="Normal14"/>
          </w:pPr>
        </w:p>
      </w:tc>
    </w:tr>
    <w:tr w:rsidR="002D0E71" w14:paraId="793751F5" w14:textId="77777777">
      <w:trPr>
        <w:jc w:val="center"/>
      </w:trPr>
      <w:tc>
        <w:tcPr>
          <w:tcW w:w="10080" w:type="dxa"/>
        </w:tcPr>
        <w:p w14:paraId="0D330444" w14:textId="77777777" w:rsidR="002D0E71" w:rsidRDefault="00000000">
          <w:pPr>
            <w:pStyle w:val="Normal14"/>
            <w:spacing w:before="60" w:after="200"/>
            <w:jc w:val="center"/>
          </w:pPr>
          <w:r>
            <w:rPr>
              <w:rFonts w:ascii="Arial" w:eastAsia="Arial" w:hAnsi="Arial" w:cs="Arial"/>
              <w:sz w:val="20"/>
            </w:rPr>
            <w:t>Wilke v. Cole, 630 Fed. Appx. 615</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6149B" w14:textId="77777777" w:rsidR="002D0E71" w:rsidRDefault="002D0E71">
    <w:pPr>
      <w:pStyle w:val="Normal14"/>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2A771" w14:textId="77777777" w:rsidR="002D0E71" w:rsidRDefault="002D0E71">
    <w:pPr>
      <w:pStyle w:val="Normal15"/>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23F324D0" w14:textId="77777777">
      <w:trPr>
        <w:jc w:val="center"/>
      </w:trPr>
      <w:tc>
        <w:tcPr>
          <w:tcW w:w="10080" w:type="dxa"/>
          <w:vAlign w:val="center"/>
        </w:tcPr>
        <w:p w14:paraId="7CE979D0" w14:textId="77777777" w:rsidR="002D0E71" w:rsidRDefault="002D0E71">
          <w:pPr>
            <w:pStyle w:val="Normal15"/>
          </w:pPr>
        </w:p>
      </w:tc>
    </w:tr>
    <w:tr w:rsidR="002D0E71" w14:paraId="180330BC" w14:textId="77777777">
      <w:trPr>
        <w:jc w:val="center"/>
      </w:trPr>
      <w:tc>
        <w:tcPr>
          <w:tcW w:w="10080" w:type="dxa"/>
        </w:tcPr>
        <w:p w14:paraId="41D809F7" w14:textId="77777777" w:rsidR="002D0E71" w:rsidRDefault="00000000">
          <w:pPr>
            <w:pStyle w:val="Normal15"/>
            <w:spacing w:before="60" w:after="200"/>
            <w:jc w:val="center"/>
          </w:pPr>
          <w:r>
            <w:rPr>
              <w:rFonts w:ascii="Arial" w:eastAsia="Arial" w:hAnsi="Arial" w:cs="Arial"/>
              <w:sz w:val="20"/>
            </w:rPr>
            <w:t>Reed v. Illinois, 808 F.3d 1103</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8DBD2" w14:textId="77777777" w:rsidR="002D0E71" w:rsidRDefault="002D0E71">
    <w:pPr>
      <w:pStyle w:val="Normal15"/>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D4CCD" w14:textId="77777777" w:rsidR="002D0E71" w:rsidRDefault="002D0E71">
    <w:pPr>
      <w:pStyle w:val="Normal16"/>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78B6DA3C" w14:textId="77777777">
      <w:trPr>
        <w:jc w:val="center"/>
      </w:trPr>
      <w:tc>
        <w:tcPr>
          <w:tcW w:w="10080" w:type="dxa"/>
          <w:vAlign w:val="center"/>
        </w:tcPr>
        <w:p w14:paraId="260714D4" w14:textId="77777777" w:rsidR="002D0E71" w:rsidRDefault="002D0E71">
          <w:pPr>
            <w:pStyle w:val="Normal16"/>
          </w:pPr>
        </w:p>
      </w:tc>
    </w:tr>
    <w:tr w:rsidR="002D0E71" w14:paraId="21ABC879" w14:textId="77777777">
      <w:trPr>
        <w:jc w:val="center"/>
      </w:trPr>
      <w:tc>
        <w:tcPr>
          <w:tcW w:w="10080" w:type="dxa"/>
        </w:tcPr>
        <w:p w14:paraId="19DF2C1B" w14:textId="77777777" w:rsidR="002D0E71" w:rsidRDefault="00000000">
          <w:pPr>
            <w:pStyle w:val="Normal16"/>
            <w:spacing w:before="60" w:after="200"/>
            <w:jc w:val="center"/>
          </w:pPr>
          <w:r>
            <w:rPr>
              <w:rFonts w:ascii="Arial" w:eastAsia="Arial" w:hAnsi="Arial" w:cs="Arial"/>
              <w:sz w:val="20"/>
            </w:rPr>
            <w:t>Taylor v. Augusta-Richmond Cnty. Consol. Comm'rs, 618 Fed. Appx. 651</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BB2FF" w14:textId="77777777" w:rsidR="002D0E71" w:rsidRDefault="002D0E71">
    <w:pPr>
      <w:pStyle w:val="Normal16"/>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48077" w14:textId="77777777" w:rsidR="002D0E71" w:rsidRDefault="002D0E71">
    <w:pPr>
      <w:pStyle w:val="Normal17"/>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48B975DB" w14:textId="77777777">
      <w:trPr>
        <w:jc w:val="center"/>
      </w:trPr>
      <w:tc>
        <w:tcPr>
          <w:tcW w:w="10080" w:type="dxa"/>
          <w:vAlign w:val="center"/>
        </w:tcPr>
        <w:p w14:paraId="00F4C1BF" w14:textId="77777777" w:rsidR="002D0E71" w:rsidRDefault="002D0E71">
          <w:pPr>
            <w:pStyle w:val="Normal17"/>
          </w:pPr>
        </w:p>
      </w:tc>
    </w:tr>
    <w:tr w:rsidR="002D0E71" w14:paraId="13E7AD1D" w14:textId="77777777">
      <w:trPr>
        <w:jc w:val="center"/>
      </w:trPr>
      <w:tc>
        <w:tcPr>
          <w:tcW w:w="10080" w:type="dxa"/>
        </w:tcPr>
        <w:p w14:paraId="0DEB389E" w14:textId="77777777" w:rsidR="002D0E71" w:rsidRDefault="00000000">
          <w:pPr>
            <w:pStyle w:val="Normal17"/>
            <w:spacing w:before="60" w:after="200"/>
            <w:jc w:val="center"/>
          </w:pPr>
          <w:r>
            <w:rPr>
              <w:rFonts w:ascii="Arial" w:eastAsia="Arial" w:hAnsi="Arial" w:cs="Arial"/>
              <w:sz w:val="20"/>
            </w:rPr>
            <w:t>Dean v. Univ. at Buffalo Sch. of Med. &amp; Biomedical Scis., 804 F.3d 178</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F1347" w14:textId="77777777" w:rsidR="002D0E71" w:rsidRDefault="002D0E71">
    <w:pPr>
      <w:pStyle w:val="Normal17"/>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A29B6" w14:textId="77777777" w:rsidR="002D0E71" w:rsidRDefault="002D0E71">
    <w:pPr>
      <w:pStyle w:val="Normal18"/>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57B9286A" w14:textId="77777777">
      <w:trPr>
        <w:jc w:val="center"/>
      </w:trPr>
      <w:tc>
        <w:tcPr>
          <w:tcW w:w="10080" w:type="dxa"/>
          <w:vAlign w:val="center"/>
        </w:tcPr>
        <w:p w14:paraId="24F4A05F" w14:textId="77777777" w:rsidR="002D0E71" w:rsidRDefault="002D0E71">
          <w:pPr>
            <w:pStyle w:val="Normal18"/>
          </w:pPr>
        </w:p>
      </w:tc>
    </w:tr>
    <w:tr w:rsidR="002D0E71" w14:paraId="235DBBE0" w14:textId="77777777">
      <w:trPr>
        <w:jc w:val="center"/>
      </w:trPr>
      <w:tc>
        <w:tcPr>
          <w:tcW w:w="10080" w:type="dxa"/>
        </w:tcPr>
        <w:p w14:paraId="7550446B" w14:textId="77777777" w:rsidR="002D0E71" w:rsidRDefault="00000000">
          <w:pPr>
            <w:pStyle w:val="Normal18"/>
            <w:spacing w:before="60" w:after="200"/>
            <w:jc w:val="center"/>
          </w:pPr>
          <w:r>
            <w:rPr>
              <w:rFonts w:ascii="Arial" w:eastAsia="Arial" w:hAnsi="Arial" w:cs="Arial"/>
              <w:sz w:val="20"/>
            </w:rPr>
            <w:t>Perez v. Doctors Hosp. at Renaissance, Ltd., 624 Fed. Appx. 180</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80D26" w14:textId="77777777" w:rsidR="002D0E71" w:rsidRDefault="002D0E71">
    <w:pPr>
      <w:pStyle w:val="Normal18"/>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DBF90" w14:textId="77777777" w:rsidR="002D0E71" w:rsidRDefault="002D0E71">
    <w:pPr>
      <w:pStyle w:val="Normal19"/>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36F3248B" w14:textId="77777777">
      <w:trPr>
        <w:jc w:val="center"/>
      </w:trPr>
      <w:tc>
        <w:tcPr>
          <w:tcW w:w="10080" w:type="dxa"/>
          <w:vAlign w:val="center"/>
        </w:tcPr>
        <w:p w14:paraId="0E964C20" w14:textId="77777777" w:rsidR="002D0E71" w:rsidRDefault="002D0E71">
          <w:pPr>
            <w:pStyle w:val="Normal19"/>
          </w:pPr>
        </w:p>
      </w:tc>
    </w:tr>
    <w:tr w:rsidR="002D0E71" w14:paraId="76C52482" w14:textId="77777777">
      <w:trPr>
        <w:jc w:val="center"/>
      </w:trPr>
      <w:tc>
        <w:tcPr>
          <w:tcW w:w="10080" w:type="dxa"/>
        </w:tcPr>
        <w:p w14:paraId="28CDB5D3" w14:textId="77777777" w:rsidR="002D0E71" w:rsidRDefault="00000000">
          <w:pPr>
            <w:pStyle w:val="Normal19"/>
            <w:spacing w:before="60" w:after="200"/>
            <w:jc w:val="center"/>
          </w:pPr>
          <w:r>
            <w:rPr>
              <w:rFonts w:ascii="Arial" w:eastAsia="Arial" w:hAnsi="Arial" w:cs="Arial"/>
              <w:sz w:val="20"/>
            </w:rPr>
            <w:t>Anderson v. City of Blue Ash, 798 F.3d 338</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D491C" w14:textId="77777777" w:rsidR="002D0E71" w:rsidRDefault="002D0E71">
    <w:pPr>
      <w:pStyle w:val="Normal19"/>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528C1" w14:textId="77777777" w:rsidR="002D0E71" w:rsidRDefault="002D0E71">
    <w:pPr>
      <w:pStyle w:val="Normal20"/>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2B411E8D" w14:textId="77777777">
      <w:trPr>
        <w:jc w:val="center"/>
      </w:trPr>
      <w:tc>
        <w:tcPr>
          <w:tcW w:w="10080" w:type="dxa"/>
          <w:vAlign w:val="center"/>
        </w:tcPr>
        <w:p w14:paraId="3B75A4D4" w14:textId="77777777" w:rsidR="002D0E71" w:rsidRDefault="002D0E71">
          <w:pPr>
            <w:pStyle w:val="Normal20"/>
          </w:pPr>
        </w:p>
      </w:tc>
    </w:tr>
    <w:tr w:rsidR="002D0E71" w14:paraId="6A6C1173" w14:textId="77777777">
      <w:trPr>
        <w:jc w:val="center"/>
      </w:trPr>
      <w:tc>
        <w:tcPr>
          <w:tcW w:w="10080" w:type="dxa"/>
        </w:tcPr>
        <w:p w14:paraId="7C3DD046" w14:textId="77777777" w:rsidR="002D0E71" w:rsidRDefault="00000000">
          <w:pPr>
            <w:pStyle w:val="Normal20"/>
            <w:spacing w:before="60" w:after="200"/>
            <w:jc w:val="center"/>
          </w:pPr>
          <w:r>
            <w:rPr>
              <w:rFonts w:ascii="Arial" w:eastAsia="Arial" w:hAnsi="Arial" w:cs="Arial"/>
              <w:sz w:val="20"/>
            </w:rPr>
            <w:t>Martin v. Halifax Healthcare Sys., 621 Fed. Appx. 594</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8F786" w14:textId="77777777" w:rsidR="002D0E71" w:rsidRDefault="002D0E71">
    <w:pPr>
      <w:pStyle w:val="Normal20"/>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BA71B" w14:textId="77777777" w:rsidR="002D0E71" w:rsidRDefault="002D0E71">
    <w:pPr>
      <w:pStyle w:val="Normal21"/>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4734CDC6" w14:textId="77777777">
      <w:trPr>
        <w:jc w:val="center"/>
      </w:trPr>
      <w:tc>
        <w:tcPr>
          <w:tcW w:w="10080" w:type="dxa"/>
          <w:vAlign w:val="center"/>
        </w:tcPr>
        <w:p w14:paraId="040B7930" w14:textId="77777777" w:rsidR="002D0E71" w:rsidRDefault="002D0E71">
          <w:pPr>
            <w:pStyle w:val="Normal21"/>
          </w:pPr>
        </w:p>
      </w:tc>
    </w:tr>
    <w:tr w:rsidR="002D0E71" w14:paraId="223C6551" w14:textId="77777777">
      <w:trPr>
        <w:jc w:val="center"/>
      </w:trPr>
      <w:tc>
        <w:tcPr>
          <w:tcW w:w="10080" w:type="dxa"/>
        </w:tcPr>
        <w:p w14:paraId="4FC70CA1" w14:textId="77777777" w:rsidR="002D0E71" w:rsidRDefault="00000000">
          <w:pPr>
            <w:pStyle w:val="Normal21"/>
            <w:spacing w:before="60" w:after="200"/>
            <w:jc w:val="center"/>
          </w:pPr>
          <w:r>
            <w:rPr>
              <w:rFonts w:ascii="Arial" w:eastAsia="Arial" w:hAnsi="Arial" w:cs="Arial"/>
              <w:sz w:val="20"/>
            </w:rPr>
            <w:t>Gomez v. Dade Cnty. Fed. Credit Union, 610 Fed. Appx. 859</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903D9" w14:textId="77777777" w:rsidR="002D0E71" w:rsidRDefault="002D0E71">
    <w:pPr>
      <w:pStyle w:val="Normal21"/>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F2B21" w14:textId="77777777" w:rsidR="002D0E71" w:rsidRDefault="002D0E71">
    <w:pPr>
      <w:pStyle w:val="Normal22"/>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1C5DE49D" w14:textId="77777777">
      <w:trPr>
        <w:jc w:val="center"/>
      </w:trPr>
      <w:tc>
        <w:tcPr>
          <w:tcW w:w="10080" w:type="dxa"/>
          <w:vAlign w:val="center"/>
        </w:tcPr>
        <w:p w14:paraId="5AA8E4C9" w14:textId="77777777" w:rsidR="002D0E71" w:rsidRDefault="002D0E71">
          <w:pPr>
            <w:pStyle w:val="Normal22"/>
          </w:pPr>
        </w:p>
      </w:tc>
    </w:tr>
    <w:tr w:rsidR="002D0E71" w14:paraId="0D0DF0F4" w14:textId="77777777">
      <w:trPr>
        <w:jc w:val="center"/>
      </w:trPr>
      <w:tc>
        <w:tcPr>
          <w:tcW w:w="10080" w:type="dxa"/>
        </w:tcPr>
        <w:p w14:paraId="59181C99" w14:textId="77777777" w:rsidR="002D0E71" w:rsidRDefault="00000000">
          <w:pPr>
            <w:pStyle w:val="Normal22"/>
            <w:spacing w:before="60" w:after="200"/>
            <w:jc w:val="center"/>
          </w:pPr>
          <w:r>
            <w:rPr>
              <w:rFonts w:ascii="Arial" w:eastAsia="Arial" w:hAnsi="Arial" w:cs="Arial"/>
              <w:sz w:val="20"/>
            </w:rPr>
            <w:t>Ward v. Kelly, 599 Fed. Appx. 587</w:t>
          </w:r>
        </w:p>
      </w:tc>
    </w:tr>
  </w:tbl>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7D498" w14:textId="77777777" w:rsidR="002D0E71" w:rsidRDefault="002D0E71">
    <w:pPr>
      <w:pStyle w:val="Normal22"/>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546C6" w14:textId="77777777" w:rsidR="002D0E71" w:rsidRDefault="002D0E71">
    <w:pPr>
      <w:pStyle w:val="Normal23"/>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3A8839D3" w14:textId="77777777">
      <w:trPr>
        <w:jc w:val="center"/>
      </w:trPr>
      <w:tc>
        <w:tcPr>
          <w:tcW w:w="10080" w:type="dxa"/>
          <w:vAlign w:val="center"/>
        </w:tcPr>
        <w:p w14:paraId="787BA57A" w14:textId="77777777" w:rsidR="002D0E71" w:rsidRDefault="002D0E71">
          <w:pPr>
            <w:pStyle w:val="Normal23"/>
          </w:pPr>
        </w:p>
      </w:tc>
    </w:tr>
    <w:tr w:rsidR="002D0E71" w14:paraId="1F582C85" w14:textId="77777777">
      <w:trPr>
        <w:jc w:val="center"/>
      </w:trPr>
      <w:tc>
        <w:tcPr>
          <w:tcW w:w="10080" w:type="dxa"/>
        </w:tcPr>
        <w:p w14:paraId="171F1AE9" w14:textId="77777777" w:rsidR="002D0E71" w:rsidRDefault="00000000">
          <w:pPr>
            <w:pStyle w:val="Normal23"/>
            <w:spacing w:before="60" w:after="200"/>
            <w:jc w:val="center"/>
          </w:pPr>
          <w:r>
            <w:rPr>
              <w:rFonts w:ascii="Arial" w:eastAsia="Arial" w:hAnsi="Arial" w:cs="Arial"/>
              <w:sz w:val="20"/>
            </w:rPr>
            <w:t>Kohler v. Bed Bath &amp; Beyond of Cal., LLC, 780 F.3d 1260</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9A433" w14:textId="77777777" w:rsidR="002D0E71" w:rsidRDefault="002D0E71">
    <w:pPr>
      <w:pStyle w:val="Normal23"/>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F8DD0" w14:textId="77777777" w:rsidR="002D0E71" w:rsidRDefault="002D0E71">
    <w:pPr>
      <w:pStyle w:val="Normal24"/>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25254317" w14:textId="77777777">
      <w:trPr>
        <w:jc w:val="center"/>
      </w:trPr>
      <w:tc>
        <w:tcPr>
          <w:tcW w:w="10080" w:type="dxa"/>
          <w:vAlign w:val="center"/>
        </w:tcPr>
        <w:p w14:paraId="3D1D3920" w14:textId="77777777" w:rsidR="002D0E71" w:rsidRDefault="002D0E71">
          <w:pPr>
            <w:pStyle w:val="Normal24"/>
          </w:pPr>
        </w:p>
      </w:tc>
    </w:tr>
    <w:tr w:rsidR="002D0E71" w14:paraId="7FEA616B" w14:textId="77777777">
      <w:trPr>
        <w:jc w:val="center"/>
      </w:trPr>
      <w:tc>
        <w:tcPr>
          <w:tcW w:w="10080" w:type="dxa"/>
        </w:tcPr>
        <w:p w14:paraId="218B8141" w14:textId="77777777" w:rsidR="002D0E71" w:rsidRDefault="00000000">
          <w:pPr>
            <w:pStyle w:val="Normal24"/>
            <w:spacing w:before="60" w:after="200"/>
            <w:jc w:val="center"/>
          </w:pPr>
          <w:r>
            <w:rPr>
              <w:rFonts w:ascii="Arial" w:eastAsia="Arial" w:hAnsi="Arial" w:cs="Arial"/>
              <w:sz w:val="20"/>
            </w:rPr>
            <w:t>Kohler v. Presidio Int'l, Inc., 782 F.3d 1064</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AF04D" w14:textId="77777777" w:rsidR="002D0E71" w:rsidRDefault="002D0E71">
    <w:pPr>
      <w:pStyle w:val="Normal24"/>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E3125" w14:textId="77777777" w:rsidR="002D0E71" w:rsidRDefault="002D0E71">
    <w:pPr>
      <w:pStyle w:val="Normal25"/>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1124DBA7" w14:textId="77777777">
      <w:trPr>
        <w:jc w:val="center"/>
      </w:trPr>
      <w:tc>
        <w:tcPr>
          <w:tcW w:w="10080" w:type="dxa"/>
          <w:vAlign w:val="center"/>
        </w:tcPr>
        <w:p w14:paraId="5CF3D450" w14:textId="77777777" w:rsidR="002D0E71" w:rsidRDefault="002D0E71">
          <w:pPr>
            <w:pStyle w:val="Normal25"/>
          </w:pPr>
        </w:p>
      </w:tc>
    </w:tr>
    <w:tr w:rsidR="002D0E71" w14:paraId="257A1A27" w14:textId="77777777">
      <w:trPr>
        <w:jc w:val="center"/>
      </w:trPr>
      <w:tc>
        <w:tcPr>
          <w:tcW w:w="10080" w:type="dxa"/>
        </w:tcPr>
        <w:p w14:paraId="4E0B604C" w14:textId="77777777" w:rsidR="002D0E71" w:rsidRDefault="00000000">
          <w:pPr>
            <w:pStyle w:val="Normal25"/>
            <w:spacing w:before="60" w:after="200"/>
            <w:jc w:val="center"/>
          </w:pPr>
          <w:r>
            <w:rPr>
              <w:rFonts w:ascii="Arial" w:eastAsia="Arial" w:hAnsi="Arial" w:cs="Arial"/>
              <w:sz w:val="20"/>
            </w:rPr>
            <w:t>Kohler v. Flava Enters., 779 F.3d 1016</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75135" w14:textId="77777777" w:rsidR="002D0E71" w:rsidRDefault="002D0E71">
    <w:pPr>
      <w:pStyle w:val="Normal25"/>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560B5" w14:textId="77777777" w:rsidR="002D0E71" w:rsidRDefault="002D0E71">
    <w:pPr>
      <w:pStyle w:val="Normal26"/>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01F5FF2D" w14:textId="77777777">
      <w:trPr>
        <w:jc w:val="center"/>
      </w:trPr>
      <w:tc>
        <w:tcPr>
          <w:tcW w:w="10080" w:type="dxa"/>
          <w:vAlign w:val="center"/>
        </w:tcPr>
        <w:p w14:paraId="6E710C69" w14:textId="77777777" w:rsidR="002D0E71" w:rsidRDefault="002D0E71">
          <w:pPr>
            <w:pStyle w:val="Normal26"/>
          </w:pPr>
        </w:p>
      </w:tc>
    </w:tr>
    <w:tr w:rsidR="002D0E71" w14:paraId="3B06445D" w14:textId="77777777">
      <w:trPr>
        <w:jc w:val="center"/>
      </w:trPr>
      <w:tc>
        <w:tcPr>
          <w:tcW w:w="10080" w:type="dxa"/>
        </w:tcPr>
        <w:p w14:paraId="554B0B88" w14:textId="77777777" w:rsidR="002D0E71" w:rsidRDefault="00000000">
          <w:pPr>
            <w:pStyle w:val="Normal26"/>
            <w:spacing w:before="60" w:after="200"/>
            <w:jc w:val="center"/>
          </w:pPr>
          <w:r>
            <w:rPr>
              <w:rFonts w:ascii="Arial" w:eastAsia="Arial" w:hAnsi="Arial" w:cs="Arial"/>
              <w:sz w:val="20"/>
            </w:rPr>
            <w:t>Chapman v. Pier 1 Imps. (U.S.) Inc., 779 F.3d 1001</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855B6" w14:textId="77777777" w:rsidR="002D0E71" w:rsidRDefault="002D0E71">
    <w:pPr>
      <w:pStyle w:val="Normal26"/>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52F84" w14:textId="77777777" w:rsidR="002D0E71" w:rsidRDefault="002D0E71">
    <w:pPr>
      <w:pStyle w:val="Normal27"/>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288187EA" w14:textId="77777777">
      <w:trPr>
        <w:jc w:val="center"/>
      </w:trPr>
      <w:tc>
        <w:tcPr>
          <w:tcW w:w="10080" w:type="dxa"/>
          <w:vAlign w:val="center"/>
        </w:tcPr>
        <w:p w14:paraId="6E4D59F9" w14:textId="77777777" w:rsidR="002D0E71" w:rsidRDefault="002D0E71">
          <w:pPr>
            <w:pStyle w:val="Normal27"/>
          </w:pPr>
        </w:p>
      </w:tc>
    </w:tr>
    <w:tr w:rsidR="002D0E71" w14:paraId="3DD7ECB7" w14:textId="77777777">
      <w:trPr>
        <w:jc w:val="center"/>
      </w:trPr>
      <w:tc>
        <w:tcPr>
          <w:tcW w:w="10080" w:type="dxa"/>
        </w:tcPr>
        <w:p w14:paraId="0C47E990" w14:textId="77777777" w:rsidR="002D0E71" w:rsidRDefault="00000000">
          <w:pPr>
            <w:pStyle w:val="Normal27"/>
            <w:spacing w:before="60" w:after="200"/>
            <w:jc w:val="center"/>
          </w:pPr>
          <w:r>
            <w:rPr>
              <w:rFonts w:ascii="Arial" w:eastAsia="Arial" w:hAnsi="Arial" w:cs="Arial"/>
              <w:sz w:val="20"/>
            </w:rPr>
            <w:t>Owens v. Sec'y, Fla. Dep't of Corr., 602 Fed. Appx. 475</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D59BD" w14:textId="77777777" w:rsidR="002D0E71" w:rsidRDefault="002D0E71">
    <w:pPr>
      <w:pStyle w:val="Normal27"/>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A0813" w14:textId="77777777" w:rsidR="002D0E71" w:rsidRDefault="002D0E71">
    <w:pPr>
      <w:pStyle w:val="Normal28"/>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17D86D8B" w14:textId="77777777">
      <w:trPr>
        <w:jc w:val="center"/>
      </w:trPr>
      <w:tc>
        <w:tcPr>
          <w:tcW w:w="10080" w:type="dxa"/>
          <w:vAlign w:val="center"/>
        </w:tcPr>
        <w:p w14:paraId="5679C070" w14:textId="77777777" w:rsidR="002D0E71" w:rsidRDefault="002D0E71">
          <w:pPr>
            <w:pStyle w:val="Normal28"/>
          </w:pPr>
        </w:p>
      </w:tc>
    </w:tr>
    <w:tr w:rsidR="002D0E71" w14:paraId="479F61CC" w14:textId="77777777">
      <w:trPr>
        <w:jc w:val="center"/>
      </w:trPr>
      <w:tc>
        <w:tcPr>
          <w:tcW w:w="10080" w:type="dxa"/>
        </w:tcPr>
        <w:p w14:paraId="64EF33B4" w14:textId="77777777" w:rsidR="002D0E71" w:rsidRDefault="00000000">
          <w:pPr>
            <w:pStyle w:val="Normal28"/>
            <w:spacing w:before="60" w:after="200"/>
            <w:jc w:val="center"/>
          </w:pPr>
          <w:r>
            <w:rPr>
              <w:rFonts w:ascii="Arial" w:eastAsia="Arial" w:hAnsi="Arial" w:cs="Arial"/>
              <w:sz w:val="20"/>
            </w:rPr>
            <w:t>Kohler v. Bed Bath &amp; Beyond of Cal., LLC, 778 F.3d 827</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11781" w14:textId="77777777" w:rsidR="002D0E71" w:rsidRDefault="002D0E71">
    <w:pPr>
      <w:pStyle w:val="Normal28"/>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1EACE" w14:textId="77777777" w:rsidR="002D0E71" w:rsidRDefault="002D0E71">
    <w:pPr>
      <w:pStyle w:val="Normal29"/>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581CBCE3" w14:textId="77777777">
      <w:trPr>
        <w:jc w:val="center"/>
      </w:trPr>
      <w:tc>
        <w:tcPr>
          <w:tcW w:w="10080" w:type="dxa"/>
          <w:vAlign w:val="center"/>
        </w:tcPr>
        <w:p w14:paraId="0667D32B" w14:textId="77777777" w:rsidR="002D0E71" w:rsidRDefault="002D0E71">
          <w:pPr>
            <w:pStyle w:val="Normal29"/>
          </w:pPr>
        </w:p>
      </w:tc>
    </w:tr>
    <w:tr w:rsidR="002D0E71" w14:paraId="18F049B3" w14:textId="77777777">
      <w:trPr>
        <w:jc w:val="center"/>
      </w:trPr>
      <w:tc>
        <w:tcPr>
          <w:tcW w:w="10080" w:type="dxa"/>
        </w:tcPr>
        <w:p w14:paraId="61872701" w14:textId="77777777" w:rsidR="002D0E71" w:rsidRDefault="00000000">
          <w:pPr>
            <w:pStyle w:val="Normal29"/>
            <w:spacing w:before="60" w:after="200"/>
            <w:jc w:val="center"/>
          </w:pPr>
          <w:r>
            <w:rPr>
              <w:rFonts w:ascii="Arial" w:eastAsia="Arial" w:hAnsi="Arial" w:cs="Arial"/>
              <w:sz w:val="20"/>
            </w:rPr>
            <w:t>Sharkey v. O'Neal, 778 F.3d 767</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8628F" w14:textId="77777777" w:rsidR="002D0E71" w:rsidRDefault="002D0E71">
    <w:pPr>
      <w:pStyle w:val="Normal29"/>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9C180" w14:textId="77777777" w:rsidR="002D0E71" w:rsidRDefault="002D0E71">
    <w:pPr>
      <w:pStyle w:val="Normal30"/>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0098F2BC" w14:textId="77777777">
      <w:trPr>
        <w:jc w:val="center"/>
      </w:trPr>
      <w:tc>
        <w:tcPr>
          <w:tcW w:w="10080" w:type="dxa"/>
          <w:vAlign w:val="center"/>
        </w:tcPr>
        <w:p w14:paraId="50C0696A" w14:textId="77777777" w:rsidR="002D0E71" w:rsidRDefault="002D0E71">
          <w:pPr>
            <w:pStyle w:val="Normal30"/>
          </w:pPr>
        </w:p>
      </w:tc>
    </w:tr>
    <w:tr w:rsidR="002D0E71" w14:paraId="7A732762" w14:textId="77777777">
      <w:trPr>
        <w:jc w:val="center"/>
      </w:trPr>
      <w:tc>
        <w:tcPr>
          <w:tcW w:w="10080" w:type="dxa"/>
        </w:tcPr>
        <w:p w14:paraId="06A4C701" w14:textId="77777777" w:rsidR="002D0E71" w:rsidRDefault="00000000">
          <w:pPr>
            <w:pStyle w:val="Normal30"/>
            <w:spacing w:before="60" w:after="200"/>
            <w:jc w:val="center"/>
          </w:pPr>
          <w:r>
            <w:rPr>
              <w:rFonts w:ascii="Arial" w:eastAsia="Arial" w:hAnsi="Arial" w:cs="Arial"/>
              <w:sz w:val="20"/>
            </w:rPr>
            <w:t>Daniel v. Avesta Hous. Mgmt. Corp., 2014 U.S. App. LEXIS 25388</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0A3DF" w14:textId="77777777" w:rsidR="002D0E71" w:rsidRDefault="002D0E71">
    <w:pPr>
      <w:pStyle w:val="Normal30"/>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EF38A" w14:textId="77777777" w:rsidR="002D0E71" w:rsidRDefault="002D0E71">
    <w:pPr>
      <w:pStyle w:val="Normal31"/>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399C0D41" w14:textId="77777777">
      <w:trPr>
        <w:jc w:val="center"/>
      </w:trPr>
      <w:tc>
        <w:tcPr>
          <w:tcW w:w="10080" w:type="dxa"/>
          <w:vAlign w:val="center"/>
        </w:tcPr>
        <w:p w14:paraId="10EEF0E4" w14:textId="77777777" w:rsidR="002D0E71" w:rsidRDefault="002D0E71">
          <w:pPr>
            <w:pStyle w:val="Normal31"/>
          </w:pPr>
        </w:p>
      </w:tc>
    </w:tr>
    <w:tr w:rsidR="002D0E71" w14:paraId="724393A5" w14:textId="77777777">
      <w:trPr>
        <w:jc w:val="center"/>
      </w:trPr>
      <w:tc>
        <w:tcPr>
          <w:tcW w:w="10080" w:type="dxa"/>
        </w:tcPr>
        <w:p w14:paraId="32B559D2" w14:textId="77777777" w:rsidR="002D0E71" w:rsidRDefault="00000000">
          <w:pPr>
            <w:pStyle w:val="Normal31"/>
            <w:spacing w:before="60" w:after="200"/>
            <w:jc w:val="center"/>
          </w:pPr>
          <w:r>
            <w:rPr>
              <w:rFonts w:ascii="Arial" w:eastAsia="Arial" w:hAnsi="Arial" w:cs="Arial"/>
              <w:sz w:val="20"/>
            </w:rPr>
            <w:t>Sperry v. Maes, 592 Fed. Appx. 688</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6F5C5" w14:textId="77777777" w:rsidR="002D0E71" w:rsidRDefault="002D0E71">
    <w:pPr>
      <w:pStyle w:val="Normal31"/>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B1EC5" w14:textId="77777777" w:rsidR="002D0E71" w:rsidRDefault="002D0E71">
    <w:pPr>
      <w:pStyle w:val="Normal32"/>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38B81244" w14:textId="77777777">
      <w:trPr>
        <w:jc w:val="center"/>
      </w:trPr>
      <w:tc>
        <w:tcPr>
          <w:tcW w:w="10080" w:type="dxa"/>
          <w:vAlign w:val="center"/>
        </w:tcPr>
        <w:p w14:paraId="577182E9" w14:textId="77777777" w:rsidR="002D0E71" w:rsidRDefault="002D0E71">
          <w:pPr>
            <w:pStyle w:val="Normal32"/>
          </w:pPr>
        </w:p>
      </w:tc>
    </w:tr>
    <w:tr w:rsidR="002D0E71" w14:paraId="384E1B5E" w14:textId="77777777">
      <w:trPr>
        <w:jc w:val="center"/>
      </w:trPr>
      <w:tc>
        <w:tcPr>
          <w:tcW w:w="10080" w:type="dxa"/>
        </w:tcPr>
        <w:p w14:paraId="08A18A95" w14:textId="77777777" w:rsidR="002D0E71" w:rsidRDefault="00000000">
          <w:pPr>
            <w:pStyle w:val="Normal32"/>
            <w:spacing w:before="60" w:after="200"/>
            <w:jc w:val="center"/>
          </w:pPr>
          <w:r>
            <w:rPr>
              <w:rFonts w:ascii="Arial" w:eastAsia="Arial" w:hAnsi="Arial" w:cs="Arial"/>
              <w:sz w:val="20"/>
            </w:rPr>
            <w:t>McCullum v. Orlando Reg'l Healthcare Sys., 768 F.3d 1135</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070D9" w14:textId="77777777" w:rsidR="002D0E71" w:rsidRDefault="002D0E71">
    <w:pPr>
      <w:pStyle w:val="Normal32"/>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C0BBE" w14:textId="77777777" w:rsidR="002D0E71" w:rsidRDefault="002D0E71">
    <w:pPr>
      <w:pStyle w:val="Normal33"/>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3F47F315" w14:textId="77777777">
      <w:trPr>
        <w:jc w:val="center"/>
      </w:trPr>
      <w:tc>
        <w:tcPr>
          <w:tcW w:w="10080" w:type="dxa"/>
          <w:vAlign w:val="center"/>
        </w:tcPr>
        <w:p w14:paraId="6722DB67" w14:textId="77777777" w:rsidR="002D0E71" w:rsidRDefault="002D0E71">
          <w:pPr>
            <w:pStyle w:val="Normal33"/>
          </w:pPr>
        </w:p>
      </w:tc>
    </w:tr>
    <w:tr w:rsidR="002D0E71" w14:paraId="699C278D" w14:textId="77777777">
      <w:trPr>
        <w:jc w:val="center"/>
      </w:trPr>
      <w:tc>
        <w:tcPr>
          <w:tcW w:w="10080" w:type="dxa"/>
        </w:tcPr>
        <w:p w14:paraId="46453F5A" w14:textId="77777777" w:rsidR="002D0E71" w:rsidRDefault="00000000">
          <w:pPr>
            <w:pStyle w:val="Normal33"/>
            <w:spacing w:before="60" w:after="200"/>
            <w:jc w:val="center"/>
          </w:pPr>
          <w:r>
            <w:rPr>
              <w:rFonts w:ascii="Arial" w:eastAsia="Arial" w:hAnsi="Arial" w:cs="Arial"/>
              <w:sz w:val="20"/>
            </w:rPr>
            <w:t>Sunrise Detox V, LLC v. City of White Plains, 769 F.3d 118</w:t>
          </w:r>
        </w:p>
      </w:tc>
    </w:tr>
  </w:tbl>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3127A" w14:textId="77777777" w:rsidR="002D0E71" w:rsidRDefault="002D0E71">
    <w:pPr>
      <w:pStyle w:val="Normal33"/>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C247" w14:textId="77777777" w:rsidR="002D0E71" w:rsidRDefault="002D0E71">
    <w:pPr>
      <w:pStyle w:val="Normal34"/>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25F2280D" w14:textId="77777777">
      <w:trPr>
        <w:jc w:val="center"/>
      </w:trPr>
      <w:tc>
        <w:tcPr>
          <w:tcW w:w="10080" w:type="dxa"/>
          <w:vAlign w:val="center"/>
        </w:tcPr>
        <w:p w14:paraId="4EB8E33B" w14:textId="77777777" w:rsidR="002D0E71" w:rsidRDefault="002D0E71">
          <w:pPr>
            <w:pStyle w:val="Normal34"/>
          </w:pPr>
        </w:p>
      </w:tc>
    </w:tr>
    <w:tr w:rsidR="002D0E71" w14:paraId="08189C2B" w14:textId="77777777">
      <w:trPr>
        <w:jc w:val="center"/>
      </w:trPr>
      <w:tc>
        <w:tcPr>
          <w:tcW w:w="10080" w:type="dxa"/>
        </w:tcPr>
        <w:p w14:paraId="55F7377D" w14:textId="77777777" w:rsidR="002D0E71" w:rsidRDefault="00000000">
          <w:pPr>
            <w:pStyle w:val="Normal34"/>
            <w:spacing w:before="60" w:after="200"/>
            <w:jc w:val="center"/>
          </w:pPr>
          <w:r>
            <w:rPr>
              <w:rFonts w:ascii="Arial" w:eastAsia="Arial" w:hAnsi="Arial" w:cs="Arial"/>
              <w:sz w:val="20"/>
            </w:rPr>
            <w:t>Seco v. NCL (Bah.), Ltd., 588 Fed. Appx. 863</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6C385" w14:textId="77777777" w:rsidR="002D0E71" w:rsidRDefault="002D0E71">
    <w:pPr>
      <w:pStyle w:val="Normal34"/>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00B46" w14:textId="77777777" w:rsidR="002D0E71" w:rsidRDefault="002D0E71">
    <w:pPr>
      <w:pStyle w:val="Normal35"/>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4CE12D47" w14:textId="77777777">
      <w:trPr>
        <w:jc w:val="center"/>
      </w:trPr>
      <w:tc>
        <w:tcPr>
          <w:tcW w:w="10080" w:type="dxa"/>
          <w:vAlign w:val="center"/>
        </w:tcPr>
        <w:p w14:paraId="5DC79663" w14:textId="77777777" w:rsidR="002D0E71" w:rsidRDefault="002D0E71">
          <w:pPr>
            <w:pStyle w:val="Normal35"/>
          </w:pPr>
        </w:p>
      </w:tc>
    </w:tr>
    <w:tr w:rsidR="002D0E71" w14:paraId="2037B462" w14:textId="77777777">
      <w:trPr>
        <w:jc w:val="center"/>
      </w:trPr>
      <w:tc>
        <w:tcPr>
          <w:tcW w:w="10080" w:type="dxa"/>
        </w:tcPr>
        <w:p w14:paraId="7592EA69" w14:textId="77777777" w:rsidR="002D0E71" w:rsidRDefault="00000000">
          <w:pPr>
            <w:pStyle w:val="Normal35"/>
            <w:spacing w:before="60" w:after="200"/>
            <w:jc w:val="center"/>
          </w:pPr>
          <w:r>
            <w:rPr>
              <w:rFonts w:ascii="Arial" w:eastAsia="Arial" w:hAnsi="Arial" w:cs="Arial"/>
              <w:sz w:val="20"/>
            </w:rPr>
            <w:t>Parker v. Econ. Opportunity for Savannah-Chatham County Area, Inc., 587 Fed. Appx. 631</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6AE7F" w14:textId="77777777" w:rsidR="002D0E71" w:rsidRDefault="002D0E71">
    <w:pPr>
      <w:pStyle w:val="Normal35"/>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2FDE7" w14:textId="77777777" w:rsidR="002D0E71" w:rsidRDefault="002D0E71">
    <w:pPr>
      <w:pStyle w:val="Normal36"/>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4554349B" w14:textId="77777777">
      <w:trPr>
        <w:jc w:val="center"/>
      </w:trPr>
      <w:tc>
        <w:tcPr>
          <w:tcW w:w="10080" w:type="dxa"/>
          <w:vAlign w:val="center"/>
        </w:tcPr>
        <w:p w14:paraId="3A50B59E" w14:textId="77777777" w:rsidR="002D0E71" w:rsidRDefault="002D0E71">
          <w:pPr>
            <w:pStyle w:val="Normal36"/>
          </w:pPr>
        </w:p>
      </w:tc>
    </w:tr>
    <w:tr w:rsidR="002D0E71" w14:paraId="38C8EE6A" w14:textId="77777777">
      <w:trPr>
        <w:jc w:val="center"/>
      </w:trPr>
      <w:tc>
        <w:tcPr>
          <w:tcW w:w="10080" w:type="dxa"/>
        </w:tcPr>
        <w:p w14:paraId="4A72FFB7" w14:textId="77777777" w:rsidR="002D0E71" w:rsidRDefault="00000000">
          <w:pPr>
            <w:pStyle w:val="Normal36"/>
            <w:spacing w:before="60" w:after="200"/>
            <w:jc w:val="center"/>
          </w:pPr>
          <w:r>
            <w:rPr>
              <w:rFonts w:ascii="Arial" w:eastAsia="Arial" w:hAnsi="Arial" w:cs="Arial"/>
              <w:sz w:val="20"/>
            </w:rPr>
            <w:t>Nunes v. Mass. Dep't of Corr., 766 F.3d 136</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A196A" w14:textId="77777777" w:rsidR="002D0E71" w:rsidRDefault="002D0E71">
    <w:pPr>
      <w:pStyle w:val="Normal36"/>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08D4F" w14:textId="77777777" w:rsidR="002D0E71" w:rsidRDefault="002D0E71">
    <w:pPr>
      <w:pStyle w:val="Normal37"/>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10CBDB73" w14:textId="77777777">
      <w:trPr>
        <w:jc w:val="center"/>
      </w:trPr>
      <w:tc>
        <w:tcPr>
          <w:tcW w:w="10080" w:type="dxa"/>
          <w:vAlign w:val="center"/>
        </w:tcPr>
        <w:p w14:paraId="5095758F" w14:textId="77777777" w:rsidR="002D0E71" w:rsidRDefault="002D0E71">
          <w:pPr>
            <w:pStyle w:val="Normal37"/>
          </w:pPr>
        </w:p>
      </w:tc>
    </w:tr>
    <w:tr w:rsidR="002D0E71" w14:paraId="7C45543F" w14:textId="77777777">
      <w:trPr>
        <w:jc w:val="center"/>
      </w:trPr>
      <w:tc>
        <w:tcPr>
          <w:tcW w:w="10080" w:type="dxa"/>
        </w:tcPr>
        <w:p w14:paraId="77AE7ED9" w14:textId="77777777" w:rsidR="002D0E71" w:rsidRDefault="00000000">
          <w:pPr>
            <w:pStyle w:val="Normal37"/>
            <w:spacing w:before="60" w:after="200"/>
            <w:jc w:val="center"/>
          </w:pPr>
          <w:r>
            <w:rPr>
              <w:rFonts w:ascii="Arial" w:eastAsia="Arial" w:hAnsi="Arial" w:cs="Arial"/>
              <w:sz w:val="20"/>
            </w:rPr>
            <w:t>Fortyune v. City of Lomita, 766 F.3d 1098</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250D4" w14:textId="77777777" w:rsidR="002D0E71" w:rsidRDefault="002D0E71">
    <w:pPr>
      <w:pStyle w:val="Normal37"/>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1837C" w14:textId="77777777" w:rsidR="002D0E71" w:rsidRDefault="002D0E71">
    <w:pPr>
      <w:pStyle w:val="Normal38"/>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341FDF4D" w14:textId="77777777">
      <w:trPr>
        <w:jc w:val="center"/>
      </w:trPr>
      <w:tc>
        <w:tcPr>
          <w:tcW w:w="10080" w:type="dxa"/>
          <w:vAlign w:val="center"/>
        </w:tcPr>
        <w:p w14:paraId="1A2C64B3" w14:textId="77777777" w:rsidR="002D0E71" w:rsidRDefault="002D0E71">
          <w:pPr>
            <w:pStyle w:val="Normal38"/>
          </w:pPr>
        </w:p>
      </w:tc>
    </w:tr>
    <w:tr w:rsidR="002D0E71" w14:paraId="6401D229" w14:textId="77777777">
      <w:trPr>
        <w:jc w:val="center"/>
      </w:trPr>
      <w:tc>
        <w:tcPr>
          <w:tcW w:w="10080" w:type="dxa"/>
        </w:tcPr>
        <w:p w14:paraId="45C65042" w14:textId="77777777" w:rsidR="002D0E71" w:rsidRDefault="00000000">
          <w:pPr>
            <w:pStyle w:val="Normal38"/>
            <w:spacing w:before="60" w:after="200"/>
            <w:jc w:val="center"/>
          </w:pPr>
          <w:r>
            <w:rPr>
              <w:rFonts w:ascii="Arial" w:eastAsia="Arial" w:hAnsi="Arial" w:cs="Arial"/>
              <w:sz w:val="20"/>
            </w:rPr>
            <w:t>Colo. Cross-Disability Coalition v. Abercrombie &amp; Fitch Co., 765 F.3d 1205</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B3F5F" w14:textId="77777777" w:rsidR="002D0E71" w:rsidRDefault="002D0E71">
    <w:pPr>
      <w:pStyle w:val="Normal38"/>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9AA7D" w14:textId="77777777" w:rsidR="002D0E71" w:rsidRDefault="002D0E71">
    <w:pPr>
      <w:pStyle w:val="Normal39"/>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3A039786" w14:textId="77777777">
      <w:trPr>
        <w:jc w:val="center"/>
      </w:trPr>
      <w:tc>
        <w:tcPr>
          <w:tcW w:w="10080" w:type="dxa"/>
          <w:vAlign w:val="center"/>
        </w:tcPr>
        <w:p w14:paraId="5C656C96" w14:textId="77777777" w:rsidR="002D0E71" w:rsidRDefault="002D0E71">
          <w:pPr>
            <w:pStyle w:val="Normal39"/>
          </w:pPr>
        </w:p>
      </w:tc>
    </w:tr>
    <w:tr w:rsidR="002D0E71" w14:paraId="3702561E" w14:textId="77777777">
      <w:trPr>
        <w:jc w:val="center"/>
      </w:trPr>
      <w:tc>
        <w:tcPr>
          <w:tcW w:w="10080" w:type="dxa"/>
        </w:tcPr>
        <w:p w14:paraId="36D8D223" w14:textId="77777777" w:rsidR="002D0E71" w:rsidRDefault="00000000">
          <w:pPr>
            <w:pStyle w:val="Normal39"/>
            <w:spacing w:before="60" w:after="200"/>
            <w:jc w:val="center"/>
          </w:pPr>
          <w:r>
            <w:rPr>
              <w:rFonts w:ascii="Arial" w:eastAsia="Arial" w:hAnsi="Arial" w:cs="Arial"/>
              <w:sz w:val="20"/>
            </w:rPr>
            <w:t>De Boise v. Taser Int'l, Inc., 760 F.3d 892</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4ED65" w14:textId="77777777" w:rsidR="002D0E71" w:rsidRDefault="002D0E71">
    <w:pPr>
      <w:pStyle w:val="Normal39"/>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D6B2D" w14:textId="77777777" w:rsidR="002D0E71" w:rsidRDefault="002D0E71">
    <w:pPr>
      <w:pStyle w:val="Normal40"/>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7A032A02" w14:textId="77777777">
      <w:trPr>
        <w:jc w:val="center"/>
      </w:trPr>
      <w:tc>
        <w:tcPr>
          <w:tcW w:w="10080" w:type="dxa"/>
          <w:vAlign w:val="center"/>
        </w:tcPr>
        <w:p w14:paraId="3CA0A5BD" w14:textId="77777777" w:rsidR="002D0E71" w:rsidRDefault="002D0E71">
          <w:pPr>
            <w:pStyle w:val="Normal40"/>
          </w:pPr>
        </w:p>
      </w:tc>
    </w:tr>
    <w:tr w:rsidR="002D0E71" w14:paraId="617D4A30" w14:textId="77777777">
      <w:trPr>
        <w:jc w:val="center"/>
      </w:trPr>
      <w:tc>
        <w:tcPr>
          <w:tcW w:w="10080" w:type="dxa"/>
        </w:tcPr>
        <w:p w14:paraId="666F9393" w14:textId="77777777" w:rsidR="002D0E71" w:rsidRDefault="00000000">
          <w:pPr>
            <w:pStyle w:val="Normal40"/>
            <w:spacing w:before="60" w:after="200"/>
            <w:jc w:val="center"/>
          </w:pPr>
          <w:r>
            <w:rPr>
              <w:rFonts w:ascii="Arial" w:eastAsia="Arial" w:hAnsi="Arial" w:cs="Arial"/>
              <w:sz w:val="20"/>
            </w:rPr>
            <w:t>Cohen v. City of Culver City, 754 F.3d 690</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1EF0D" w14:textId="77777777" w:rsidR="002D0E71" w:rsidRDefault="002D0E71">
    <w:pPr>
      <w:pStyle w:val="Normal40"/>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0460F" w14:textId="77777777" w:rsidR="002D0E71" w:rsidRDefault="002D0E71">
    <w:pPr>
      <w:pStyle w:val="Normal41"/>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04F67717" w14:textId="77777777">
      <w:trPr>
        <w:jc w:val="center"/>
      </w:trPr>
      <w:tc>
        <w:tcPr>
          <w:tcW w:w="10080" w:type="dxa"/>
          <w:vAlign w:val="center"/>
        </w:tcPr>
        <w:p w14:paraId="1DC40B69" w14:textId="77777777" w:rsidR="002D0E71" w:rsidRDefault="002D0E71">
          <w:pPr>
            <w:pStyle w:val="Normal41"/>
          </w:pPr>
        </w:p>
      </w:tc>
    </w:tr>
    <w:tr w:rsidR="002D0E71" w14:paraId="7BB2885B" w14:textId="77777777">
      <w:trPr>
        <w:jc w:val="center"/>
      </w:trPr>
      <w:tc>
        <w:tcPr>
          <w:tcW w:w="10080" w:type="dxa"/>
        </w:tcPr>
        <w:p w14:paraId="7E436CD1" w14:textId="77777777" w:rsidR="002D0E71" w:rsidRDefault="00000000">
          <w:pPr>
            <w:pStyle w:val="Normal41"/>
            <w:spacing w:before="60" w:after="200"/>
            <w:jc w:val="center"/>
          </w:pPr>
          <w:r>
            <w:rPr>
              <w:rFonts w:ascii="Arial" w:eastAsia="Arial" w:hAnsi="Arial" w:cs="Arial"/>
              <w:sz w:val="20"/>
            </w:rPr>
            <w:t>Ervine v. Desert View Reg'l Med. Ctr. Holdings, LLC, 753 F.3d 862</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94AB3" w14:textId="77777777" w:rsidR="002D0E71" w:rsidRDefault="002D0E71">
    <w:pPr>
      <w:pStyle w:val="Normal41"/>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92B8A" w14:textId="77777777" w:rsidR="002D0E71" w:rsidRDefault="002D0E71">
    <w:pPr>
      <w:pStyle w:val="Normal42"/>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46921EAA" w14:textId="77777777">
      <w:trPr>
        <w:jc w:val="center"/>
      </w:trPr>
      <w:tc>
        <w:tcPr>
          <w:tcW w:w="10080" w:type="dxa"/>
          <w:vAlign w:val="center"/>
        </w:tcPr>
        <w:p w14:paraId="3C3489AA" w14:textId="77777777" w:rsidR="002D0E71" w:rsidRDefault="002D0E71">
          <w:pPr>
            <w:pStyle w:val="Normal42"/>
          </w:pPr>
        </w:p>
      </w:tc>
    </w:tr>
    <w:tr w:rsidR="002D0E71" w14:paraId="56215325" w14:textId="77777777">
      <w:trPr>
        <w:jc w:val="center"/>
      </w:trPr>
      <w:tc>
        <w:tcPr>
          <w:tcW w:w="10080" w:type="dxa"/>
        </w:tcPr>
        <w:p w14:paraId="6EAF4CC7" w14:textId="77777777" w:rsidR="002D0E71" w:rsidRDefault="00000000">
          <w:pPr>
            <w:pStyle w:val="Normal42"/>
            <w:spacing w:before="60" w:after="200"/>
            <w:jc w:val="center"/>
          </w:pPr>
          <w:r>
            <w:rPr>
              <w:rFonts w:ascii="Arial" w:eastAsia="Arial" w:hAnsi="Arial" w:cs="Arial"/>
              <w:sz w:val="20"/>
            </w:rPr>
            <w:t>Disabled in Action v. Bd. of Elections, 752 F.3d 189</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B02B5" w14:textId="77777777" w:rsidR="002D0E71" w:rsidRDefault="002D0E71">
    <w:pPr>
      <w:pStyle w:val="Normal42"/>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32464" w14:textId="77777777" w:rsidR="002D0E71" w:rsidRDefault="002D0E71">
    <w:pPr>
      <w:pStyle w:val="Normal43"/>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63B685ED" w14:textId="77777777">
      <w:trPr>
        <w:jc w:val="center"/>
      </w:trPr>
      <w:tc>
        <w:tcPr>
          <w:tcW w:w="10080" w:type="dxa"/>
          <w:vAlign w:val="center"/>
        </w:tcPr>
        <w:p w14:paraId="6672F88F" w14:textId="77777777" w:rsidR="002D0E71" w:rsidRDefault="002D0E71">
          <w:pPr>
            <w:pStyle w:val="Normal43"/>
          </w:pPr>
        </w:p>
      </w:tc>
    </w:tr>
    <w:tr w:rsidR="002D0E71" w14:paraId="70746ED2" w14:textId="77777777">
      <w:trPr>
        <w:jc w:val="center"/>
      </w:trPr>
      <w:tc>
        <w:tcPr>
          <w:tcW w:w="10080" w:type="dxa"/>
        </w:tcPr>
        <w:p w14:paraId="6C3CB83A" w14:textId="77777777" w:rsidR="002D0E71" w:rsidRDefault="00000000">
          <w:pPr>
            <w:pStyle w:val="Normal43"/>
            <w:spacing w:before="60" w:after="200"/>
            <w:jc w:val="center"/>
          </w:pPr>
          <w:r>
            <w:rPr>
              <w:rFonts w:ascii="Arial" w:eastAsia="Arial" w:hAnsi="Arial" w:cs="Arial"/>
              <w:sz w:val="20"/>
            </w:rPr>
            <w:t>Marks v. Tennessee, 562 Fed. Appx. 341</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D708E" w14:textId="77777777" w:rsidR="002D0E71" w:rsidRDefault="002D0E71">
    <w:pPr>
      <w:pStyle w:val="Normal43"/>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C718C" w14:textId="77777777" w:rsidR="002D0E71" w:rsidRDefault="002D0E71">
    <w:pPr>
      <w:pStyle w:val="Normal44"/>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1BBCB3D6" w14:textId="77777777">
      <w:trPr>
        <w:jc w:val="center"/>
      </w:trPr>
      <w:tc>
        <w:tcPr>
          <w:tcW w:w="10080" w:type="dxa"/>
          <w:vAlign w:val="center"/>
        </w:tcPr>
        <w:p w14:paraId="261C0370" w14:textId="77777777" w:rsidR="002D0E71" w:rsidRDefault="002D0E71">
          <w:pPr>
            <w:pStyle w:val="Normal44"/>
          </w:pPr>
        </w:p>
      </w:tc>
    </w:tr>
    <w:tr w:rsidR="002D0E71" w14:paraId="43CC732E" w14:textId="77777777">
      <w:trPr>
        <w:jc w:val="center"/>
      </w:trPr>
      <w:tc>
        <w:tcPr>
          <w:tcW w:w="10080" w:type="dxa"/>
        </w:tcPr>
        <w:p w14:paraId="314BCB8B" w14:textId="77777777" w:rsidR="002D0E71" w:rsidRDefault="00000000">
          <w:pPr>
            <w:pStyle w:val="Normal44"/>
            <w:spacing w:before="60" w:after="200"/>
            <w:jc w:val="center"/>
          </w:pPr>
          <w:r>
            <w:rPr>
              <w:rFonts w:ascii="Arial" w:eastAsia="Arial" w:hAnsi="Arial" w:cs="Arial"/>
              <w:sz w:val="20"/>
            </w:rPr>
            <w:t>Turner v. Nat'l Council of State Bds. of Nursing, Inc., 561 Fed. Appx. 661</w:t>
          </w:r>
        </w:p>
      </w:tc>
    </w:tr>
  </w:tbl>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B7EA4" w14:textId="77777777" w:rsidR="002D0E71" w:rsidRDefault="002D0E71">
    <w:pPr>
      <w:pStyle w:val="Normal44"/>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665B3" w14:textId="77777777" w:rsidR="002D0E71" w:rsidRDefault="002D0E71">
    <w:pPr>
      <w:pStyle w:val="Normal45"/>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4773BE78" w14:textId="77777777">
      <w:trPr>
        <w:jc w:val="center"/>
      </w:trPr>
      <w:tc>
        <w:tcPr>
          <w:tcW w:w="10080" w:type="dxa"/>
          <w:vAlign w:val="center"/>
        </w:tcPr>
        <w:p w14:paraId="70D57198" w14:textId="77777777" w:rsidR="002D0E71" w:rsidRDefault="002D0E71">
          <w:pPr>
            <w:pStyle w:val="Normal45"/>
          </w:pPr>
        </w:p>
      </w:tc>
    </w:tr>
    <w:tr w:rsidR="002D0E71" w14:paraId="559C9F72" w14:textId="77777777">
      <w:trPr>
        <w:jc w:val="center"/>
      </w:trPr>
      <w:tc>
        <w:tcPr>
          <w:tcW w:w="10080" w:type="dxa"/>
        </w:tcPr>
        <w:p w14:paraId="3E5ECAF3" w14:textId="77777777" w:rsidR="002D0E71" w:rsidRDefault="00000000">
          <w:pPr>
            <w:pStyle w:val="Normal45"/>
            <w:spacing w:before="60" w:after="200"/>
            <w:jc w:val="center"/>
          </w:pPr>
          <w:r>
            <w:rPr>
              <w:rFonts w:ascii="Arial" w:eastAsia="Arial" w:hAnsi="Arial" w:cs="Arial"/>
              <w:sz w:val="20"/>
            </w:rPr>
            <w:t>Sheehan v. City &amp; County of San Francisco, 743 F.3d 1211</w:t>
          </w:r>
        </w:p>
      </w:tc>
    </w:tr>
  </w:tbl>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D2B29" w14:textId="77777777" w:rsidR="002D0E71" w:rsidRDefault="002D0E71">
    <w:pPr>
      <w:pStyle w:val="Normal45"/>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3B3ED" w14:textId="77777777" w:rsidR="002D0E71" w:rsidRDefault="002D0E71">
    <w:pPr>
      <w:pStyle w:val="Normal46"/>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6C178FF6" w14:textId="77777777">
      <w:trPr>
        <w:jc w:val="center"/>
      </w:trPr>
      <w:tc>
        <w:tcPr>
          <w:tcW w:w="10080" w:type="dxa"/>
          <w:vAlign w:val="center"/>
        </w:tcPr>
        <w:p w14:paraId="3B2DEE31" w14:textId="77777777" w:rsidR="002D0E71" w:rsidRDefault="002D0E71">
          <w:pPr>
            <w:pStyle w:val="Normal46"/>
          </w:pPr>
        </w:p>
      </w:tc>
    </w:tr>
    <w:tr w:rsidR="002D0E71" w14:paraId="539C8B57" w14:textId="77777777">
      <w:trPr>
        <w:jc w:val="center"/>
      </w:trPr>
      <w:tc>
        <w:tcPr>
          <w:tcW w:w="10080" w:type="dxa"/>
        </w:tcPr>
        <w:p w14:paraId="5EFAB91E" w14:textId="77777777" w:rsidR="002D0E71" w:rsidRDefault="00000000">
          <w:pPr>
            <w:pStyle w:val="Normal46"/>
            <w:spacing w:before="60" w:after="200"/>
            <w:jc w:val="center"/>
          </w:pPr>
          <w:r>
            <w:rPr>
              <w:rFonts w:ascii="Arial" w:eastAsia="Arial" w:hAnsi="Arial" w:cs="Arial"/>
              <w:sz w:val="20"/>
            </w:rPr>
            <w:t>Rhodes v. Southern Nazarene Univ., 554 Fed. Appx. 685</w:t>
          </w:r>
        </w:p>
      </w:tc>
    </w:tr>
  </w:tbl>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D32BF" w14:textId="77777777" w:rsidR="002D0E71" w:rsidRDefault="002D0E71">
    <w:pPr>
      <w:pStyle w:val="Normal46"/>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8F374" w14:textId="77777777" w:rsidR="002D0E71" w:rsidRDefault="002D0E71">
    <w:pPr>
      <w:pStyle w:val="Normal47"/>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205268C4" w14:textId="77777777">
      <w:trPr>
        <w:jc w:val="center"/>
      </w:trPr>
      <w:tc>
        <w:tcPr>
          <w:tcW w:w="10080" w:type="dxa"/>
          <w:vAlign w:val="center"/>
        </w:tcPr>
        <w:p w14:paraId="119871CC" w14:textId="77777777" w:rsidR="002D0E71" w:rsidRDefault="002D0E71">
          <w:pPr>
            <w:pStyle w:val="Normal47"/>
          </w:pPr>
        </w:p>
      </w:tc>
    </w:tr>
    <w:tr w:rsidR="002D0E71" w14:paraId="0AC4924A" w14:textId="77777777">
      <w:trPr>
        <w:jc w:val="center"/>
      </w:trPr>
      <w:tc>
        <w:tcPr>
          <w:tcW w:w="10080" w:type="dxa"/>
        </w:tcPr>
        <w:p w14:paraId="1489EFE3" w14:textId="77777777" w:rsidR="002D0E71" w:rsidRDefault="00000000">
          <w:pPr>
            <w:pStyle w:val="Normal47"/>
            <w:spacing w:before="60" w:after="200"/>
            <w:jc w:val="center"/>
          </w:pPr>
          <w:r>
            <w:rPr>
              <w:rFonts w:ascii="Arial" w:eastAsia="Arial" w:hAnsi="Arial" w:cs="Arial"/>
              <w:sz w:val="20"/>
            </w:rPr>
            <w:t>Fernandez v. Frank, 548 Fed. Appx. 504</w:t>
          </w:r>
        </w:p>
      </w:tc>
    </w:tr>
  </w:tbl>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C2975" w14:textId="77777777" w:rsidR="002D0E71" w:rsidRDefault="002D0E71">
    <w:pPr>
      <w:pStyle w:val="Normal47"/>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8542C" w14:textId="77777777" w:rsidR="002D0E71" w:rsidRDefault="002D0E71">
    <w:pPr>
      <w:pStyle w:val="Normal48"/>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5BBAC2C6" w14:textId="77777777">
      <w:trPr>
        <w:jc w:val="center"/>
      </w:trPr>
      <w:tc>
        <w:tcPr>
          <w:tcW w:w="10080" w:type="dxa"/>
          <w:vAlign w:val="center"/>
        </w:tcPr>
        <w:p w14:paraId="1C3C98B3" w14:textId="77777777" w:rsidR="002D0E71" w:rsidRDefault="002D0E71">
          <w:pPr>
            <w:pStyle w:val="Normal48"/>
          </w:pPr>
        </w:p>
      </w:tc>
    </w:tr>
    <w:tr w:rsidR="002D0E71" w14:paraId="6F05F0ED" w14:textId="77777777">
      <w:trPr>
        <w:jc w:val="center"/>
      </w:trPr>
      <w:tc>
        <w:tcPr>
          <w:tcW w:w="10080" w:type="dxa"/>
        </w:tcPr>
        <w:p w14:paraId="26CF052A" w14:textId="77777777" w:rsidR="002D0E71" w:rsidRDefault="00000000">
          <w:pPr>
            <w:pStyle w:val="Normal48"/>
            <w:spacing w:before="60" w:after="200"/>
            <w:jc w:val="center"/>
          </w:pPr>
          <w:r>
            <w:rPr>
              <w:rFonts w:ascii="Arial" w:eastAsia="Arial" w:hAnsi="Arial" w:cs="Arial"/>
              <w:sz w:val="20"/>
            </w:rPr>
            <w:t>Castle v. Eurofresh, Inc., 731 F.3d 901</w:t>
          </w:r>
        </w:p>
      </w:tc>
    </w:tr>
  </w:tbl>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94726" w14:textId="77777777" w:rsidR="002D0E71" w:rsidRDefault="002D0E71">
    <w:pPr>
      <w:pStyle w:val="Normal48"/>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910CF" w14:textId="77777777" w:rsidR="002D0E71" w:rsidRDefault="002D0E71">
    <w:pPr>
      <w:pStyle w:val="Normal49"/>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D0E71" w14:paraId="058D23AE" w14:textId="77777777">
      <w:trPr>
        <w:jc w:val="center"/>
      </w:trPr>
      <w:tc>
        <w:tcPr>
          <w:tcW w:w="10080" w:type="dxa"/>
          <w:vAlign w:val="center"/>
        </w:tcPr>
        <w:p w14:paraId="455268D9" w14:textId="77777777" w:rsidR="002D0E71" w:rsidRDefault="002D0E71">
          <w:pPr>
            <w:pStyle w:val="Normal49"/>
          </w:pPr>
        </w:p>
      </w:tc>
    </w:tr>
    <w:tr w:rsidR="002D0E71" w14:paraId="62885A4B" w14:textId="77777777">
      <w:trPr>
        <w:jc w:val="center"/>
      </w:trPr>
      <w:tc>
        <w:tcPr>
          <w:tcW w:w="10080" w:type="dxa"/>
        </w:tcPr>
        <w:p w14:paraId="129E6B55" w14:textId="77777777" w:rsidR="002D0E71" w:rsidRDefault="00000000">
          <w:pPr>
            <w:pStyle w:val="Normal49"/>
            <w:spacing w:before="60" w:after="200"/>
            <w:jc w:val="center"/>
          </w:pPr>
          <w:r>
            <w:rPr>
              <w:rFonts w:ascii="Arial" w:eastAsia="Arial" w:hAnsi="Arial" w:cs="Arial"/>
              <w:sz w:val="20"/>
            </w:rPr>
            <w:t>Hickman v. Exxon Mobil, 540 Fed. Appx. 277</w:t>
          </w:r>
        </w:p>
      </w:tc>
    </w:tr>
  </w:tbl>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47942" w14:textId="77777777" w:rsidR="002D0E71" w:rsidRDefault="002D0E71">
    <w:pPr>
      <w:pStyle w:val="Normal4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2939DF"/>
    <w:rsid w:val="002D0E71"/>
    <w:rsid w:val="00A77B3E"/>
    <w:rsid w:val="00CA2A55"/>
    <w:rsid w:val="00F57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3D2D25"/>
  <w15:docId w15:val="{17EC0990-FA1C-4F0F-9672-5473BDEA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Pr>
      <w:sz w:val="24"/>
      <w:szCs w:val="24"/>
    </w:rPr>
  </w:style>
  <w:style w:type="paragraph" w:customStyle="1" w:styleId="Normal1">
    <w:name w:val="Normal_1"/>
    <w:qFormat/>
    <w:rPr>
      <w:sz w:val="24"/>
      <w:szCs w:val="24"/>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rPr>
  </w:style>
  <w:style w:type="paragraph" w:customStyle="1" w:styleId="Normal2">
    <w:name w:val="Normal_2"/>
    <w:qFormat/>
    <w:rPr>
      <w:sz w:val="24"/>
      <w:szCs w:val="24"/>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rPr>
  </w:style>
  <w:style w:type="paragraph" w:customStyle="1" w:styleId="Normal3">
    <w:name w:val="Normal_3"/>
    <w:qFormat/>
    <w:rPr>
      <w:sz w:val="24"/>
      <w:szCs w:val="24"/>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rPr>
  </w:style>
  <w:style w:type="paragraph" w:customStyle="1" w:styleId="Normal4">
    <w:name w:val="Normal_4"/>
    <w:qFormat/>
    <w:rPr>
      <w:sz w:val="24"/>
      <w:szCs w:val="24"/>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rPr>
  </w:style>
  <w:style w:type="paragraph" w:customStyle="1" w:styleId="Normal5">
    <w:name w:val="Normal_5"/>
    <w:qFormat/>
    <w:rPr>
      <w:sz w:val="24"/>
      <w:szCs w:val="24"/>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rPr>
  </w:style>
  <w:style w:type="paragraph" w:customStyle="1" w:styleId="Normal6">
    <w:name w:val="Normal_6"/>
    <w:qFormat/>
    <w:rPr>
      <w:sz w:val="24"/>
      <w:szCs w:val="24"/>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rPr>
  </w:style>
  <w:style w:type="paragraph" w:customStyle="1" w:styleId="Normal7">
    <w:name w:val="Normal_7"/>
    <w:qFormat/>
    <w:rPr>
      <w:sz w:val="24"/>
      <w:szCs w:val="24"/>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rPr>
  </w:style>
  <w:style w:type="paragraph" w:customStyle="1" w:styleId="Normal8">
    <w:name w:val="Normal_8"/>
    <w:qFormat/>
    <w:rPr>
      <w:sz w:val="24"/>
      <w:szCs w:val="24"/>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rPr>
  </w:style>
  <w:style w:type="paragraph" w:customStyle="1" w:styleId="Normal9">
    <w:name w:val="Normal_9"/>
    <w:qFormat/>
    <w:rPr>
      <w:sz w:val="24"/>
      <w:szCs w:val="24"/>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rPr>
  </w:style>
  <w:style w:type="paragraph" w:customStyle="1" w:styleId="Normal10">
    <w:name w:val="Normal_10"/>
    <w:qFormat/>
    <w:rPr>
      <w:sz w:val="24"/>
      <w:szCs w:val="24"/>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rPr>
  </w:style>
  <w:style w:type="paragraph" w:customStyle="1" w:styleId="Normal11">
    <w:name w:val="Normal_11"/>
    <w:qFormat/>
    <w:rPr>
      <w:sz w:val="24"/>
      <w:szCs w:val="24"/>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rPr>
  </w:style>
  <w:style w:type="paragraph" w:customStyle="1" w:styleId="Normal12">
    <w:name w:val="Normal_12"/>
    <w:qFormat/>
    <w:rPr>
      <w:sz w:val="24"/>
      <w:szCs w:val="24"/>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rPr>
  </w:style>
  <w:style w:type="paragraph" w:customStyle="1" w:styleId="Normal13">
    <w:name w:val="Normal_13"/>
    <w:qFormat/>
    <w:rPr>
      <w:sz w:val="24"/>
      <w:szCs w:val="24"/>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rPr>
  </w:style>
  <w:style w:type="paragraph" w:customStyle="1" w:styleId="Normal14">
    <w:name w:val="Normal_14"/>
    <w:qFormat/>
    <w:rPr>
      <w:sz w:val="24"/>
      <w:szCs w:val="24"/>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rPr>
  </w:style>
  <w:style w:type="paragraph" w:customStyle="1" w:styleId="Normal15">
    <w:name w:val="Normal_15"/>
    <w:qFormat/>
    <w:rPr>
      <w:sz w:val="24"/>
      <w:szCs w:val="24"/>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rPr>
  </w:style>
  <w:style w:type="paragraph" w:customStyle="1" w:styleId="Normal16">
    <w:name w:val="Normal_16"/>
    <w:qFormat/>
    <w:rPr>
      <w:sz w:val="24"/>
      <w:szCs w:val="24"/>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rPr>
  </w:style>
  <w:style w:type="paragraph" w:customStyle="1" w:styleId="Normal17">
    <w:name w:val="Normal_17"/>
    <w:qFormat/>
    <w:rPr>
      <w:sz w:val="24"/>
      <w:szCs w:val="24"/>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rPr>
  </w:style>
  <w:style w:type="paragraph" w:customStyle="1" w:styleId="Normal18">
    <w:name w:val="Normal_18"/>
    <w:qFormat/>
    <w:rPr>
      <w:sz w:val="24"/>
      <w:szCs w:val="24"/>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rPr>
  </w:style>
  <w:style w:type="paragraph" w:customStyle="1" w:styleId="Normal19">
    <w:name w:val="Normal_19"/>
    <w:qFormat/>
    <w:rPr>
      <w:sz w:val="24"/>
      <w:szCs w:val="24"/>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rPr>
  </w:style>
  <w:style w:type="paragraph" w:customStyle="1" w:styleId="Normal20">
    <w:name w:val="Normal_20"/>
    <w:qFormat/>
    <w:rPr>
      <w:sz w:val="24"/>
      <w:szCs w:val="24"/>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rPr>
  </w:style>
  <w:style w:type="paragraph" w:customStyle="1" w:styleId="Normal21">
    <w:name w:val="Normal_21"/>
    <w:qFormat/>
    <w:rPr>
      <w:sz w:val="24"/>
      <w:szCs w:val="24"/>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rPr>
  </w:style>
  <w:style w:type="paragraph" w:customStyle="1" w:styleId="Normal22">
    <w:name w:val="Normal_22"/>
    <w:qFormat/>
    <w:rPr>
      <w:sz w:val="24"/>
      <w:szCs w:val="24"/>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rPr>
  </w:style>
  <w:style w:type="paragraph" w:customStyle="1" w:styleId="Normal23">
    <w:name w:val="Normal_23"/>
    <w:qFormat/>
    <w:rPr>
      <w:sz w:val="24"/>
      <w:szCs w:val="24"/>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rPr>
  </w:style>
  <w:style w:type="paragraph" w:customStyle="1" w:styleId="Normal24">
    <w:name w:val="Normal_24"/>
    <w:qFormat/>
    <w:rPr>
      <w:sz w:val="24"/>
      <w:szCs w:val="24"/>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rPr>
  </w:style>
  <w:style w:type="paragraph" w:customStyle="1" w:styleId="Normal25">
    <w:name w:val="Normal_25"/>
    <w:qFormat/>
    <w:rPr>
      <w:sz w:val="24"/>
      <w:szCs w:val="24"/>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rPr>
  </w:style>
  <w:style w:type="paragraph" w:customStyle="1" w:styleId="Normal26">
    <w:name w:val="Normal_26"/>
    <w:qFormat/>
    <w:rPr>
      <w:sz w:val="24"/>
      <w:szCs w:val="24"/>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rPr>
  </w:style>
  <w:style w:type="paragraph" w:customStyle="1" w:styleId="Normal27">
    <w:name w:val="Normal_27"/>
    <w:qFormat/>
    <w:rPr>
      <w:sz w:val="24"/>
      <w:szCs w:val="24"/>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rPr>
  </w:style>
  <w:style w:type="paragraph" w:customStyle="1" w:styleId="Normal28">
    <w:name w:val="Normal_28"/>
    <w:qFormat/>
    <w:rPr>
      <w:sz w:val="24"/>
      <w:szCs w:val="24"/>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rPr>
  </w:style>
  <w:style w:type="paragraph" w:customStyle="1" w:styleId="Normal29">
    <w:name w:val="Normal_29"/>
    <w:qFormat/>
    <w:rPr>
      <w:sz w:val="24"/>
      <w:szCs w:val="24"/>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rPr>
  </w:style>
  <w:style w:type="paragraph" w:customStyle="1" w:styleId="Normal30">
    <w:name w:val="Normal_30"/>
    <w:qFormat/>
    <w:rPr>
      <w:sz w:val="24"/>
      <w:szCs w:val="24"/>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rPr>
  </w:style>
  <w:style w:type="paragraph" w:customStyle="1" w:styleId="Normal31">
    <w:name w:val="Normal_31"/>
    <w:qFormat/>
    <w:rPr>
      <w:sz w:val="24"/>
      <w:szCs w:val="24"/>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rPr>
  </w:style>
  <w:style w:type="paragraph" w:customStyle="1" w:styleId="Normal32">
    <w:name w:val="Normal_32"/>
    <w:qFormat/>
    <w:rPr>
      <w:sz w:val="24"/>
      <w:szCs w:val="24"/>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rPr>
  </w:style>
  <w:style w:type="paragraph" w:customStyle="1" w:styleId="Normal33">
    <w:name w:val="Normal_33"/>
    <w:qFormat/>
    <w:rPr>
      <w:sz w:val="24"/>
      <w:szCs w:val="24"/>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rPr>
  </w:style>
  <w:style w:type="paragraph" w:customStyle="1" w:styleId="Normal34">
    <w:name w:val="Normal_34"/>
    <w:qFormat/>
    <w:rPr>
      <w:sz w:val="24"/>
      <w:szCs w:val="24"/>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rPr>
  </w:style>
  <w:style w:type="paragraph" w:customStyle="1" w:styleId="Normal35">
    <w:name w:val="Normal_35"/>
    <w:qFormat/>
    <w:rPr>
      <w:sz w:val="24"/>
      <w:szCs w:val="24"/>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rPr>
  </w:style>
  <w:style w:type="paragraph" w:customStyle="1" w:styleId="Normal36">
    <w:name w:val="Normal_36"/>
    <w:qFormat/>
    <w:rPr>
      <w:sz w:val="24"/>
      <w:szCs w:val="24"/>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rPr>
  </w:style>
  <w:style w:type="paragraph" w:customStyle="1" w:styleId="Normal37">
    <w:name w:val="Normal_37"/>
    <w:qFormat/>
    <w:rPr>
      <w:sz w:val="24"/>
      <w:szCs w:val="24"/>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rPr>
  </w:style>
  <w:style w:type="paragraph" w:customStyle="1" w:styleId="Normal38">
    <w:name w:val="Normal_38"/>
    <w:qFormat/>
    <w:rPr>
      <w:sz w:val="24"/>
      <w:szCs w:val="24"/>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rPr>
  </w:style>
  <w:style w:type="paragraph" w:customStyle="1" w:styleId="Normal39">
    <w:name w:val="Normal_39"/>
    <w:qFormat/>
    <w:rPr>
      <w:sz w:val="24"/>
      <w:szCs w:val="24"/>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rPr>
  </w:style>
  <w:style w:type="paragraph" w:customStyle="1" w:styleId="Normal40">
    <w:name w:val="Normal_40"/>
    <w:qFormat/>
    <w:rPr>
      <w:sz w:val="24"/>
      <w:szCs w:val="24"/>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rPr>
  </w:style>
  <w:style w:type="paragraph" w:customStyle="1" w:styleId="Normal41">
    <w:name w:val="Normal_41"/>
    <w:qFormat/>
    <w:rPr>
      <w:sz w:val="24"/>
      <w:szCs w:val="24"/>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rPr>
  </w:style>
  <w:style w:type="paragraph" w:customStyle="1" w:styleId="Normal42">
    <w:name w:val="Normal_42"/>
    <w:qFormat/>
    <w:rPr>
      <w:sz w:val="24"/>
      <w:szCs w:val="24"/>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rPr>
  </w:style>
  <w:style w:type="paragraph" w:customStyle="1" w:styleId="Normal43">
    <w:name w:val="Normal_43"/>
    <w:qFormat/>
    <w:rPr>
      <w:sz w:val="24"/>
      <w:szCs w:val="24"/>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rPr>
  </w:style>
  <w:style w:type="paragraph" w:customStyle="1" w:styleId="Normal44">
    <w:name w:val="Normal_44"/>
    <w:qFormat/>
    <w:rPr>
      <w:sz w:val="24"/>
      <w:szCs w:val="24"/>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rPr>
  </w:style>
  <w:style w:type="paragraph" w:customStyle="1" w:styleId="Normal45">
    <w:name w:val="Normal_45"/>
    <w:qFormat/>
    <w:rPr>
      <w:sz w:val="24"/>
      <w:szCs w:val="24"/>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rPr>
  </w:style>
  <w:style w:type="paragraph" w:customStyle="1" w:styleId="Normal46">
    <w:name w:val="Normal_46"/>
    <w:qFormat/>
    <w:rPr>
      <w:sz w:val="24"/>
      <w:szCs w:val="24"/>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rPr>
  </w:style>
  <w:style w:type="paragraph" w:customStyle="1" w:styleId="Normal47">
    <w:name w:val="Normal_47"/>
    <w:qFormat/>
    <w:rPr>
      <w:sz w:val="24"/>
      <w:szCs w:val="24"/>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rPr>
  </w:style>
  <w:style w:type="paragraph" w:customStyle="1" w:styleId="Normal48">
    <w:name w:val="Normal_48"/>
    <w:qFormat/>
    <w:rPr>
      <w:sz w:val="24"/>
      <w:szCs w:val="24"/>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rPr>
  </w:style>
  <w:style w:type="paragraph" w:customStyle="1" w:styleId="Normal49">
    <w:name w:val="Normal_49"/>
    <w:qFormat/>
    <w:rPr>
      <w:sz w:val="24"/>
      <w:szCs w:val="24"/>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footer" Target="footer56.xml"/><Relationship Id="rId299" Type="http://schemas.openxmlformats.org/officeDocument/2006/relationships/header" Target="header145.xml"/><Relationship Id="rId21" Type="http://schemas.openxmlformats.org/officeDocument/2006/relationships/footer" Target="footer8.xml"/><Relationship Id="rId63" Type="http://schemas.openxmlformats.org/officeDocument/2006/relationships/footer" Target="footer29.xml"/><Relationship Id="rId159" Type="http://schemas.openxmlformats.org/officeDocument/2006/relationships/footer" Target="footer77.xml"/><Relationship Id="rId170" Type="http://schemas.openxmlformats.org/officeDocument/2006/relationships/footer" Target="footer82.xml"/><Relationship Id="rId226" Type="http://schemas.openxmlformats.org/officeDocument/2006/relationships/footer" Target="footer109.xml"/><Relationship Id="rId268" Type="http://schemas.openxmlformats.org/officeDocument/2006/relationships/footer" Target="footer129.xml"/><Relationship Id="rId32" Type="http://schemas.openxmlformats.org/officeDocument/2006/relationships/footer" Target="footer13.xml"/><Relationship Id="rId74" Type="http://schemas.openxmlformats.org/officeDocument/2006/relationships/footer" Target="footer34.xml"/><Relationship Id="rId128" Type="http://schemas.openxmlformats.org/officeDocument/2006/relationships/footer" Target="footer61.xml"/><Relationship Id="rId5" Type="http://schemas.openxmlformats.org/officeDocument/2006/relationships/endnotes" Target="endnotes.xml"/><Relationship Id="rId181" Type="http://schemas.openxmlformats.org/officeDocument/2006/relationships/image" Target="media/image2.png"/><Relationship Id="rId237" Type="http://schemas.openxmlformats.org/officeDocument/2006/relationships/header" Target="header116.xml"/><Relationship Id="rId279" Type="http://schemas.openxmlformats.org/officeDocument/2006/relationships/header" Target="header135.xml"/><Relationship Id="rId43" Type="http://schemas.openxmlformats.org/officeDocument/2006/relationships/header" Target="header20.xml"/><Relationship Id="rId139" Type="http://schemas.openxmlformats.org/officeDocument/2006/relationships/header" Target="header68.xml"/><Relationship Id="rId290" Type="http://schemas.openxmlformats.org/officeDocument/2006/relationships/footer" Target="footer140.xml"/><Relationship Id="rId304" Type="http://schemas.openxmlformats.org/officeDocument/2006/relationships/footer" Target="footer147.xml"/><Relationship Id="rId85" Type="http://schemas.openxmlformats.org/officeDocument/2006/relationships/header" Target="header41.xml"/><Relationship Id="rId150" Type="http://schemas.openxmlformats.org/officeDocument/2006/relationships/header" Target="header73.xml"/><Relationship Id="rId192" Type="http://schemas.openxmlformats.org/officeDocument/2006/relationships/header" Target="header93.xml"/><Relationship Id="rId206" Type="http://schemas.openxmlformats.org/officeDocument/2006/relationships/header" Target="header100.xml"/><Relationship Id="rId248" Type="http://schemas.openxmlformats.org/officeDocument/2006/relationships/footer" Target="footer119.xml"/><Relationship Id="rId12" Type="http://schemas.openxmlformats.org/officeDocument/2006/relationships/header" Target="header4.xml"/><Relationship Id="rId108" Type="http://schemas.openxmlformats.org/officeDocument/2006/relationships/header" Target="header52.xml"/><Relationship Id="rId54" Type="http://schemas.openxmlformats.org/officeDocument/2006/relationships/header" Target="header25.xml"/><Relationship Id="rId96" Type="http://schemas.openxmlformats.org/officeDocument/2006/relationships/header" Target="header46.xml"/><Relationship Id="rId161" Type="http://schemas.openxmlformats.org/officeDocument/2006/relationships/footer" Target="footer78.xml"/><Relationship Id="rId217" Type="http://schemas.openxmlformats.org/officeDocument/2006/relationships/footer" Target="footer105.xml"/><Relationship Id="rId259" Type="http://schemas.openxmlformats.org/officeDocument/2006/relationships/footer" Target="footer124.xml"/><Relationship Id="rId23" Type="http://schemas.openxmlformats.org/officeDocument/2006/relationships/footer" Target="footer9.xml"/><Relationship Id="rId119" Type="http://schemas.openxmlformats.org/officeDocument/2006/relationships/footer" Target="footer57.xml"/><Relationship Id="rId270" Type="http://schemas.openxmlformats.org/officeDocument/2006/relationships/header" Target="header131.xml"/><Relationship Id="rId44" Type="http://schemas.openxmlformats.org/officeDocument/2006/relationships/footer" Target="footer19.xml"/><Relationship Id="rId65" Type="http://schemas.openxmlformats.org/officeDocument/2006/relationships/footer" Target="footer30.xml"/><Relationship Id="rId86" Type="http://schemas.openxmlformats.org/officeDocument/2006/relationships/footer" Target="footer40.xml"/><Relationship Id="rId130" Type="http://schemas.openxmlformats.org/officeDocument/2006/relationships/header" Target="header63.xml"/><Relationship Id="rId151" Type="http://schemas.openxmlformats.org/officeDocument/2006/relationships/header" Target="header74.xml"/><Relationship Id="rId172" Type="http://schemas.openxmlformats.org/officeDocument/2006/relationships/header" Target="header84.xml"/><Relationship Id="rId193" Type="http://schemas.openxmlformats.org/officeDocument/2006/relationships/footer" Target="footer93.xml"/><Relationship Id="rId207" Type="http://schemas.openxmlformats.org/officeDocument/2006/relationships/header" Target="header101.xml"/><Relationship Id="rId228" Type="http://schemas.openxmlformats.org/officeDocument/2006/relationships/header" Target="header111.xml"/><Relationship Id="rId249" Type="http://schemas.openxmlformats.org/officeDocument/2006/relationships/header" Target="header120.xml"/><Relationship Id="rId13" Type="http://schemas.openxmlformats.org/officeDocument/2006/relationships/header" Target="header5.xml"/><Relationship Id="rId109" Type="http://schemas.openxmlformats.org/officeDocument/2006/relationships/header" Target="header53.xml"/><Relationship Id="rId260" Type="http://schemas.openxmlformats.org/officeDocument/2006/relationships/footer" Target="footer125.xml"/><Relationship Id="rId281" Type="http://schemas.openxmlformats.org/officeDocument/2006/relationships/header" Target="header136.xml"/><Relationship Id="rId34" Type="http://schemas.openxmlformats.org/officeDocument/2006/relationships/header" Target="header15.xml"/><Relationship Id="rId55" Type="http://schemas.openxmlformats.org/officeDocument/2006/relationships/header" Target="header26.xml"/><Relationship Id="rId76" Type="http://schemas.openxmlformats.org/officeDocument/2006/relationships/header" Target="header36.xml"/><Relationship Id="rId97" Type="http://schemas.openxmlformats.org/officeDocument/2006/relationships/header" Target="header47.xml"/><Relationship Id="rId120" Type="http://schemas.openxmlformats.org/officeDocument/2006/relationships/header" Target="header58.xml"/><Relationship Id="rId141" Type="http://schemas.openxmlformats.org/officeDocument/2006/relationships/footer" Target="footer68.xml"/><Relationship Id="rId7" Type="http://schemas.openxmlformats.org/officeDocument/2006/relationships/header" Target="header2.xml"/><Relationship Id="rId162" Type="http://schemas.openxmlformats.org/officeDocument/2006/relationships/header" Target="header79.xml"/><Relationship Id="rId183" Type="http://schemas.openxmlformats.org/officeDocument/2006/relationships/header" Target="header89.xml"/><Relationship Id="rId218" Type="http://schemas.openxmlformats.org/officeDocument/2006/relationships/header" Target="header106.xml"/><Relationship Id="rId239" Type="http://schemas.openxmlformats.org/officeDocument/2006/relationships/footer" Target="footer116.xml"/><Relationship Id="rId250" Type="http://schemas.openxmlformats.org/officeDocument/2006/relationships/footer" Target="footer120.xml"/><Relationship Id="rId271" Type="http://schemas.openxmlformats.org/officeDocument/2006/relationships/footer" Target="footer130.xml"/><Relationship Id="rId292" Type="http://schemas.openxmlformats.org/officeDocument/2006/relationships/footer" Target="footer141.xml"/><Relationship Id="rId306" Type="http://schemas.openxmlformats.org/officeDocument/2006/relationships/header" Target="header149.xml"/><Relationship Id="rId24" Type="http://schemas.openxmlformats.org/officeDocument/2006/relationships/header" Target="header10.xml"/><Relationship Id="rId45" Type="http://schemas.openxmlformats.org/officeDocument/2006/relationships/footer" Target="footer20.xml"/><Relationship Id="rId66" Type="http://schemas.openxmlformats.org/officeDocument/2006/relationships/header" Target="header31.xml"/><Relationship Id="rId87" Type="http://schemas.openxmlformats.org/officeDocument/2006/relationships/footer" Target="footer41.xml"/><Relationship Id="rId110" Type="http://schemas.openxmlformats.org/officeDocument/2006/relationships/footer" Target="footer52.xml"/><Relationship Id="rId131" Type="http://schemas.openxmlformats.org/officeDocument/2006/relationships/footer" Target="footer63.xml"/><Relationship Id="rId152" Type="http://schemas.openxmlformats.org/officeDocument/2006/relationships/footer" Target="footer73.xml"/><Relationship Id="rId173" Type="http://schemas.openxmlformats.org/officeDocument/2006/relationships/footer" Target="footer84.xml"/><Relationship Id="rId194" Type="http://schemas.openxmlformats.org/officeDocument/2006/relationships/header" Target="header94.xml"/><Relationship Id="rId208" Type="http://schemas.openxmlformats.org/officeDocument/2006/relationships/footer" Target="footer100.xml"/><Relationship Id="rId229" Type="http://schemas.openxmlformats.org/officeDocument/2006/relationships/footer" Target="footer111.xml"/><Relationship Id="rId240" Type="http://schemas.openxmlformats.org/officeDocument/2006/relationships/header" Target="header117.xml"/><Relationship Id="rId261" Type="http://schemas.openxmlformats.org/officeDocument/2006/relationships/header" Target="header126.xml"/><Relationship Id="rId14" Type="http://schemas.openxmlformats.org/officeDocument/2006/relationships/footer" Target="footer4.xml"/><Relationship Id="rId35" Type="http://schemas.openxmlformats.org/officeDocument/2006/relationships/footer" Target="footer15.xml"/><Relationship Id="rId56" Type="http://schemas.openxmlformats.org/officeDocument/2006/relationships/footer" Target="footer25.xml"/><Relationship Id="rId77" Type="http://schemas.openxmlformats.org/officeDocument/2006/relationships/footer" Target="footer36.xml"/><Relationship Id="rId100" Type="http://schemas.openxmlformats.org/officeDocument/2006/relationships/header" Target="header48.xml"/><Relationship Id="rId282" Type="http://schemas.openxmlformats.org/officeDocument/2006/relationships/header" Target="header137.xml"/><Relationship Id="rId8" Type="http://schemas.openxmlformats.org/officeDocument/2006/relationships/footer" Target="footer1.xml"/><Relationship Id="rId98" Type="http://schemas.openxmlformats.org/officeDocument/2006/relationships/footer" Target="footer46.xml"/><Relationship Id="rId121" Type="http://schemas.openxmlformats.org/officeDocument/2006/relationships/header" Target="header59.xml"/><Relationship Id="rId142" Type="http://schemas.openxmlformats.org/officeDocument/2006/relationships/header" Target="header69.xml"/><Relationship Id="rId163" Type="http://schemas.openxmlformats.org/officeDocument/2006/relationships/header" Target="header80.xml"/><Relationship Id="rId184" Type="http://schemas.openxmlformats.org/officeDocument/2006/relationships/footer" Target="footer88.xml"/><Relationship Id="rId219" Type="http://schemas.openxmlformats.org/officeDocument/2006/relationships/header" Target="header107.xml"/><Relationship Id="rId230" Type="http://schemas.openxmlformats.org/officeDocument/2006/relationships/header" Target="header112.xml"/><Relationship Id="rId251" Type="http://schemas.openxmlformats.org/officeDocument/2006/relationships/header" Target="header121.xml"/><Relationship Id="rId25" Type="http://schemas.openxmlformats.org/officeDocument/2006/relationships/header" Target="header11.xml"/><Relationship Id="rId46" Type="http://schemas.openxmlformats.org/officeDocument/2006/relationships/header" Target="header21.xml"/><Relationship Id="rId67" Type="http://schemas.openxmlformats.org/officeDocument/2006/relationships/header" Target="header32.xml"/><Relationship Id="rId272" Type="http://schemas.openxmlformats.org/officeDocument/2006/relationships/footer" Target="footer131.xml"/><Relationship Id="rId293" Type="http://schemas.openxmlformats.org/officeDocument/2006/relationships/header" Target="header142.xml"/><Relationship Id="rId307" Type="http://schemas.openxmlformats.org/officeDocument/2006/relationships/footer" Target="footer148.xml"/><Relationship Id="rId88" Type="http://schemas.openxmlformats.org/officeDocument/2006/relationships/header" Target="header42.xml"/><Relationship Id="rId111" Type="http://schemas.openxmlformats.org/officeDocument/2006/relationships/footer" Target="footer53.xml"/><Relationship Id="rId132" Type="http://schemas.openxmlformats.org/officeDocument/2006/relationships/header" Target="header64.xml"/><Relationship Id="rId153" Type="http://schemas.openxmlformats.org/officeDocument/2006/relationships/footer" Target="footer74.xml"/><Relationship Id="rId174" Type="http://schemas.openxmlformats.org/officeDocument/2006/relationships/header" Target="header85.xml"/><Relationship Id="rId195" Type="http://schemas.openxmlformats.org/officeDocument/2006/relationships/header" Target="header95.xml"/><Relationship Id="rId209" Type="http://schemas.openxmlformats.org/officeDocument/2006/relationships/footer" Target="footer101.xml"/><Relationship Id="rId220" Type="http://schemas.openxmlformats.org/officeDocument/2006/relationships/footer" Target="footer106.xml"/><Relationship Id="rId241" Type="http://schemas.openxmlformats.org/officeDocument/2006/relationships/footer" Target="footer117.xml"/><Relationship Id="rId15" Type="http://schemas.openxmlformats.org/officeDocument/2006/relationships/footer" Target="footer5.xml"/><Relationship Id="rId36" Type="http://schemas.openxmlformats.org/officeDocument/2006/relationships/header" Target="header16.xml"/><Relationship Id="rId57" Type="http://schemas.openxmlformats.org/officeDocument/2006/relationships/footer" Target="footer26.xml"/><Relationship Id="rId262" Type="http://schemas.openxmlformats.org/officeDocument/2006/relationships/footer" Target="footer126.xml"/><Relationship Id="rId283" Type="http://schemas.openxmlformats.org/officeDocument/2006/relationships/footer" Target="footer136.xml"/><Relationship Id="rId78" Type="http://schemas.openxmlformats.org/officeDocument/2006/relationships/header" Target="header37.xml"/><Relationship Id="rId99" Type="http://schemas.openxmlformats.org/officeDocument/2006/relationships/footer" Target="footer47.xml"/><Relationship Id="rId101" Type="http://schemas.openxmlformats.org/officeDocument/2006/relationships/footer" Target="footer48.xml"/><Relationship Id="rId122" Type="http://schemas.openxmlformats.org/officeDocument/2006/relationships/footer" Target="footer58.xml"/><Relationship Id="rId143" Type="http://schemas.openxmlformats.org/officeDocument/2006/relationships/footer" Target="footer69.xml"/><Relationship Id="rId164" Type="http://schemas.openxmlformats.org/officeDocument/2006/relationships/footer" Target="footer79.xml"/><Relationship Id="rId185" Type="http://schemas.openxmlformats.org/officeDocument/2006/relationships/footer" Target="footer89.xml"/><Relationship Id="rId9" Type="http://schemas.openxmlformats.org/officeDocument/2006/relationships/footer" Target="footer2.xml"/><Relationship Id="rId210" Type="http://schemas.openxmlformats.org/officeDocument/2006/relationships/header" Target="header102.xml"/><Relationship Id="rId26" Type="http://schemas.openxmlformats.org/officeDocument/2006/relationships/footer" Target="footer10.xml"/><Relationship Id="rId231" Type="http://schemas.openxmlformats.org/officeDocument/2006/relationships/header" Target="header113.xml"/><Relationship Id="rId252" Type="http://schemas.openxmlformats.org/officeDocument/2006/relationships/header" Target="header122.xml"/><Relationship Id="rId273" Type="http://schemas.openxmlformats.org/officeDocument/2006/relationships/header" Target="header132.xml"/><Relationship Id="rId294" Type="http://schemas.openxmlformats.org/officeDocument/2006/relationships/header" Target="header143.xml"/><Relationship Id="rId308" Type="http://schemas.openxmlformats.org/officeDocument/2006/relationships/footer" Target="footer149.xml"/><Relationship Id="rId47" Type="http://schemas.openxmlformats.org/officeDocument/2006/relationships/footer" Target="footer21.xml"/><Relationship Id="rId68" Type="http://schemas.openxmlformats.org/officeDocument/2006/relationships/footer" Target="footer31.xml"/><Relationship Id="rId89" Type="http://schemas.openxmlformats.org/officeDocument/2006/relationships/footer" Target="footer42.xml"/><Relationship Id="rId112" Type="http://schemas.openxmlformats.org/officeDocument/2006/relationships/header" Target="header54.xml"/><Relationship Id="rId133" Type="http://schemas.openxmlformats.org/officeDocument/2006/relationships/header" Target="header65.xml"/><Relationship Id="rId154" Type="http://schemas.openxmlformats.org/officeDocument/2006/relationships/header" Target="header75.xml"/><Relationship Id="rId175" Type="http://schemas.openxmlformats.org/officeDocument/2006/relationships/header" Target="header86.xml"/><Relationship Id="rId196" Type="http://schemas.openxmlformats.org/officeDocument/2006/relationships/footer" Target="footer94.xml"/><Relationship Id="rId200" Type="http://schemas.openxmlformats.org/officeDocument/2006/relationships/header" Target="header97.xml"/><Relationship Id="rId16" Type="http://schemas.openxmlformats.org/officeDocument/2006/relationships/header" Target="header6.xml"/><Relationship Id="rId221" Type="http://schemas.openxmlformats.org/officeDocument/2006/relationships/footer" Target="footer107.xml"/><Relationship Id="rId242" Type="http://schemas.openxmlformats.org/officeDocument/2006/relationships/image" Target="media/image3.png"/><Relationship Id="rId263" Type="http://schemas.openxmlformats.org/officeDocument/2006/relationships/header" Target="header127.xml"/><Relationship Id="rId284" Type="http://schemas.openxmlformats.org/officeDocument/2006/relationships/footer" Target="footer137.xml"/><Relationship Id="rId37" Type="http://schemas.openxmlformats.org/officeDocument/2006/relationships/header" Target="header17.xml"/><Relationship Id="rId58" Type="http://schemas.openxmlformats.org/officeDocument/2006/relationships/header" Target="header27.xml"/><Relationship Id="rId79" Type="http://schemas.openxmlformats.org/officeDocument/2006/relationships/header" Target="header38.xml"/><Relationship Id="rId102" Type="http://schemas.openxmlformats.org/officeDocument/2006/relationships/header" Target="header49.xml"/><Relationship Id="rId123" Type="http://schemas.openxmlformats.org/officeDocument/2006/relationships/footer" Target="footer59.xml"/><Relationship Id="rId144" Type="http://schemas.openxmlformats.org/officeDocument/2006/relationships/header" Target="header70.xml"/><Relationship Id="rId90" Type="http://schemas.openxmlformats.org/officeDocument/2006/relationships/header" Target="header43.xml"/><Relationship Id="rId165" Type="http://schemas.openxmlformats.org/officeDocument/2006/relationships/footer" Target="footer80.xml"/><Relationship Id="rId186" Type="http://schemas.openxmlformats.org/officeDocument/2006/relationships/header" Target="header90.xml"/><Relationship Id="rId211" Type="http://schemas.openxmlformats.org/officeDocument/2006/relationships/footer" Target="footer102.xml"/><Relationship Id="rId232" Type="http://schemas.openxmlformats.org/officeDocument/2006/relationships/footer" Target="footer112.xml"/><Relationship Id="rId253" Type="http://schemas.openxmlformats.org/officeDocument/2006/relationships/footer" Target="footer121.xml"/><Relationship Id="rId274" Type="http://schemas.openxmlformats.org/officeDocument/2006/relationships/footer" Target="footer132.xml"/><Relationship Id="rId295" Type="http://schemas.openxmlformats.org/officeDocument/2006/relationships/footer" Target="footer142.xml"/><Relationship Id="rId309" Type="http://schemas.openxmlformats.org/officeDocument/2006/relationships/header" Target="header150.xml"/><Relationship Id="rId27" Type="http://schemas.openxmlformats.org/officeDocument/2006/relationships/footer" Target="footer11.xml"/><Relationship Id="rId48" Type="http://schemas.openxmlformats.org/officeDocument/2006/relationships/header" Target="header22.xml"/><Relationship Id="rId69" Type="http://schemas.openxmlformats.org/officeDocument/2006/relationships/footer" Target="footer32.xml"/><Relationship Id="rId113" Type="http://schemas.openxmlformats.org/officeDocument/2006/relationships/footer" Target="footer54.xml"/><Relationship Id="rId134" Type="http://schemas.openxmlformats.org/officeDocument/2006/relationships/footer" Target="footer64.xml"/><Relationship Id="rId80" Type="http://schemas.openxmlformats.org/officeDocument/2006/relationships/footer" Target="footer37.xml"/><Relationship Id="rId155" Type="http://schemas.openxmlformats.org/officeDocument/2006/relationships/footer" Target="footer75.xml"/><Relationship Id="rId176" Type="http://schemas.openxmlformats.org/officeDocument/2006/relationships/footer" Target="footer85.xml"/><Relationship Id="rId197" Type="http://schemas.openxmlformats.org/officeDocument/2006/relationships/footer" Target="footer95.xml"/><Relationship Id="rId201" Type="http://schemas.openxmlformats.org/officeDocument/2006/relationships/header" Target="header98.xml"/><Relationship Id="rId222" Type="http://schemas.openxmlformats.org/officeDocument/2006/relationships/header" Target="header108.xml"/><Relationship Id="rId243" Type="http://schemas.openxmlformats.org/officeDocument/2006/relationships/image" Target="media/image4.png"/><Relationship Id="rId264" Type="http://schemas.openxmlformats.org/officeDocument/2006/relationships/header" Target="header128.xml"/><Relationship Id="rId285" Type="http://schemas.openxmlformats.org/officeDocument/2006/relationships/header" Target="header138.xml"/><Relationship Id="rId17" Type="http://schemas.openxmlformats.org/officeDocument/2006/relationships/footer" Target="footer6.xml"/><Relationship Id="rId38" Type="http://schemas.openxmlformats.org/officeDocument/2006/relationships/footer" Target="footer16.xml"/><Relationship Id="rId59" Type="http://schemas.openxmlformats.org/officeDocument/2006/relationships/footer" Target="footer27.xml"/><Relationship Id="rId103" Type="http://schemas.openxmlformats.org/officeDocument/2006/relationships/header" Target="header50.xml"/><Relationship Id="rId124" Type="http://schemas.openxmlformats.org/officeDocument/2006/relationships/header" Target="header60.xml"/><Relationship Id="rId310" Type="http://schemas.openxmlformats.org/officeDocument/2006/relationships/footer" Target="footer150.xml"/><Relationship Id="rId70" Type="http://schemas.openxmlformats.org/officeDocument/2006/relationships/header" Target="header33.xml"/><Relationship Id="rId91" Type="http://schemas.openxmlformats.org/officeDocument/2006/relationships/header" Target="header44.xml"/><Relationship Id="rId145" Type="http://schemas.openxmlformats.org/officeDocument/2006/relationships/header" Target="header71.xml"/><Relationship Id="rId166" Type="http://schemas.openxmlformats.org/officeDocument/2006/relationships/header" Target="header81.xml"/><Relationship Id="rId187" Type="http://schemas.openxmlformats.org/officeDocument/2006/relationships/footer" Target="footer90.xml"/><Relationship Id="rId1" Type="http://schemas.openxmlformats.org/officeDocument/2006/relationships/styles" Target="styles.xml"/><Relationship Id="rId212" Type="http://schemas.openxmlformats.org/officeDocument/2006/relationships/header" Target="header103.xml"/><Relationship Id="rId233" Type="http://schemas.openxmlformats.org/officeDocument/2006/relationships/footer" Target="footer113.xml"/><Relationship Id="rId254" Type="http://schemas.openxmlformats.org/officeDocument/2006/relationships/footer" Target="footer122.xml"/><Relationship Id="rId28" Type="http://schemas.openxmlformats.org/officeDocument/2006/relationships/header" Target="header12.xml"/><Relationship Id="rId49" Type="http://schemas.openxmlformats.org/officeDocument/2006/relationships/header" Target="header23.xml"/><Relationship Id="rId114" Type="http://schemas.openxmlformats.org/officeDocument/2006/relationships/header" Target="header55.xml"/><Relationship Id="rId275" Type="http://schemas.openxmlformats.org/officeDocument/2006/relationships/header" Target="header133.xml"/><Relationship Id="rId296" Type="http://schemas.openxmlformats.org/officeDocument/2006/relationships/footer" Target="footer143.xml"/><Relationship Id="rId300" Type="http://schemas.openxmlformats.org/officeDocument/2006/relationships/header" Target="header146.xml"/><Relationship Id="rId60" Type="http://schemas.openxmlformats.org/officeDocument/2006/relationships/header" Target="header28.xml"/><Relationship Id="rId81" Type="http://schemas.openxmlformats.org/officeDocument/2006/relationships/footer" Target="footer38.xml"/><Relationship Id="rId135" Type="http://schemas.openxmlformats.org/officeDocument/2006/relationships/footer" Target="footer65.xml"/><Relationship Id="rId156" Type="http://schemas.openxmlformats.org/officeDocument/2006/relationships/header" Target="header76.xml"/><Relationship Id="rId177" Type="http://schemas.openxmlformats.org/officeDocument/2006/relationships/footer" Target="footer86.xml"/><Relationship Id="rId198" Type="http://schemas.openxmlformats.org/officeDocument/2006/relationships/header" Target="header96.xml"/><Relationship Id="rId202" Type="http://schemas.openxmlformats.org/officeDocument/2006/relationships/footer" Target="footer97.xml"/><Relationship Id="rId223" Type="http://schemas.openxmlformats.org/officeDocument/2006/relationships/footer" Target="footer108.xml"/><Relationship Id="rId244" Type="http://schemas.openxmlformats.org/officeDocument/2006/relationships/image" Target="media/image5.png"/><Relationship Id="rId18" Type="http://schemas.openxmlformats.org/officeDocument/2006/relationships/header" Target="header7.xml"/><Relationship Id="rId39" Type="http://schemas.openxmlformats.org/officeDocument/2006/relationships/footer" Target="footer17.xml"/><Relationship Id="rId265" Type="http://schemas.openxmlformats.org/officeDocument/2006/relationships/footer" Target="footer127.xml"/><Relationship Id="rId286" Type="http://schemas.openxmlformats.org/officeDocument/2006/relationships/footer" Target="footer138.xml"/><Relationship Id="rId50" Type="http://schemas.openxmlformats.org/officeDocument/2006/relationships/footer" Target="footer22.xml"/><Relationship Id="rId104" Type="http://schemas.openxmlformats.org/officeDocument/2006/relationships/footer" Target="footer49.xml"/><Relationship Id="rId125" Type="http://schemas.openxmlformats.org/officeDocument/2006/relationships/footer" Target="footer60.xml"/><Relationship Id="rId146" Type="http://schemas.openxmlformats.org/officeDocument/2006/relationships/footer" Target="footer70.xml"/><Relationship Id="rId167" Type="http://schemas.openxmlformats.org/officeDocument/2006/relationships/footer" Target="footer81.xml"/><Relationship Id="rId188" Type="http://schemas.openxmlformats.org/officeDocument/2006/relationships/header" Target="header91.xml"/><Relationship Id="rId311" Type="http://schemas.openxmlformats.org/officeDocument/2006/relationships/fontTable" Target="fontTable.xml"/><Relationship Id="rId71" Type="http://schemas.openxmlformats.org/officeDocument/2006/relationships/footer" Target="footer33.xml"/><Relationship Id="rId92" Type="http://schemas.openxmlformats.org/officeDocument/2006/relationships/footer" Target="footer43.xml"/><Relationship Id="rId213" Type="http://schemas.openxmlformats.org/officeDocument/2006/relationships/header" Target="header104.xml"/><Relationship Id="rId234" Type="http://schemas.openxmlformats.org/officeDocument/2006/relationships/header" Target="header114.xml"/><Relationship Id="rId2" Type="http://schemas.openxmlformats.org/officeDocument/2006/relationships/settings" Target="settings.xml"/><Relationship Id="rId29" Type="http://schemas.openxmlformats.org/officeDocument/2006/relationships/footer" Target="footer12.xml"/><Relationship Id="rId255" Type="http://schemas.openxmlformats.org/officeDocument/2006/relationships/header" Target="header123.xml"/><Relationship Id="rId276" Type="http://schemas.openxmlformats.org/officeDocument/2006/relationships/header" Target="header134.xml"/><Relationship Id="rId297" Type="http://schemas.openxmlformats.org/officeDocument/2006/relationships/header" Target="header144.xml"/><Relationship Id="rId40" Type="http://schemas.openxmlformats.org/officeDocument/2006/relationships/header" Target="header18.xml"/><Relationship Id="rId115" Type="http://schemas.openxmlformats.org/officeDocument/2006/relationships/header" Target="header56.xml"/><Relationship Id="rId136" Type="http://schemas.openxmlformats.org/officeDocument/2006/relationships/header" Target="header66.xml"/><Relationship Id="rId157" Type="http://schemas.openxmlformats.org/officeDocument/2006/relationships/header" Target="header77.xml"/><Relationship Id="rId178" Type="http://schemas.openxmlformats.org/officeDocument/2006/relationships/header" Target="header87.xml"/><Relationship Id="rId301" Type="http://schemas.openxmlformats.org/officeDocument/2006/relationships/footer" Target="footer145.xml"/><Relationship Id="rId61" Type="http://schemas.openxmlformats.org/officeDocument/2006/relationships/header" Target="header29.xml"/><Relationship Id="rId82" Type="http://schemas.openxmlformats.org/officeDocument/2006/relationships/header" Target="header39.xml"/><Relationship Id="rId199" Type="http://schemas.openxmlformats.org/officeDocument/2006/relationships/footer" Target="footer96.xml"/><Relationship Id="rId203" Type="http://schemas.openxmlformats.org/officeDocument/2006/relationships/footer" Target="footer98.xml"/><Relationship Id="rId19" Type="http://schemas.openxmlformats.org/officeDocument/2006/relationships/header" Target="header8.xml"/><Relationship Id="rId224" Type="http://schemas.openxmlformats.org/officeDocument/2006/relationships/header" Target="header109.xml"/><Relationship Id="rId245" Type="http://schemas.openxmlformats.org/officeDocument/2006/relationships/header" Target="header118.xml"/><Relationship Id="rId266" Type="http://schemas.openxmlformats.org/officeDocument/2006/relationships/footer" Target="footer128.xml"/><Relationship Id="rId287" Type="http://schemas.openxmlformats.org/officeDocument/2006/relationships/header" Target="header139.xml"/><Relationship Id="rId30" Type="http://schemas.openxmlformats.org/officeDocument/2006/relationships/header" Target="header13.xml"/><Relationship Id="rId105" Type="http://schemas.openxmlformats.org/officeDocument/2006/relationships/footer" Target="footer50.xml"/><Relationship Id="rId126" Type="http://schemas.openxmlformats.org/officeDocument/2006/relationships/header" Target="header61.xml"/><Relationship Id="rId147" Type="http://schemas.openxmlformats.org/officeDocument/2006/relationships/footer" Target="footer71.xml"/><Relationship Id="rId168" Type="http://schemas.openxmlformats.org/officeDocument/2006/relationships/header" Target="header82.xml"/><Relationship Id="rId312" Type="http://schemas.openxmlformats.org/officeDocument/2006/relationships/theme" Target="theme/theme1.xml"/><Relationship Id="rId51" Type="http://schemas.openxmlformats.org/officeDocument/2006/relationships/footer" Target="footer23.xml"/><Relationship Id="rId72" Type="http://schemas.openxmlformats.org/officeDocument/2006/relationships/header" Target="header34.xml"/><Relationship Id="rId93" Type="http://schemas.openxmlformats.org/officeDocument/2006/relationships/footer" Target="footer44.xml"/><Relationship Id="rId189" Type="http://schemas.openxmlformats.org/officeDocument/2006/relationships/header" Target="header92.xml"/><Relationship Id="rId3" Type="http://schemas.openxmlformats.org/officeDocument/2006/relationships/webSettings" Target="webSettings.xml"/><Relationship Id="rId214" Type="http://schemas.openxmlformats.org/officeDocument/2006/relationships/footer" Target="footer103.xml"/><Relationship Id="rId235" Type="http://schemas.openxmlformats.org/officeDocument/2006/relationships/footer" Target="footer114.xml"/><Relationship Id="rId256" Type="http://schemas.openxmlformats.org/officeDocument/2006/relationships/footer" Target="footer123.xml"/><Relationship Id="rId277" Type="http://schemas.openxmlformats.org/officeDocument/2006/relationships/footer" Target="footer133.xml"/><Relationship Id="rId298" Type="http://schemas.openxmlformats.org/officeDocument/2006/relationships/footer" Target="footer144.xml"/><Relationship Id="rId116" Type="http://schemas.openxmlformats.org/officeDocument/2006/relationships/footer" Target="footer55.xml"/><Relationship Id="rId137" Type="http://schemas.openxmlformats.org/officeDocument/2006/relationships/footer" Target="footer66.xml"/><Relationship Id="rId158" Type="http://schemas.openxmlformats.org/officeDocument/2006/relationships/footer" Target="footer76.xml"/><Relationship Id="rId302" Type="http://schemas.openxmlformats.org/officeDocument/2006/relationships/footer" Target="footer146.xml"/><Relationship Id="rId20" Type="http://schemas.openxmlformats.org/officeDocument/2006/relationships/footer" Target="footer7.xml"/><Relationship Id="rId41" Type="http://schemas.openxmlformats.org/officeDocument/2006/relationships/footer" Target="footer18.xml"/><Relationship Id="rId62" Type="http://schemas.openxmlformats.org/officeDocument/2006/relationships/footer" Target="footer28.xml"/><Relationship Id="rId83" Type="http://schemas.openxmlformats.org/officeDocument/2006/relationships/footer" Target="footer39.xml"/><Relationship Id="rId179" Type="http://schemas.openxmlformats.org/officeDocument/2006/relationships/footer" Target="footer87.xml"/><Relationship Id="rId190" Type="http://schemas.openxmlformats.org/officeDocument/2006/relationships/footer" Target="footer91.xml"/><Relationship Id="rId204" Type="http://schemas.openxmlformats.org/officeDocument/2006/relationships/header" Target="header99.xml"/><Relationship Id="rId225" Type="http://schemas.openxmlformats.org/officeDocument/2006/relationships/header" Target="header110.xml"/><Relationship Id="rId246" Type="http://schemas.openxmlformats.org/officeDocument/2006/relationships/header" Target="header119.xml"/><Relationship Id="rId267" Type="http://schemas.openxmlformats.org/officeDocument/2006/relationships/header" Target="header129.xml"/><Relationship Id="rId288" Type="http://schemas.openxmlformats.org/officeDocument/2006/relationships/header" Target="header140.xml"/><Relationship Id="rId106" Type="http://schemas.openxmlformats.org/officeDocument/2006/relationships/header" Target="header51.xml"/><Relationship Id="rId127" Type="http://schemas.openxmlformats.org/officeDocument/2006/relationships/header" Target="header62.xml"/><Relationship Id="rId10" Type="http://schemas.openxmlformats.org/officeDocument/2006/relationships/header" Target="header3.xml"/><Relationship Id="rId31" Type="http://schemas.openxmlformats.org/officeDocument/2006/relationships/header" Target="header14.xml"/><Relationship Id="rId52" Type="http://schemas.openxmlformats.org/officeDocument/2006/relationships/header" Target="header24.xml"/><Relationship Id="rId73" Type="http://schemas.openxmlformats.org/officeDocument/2006/relationships/header" Target="header35.xml"/><Relationship Id="rId94" Type="http://schemas.openxmlformats.org/officeDocument/2006/relationships/header" Target="header45.xml"/><Relationship Id="rId148" Type="http://schemas.openxmlformats.org/officeDocument/2006/relationships/header" Target="header72.xml"/><Relationship Id="rId169" Type="http://schemas.openxmlformats.org/officeDocument/2006/relationships/header" Target="header83.xml"/><Relationship Id="rId4" Type="http://schemas.openxmlformats.org/officeDocument/2006/relationships/footnotes" Target="footnotes.xml"/><Relationship Id="rId180" Type="http://schemas.openxmlformats.org/officeDocument/2006/relationships/image" Target="media/image1.png"/><Relationship Id="rId215" Type="http://schemas.openxmlformats.org/officeDocument/2006/relationships/footer" Target="footer104.xml"/><Relationship Id="rId236" Type="http://schemas.openxmlformats.org/officeDocument/2006/relationships/header" Target="header115.xml"/><Relationship Id="rId257" Type="http://schemas.openxmlformats.org/officeDocument/2006/relationships/header" Target="header124.xml"/><Relationship Id="rId278" Type="http://schemas.openxmlformats.org/officeDocument/2006/relationships/footer" Target="footer134.xml"/><Relationship Id="rId303" Type="http://schemas.openxmlformats.org/officeDocument/2006/relationships/header" Target="header147.xml"/><Relationship Id="rId42" Type="http://schemas.openxmlformats.org/officeDocument/2006/relationships/header" Target="header19.xml"/><Relationship Id="rId84" Type="http://schemas.openxmlformats.org/officeDocument/2006/relationships/header" Target="header40.xml"/><Relationship Id="rId138" Type="http://schemas.openxmlformats.org/officeDocument/2006/relationships/header" Target="header67.xml"/><Relationship Id="rId191" Type="http://schemas.openxmlformats.org/officeDocument/2006/relationships/footer" Target="footer92.xml"/><Relationship Id="rId205" Type="http://schemas.openxmlformats.org/officeDocument/2006/relationships/footer" Target="footer99.xml"/><Relationship Id="rId247" Type="http://schemas.openxmlformats.org/officeDocument/2006/relationships/footer" Target="footer118.xml"/><Relationship Id="rId107" Type="http://schemas.openxmlformats.org/officeDocument/2006/relationships/footer" Target="footer51.xml"/><Relationship Id="rId289" Type="http://schemas.openxmlformats.org/officeDocument/2006/relationships/footer" Target="footer139.xml"/><Relationship Id="rId11" Type="http://schemas.openxmlformats.org/officeDocument/2006/relationships/footer" Target="footer3.xml"/><Relationship Id="rId53" Type="http://schemas.openxmlformats.org/officeDocument/2006/relationships/footer" Target="footer24.xml"/><Relationship Id="rId149" Type="http://schemas.openxmlformats.org/officeDocument/2006/relationships/footer" Target="footer72.xml"/><Relationship Id="rId95" Type="http://schemas.openxmlformats.org/officeDocument/2006/relationships/footer" Target="footer45.xml"/><Relationship Id="rId160" Type="http://schemas.openxmlformats.org/officeDocument/2006/relationships/header" Target="header78.xml"/><Relationship Id="rId216" Type="http://schemas.openxmlformats.org/officeDocument/2006/relationships/header" Target="header105.xml"/><Relationship Id="rId258" Type="http://schemas.openxmlformats.org/officeDocument/2006/relationships/header" Target="header125.xml"/><Relationship Id="rId22" Type="http://schemas.openxmlformats.org/officeDocument/2006/relationships/header" Target="header9.xml"/><Relationship Id="rId64" Type="http://schemas.openxmlformats.org/officeDocument/2006/relationships/header" Target="header30.xml"/><Relationship Id="rId118" Type="http://schemas.openxmlformats.org/officeDocument/2006/relationships/header" Target="header57.xml"/><Relationship Id="rId171" Type="http://schemas.openxmlformats.org/officeDocument/2006/relationships/footer" Target="footer83.xml"/><Relationship Id="rId227" Type="http://schemas.openxmlformats.org/officeDocument/2006/relationships/footer" Target="footer110.xml"/><Relationship Id="rId269" Type="http://schemas.openxmlformats.org/officeDocument/2006/relationships/header" Target="header130.xml"/><Relationship Id="rId33" Type="http://schemas.openxmlformats.org/officeDocument/2006/relationships/footer" Target="footer14.xml"/><Relationship Id="rId129" Type="http://schemas.openxmlformats.org/officeDocument/2006/relationships/footer" Target="footer62.xml"/><Relationship Id="rId280" Type="http://schemas.openxmlformats.org/officeDocument/2006/relationships/footer" Target="footer135.xml"/><Relationship Id="rId75" Type="http://schemas.openxmlformats.org/officeDocument/2006/relationships/footer" Target="footer35.xml"/><Relationship Id="rId140" Type="http://schemas.openxmlformats.org/officeDocument/2006/relationships/footer" Target="footer67.xml"/><Relationship Id="rId182" Type="http://schemas.openxmlformats.org/officeDocument/2006/relationships/header" Target="header88.xml"/><Relationship Id="rId6" Type="http://schemas.openxmlformats.org/officeDocument/2006/relationships/header" Target="header1.xml"/><Relationship Id="rId238" Type="http://schemas.openxmlformats.org/officeDocument/2006/relationships/footer" Target="footer115.xml"/><Relationship Id="rId291" Type="http://schemas.openxmlformats.org/officeDocument/2006/relationships/header" Target="header141.xml"/><Relationship Id="rId305" Type="http://schemas.openxmlformats.org/officeDocument/2006/relationships/header" Target="header14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217763</Words>
  <Characters>1241254</Characters>
  <Application>Microsoft Office Word</Application>
  <DocSecurity>0</DocSecurity>
  <Lines>10343</Lines>
  <Paragraphs>2912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Hickman v. Exxon Mobil, 540 Fed. Appx. 277</dc:title>
  <dc:creator>Connor Mitchell</dc:creator>
  <cp:lastModifiedBy>Connor Mitchell</cp:lastModifiedBy>
  <cp:revision>2</cp:revision>
  <dcterms:created xsi:type="dcterms:W3CDTF">2023-08-29T15:40:00Z</dcterms:created>
  <dcterms:modified xsi:type="dcterms:W3CDTF">2023-08-29T15:40:00Z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204598154</vt:lpwstr>
  </property>
  <property fmtid="{D5CDD505-2E9C-101B-9397-08002B2CF9AE}" pid="3" name="LADocCount">
    <vt:i4>50</vt:i4>
  </property>
  <property fmtid="{D5CDD505-2E9C-101B-9397-08002B2CF9AE}" pid="4" name="LADocumentID:urn:contentItem:59C8-W001-F04K-N0F2-00000-00">
    <vt:lpwstr>Doc::/shared/document|contextualFeaturePermID::1521360</vt:lpwstr>
  </property>
  <property fmtid="{D5CDD505-2E9C-101B-9397-08002B2CF9AE}" pid="5" name="LADocumentID:urn:contentItem:59F0-MTT1-F04K-V0JK-00000-00">
    <vt:lpwstr>Doc::/shared/document|contextualFeaturePermID::1521360</vt:lpwstr>
  </property>
  <property fmtid="{D5CDD505-2E9C-101B-9397-08002B2CF9AE}" pid="6" name="LADocumentID:urn:contentItem:5B1F-1JY1-F04K-V31P-00000-00">
    <vt:lpwstr>Doc::/shared/document|contextualFeaturePermID::1521360</vt:lpwstr>
  </property>
  <property fmtid="{D5CDD505-2E9C-101B-9397-08002B2CF9AE}" pid="7" name="LADocumentID:urn:contentItem:5BD8-XVB1-F04K-W18P-00000-00">
    <vt:lpwstr>Doc::/shared/document|contextualFeaturePermID::1521360</vt:lpwstr>
  </property>
  <property fmtid="{D5CDD505-2E9C-101B-9397-08002B2CF9AE}" pid="8" name="LADocumentID:urn:contentItem:5BK0-F041-F04K-V54S-00000-00">
    <vt:lpwstr>Doc::/shared/document|contextualFeaturePermID::1521360</vt:lpwstr>
  </property>
  <property fmtid="{D5CDD505-2E9C-101B-9397-08002B2CF9AE}" pid="9" name="LADocumentID:urn:contentItem:5BWH-32D1-F04K-W007-00000-00">
    <vt:lpwstr>Doc::/shared/document|contextualFeaturePermID::1521360</vt:lpwstr>
  </property>
  <property fmtid="{D5CDD505-2E9C-101B-9397-08002B2CF9AE}" pid="10" name="LADocumentID:urn:contentItem:5BWX-M6B1-F04K-P01D-00000-00">
    <vt:lpwstr>Doc::/shared/document|contextualFeaturePermID::1521360</vt:lpwstr>
  </property>
  <property fmtid="{D5CDD505-2E9C-101B-9397-08002B2CF9AE}" pid="11" name="LADocumentID:urn:contentItem:5C6F-MHR1-F04K-J02P-00000-00">
    <vt:lpwstr>Doc::/shared/document|contextualFeaturePermID::1521360</vt:lpwstr>
  </property>
  <property fmtid="{D5CDD505-2E9C-101B-9397-08002B2CF9AE}" pid="12" name="LADocumentID:urn:contentItem:5C9N-F5R1-F04K-V09M-00000-00">
    <vt:lpwstr>Doc::/shared/document|contextualFeaturePermID::1521360</vt:lpwstr>
  </property>
  <property fmtid="{D5CDD505-2E9C-101B-9397-08002B2CF9AE}" pid="13" name="LADocumentID:urn:contentItem:5CCC-6SH1-F04K-V01P-00000-00">
    <vt:lpwstr>Doc::/shared/document|contextualFeaturePermID::1521360</vt:lpwstr>
  </property>
  <property fmtid="{D5CDD505-2E9C-101B-9397-08002B2CF9AE}" pid="14" name="LADocumentID:urn:contentItem:5CSF-C2T1-F04K-S16D-00000-00">
    <vt:lpwstr>Doc::/shared/document|contextualFeaturePermID::1521360</vt:lpwstr>
  </property>
  <property fmtid="{D5CDD505-2E9C-101B-9397-08002B2CF9AE}" pid="15" name="LADocumentID:urn:contentItem:5D24-TVH1-F04K-W067-00000-00">
    <vt:lpwstr>Doc::/shared/document|contextualFeaturePermID::1521360</vt:lpwstr>
  </property>
  <property fmtid="{D5CDD505-2E9C-101B-9397-08002B2CF9AE}" pid="16" name="LADocumentID:urn:contentItem:5D2S-JC31-F04K-V0MC-00000-00">
    <vt:lpwstr>Doc::/shared/document|contextualFeaturePermID::1521360</vt:lpwstr>
  </property>
  <property fmtid="{D5CDD505-2E9C-101B-9397-08002B2CF9AE}" pid="17" name="LADocumentID:urn:contentItem:5D48-XPV1-F04K-H033-00000-00">
    <vt:lpwstr>Doc::/shared/document|contextualFeaturePermID::1521360</vt:lpwstr>
  </property>
  <property fmtid="{D5CDD505-2E9C-101B-9397-08002B2CF9AE}" pid="18" name="LADocumentID:urn:contentItem:5D8B-1NW1-F04K-X101-00000-00">
    <vt:lpwstr>Doc::/shared/document|contextualFeaturePermID::1521360</vt:lpwstr>
  </property>
  <property fmtid="{D5CDD505-2E9C-101B-9397-08002B2CF9AE}" pid="19" name="LADocumentID:urn:contentItem:5D8H-HF41-F04K-J0D3-00000-00">
    <vt:lpwstr>Doc::/shared/document|contextualFeaturePermID::1521360</vt:lpwstr>
  </property>
  <property fmtid="{D5CDD505-2E9C-101B-9397-08002B2CF9AE}" pid="20" name="LADocumentID:urn:contentItem:5D8J-3451-F04K-X10P-00000-00">
    <vt:lpwstr>Doc::/shared/document|contextualFeaturePermID::1521360</vt:lpwstr>
  </property>
  <property fmtid="{D5CDD505-2E9C-101B-9397-08002B2CF9AE}" pid="21" name="LADocumentID:urn:contentItem:5D8R-CY51-F04K-X116-00000-00">
    <vt:lpwstr>Doc::/shared/document|contextualFeaturePermID::1521360</vt:lpwstr>
  </property>
  <property fmtid="{D5CDD505-2E9C-101B-9397-08002B2CF9AE}" pid="22" name="LADocumentID:urn:contentItem:5DMB-X641-F04K-W0R9-00000-00">
    <vt:lpwstr>Doc::/shared/document|contextualFeaturePermID::1521360</vt:lpwstr>
  </property>
  <property fmtid="{D5CDD505-2E9C-101B-9397-08002B2CF9AE}" pid="23" name="LADocumentID:urn:contentItem:5F8G-4121-F04K-V018-00000-00">
    <vt:lpwstr>Doc::/shared/document|contextualFeaturePermID::1521360</vt:lpwstr>
  </property>
  <property fmtid="{D5CDD505-2E9C-101B-9397-08002B2CF9AE}" pid="24" name="LADocumentID:urn:contentItem:5FBC-VN61-F04K-V07K-00000-00">
    <vt:lpwstr>Doc::/shared/document|contextualFeaturePermID::1521360</vt:lpwstr>
  </property>
  <property fmtid="{D5CDD505-2E9C-101B-9397-08002B2CF9AE}" pid="25" name="LADocumentID:urn:contentItem:5FCW-T481-F04K-X05V-00000-00">
    <vt:lpwstr>Doc::/shared/document|contextualFeaturePermID::1521360</vt:lpwstr>
  </property>
  <property fmtid="{D5CDD505-2E9C-101B-9397-08002B2CF9AE}" pid="26" name="LADocumentID:urn:contentItem:5FFC-F6Y1-F04K-V115-00000-00">
    <vt:lpwstr>Doc::/shared/document|contextualFeaturePermID::1521360</vt:lpwstr>
  </property>
  <property fmtid="{D5CDD505-2E9C-101B-9397-08002B2CF9AE}" pid="27" name="LADocumentID:urn:contentItem:5FFK-DCH1-F04K-V125-00000-00">
    <vt:lpwstr>Doc::/shared/document|contextualFeaturePermID::1521360</vt:lpwstr>
  </property>
  <property fmtid="{D5CDD505-2E9C-101B-9397-08002B2CF9AE}" pid="28" name="LADocumentID:urn:contentItem:5FJJ-VC81-F04K-V1KH-00000-00">
    <vt:lpwstr>Doc::/shared/document|contextualFeaturePermID::1521360</vt:lpwstr>
  </property>
  <property fmtid="{D5CDD505-2E9C-101B-9397-08002B2CF9AE}" pid="29" name="LADocumentID:urn:contentItem:5FKD-R5N1-F04K-V1RF-00000-00">
    <vt:lpwstr>Doc::/shared/document|contextualFeaturePermID::1521360</vt:lpwstr>
  </property>
  <property fmtid="{D5CDD505-2E9C-101B-9397-08002B2CF9AE}" pid="30" name="LADocumentID:urn:contentItem:5FPF-2PH1-F04K-R02R-00000-00">
    <vt:lpwstr>Doc::/shared/document|contextualFeaturePermID::1521360</vt:lpwstr>
  </property>
  <property fmtid="{D5CDD505-2E9C-101B-9397-08002B2CF9AE}" pid="31" name="LADocumentID:urn:contentItem:5FXK-6SD1-F04K-X0KR-00000-00">
    <vt:lpwstr>Doc::/shared/document|contextualFeaturePermID::1521360</vt:lpwstr>
  </property>
  <property fmtid="{D5CDD505-2E9C-101B-9397-08002B2CF9AE}" pid="32" name="LADocumentID:urn:contentItem:5GJY-F8Y1-F04K-X0R0-00000-00">
    <vt:lpwstr>Doc::/shared/document|contextualFeaturePermID::1521360</vt:lpwstr>
  </property>
  <property fmtid="{D5CDD505-2E9C-101B-9397-08002B2CF9AE}" pid="33" name="LADocumentID:urn:contentItem:5GNX-J0H1-F04K-P0GK-00000-00">
    <vt:lpwstr>Doc::/shared/document|contextualFeaturePermID::1521360</vt:lpwstr>
  </property>
  <property fmtid="{D5CDD505-2E9C-101B-9397-08002B2CF9AE}" pid="34" name="LADocumentID:urn:contentItem:5GSY-45H1-F04K-N01R-00000-00">
    <vt:lpwstr>Doc::/shared/document|contextualFeaturePermID::1521360</vt:lpwstr>
  </property>
  <property fmtid="{D5CDD505-2E9C-101B-9397-08002B2CF9AE}" pid="35" name="LADocumentID:urn:contentItem:5H36-S641-F04K-J026-00000-00">
    <vt:lpwstr>Doc::/shared/document|contextualFeaturePermID::1521360</vt:lpwstr>
  </property>
  <property fmtid="{D5CDD505-2E9C-101B-9397-08002B2CF9AE}" pid="36" name="LADocumentID:urn:contentItem:5H3D-MPB1-F04K-X038-00000-00">
    <vt:lpwstr>Doc::/shared/document|contextualFeaturePermID::1521360</vt:lpwstr>
  </property>
  <property fmtid="{D5CDD505-2E9C-101B-9397-08002B2CF9AE}" pid="37" name="LADocumentID:urn:contentItem:5H8B-9J31-F04K-R047-00000-00">
    <vt:lpwstr>Doc::/shared/document|contextualFeaturePermID::1521360</vt:lpwstr>
  </property>
  <property fmtid="{D5CDD505-2E9C-101B-9397-08002B2CF9AE}" pid="38" name="LADocumentID:urn:contentItem:5HBF-W521-F04K-R05X-00000-00">
    <vt:lpwstr>Doc::/shared/document|contextualFeaturePermID::1521360</vt:lpwstr>
  </property>
  <property fmtid="{D5CDD505-2E9C-101B-9397-08002B2CF9AE}" pid="39" name="LADocumentID:urn:contentItem:5HDM-H2H1-F04K-V0YP-00000-00">
    <vt:lpwstr>Doc::/shared/document|contextualFeaturePermID::1521360</vt:lpwstr>
  </property>
  <property fmtid="{D5CDD505-2E9C-101B-9397-08002B2CF9AE}" pid="40" name="LADocumentID:urn:contentItem:5HG9-G1X1-F04K-W00M-00000-00">
    <vt:lpwstr>Doc::/shared/document|contextualFeaturePermID::1521360</vt:lpwstr>
  </property>
  <property fmtid="{D5CDD505-2E9C-101B-9397-08002B2CF9AE}" pid="41" name="LADocumentID:urn:contentItem:5HK9-7KG1-F04K-N06Y-00000-00">
    <vt:lpwstr>Doc::/shared/document|contextualFeaturePermID::1521360</vt:lpwstr>
  </property>
  <property fmtid="{D5CDD505-2E9C-101B-9397-08002B2CF9AE}" pid="42" name="LADocumentID:urn:contentItem:5J41-DTX1-F04K-X15B-00000-00">
    <vt:lpwstr>Doc::/shared/document|contextualFeaturePermID::1521360</vt:lpwstr>
  </property>
  <property fmtid="{D5CDD505-2E9C-101B-9397-08002B2CF9AE}" pid="43" name="LADocumentID:urn:contentItem:5J70-V231-F04K-V34D-00000-00">
    <vt:lpwstr>Doc::/shared/document|contextualFeaturePermID::1521360</vt:lpwstr>
  </property>
  <property fmtid="{D5CDD505-2E9C-101B-9397-08002B2CF9AE}" pid="44" name="LADocumentID:urn:contentItem:5JC8-GKF1-F04K-R0YD-00000-00">
    <vt:lpwstr>Doc::/shared/document|contextualFeaturePermID::1521360</vt:lpwstr>
  </property>
  <property fmtid="{D5CDD505-2E9C-101B-9397-08002B2CF9AE}" pid="45" name="LADocumentID:urn:contentItem:5JG8-0GT1-F04K-X1RY-00000-00">
    <vt:lpwstr>Doc::/shared/document|contextualFeaturePermID::1521360</vt:lpwstr>
  </property>
  <property fmtid="{D5CDD505-2E9C-101B-9397-08002B2CF9AE}" pid="46" name="LADocumentID:urn:contentItem:5JRH-80X1-F04K-R002-00000-00">
    <vt:lpwstr>Doc::/shared/document|contextualFeaturePermID::1521360</vt:lpwstr>
  </property>
  <property fmtid="{D5CDD505-2E9C-101B-9397-08002B2CF9AE}" pid="47" name="LADocumentID:urn:contentItem:5K1C-DS81-F04K-P0BX-00000-00">
    <vt:lpwstr>Doc::/shared/document|contextualFeaturePermID::1521360</vt:lpwstr>
  </property>
  <property fmtid="{D5CDD505-2E9C-101B-9397-08002B2CF9AE}" pid="48" name="LADocumentID:urn:contentItem:5KBJ-DY21-F04K-J416-00000-00">
    <vt:lpwstr>Doc::/shared/document|contextualFeaturePermID::1521360</vt:lpwstr>
  </property>
  <property fmtid="{D5CDD505-2E9C-101B-9397-08002B2CF9AE}" pid="49" name="LADocumentID:urn:contentItem:5KF4-D921-F04K-H079-00000-00">
    <vt:lpwstr>Doc::/shared/document|contextualFeaturePermID::1521360</vt:lpwstr>
  </property>
  <property fmtid="{D5CDD505-2E9C-101B-9397-08002B2CF9AE}" pid="50" name="LADocumentID:urn:contentItem:5KPJ-HM71-F04K-R2RT-00000-00">
    <vt:lpwstr>Doc::/shared/document|contextualFeaturePermID::1521360</vt:lpwstr>
  </property>
  <property fmtid="{D5CDD505-2E9C-101B-9397-08002B2CF9AE}" pid="51" name="LADocumentID:urn:contentItem:5KV0-D421-F04K-K31T-00000-00">
    <vt:lpwstr>Doc::/shared/document|contextualFeaturePermID::1521360</vt:lpwstr>
  </property>
  <property fmtid="{D5CDD505-2E9C-101B-9397-08002B2CF9AE}" pid="52" name="LADocumentID:urn:contentItem:5M49-S2C1-F04K-M019-00000-00">
    <vt:lpwstr>Doc::/shared/document|contextualFeaturePermID::1521360</vt:lpwstr>
  </property>
  <property fmtid="{D5CDD505-2E9C-101B-9397-08002B2CF9AE}" pid="53" name="LADocumentID:urn:contentItem:64ST-1W01-JC5P-G111-00000-00">
    <vt:lpwstr>Doc::/shared/document|contextualFeaturePermID::1521360</vt:lpwstr>
  </property>
  <property fmtid="{D5CDD505-2E9C-101B-9397-08002B2CF9AE}" pid="54" name="UserPermID">
    <vt:lpwstr>urn:user:PA191081579</vt:lpwstr>
  </property>
</Properties>
</file>